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76" w:rsidRPr="001B3B73" w:rsidRDefault="00F964AE" w:rsidP="001B3B73">
      <w:pPr>
        <w:pStyle w:val="Heading1"/>
        <w:spacing w:before="0" w:after="120"/>
        <w:rPr>
          <w:sz w:val="36"/>
        </w:rPr>
      </w:pPr>
      <w:bookmarkStart w:id="0" w:name="_Hlk26448324"/>
      <w:r>
        <w:rPr>
          <w:sz w:val="36"/>
        </w:rPr>
        <w:t>P</w:t>
      </w:r>
      <w:r w:rsidR="001C4376" w:rsidRPr="001B3B73">
        <w:rPr>
          <w:sz w:val="36"/>
        </w:rPr>
        <w:t>roperty manager checklist</w:t>
      </w:r>
      <w:r>
        <w:rPr>
          <w:sz w:val="36"/>
        </w:rPr>
        <w:t xml:space="preserve">: </w:t>
      </w:r>
      <w:r w:rsidR="001C4376" w:rsidRPr="001B3B73">
        <w:rPr>
          <w:sz w:val="36"/>
        </w:rPr>
        <w:t>lodging a bond electronically</w:t>
      </w:r>
    </w:p>
    <w:p w:rsidR="00C21D46" w:rsidRPr="001B3B73" w:rsidRDefault="00C21D46" w:rsidP="001B3B73">
      <w:pPr>
        <w:spacing w:before="120" w:after="120" w:line="240" w:lineRule="auto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 xml:space="preserve">Before lodging a bond as an </w:t>
      </w:r>
      <w:r w:rsidR="007056BE" w:rsidRPr="001B3B73">
        <w:rPr>
          <w:rFonts w:ascii="Arial" w:hAnsi="Arial" w:cs="Arial"/>
          <w:sz w:val="21"/>
          <w:szCs w:val="21"/>
        </w:rPr>
        <w:t>e</w:t>
      </w:r>
      <w:r w:rsidRPr="001B3B73">
        <w:rPr>
          <w:rFonts w:ascii="Arial" w:hAnsi="Arial" w:cs="Arial"/>
          <w:sz w:val="21"/>
          <w:szCs w:val="21"/>
        </w:rPr>
        <w:t xml:space="preserve">lectronic </w:t>
      </w:r>
      <w:r w:rsidR="007056BE" w:rsidRPr="001B3B73">
        <w:rPr>
          <w:rFonts w:ascii="Arial" w:hAnsi="Arial" w:cs="Arial"/>
          <w:sz w:val="21"/>
          <w:szCs w:val="21"/>
        </w:rPr>
        <w:t>t</w:t>
      </w:r>
      <w:r w:rsidRPr="001B3B73">
        <w:rPr>
          <w:rFonts w:ascii="Arial" w:hAnsi="Arial" w:cs="Arial"/>
          <w:sz w:val="21"/>
          <w:szCs w:val="21"/>
        </w:rPr>
        <w:t xml:space="preserve">ransaction </w:t>
      </w:r>
      <w:r w:rsidR="00534543" w:rsidRPr="001B3B73">
        <w:rPr>
          <w:rFonts w:ascii="Arial" w:hAnsi="Arial" w:cs="Arial"/>
          <w:sz w:val="21"/>
          <w:szCs w:val="21"/>
        </w:rPr>
        <w:t>make sure you can answer these questions</w:t>
      </w:r>
      <w:r w:rsidRPr="001B3B73">
        <w:rPr>
          <w:rFonts w:ascii="Arial" w:hAnsi="Arial" w:cs="Arial"/>
          <w:sz w:val="21"/>
          <w:szCs w:val="21"/>
        </w:rPr>
        <w:t xml:space="preserve">: </w:t>
      </w:r>
    </w:p>
    <w:p w:rsidR="00CE657A" w:rsidRPr="001B3B73" w:rsidRDefault="00CE657A" w:rsidP="001B3B73">
      <w:pPr>
        <w:pStyle w:val="Heading2"/>
        <w:numPr>
          <w:ilvl w:val="0"/>
          <w:numId w:val="4"/>
        </w:numPr>
        <w:ind w:left="360"/>
        <w:rPr>
          <w:b/>
        </w:rPr>
      </w:pPr>
      <w:r w:rsidRPr="001B3B73">
        <w:rPr>
          <w:rFonts w:ascii="Arial" w:hAnsi="Arial" w:cs="Arial"/>
          <w:b/>
          <w:color w:val="auto"/>
          <w:sz w:val="22"/>
          <w:szCs w:val="22"/>
        </w:rPr>
        <w:t xml:space="preserve">Have you supplied </w:t>
      </w:r>
      <w:r w:rsidR="00534543" w:rsidRPr="001B3B73">
        <w:rPr>
          <w:rFonts w:ascii="Arial" w:hAnsi="Arial" w:cs="Arial"/>
          <w:b/>
          <w:color w:val="auto"/>
          <w:sz w:val="22"/>
          <w:szCs w:val="22"/>
        </w:rPr>
        <w:t xml:space="preserve">the </w:t>
      </w:r>
      <w:r w:rsidRPr="001B3B73">
        <w:rPr>
          <w:rFonts w:ascii="Arial" w:hAnsi="Arial" w:cs="Arial"/>
          <w:b/>
          <w:color w:val="auto"/>
          <w:sz w:val="22"/>
          <w:szCs w:val="22"/>
        </w:rPr>
        <w:t>correct bank</w:t>
      </w:r>
      <w:r w:rsidR="00D24E57" w:rsidRPr="001B3B73">
        <w:rPr>
          <w:rFonts w:ascii="Arial" w:hAnsi="Arial" w:cs="Arial"/>
          <w:b/>
          <w:color w:val="auto"/>
          <w:sz w:val="22"/>
          <w:szCs w:val="22"/>
        </w:rPr>
        <w:t>ing</w:t>
      </w:r>
      <w:r w:rsidRPr="001B3B73">
        <w:rPr>
          <w:rFonts w:ascii="Arial" w:hAnsi="Arial" w:cs="Arial"/>
          <w:b/>
          <w:color w:val="auto"/>
          <w:sz w:val="22"/>
          <w:szCs w:val="22"/>
        </w:rPr>
        <w:t xml:space="preserve"> details?</w:t>
      </w:r>
    </w:p>
    <w:p w:rsidR="00CE657A" w:rsidRPr="001B3B73" w:rsidRDefault="00CE657A" w:rsidP="001B3B73">
      <w:pPr>
        <w:pStyle w:val="ListParagraph"/>
        <w:spacing w:before="120" w:after="120"/>
        <w:ind w:left="0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To avoid </w:t>
      </w:r>
      <w:r w:rsidR="00F964AE" w:rsidRPr="001B3B73">
        <w:rPr>
          <w:sz w:val="21"/>
          <w:szCs w:val="21"/>
        </w:rPr>
        <w:t xml:space="preserve">a </w:t>
      </w:r>
      <w:r w:rsidR="00D24E57" w:rsidRPr="001B3B73">
        <w:rPr>
          <w:sz w:val="21"/>
          <w:szCs w:val="21"/>
        </w:rPr>
        <w:t xml:space="preserve">transaction </w:t>
      </w:r>
      <w:r w:rsidR="00F40E0B" w:rsidRPr="001B3B73">
        <w:rPr>
          <w:sz w:val="21"/>
          <w:szCs w:val="21"/>
        </w:rPr>
        <w:t xml:space="preserve">being </w:t>
      </w:r>
      <w:r w:rsidR="00D24E57" w:rsidRPr="001B3B73">
        <w:rPr>
          <w:sz w:val="21"/>
          <w:szCs w:val="21"/>
        </w:rPr>
        <w:t>reject</w:t>
      </w:r>
      <w:r w:rsidR="00F40E0B" w:rsidRPr="001B3B73">
        <w:rPr>
          <w:sz w:val="21"/>
          <w:szCs w:val="21"/>
        </w:rPr>
        <w:t>ed</w:t>
      </w:r>
      <w:r w:rsidR="00F964AE" w:rsidRPr="001B3B73">
        <w:rPr>
          <w:sz w:val="21"/>
          <w:szCs w:val="21"/>
        </w:rPr>
        <w:t xml:space="preserve">, </w:t>
      </w:r>
      <w:r w:rsidRPr="001B3B73">
        <w:rPr>
          <w:sz w:val="21"/>
          <w:szCs w:val="21"/>
        </w:rPr>
        <w:t xml:space="preserve">check the </w:t>
      </w:r>
      <w:r w:rsidR="00534543" w:rsidRPr="001B3B73">
        <w:rPr>
          <w:sz w:val="21"/>
          <w:szCs w:val="21"/>
        </w:rPr>
        <w:t xml:space="preserve">agency </w:t>
      </w:r>
      <w:r w:rsidRPr="001B3B73">
        <w:rPr>
          <w:sz w:val="21"/>
          <w:szCs w:val="21"/>
        </w:rPr>
        <w:t xml:space="preserve">bank details </w:t>
      </w:r>
      <w:r w:rsidR="006953F4" w:rsidRPr="001B3B73">
        <w:rPr>
          <w:sz w:val="21"/>
          <w:szCs w:val="21"/>
        </w:rPr>
        <w:t>are correct</w:t>
      </w:r>
      <w:r w:rsidR="006953F4" w:rsidRPr="001B3B73" w:rsidDel="00534543">
        <w:rPr>
          <w:sz w:val="21"/>
          <w:szCs w:val="21"/>
        </w:rPr>
        <w:t xml:space="preserve"> </w:t>
      </w:r>
      <w:r w:rsidRPr="001B3B73">
        <w:rPr>
          <w:sz w:val="21"/>
          <w:szCs w:val="21"/>
        </w:rPr>
        <w:t xml:space="preserve">on RTBA Online. </w:t>
      </w:r>
      <w:r w:rsidR="00D24E57" w:rsidRPr="001B3B73">
        <w:rPr>
          <w:sz w:val="21"/>
          <w:szCs w:val="21"/>
        </w:rPr>
        <w:t>See</w:t>
      </w:r>
      <w:r w:rsidRPr="001B3B73">
        <w:rPr>
          <w:sz w:val="21"/>
          <w:szCs w:val="21"/>
        </w:rPr>
        <w:t xml:space="preserve"> </w:t>
      </w:r>
      <w:hyperlink r:id="rId7" w:history="1">
        <w:r w:rsidR="007056BE" w:rsidRPr="001B3B73">
          <w:rPr>
            <w:rStyle w:val="Hyperlink"/>
            <w:sz w:val="21"/>
            <w:szCs w:val="21"/>
          </w:rPr>
          <w:t>Property manager’s guide – administrators' guide</w:t>
        </w:r>
      </w:hyperlink>
      <w:r w:rsidR="00BE5E08" w:rsidRPr="001B3B73">
        <w:rPr>
          <w:sz w:val="21"/>
          <w:szCs w:val="21"/>
        </w:rPr>
        <w:t xml:space="preserve"> &lt;consumer.vic.gov.au/housing/renting/rtba-online-support/property-manager-guide-administrators-guide&gt;</w:t>
      </w:r>
      <w:r w:rsidR="00D24E57" w:rsidRPr="001B3B73">
        <w:rPr>
          <w:sz w:val="21"/>
          <w:szCs w:val="21"/>
        </w:rPr>
        <w:t>.</w:t>
      </w:r>
    </w:p>
    <w:p w:rsidR="00CE657A" w:rsidRPr="001C5553" w:rsidRDefault="00CE657A" w:rsidP="001B3B73">
      <w:pPr>
        <w:pStyle w:val="Heading2"/>
        <w:numPr>
          <w:ilvl w:val="0"/>
          <w:numId w:val="4"/>
        </w:numPr>
        <w:ind w:left="360"/>
        <w:rPr>
          <w:b/>
        </w:rPr>
      </w:pPr>
      <w:r w:rsidRPr="001B3B73">
        <w:rPr>
          <w:rFonts w:ascii="Arial" w:hAnsi="Arial" w:cs="Arial"/>
          <w:b/>
          <w:color w:val="auto"/>
          <w:sz w:val="22"/>
          <w:szCs w:val="22"/>
        </w:rPr>
        <w:t xml:space="preserve">Are the lodgment details correct </w:t>
      </w:r>
      <w:r w:rsidR="007056BE" w:rsidRPr="001B3B73">
        <w:rPr>
          <w:rFonts w:ascii="Arial" w:hAnsi="Arial" w:cs="Arial"/>
          <w:b/>
          <w:color w:val="auto"/>
          <w:sz w:val="22"/>
          <w:szCs w:val="22"/>
        </w:rPr>
        <w:t>before submission</w:t>
      </w:r>
      <w:r w:rsidRPr="001B3B73">
        <w:rPr>
          <w:rFonts w:ascii="Arial" w:hAnsi="Arial" w:cs="Arial"/>
          <w:b/>
          <w:color w:val="auto"/>
          <w:sz w:val="22"/>
          <w:szCs w:val="22"/>
        </w:rPr>
        <w:t>?</w:t>
      </w:r>
    </w:p>
    <w:p w:rsidR="00D24E57" w:rsidRPr="001B3B73" w:rsidRDefault="00D24E57" w:rsidP="001B3B73">
      <w:pPr>
        <w:pStyle w:val="ListParagraph"/>
        <w:spacing w:before="100" w:after="120"/>
        <w:ind w:left="62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Check all the details are correct </w:t>
      </w:r>
      <w:r w:rsidR="007056BE" w:rsidRPr="001B3B73">
        <w:rPr>
          <w:sz w:val="21"/>
          <w:szCs w:val="21"/>
        </w:rPr>
        <w:t xml:space="preserve">before </w:t>
      </w:r>
      <w:r w:rsidR="009F6FBD" w:rsidRPr="001B3B73">
        <w:rPr>
          <w:sz w:val="21"/>
          <w:szCs w:val="21"/>
        </w:rPr>
        <w:t xml:space="preserve">you </w:t>
      </w:r>
      <w:r w:rsidR="007056BE" w:rsidRPr="001B3B73">
        <w:rPr>
          <w:sz w:val="21"/>
          <w:szCs w:val="21"/>
        </w:rPr>
        <w:t>submit</w:t>
      </w:r>
      <w:r w:rsidR="009F6FBD" w:rsidRPr="001B3B73">
        <w:rPr>
          <w:sz w:val="21"/>
          <w:szCs w:val="21"/>
        </w:rPr>
        <w:t xml:space="preserve"> </w:t>
      </w:r>
      <w:r w:rsidR="007056BE" w:rsidRPr="001B3B73">
        <w:rPr>
          <w:sz w:val="21"/>
          <w:szCs w:val="21"/>
        </w:rPr>
        <w:t>the bond lodgment</w:t>
      </w:r>
      <w:r w:rsidRPr="001B3B73">
        <w:rPr>
          <w:sz w:val="21"/>
          <w:szCs w:val="21"/>
        </w:rPr>
        <w:t>. If you discover that a lodgment is incorrect after submission</w:t>
      </w:r>
      <w:r w:rsidR="007056BE" w:rsidRPr="001B3B73">
        <w:rPr>
          <w:sz w:val="21"/>
          <w:szCs w:val="21"/>
        </w:rPr>
        <w:t>,</w:t>
      </w:r>
      <w:r w:rsidRPr="001B3B73">
        <w:rPr>
          <w:sz w:val="21"/>
          <w:szCs w:val="21"/>
        </w:rPr>
        <w:t xml:space="preserve"> you </w:t>
      </w:r>
      <w:r w:rsidR="007056BE" w:rsidRPr="001B3B73">
        <w:rPr>
          <w:sz w:val="21"/>
          <w:szCs w:val="21"/>
        </w:rPr>
        <w:t>can</w:t>
      </w:r>
      <w:r w:rsidRPr="001B3B73">
        <w:rPr>
          <w:sz w:val="21"/>
          <w:szCs w:val="21"/>
        </w:rPr>
        <w:t xml:space="preserve"> cancel the transaction if the tenants have not </w:t>
      </w:r>
      <w:r w:rsidR="001B2715" w:rsidRPr="001B3B73">
        <w:rPr>
          <w:sz w:val="21"/>
          <w:szCs w:val="21"/>
        </w:rPr>
        <w:t xml:space="preserve">yet </w:t>
      </w:r>
      <w:r w:rsidRPr="001B3B73">
        <w:rPr>
          <w:sz w:val="21"/>
          <w:szCs w:val="21"/>
        </w:rPr>
        <w:t xml:space="preserve">approved the lodgment. </w:t>
      </w:r>
      <w:r w:rsidR="007056BE" w:rsidRPr="001B3B73">
        <w:rPr>
          <w:sz w:val="21"/>
          <w:szCs w:val="21"/>
        </w:rPr>
        <w:t>If you make an error</w:t>
      </w:r>
      <w:r w:rsidR="00F40E0B" w:rsidRPr="001B3B73">
        <w:rPr>
          <w:sz w:val="21"/>
          <w:szCs w:val="21"/>
        </w:rPr>
        <w:t xml:space="preserve"> and need further assistance</w:t>
      </w:r>
      <w:r w:rsidR="007056BE" w:rsidRPr="001B3B73">
        <w:rPr>
          <w:sz w:val="21"/>
          <w:szCs w:val="21"/>
        </w:rPr>
        <w:t>,</w:t>
      </w:r>
      <w:r w:rsidR="00F40E0B" w:rsidRPr="001B3B73">
        <w:rPr>
          <w:sz w:val="21"/>
          <w:szCs w:val="21"/>
        </w:rPr>
        <w:t xml:space="preserve"> you </w:t>
      </w:r>
      <w:r w:rsidR="007056BE" w:rsidRPr="001B3B73">
        <w:rPr>
          <w:sz w:val="21"/>
          <w:szCs w:val="21"/>
        </w:rPr>
        <w:t xml:space="preserve">can </w:t>
      </w:r>
      <w:r w:rsidR="00F40E0B" w:rsidRPr="001B3B73">
        <w:rPr>
          <w:sz w:val="21"/>
          <w:szCs w:val="21"/>
        </w:rPr>
        <w:t xml:space="preserve">contact </w:t>
      </w:r>
      <w:r w:rsidR="007056BE" w:rsidRPr="001B3B73">
        <w:rPr>
          <w:sz w:val="21"/>
          <w:szCs w:val="21"/>
        </w:rPr>
        <w:t xml:space="preserve">the </w:t>
      </w:r>
      <w:r w:rsidR="00F40E0B" w:rsidRPr="001B3B73">
        <w:rPr>
          <w:sz w:val="21"/>
          <w:szCs w:val="21"/>
        </w:rPr>
        <w:t>RTBA on 1300 137 164</w:t>
      </w:r>
      <w:r w:rsidRPr="001B3B73">
        <w:rPr>
          <w:sz w:val="21"/>
          <w:szCs w:val="21"/>
        </w:rPr>
        <w:t>.</w:t>
      </w:r>
      <w:r w:rsidR="00F3261B" w:rsidRPr="001B3B73">
        <w:rPr>
          <w:sz w:val="21"/>
          <w:szCs w:val="21"/>
        </w:rPr>
        <w:t xml:space="preserve"> </w:t>
      </w:r>
    </w:p>
    <w:p w:rsidR="00A06C27" w:rsidRPr="001C5553" w:rsidRDefault="007056BE" w:rsidP="001B3B73">
      <w:pPr>
        <w:pStyle w:val="Heading2"/>
        <w:numPr>
          <w:ilvl w:val="0"/>
          <w:numId w:val="4"/>
        </w:numPr>
        <w:ind w:left="360"/>
        <w:rPr>
          <w:b/>
        </w:rPr>
      </w:pPr>
      <w:r w:rsidRPr="001B3B73">
        <w:rPr>
          <w:rFonts w:ascii="Arial" w:hAnsi="Arial" w:cs="Arial"/>
          <w:b/>
          <w:color w:val="auto"/>
          <w:sz w:val="22"/>
          <w:szCs w:val="22"/>
        </w:rPr>
        <w:t>Are the funds</w:t>
      </w:r>
      <w:r w:rsidR="00C21D46" w:rsidRPr="001B3B73">
        <w:rPr>
          <w:rFonts w:ascii="Arial" w:hAnsi="Arial" w:cs="Arial"/>
          <w:b/>
          <w:color w:val="auto"/>
          <w:sz w:val="22"/>
          <w:szCs w:val="22"/>
        </w:rPr>
        <w:t xml:space="preserve"> available in your bank account?</w:t>
      </w:r>
    </w:p>
    <w:p w:rsidR="00C21D46" w:rsidRPr="001B3B73" w:rsidRDefault="00EE0387" w:rsidP="001B3B73">
      <w:pPr>
        <w:spacing w:before="100" w:after="120"/>
        <w:ind w:left="62"/>
        <w:rPr>
          <w:rFonts w:ascii="Arial" w:hAnsi="Arial" w:cs="Arial"/>
          <w:b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>To prevent your bank account being overdrawn or out of balance, y</w:t>
      </w:r>
      <w:r w:rsidR="007056BE" w:rsidRPr="001B3B73">
        <w:rPr>
          <w:rFonts w:ascii="Arial" w:hAnsi="Arial" w:cs="Arial"/>
          <w:sz w:val="21"/>
          <w:szCs w:val="21"/>
        </w:rPr>
        <w:t>ou must have the fund</w:t>
      </w:r>
      <w:r w:rsidRPr="001B3B73">
        <w:rPr>
          <w:rFonts w:ascii="Arial" w:hAnsi="Arial" w:cs="Arial"/>
          <w:sz w:val="21"/>
          <w:szCs w:val="21"/>
        </w:rPr>
        <w:t>s</w:t>
      </w:r>
      <w:r w:rsidR="007056BE" w:rsidRPr="001B3B73">
        <w:rPr>
          <w:rFonts w:ascii="Arial" w:hAnsi="Arial" w:cs="Arial"/>
          <w:sz w:val="21"/>
          <w:szCs w:val="21"/>
        </w:rPr>
        <w:t xml:space="preserve"> available </w:t>
      </w:r>
      <w:r w:rsidR="009F6FBD" w:rsidRPr="001B3B73">
        <w:rPr>
          <w:rFonts w:ascii="Arial" w:hAnsi="Arial" w:cs="Arial"/>
          <w:sz w:val="21"/>
          <w:szCs w:val="21"/>
        </w:rPr>
        <w:t xml:space="preserve">there </w:t>
      </w:r>
      <w:r w:rsidR="007056BE" w:rsidRPr="001B3B73">
        <w:rPr>
          <w:rFonts w:ascii="Arial" w:hAnsi="Arial" w:cs="Arial"/>
          <w:sz w:val="21"/>
          <w:szCs w:val="21"/>
        </w:rPr>
        <w:t xml:space="preserve">before </w:t>
      </w:r>
      <w:r w:rsidR="009F6FBD" w:rsidRPr="001B3B73">
        <w:rPr>
          <w:rFonts w:ascii="Arial" w:hAnsi="Arial" w:cs="Arial"/>
          <w:sz w:val="21"/>
          <w:szCs w:val="21"/>
        </w:rPr>
        <w:t xml:space="preserve">you lodge </w:t>
      </w:r>
      <w:r w:rsidR="007056BE" w:rsidRPr="001B3B73">
        <w:rPr>
          <w:rFonts w:ascii="Arial" w:hAnsi="Arial" w:cs="Arial"/>
          <w:sz w:val="21"/>
          <w:szCs w:val="21"/>
        </w:rPr>
        <w:t>the bond. As soon as the tenants accept the lodgment</w:t>
      </w:r>
      <w:r w:rsidRPr="001B3B73">
        <w:rPr>
          <w:rFonts w:ascii="Arial" w:hAnsi="Arial" w:cs="Arial"/>
          <w:sz w:val="21"/>
          <w:szCs w:val="21"/>
        </w:rPr>
        <w:t xml:space="preserve">, </w:t>
      </w:r>
      <w:r w:rsidR="007056BE" w:rsidRPr="001B3B73">
        <w:rPr>
          <w:rFonts w:ascii="Arial" w:hAnsi="Arial" w:cs="Arial"/>
          <w:sz w:val="21"/>
          <w:szCs w:val="21"/>
        </w:rPr>
        <w:t>the RTBA</w:t>
      </w:r>
      <w:r w:rsidRPr="001B3B73">
        <w:rPr>
          <w:rFonts w:ascii="Arial" w:hAnsi="Arial" w:cs="Arial"/>
          <w:sz w:val="21"/>
          <w:szCs w:val="21"/>
        </w:rPr>
        <w:t xml:space="preserve"> automatically</w:t>
      </w:r>
      <w:r w:rsidR="007056BE" w:rsidRPr="001B3B73">
        <w:rPr>
          <w:rFonts w:ascii="Arial" w:hAnsi="Arial" w:cs="Arial"/>
          <w:sz w:val="21"/>
          <w:szCs w:val="21"/>
        </w:rPr>
        <w:t xml:space="preserve"> debits</w:t>
      </w:r>
      <w:r w:rsidRPr="001B3B73">
        <w:rPr>
          <w:rFonts w:ascii="Arial" w:hAnsi="Arial" w:cs="Arial"/>
          <w:sz w:val="21"/>
          <w:szCs w:val="21"/>
        </w:rPr>
        <w:t xml:space="preserve"> </w:t>
      </w:r>
      <w:r w:rsidR="007056BE" w:rsidRPr="001B3B73">
        <w:rPr>
          <w:rFonts w:ascii="Arial" w:hAnsi="Arial" w:cs="Arial"/>
          <w:sz w:val="21"/>
          <w:szCs w:val="21"/>
        </w:rPr>
        <w:t xml:space="preserve">the </w:t>
      </w:r>
      <w:r w:rsidRPr="001B3B73">
        <w:rPr>
          <w:rFonts w:ascii="Arial" w:hAnsi="Arial" w:cs="Arial"/>
          <w:sz w:val="21"/>
          <w:szCs w:val="21"/>
        </w:rPr>
        <w:t>amount from your bank account.</w:t>
      </w:r>
      <w:r w:rsidR="00F964AE" w:rsidRPr="001B3B73">
        <w:rPr>
          <w:rFonts w:ascii="Arial" w:hAnsi="Arial" w:cs="Arial"/>
          <w:sz w:val="21"/>
          <w:szCs w:val="21"/>
        </w:rPr>
        <w:t xml:space="preserve"> </w:t>
      </w:r>
      <w:r w:rsidR="00C21D46" w:rsidRPr="001B3B73">
        <w:rPr>
          <w:rFonts w:ascii="Arial" w:hAnsi="Arial" w:cs="Arial"/>
          <w:sz w:val="21"/>
          <w:szCs w:val="21"/>
        </w:rPr>
        <w:t xml:space="preserve">If the bond paid by the tenants was a cheque or money order paid </w:t>
      </w:r>
      <w:r w:rsidRPr="001B3B73">
        <w:rPr>
          <w:rFonts w:ascii="Arial" w:hAnsi="Arial" w:cs="Arial"/>
          <w:sz w:val="21"/>
          <w:szCs w:val="21"/>
        </w:rPr>
        <w:t xml:space="preserve">to </w:t>
      </w:r>
      <w:r w:rsidR="00C21D46" w:rsidRPr="001B3B73">
        <w:rPr>
          <w:rFonts w:ascii="Arial" w:hAnsi="Arial" w:cs="Arial"/>
          <w:sz w:val="21"/>
          <w:szCs w:val="21"/>
        </w:rPr>
        <w:t xml:space="preserve">your bank account, you </w:t>
      </w:r>
      <w:r w:rsidR="001B2715" w:rsidRPr="001B3B73">
        <w:rPr>
          <w:rFonts w:ascii="Arial" w:hAnsi="Arial" w:cs="Arial"/>
          <w:sz w:val="21"/>
          <w:szCs w:val="21"/>
        </w:rPr>
        <w:t xml:space="preserve">should </w:t>
      </w:r>
      <w:r w:rsidR="00C21D46" w:rsidRPr="001B3B73">
        <w:rPr>
          <w:rFonts w:ascii="Arial" w:hAnsi="Arial" w:cs="Arial"/>
          <w:sz w:val="21"/>
          <w:szCs w:val="21"/>
        </w:rPr>
        <w:t xml:space="preserve">wait for </w:t>
      </w:r>
      <w:r w:rsidRPr="001B3B73">
        <w:rPr>
          <w:rFonts w:ascii="Arial" w:hAnsi="Arial" w:cs="Arial"/>
          <w:sz w:val="21"/>
          <w:szCs w:val="21"/>
        </w:rPr>
        <w:t>it</w:t>
      </w:r>
      <w:r w:rsidR="00846756" w:rsidRPr="001B3B73">
        <w:rPr>
          <w:rFonts w:ascii="Arial" w:hAnsi="Arial" w:cs="Arial"/>
          <w:sz w:val="21"/>
          <w:szCs w:val="21"/>
        </w:rPr>
        <w:t xml:space="preserve"> </w:t>
      </w:r>
      <w:r w:rsidR="00C21D46" w:rsidRPr="001B3B73">
        <w:rPr>
          <w:rFonts w:ascii="Arial" w:hAnsi="Arial" w:cs="Arial"/>
          <w:sz w:val="21"/>
          <w:szCs w:val="21"/>
        </w:rPr>
        <w:t xml:space="preserve">to clear before </w:t>
      </w:r>
      <w:r w:rsidRPr="001B3B73">
        <w:rPr>
          <w:rFonts w:ascii="Arial" w:hAnsi="Arial" w:cs="Arial"/>
          <w:sz w:val="21"/>
          <w:szCs w:val="21"/>
        </w:rPr>
        <w:t xml:space="preserve">starting </w:t>
      </w:r>
      <w:r w:rsidR="00C21D46" w:rsidRPr="001B3B73">
        <w:rPr>
          <w:rFonts w:ascii="Arial" w:hAnsi="Arial" w:cs="Arial"/>
          <w:sz w:val="21"/>
          <w:szCs w:val="21"/>
        </w:rPr>
        <w:t>the lodgment.</w:t>
      </w:r>
    </w:p>
    <w:p w:rsidR="00DD721A" w:rsidRPr="001C5553" w:rsidRDefault="00C21D46" w:rsidP="001B3B73">
      <w:pPr>
        <w:pStyle w:val="Heading2"/>
        <w:numPr>
          <w:ilvl w:val="0"/>
          <w:numId w:val="4"/>
        </w:numPr>
        <w:ind w:left="360"/>
        <w:rPr>
          <w:b/>
        </w:rPr>
      </w:pPr>
      <w:r w:rsidRPr="001B3B73">
        <w:rPr>
          <w:rFonts w:ascii="Arial" w:hAnsi="Arial" w:cs="Arial"/>
          <w:b/>
          <w:color w:val="auto"/>
          <w:sz w:val="22"/>
          <w:szCs w:val="22"/>
        </w:rPr>
        <w:t>Has the bond already been lodged?</w:t>
      </w:r>
    </w:p>
    <w:p w:rsidR="00A06C27" w:rsidRPr="001B3B73" w:rsidRDefault="00B96B05" w:rsidP="001B3B73">
      <w:pPr>
        <w:spacing w:before="100" w:after="120" w:line="240" w:lineRule="auto"/>
        <w:ind w:left="62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 xml:space="preserve">Lodging a bond twice </w:t>
      </w:r>
      <w:r w:rsidR="00C21D46" w:rsidRPr="001B3B73">
        <w:rPr>
          <w:rFonts w:ascii="Arial" w:hAnsi="Arial" w:cs="Arial"/>
          <w:sz w:val="21"/>
          <w:szCs w:val="21"/>
        </w:rPr>
        <w:t>will lead to your trust account being out of balance.</w:t>
      </w:r>
    </w:p>
    <w:p w:rsidR="00EE0387" w:rsidRPr="001B3B73" w:rsidRDefault="00EE0387" w:rsidP="001B3B73">
      <w:pPr>
        <w:spacing w:before="120" w:after="120" w:line="240" w:lineRule="auto"/>
        <w:ind w:left="65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>Tenants have 14 days to respond to a lodgment</w:t>
      </w:r>
      <w:r w:rsidR="00B96B05" w:rsidRPr="001B3B73">
        <w:rPr>
          <w:rFonts w:ascii="Arial" w:hAnsi="Arial" w:cs="Arial"/>
          <w:sz w:val="21"/>
          <w:szCs w:val="21"/>
        </w:rPr>
        <w:t>, so it can take up to two weeks for a lodgment to be finalised and the funds debited.</w:t>
      </w:r>
    </w:p>
    <w:p w:rsidR="00C21D46" w:rsidRPr="001B3B73" w:rsidRDefault="00B96B05" w:rsidP="001B3B73">
      <w:pPr>
        <w:spacing w:before="120" w:after="120" w:line="240" w:lineRule="auto"/>
        <w:ind w:left="65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 xml:space="preserve">Before submitting a lodgment, check that it has not already been lodged </w:t>
      </w:r>
      <w:r w:rsidR="00C00B43" w:rsidRPr="001B3B73">
        <w:rPr>
          <w:rFonts w:ascii="Arial" w:hAnsi="Arial" w:cs="Arial"/>
          <w:sz w:val="21"/>
          <w:szCs w:val="21"/>
        </w:rPr>
        <w:t xml:space="preserve">or is pending tenant agreement by </w:t>
      </w:r>
      <w:r w:rsidR="009F52B0" w:rsidRPr="001B3B73">
        <w:rPr>
          <w:rFonts w:ascii="Arial" w:hAnsi="Arial" w:cs="Arial"/>
          <w:sz w:val="21"/>
          <w:szCs w:val="21"/>
        </w:rPr>
        <w:t xml:space="preserve">signing into RTBA Online and </w:t>
      </w:r>
      <w:r w:rsidRPr="001B3B73">
        <w:rPr>
          <w:rFonts w:ascii="Arial" w:hAnsi="Arial" w:cs="Arial"/>
          <w:sz w:val="21"/>
          <w:szCs w:val="21"/>
        </w:rPr>
        <w:t>following these steps:</w:t>
      </w:r>
    </w:p>
    <w:p w:rsidR="001B2715" w:rsidRPr="001B3B73" w:rsidRDefault="001B2715" w:rsidP="001B2715">
      <w:pPr>
        <w:pStyle w:val="ListParagraph"/>
        <w:numPr>
          <w:ilvl w:val="1"/>
          <w:numId w:val="1"/>
        </w:numPr>
        <w:spacing w:before="120" w:after="120"/>
        <w:ind w:left="632" w:hanging="425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>Use the search and bond list tools:</w:t>
      </w:r>
    </w:p>
    <w:p w:rsidR="001B2715" w:rsidRPr="001B3B73" w:rsidRDefault="001B2715" w:rsidP="001B2715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Use </w:t>
      </w:r>
      <w:r w:rsidRPr="001B3B73">
        <w:rPr>
          <w:b/>
          <w:sz w:val="21"/>
          <w:szCs w:val="21"/>
        </w:rPr>
        <w:t>Manage your bonds</w:t>
      </w:r>
      <w:r w:rsidRPr="001B3B73">
        <w:rPr>
          <w:sz w:val="21"/>
          <w:szCs w:val="21"/>
        </w:rPr>
        <w:t xml:space="preserve"> to search for the property address or tenant name. The results will show any pending transactions and any bonds previously lodged for that address or tenant.</w:t>
      </w:r>
    </w:p>
    <w:p w:rsidR="001B2715" w:rsidRPr="001B3B73" w:rsidRDefault="001B2715" w:rsidP="001B2715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Select </w:t>
      </w:r>
      <w:r w:rsidRPr="001B3B73">
        <w:rPr>
          <w:b/>
          <w:sz w:val="21"/>
          <w:szCs w:val="21"/>
        </w:rPr>
        <w:t>Download your bond</w:t>
      </w:r>
      <w:r w:rsidRPr="001B3B73">
        <w:rPr>
          <w:sz w:val="21"/>
          <w:szCs w:val="21"/>
        </w:rPr>
        <w:t xml:space="preserve"> list. This list does not include pending transactions as a bond is not created until after a lodgment has been successfully finalised. You can download</w:t>
      </w:r>
      <w:bookmarkStart w:id="1" w:name="_GoBack"/>
      <w:bookmarkEnd w:id="1"/>
      <w:r w:rsidRPr="001B3B73">
        <w:rPr>
          <w:sz w:val="21"/>
          <w:szCs w:val="21"/>
        </w:rPr>
        <w:t xml:space="preserve"> it as a pdf or MS Excel workbook.</w:t>
      </w:r>
    </w:p>
    <w:p w:rsidR="00C21D46" w:rsidRPr="001B3B73" w:rsidRDefault="009F52B0" w:rsidP="001B3B73">
      <w:pPr>
        <w:pStyle w:val="ListParagraph"/>
        <w:numPr>
          <w:ilvl w:val="1"/>
          <w:numId w:val="1"/>
        </w:numPr>
        <w:spacing w:before="0" w:after="120"/>
        <w:ind w:left="632" w:hanging="425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>S</w:t>
      </w:r>
      <w:r w:rsidR="00C21D46" w:rsidRPr="001B3B73">
        <w:rPr>
          <w:sz w:val="21"/>
          <w:szCs w:val="21"/>
        </w:rPr>
        <w:t>elect</w:t>
      </w:r>
      <w:r w:rsidRPr="001B3B73">
        <w:rPr>
          <w:sz w:val="21"/>
          <w:szCs w:val="21"/>
        </w:rPr>
        <w:t xml:space="preserve"> the</w:t>
      </w:r>
      <w:r w:rsidR="00C21D46" w:rsidRPr="001B3B73">
        <w:rPr>
          <w:sz w:val="21"/>
          <w:szCs w:val="21"/>
        </w:rPr>
        <w:t xml:space="preserve"> </w:t>
      </w:r>
      <w:r w:rsidR="00C21D46" w:rsidRPr="001B3B73">
        <w:rPr>
          <w:b/>
          <w:sz w:val="21"/>
          <w:szCs w:val="21"/>
        </w:rPr>
        <w:t>Manage your Electronic Transactions</w:t>
      </w:r>
      <w:r w:rsidRPr="001B3B73">
        <w:rPr>
          <w:b/>
          <w:sz w:val="21"/>
          <w:szCs w:val="21"/>
        </w:rPr>
        <w:t xml:space="preserve"> </w:t>
      </w:r>
      <w:r w:rsidRPr="001B3B73">
        <w:rPr>
          <w:sz w:val="21"/>
          <w:szCs w:val="21"/>
        </w:rPr>
        <w:t>tab</w:t>
      </w:r>
      <w:r w:rsidR="00C21D46" w:rsidRPr="001B3B73">
        <w:rPr>
          <w:sz w:val="21"/>
          <w:szCs w:val="21"/>
        </w:rPr>
        <w:t xml:space="preserve">. </w:t>
      </w:r>
      <w:r w:rsidR="00B96B05" w:rsidRPr="001B3B73">
        <w:rPr>
          <w:sz w:val="21"/>
          <w:szCs w:val="21"/>
        </w:rPr>
        <w:t xml:space="preserve">Check if the bond appears under any of the </w:t>
      </w:r>
      <w:r w:rsidR="00C21D46" w:rsidRPr="001B3B73">
        <w:rPr>
          <w:sz w:val="21"/>
          <w:szCs w:val="21"/>
        </w:rPr>
        <w:t>four tabs:</w:t>
      </w:r>
    </w:p>
    <w:p w:rsidR="00C21D46" w:rsidRPr="001B3B73" w:rsidRDefault="00C21D46" w:rsidP="001B3B73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Pending with </w:t>
      </w:r>
      <w:r w:rsidR="00B96B05" w:rsidRPr="001B3B73">
        <w:rPr>
          <w:sz w:val="21"/>
          <w:szCs w:val="21"/>
        </w:rPr>
        <w:t>property manager</w:t>
      </w:r>
    </w:p>
    <w:p w:rsidR="00C21D46" w:rsidRPr="001B3B73" w:rsidRDefault="00C21D46" w:rsidP="001B3B73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 xml:space="preserve">Pending with </w:t>
      </w:r>
      <w:r w:rsidR="00B96B05" w:rsidRPr="001B3B73">
        <w:rPr>
          <w:sz w:val="21"/>
          <w:szCs w:val="21"/>
        </w:rPr>
        <w:t>t</w:t>
      </w:r>
      <w:r w:rsidRPr="001B3B73">
        <w:rPr>
          <w:sz w:val="21"/>
          <w:szCs w:val="21"/>
        </w:rPr>
        <w:t>enants</w:t>
      </w:r>
    </w:p>
    <w:p w:rsidR="00C21D46" w:rsidRPr="001B3B73" w:rsidRDefault="00C21D46" w:rsidP="001B3B73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>Unsuccessful transactions</w:t>
      </w:r>
    </w:p>
    <w:p w:rsidR="00C21D46" w:rsidRPr="001B3B73" w:rsidRDefault="00C21D46" w:rsidP="001B3B73">
      <w:pPr>
        <w:pStyle w:val="ListParagraph"/>
        <w:numPr>
          <w:ilvl w:val="2"/>
          <w:numId w:val="1"/>
        </w:numPr>
        <w:spacing w:before="60" w:after="60"/>
        <w:ind w:left="993" w:hanging="284"/>
        <w:contextualSpacing w:val="0"/>
        <w:rPr>
          <w:sz w:val="21"/>
          <w:szCs w:val="21"/>
        </w:rPr>
      </w:pPr>
      <w:r w:rsidRPr="001B3B73">
        <w:rPr>
          <w:sz w:val="21"/>
          <w:szCs w:val="21"/>
        </w:rPr>
        <w:t>Successful transactions</w:t>
      </w:r>
    </w:p>
    <w:p w:rsidR="00A06C27" w:rsidRPr="001C5553" w:rsidRDefault="00A06C27" w:rsidP="001B3B73">
      <w:pPr>
        <w:pStyle w:val="Heading2"/>
        <w:numPr>
          <w:ilvl w:val="0"/>
          <w:numId w:val="4"/>
        </w:numPr>
        <w:ind w:left="360"/>
        <w:rPr>
          <w:b/>
        </w:rPr>
      </w:pPr>
      <w:r w:rsidRPr="001B3B73">
        <w:rPr>
          <w:rFonts w:ascii="Arial" w:hAnsi="Arial" w:cs="Arial"/>
          <w:b/>
          <w:color w:val="auto"/>
          <w:sz w:val="22"/>
          <w:szCs w:val="22"/>
        </w:rPr>
        <w:t xml:space="preserve">Has the bond </w:t>
      </w:r>
      <w:r w:rsidR="00B4671F" w:rsidRPr="001B3B73">
        <w:rPr>
          <w:rFonts w:ascii="Arial" w:hAnsi="Arial" w:cs="Arial"/>
          <w:b/>
          <w:color w:val="auto"/>
          <w:sz w:val="22"/>
          <w:szCs w:val="22"/>
        </w:rPr>
        <w:t xml:space="preserve">money </w:t>
      </w:r>
      <w:r w:rsidRPr="001B3B73">
        <w:rPr>
          <w:rFonts w:ascii="Arial" w:hAnsi="Arial" w:cs="Arial"/>
          <w:b/>
          <w:color w:val="auto"/>
          <w:sz w:val="22"/>
          <w:szCs w:val="22"/>
        </w:rPr>
        <w:t xml:space="preserve">already been </w:t>
      </w:r>
      <w:r w:rsidR="00B4671F" w:rsidRPr="001B3B73">
        <w:rPr>
          <w:rFonts w:ascii="Arial" w:hAnsi="Arial" w:cs="Arial"/>
          <w:b/>
          <w:color w:val="auto"/>
          <w:sz w:val="22"/>
          <w:szCs w:val="22"/>
        </w:rPr>
        <w:t xml:space="preserve">debited </w:t>
      </w:r>
      <w:r w:rsidRPr="001B3B73">
        <w:rPr>
          <w:rFonts w:ascii="Arial" w:hAnsi="Arial" w:cs="Arial"/>
          <w:b/>
          <w:color w:val="auto"/>
          <w:sz w:val="22"/>
          <w:szCs w:val="22"/>
        </w:rPr>
        <w:t>from your bank account?</w:t>
      </w:r>
    </w:p>
    <w:p w:rsidR="00A06C27" w:rsidRPr="001B3B73" w:rsidRDefault="00A06C27" w:rsidP="001B3B73">
      <w:pPr>
        <w:spacing w:before="120" w:after="120" w:line="240" w:lineRule="auto"/>
        <w:ind w:left="65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>When an electronic lodgment has been successfully completed</w:t>
      </w:r>
      <w:r w:rsidR="00E72149" w:rsidRPr="001B3B73">
        <w:rPr>
          <w:rFonts w:ascii="Arial" w:hAnsi="Arial" w:cs="Arial"/>
          <w:sz w:val="21"/>
          <w:szCs w:val="21"/>
        </w:rPr>
        <w:t>, the value of the lodgment will be debit</w:t>
      </w:r>
      <w:r w:rsidR="00B4671F" w:rsidRPr="001B3B73">
        <w:rPr>
          <w:rFonts w:ascii="Arial" w:hAnsi="Arial" w:cs="Arial"/>
          <w:sz w:val="21"/>
          <w:szCs w:val="21"/>
        </w:rPr>
        <w:t>ed</w:t>
      </w:r>
      <w:r w:rsidR="00E72149" w:rsidRPr="001B3B73">
        <w:rPr>
          <w:rFonts w:ascii="Arial" w:hAnsi="Arial" w:cs="Arial"/>
          <w:sz w:val="21"/>
          <w:szCs w:val="21"/>
        </w:rPr>
        <w:t xml:space="preserve"> </w:t>
      </w:r>
      <w:r w:rsidR="00786B63" w:rsidRPr="001B3B73">
        <w:rPr>
          <w:rFonts w:ascii="Arial" w:hAnsi="Arial" w:cs="Arial"/>
          <w:sz w:val="21"/>
          <w:szCs w:val="21"/>
        </w:rPr>
        <w:t>from</w:t>
      </w:r>
      <w:r w:rsidR="00E72149" w:rsidRPr="001B3B73">
        <w:rPr>
          <w:rFonts w:ascii="Arial" w:hAnsi="Arial" w:cs="Arial"/>
          <w:sz w:val="21"/>
          <w:szCs w:val="21"/>
        </w:rPr>
        <w:t xml:space="preserve"> your bank account</w:t>
      </w:r>
      <w:r w:rsidR="00B4671F" w:rsidRPr="001B3B73">
        <w:rPr>
          <w:rFonts w:ascii="Arial" w:hAnsi="Arial" w:cs="Arial"/>
          <w:sz w:val="21"/>
          <w:szCs w:val="21"/>
        </w:rPr>
        <w:t xml:space="preserve"> by the RTBA</w:t>
      </w:r>
      <w:r w:rsidR="00E72149" w:rsidRPr="001B3B73">
        <w:rPr>
          <w:rFonts w:ascii="Arial" w:hAnsi="Arial" w:cs="Arial"/>
          <w:sz w:val="21"/>
          <w:szCs w:val="21"/>
        </w:rPr>
        <w:t>.</w:t>
      </w:r>
    </w:p>
    <w:p w:rsidR="00E72149" w:rsidRPr="001B3B73" w:rsidRDefault="00E72149" w:rsidP="001B3B73">
      <w:pPr>
        <w:spacing w:before="120" w:after="120" w:line="240" w:lineRule="auto"/>
        <w:ind w:left="65"/>
        <w:rPr>
          <w:rFonts w:ascii="Arial" w:hAnsi="Arial" w:cs="Arial"/>
          <w:sz w:val="21"/>
          <w:szCs w:val="21"/>
        </w:rPr>
      </w:pPr>
      <w:r w:rsidRPr="001B3B73">
        <w:rPr>
          <w:rFonts w:ascii="Arial" w:hAnsi="Arial" w:cs="Arial"/>
          <w:sz w:val="21"/>
          <w:szCs w:val="21"/>
        </w:rPr>
        <w:t>This debit will be shown on your bank statement with the following information:</w:t>
      </w:r>
    </w:p>
    <w:p w:rsidR="00E72149" w:rsidRPr="001B3B73" w:rsidRDefault="00E72149" w:rsidP="00E72149">
      <w:pPr>
        <w:pStyle w:val="ListParagraph"/>
        <w:numPr>
          <w:ilvl w:val="0"/>
          <w:numId w:val="3"/>
        </w:numPr>
        <w:spacing w:before="120" w:after="120"/>
        <w:rPr>
          <w:sz w:val="21"/>
          <w:szCs w:val="21"/>
        </w:rPr>
      </w:pPr>
      <w:r w:rsidRPr="001B3B73">
        <w:rPr>
          <w:sz w:val="21"/>
          <w:szCs w:val="21"/>
        </w:rPr>
        <w:t xml:space="preserve">The letters </w:t>
      </w:r>
      <w:r w:rsidR="00786B63" w:rsidRPr="001B3B73">
        <w:rPr>
          <w:sz w:val="21"/>
          <w:szCs w:val="21"/>
        </w:rPr>
        <w:t>‘</w:t>
      </w:r>
      <w:r w:rsidRPr="001B3B73">
        <w:rPr>
          <w:sz w:val="21"/>
          <w:szCs w:val="21"/>
        </w:rPr>
        <w:t>RTBA</w:t>
      </w:r>
      <w:r w:rsidR="00786B63" w:rsidRPr="001B3B73">
        <w:rPr>
          <w:sz w:val="21"/>
          <w:szCs w:val="21"/>
        </w:rPr>
        <w:t>’</w:t>
      </w:r>
      <w:r w:rsidRPr="001B3B73">
        <w:rPr>
          <w:sz w:val="21"/>
          <w:szCs w:val="21"/>
        </w:rPr>
        <w:t>.</w:t>
      </w:r>
    </w:p>
    <w:p w:rsidR="001B2715" w:rsidRPr="001B3B73" w:rsidRDefault="001B2715" w:rsidP="00E72149">
      <w:pPr>
        <w:pStyle w:val="ListParagraph"/>
        <w:numPr>
          <w:ilvl w:val="0"/>
          <w:numId w:val="3"/>
        </w:numPr>
        <w:spacing w:before="120" w:after="120"/>
        <w:rPr>
          <w:sz w:val="21"/>
          <w:szCs w:val="21"/>
        </w:rPr>
      </w:pPr>
      <w:r w:rsidRPr="001B3B73">
        <w:rPr>
          <w:sz w:val="21"/>
          <w:szCs w:val="21"/>
        </w:rPr>
        <w:t>A transaction reference number</w:t>
      </w:r>
    </w:p>
    <w:p w:rsidR="00E72149" w:rsidRPr="001B3B73" w:rsidRDefault="00E72149" w:rsidP="00E72149">
      <w:pPr>
        <w:pStyle w:val="ListParagraph"/>
        <w:numPr>
          <w:ilvl w:val="0"/>
          <w:numId w:val="3"/>
        </w:numPr>
        <w:spacing w:before="120" w:after="120"/>
        <w:rPr>
          <w:sz w:val="21"/>
          <w:szCs w:val="21"/>
        </w:rPr>
      </w:pPr>
      <w:r w:rsidRPr="001B3B73">
        <w:rPr>
          <w:sz w:val="21"/>
          <w:szCs w:val="21"/>
        </w:rPr>
        <w:t xml:space="preserve">An </w:t>
      </w:r>
      <w:proofErr w:type="gramStart"/>
      <w:r w:rsidRPr="001B3B73">
        <w:rPr>
          <w:sz w:val="21"/>
          <w:szCs w:val="21"/>
        </w:rPr>
        <w:t>eight digit</w:t>
      </w:r>
      <w:proofErr w:type="gramEnd"/>
      <w:r w:rsidRPr="001B3B73">
        <w:rPr>
          <w:sz w:val="21"/>
          <w:szCs w:val="21"/>
        </w:rPr>
        <w:t xml:space="preserve"> bond number.</w:t>
      </w:r>
    </w:p>
    <w:p w:rsidR="00E72149" w:rsidRPr="001B3B73" w:rsidRDefault="00786B63" w:rsidP="00E72149">
      <w:pPr>
        <w:pStyle w:val="ListParagraph"/>
        <w:numPr>
          <w:ilvl w:val="0"/>
          <w:numId w:val="3"/>
        </w:numPr>
        <w:spacing w:before="120" w:after="120"/>
        <w:rPr>
          <w:sz w:val="21"/>
          <w:szCs w:val="21"/>
        </w:rPr>
      </w:pPr>
      <w:r w:rsidRPr="001B3B73">
        <w:rPr>
          <w:sz w:val="21"/>
          <w:szCs w:val="21"/>
        </w:rPr>
        <w:t>The first nine letters of the address of the rental property.</w:t>
      </w:r>
    </w:p>
    <w:p w:rsidR="00786B63" w:rsidRPr="00E72149" w:rsidRDefault="00786B63" w:rsidP="00E72149">
      <w:pPr>
        <w:pStyle w:val="ListParagraph"/>
        <w:numPr>
          <w:ilvl w:val="0"/>
          <w:numId w:val="3"/>
        </w:numPr>
        <w:spacing w:before="120" w:after="120"/>
      </w:pPr>
      <w:r w:rsidRPr="001B3B73">
        <w:rPr>
          <w:sz w:val="21"/>
          <w:szCs w:val="21"/>
        </w:rPr>
        <w:t>The value of the bond.</w:t>
      </w:r>
      <w:bookmarkEnd w:id="0"/>
    </w:p>
    <w:sectPr w:rsidR="00786B63" w:rsidRPr="00E72149" w:rsidSect="001B3B73">
      <w:headerReference w:type="default" r:id="rId8"/>
      <w:pgSz w:w="11906" w:h="16838"/>
      <w:pgMar w:top="851" w:right="851" w:bottom="142" w:left="851" w:header="454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18" w:rsidRDefault="007D1718" w:rsidP="0049430D">
      <w:pPr>
        <w:spacing w:after="0" w:line="240" w:lineRule="auto"/>
      </w:pPr>
      <w:r>
        <w:separator/>
      </w:r>
    </w:p>
  </w:endnote>
  <w:endnote w:type="continuationSeparator" w:id="0">
    <w:p w:rsidR="007D1718" w:rsidRDefault="007D1718" w:rsidP="0049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18" w:rsidRDefault="007D1718" w:rsidP="0049430D">
      <w:pPr>
        <w:spacing w:after="0" w:line="240" w:lineRule="auto"/>
      </w:pPr>
      <w:r>
        <w:separator/>
      </w:r>
    </w:p>
  </w:footnote>
  <w:footnote w:type="continuationSeparator" w:id="0">
    <w:p w:rsidR="007D1718" w:rsidRDefault="007D1718" w:rsidP="0049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30D" w:rsidRDefault="0049430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43800" cy="15392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539240"/>
                      </a:xfrm>
                      <a:prstGeom prst="rect">
                        <a:avLst/>
                      </a:prstGeom>
                      <a:solidFill>
                        <a:srgbClr val="004B6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430D" w:rsidRPr="00C204B5" w:rsidRDefault="0049430D" w:rsidP="004F49A9">
                          <w:pPr>
                            <w:pStyle w:val="Header"/>
                            <w:tabs>
                              <w:tab w:val="left" w:pos="709"/>
                            </w:tabs>
                            <w:spacing w:before="600"/>
                            <w:rPr>
                              <w:rFonts w:ascii="Arial" w:hAnsi="Arial" w:cs="Arial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ab/>
                          </w:r>
                          <w:r w:rsidRPr="00C204B5">
                            <w:rPr>
                              <w:rFonts w:ascii="Arial" w:hAnsi="Arial" w:cs="Arial"/>
                              <w:color w:val="FFFFFF" w:themeColor="background1"/>
                              <w:sz w:val="80"/>
                              <w:szCs w:val="80"/>
                            </w:rPr>
                            <w:t>RTBA Online</w:t>
                          </w:r>
                        </w:p>
                        <w:p w:rsidR="0049430D" w:rsidRPr="00C204B5" w:rsidRDefault="0049430D" w:rsidP="004F49A9">
                          <w:pPr>
                            <w:pStyle w:val="Header"/>
                            <w:tabs>
                              <w:tab w:val="left" w:pos="70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ab/>
                          </w:r>
                          <w:r w:rsidRPr="00C204B5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Residential Tenancies Bond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5.4pt;width:594pt;height:12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r5JAIAAB4EAAAOAAAAZHJzL2Uyb0RvYy54bWysU21v2yAQ/j5p/wHxfbHjJk1jxamadJ0m&#10;dS9Sux+AMY7RgGNAYme/fgdO06j7No0PiOOOh+eeu1vdDlqRg3BegqnodJJTIgyHRppdRX88P3y4&#10;ocQHZhqmwIiKHoWnt+v371a9LUUBHahGOIIgxpe9rWgXgi2zzPNOaOYnYIVBZwtOs4Cm22WNYz2i&#10;a5UVeX6d9eAa64AL7/H2fnTSdcJvW8HDt7b1IhBVUeQW0u7SXsc9W69YuXPMdpKfaLB/YKGZNPjp&#10;GeqeBUb2Tv4FpSV34KENEw46g7aVXKQcMJtp/iabp45ZkXJBcbw9y+T/Hyz/evjuiGwqWkwXlBim&#10;sUjPYghkAwMpoj699SWGPVkMDANeY51Trt4+Av/piYFtx8xO3DkHfSdYg/ym8WV28XTE8RGk7r9A&#10;g9+wfYAENLROR/FQDoLoWKfjuTaRCsfLxXx2dZOji6NvOr9aFrNUvYyVL8+t8+GTAE3ioaIOi5/g&#10;2eHRh0iHlS8h8TcPSjYPUqlkuF29VY4cWGyUfLa53qQM3oQpQ/qKLufFPCEbiO9TD2kZsJGV1BVF&#10;mrjG1opyfDRNCglMqvGMTJQ56RMlGcUJQz1gYBSthuaISjkYGxYHDA8duN+U9NisFfW/9swJStRn&#10;g2ovpzNUg4RkzOaLAg136akvPcxwhKpooGQ8bkOaiKiDgTusSiuTXq9MTlyxCZOMp4GJXX5pp6jX&#10;sV7/AQAA//8DAFBLAwQUAAYACAAAACEAxcYYBd4AAAAJAQAADwAAAGRycy9kb3ducmV2LnhtbEyP&#10;zU7DMBCE70i8g7WVuKDWDoc0CnGqCsoJCURA6tW1lySqf0LstOHt2Z7obXdnNPtNtZmdZSccYx+8&#10;hGwlgKHXwfS+lfD1+bIsgMWkvFE2eJTwixE29e1NpUoTzv4DT01qGYX4WCoJXUpDyXnUHToVV2FA&#10;T9p3GJ1KtI4tN6M6U7iz/EGInDvVe/rQqQGfOtTHZnISzLvL99rt7W6nt81z9vomfqZ7Ke8W8/YR&#10;WMI5/Zvhgk/oUBPTIUzeRGYlUJEkYbkWVOAiZ0VBpwNN6ywHXlf8ukH9BwAA//8DAFBLAQItABQA&#10;BgAIAAAAIQC2gziS/gAAAOEBAAATAAAAAAAAAAAAAAAAAAAAAABbQ29udGVudF9UeXBlc10ueG1s&#10;UEsBAi0AFAAGAAgAAAAhADj9If/WAAAAlAEAAAsAAAAAAAAAAAAAAAAALwEAAF9yZWxzLy5yZWxz&#10;UEsBAi0AFAAGAAgAAAAhAIGeevkkAgAAHgQAAA4AAAAAAAAAAAAAAAAALgIAAGRycy9lMm9Eb2Mu&#10;eG1sUEsBAi0AFAAGAAgAAAAhAMXGGAXeAAAACQEAAA8AAAAAAAAAAAAAAAAAfgQAAGRycy9kb3du&#10;cmV2LnhtbFBLBQYAAAAABAAEAPMAAACJBQAAAAA=&#10;" fillcolor="#004b6b" stroked="f">
              <v:textbox>
                <w:txbxContent>
                  <w:p w:rsidR="0049430D" w:rsidRPr="00C204B5" w:rsidRDefault="0049430D" w:rsidP="004F49A9">
                    <w:pPr>
                      <w:pStyle w:val="Header"/>
                      <w:tabs>
                        <w:tab w:val="left" w:pos="709"/>
                      </w:tabs>
                      <w:spacing w:before="600"/>
                      <w:rPr>
                        <w:rFonts w:ascii="Arial" w:hAnsi="Arial" w:cs="Arial"/>
                        <w:color w:val="FFFFFF" w:themeColor="background1"/>
                        <w:sz w:val="80"/>
                        <w:szCs w:val="80"/>
                      </w:rPr>
                    </w:pPr>
                    <w:r>
                      <w:rPr>
                        <w:color w:val="FFFFFF" w:themeColor="background1"/>
                        <w:sz w:val="72"/>
                        <w:szCs w:val="72"/>
                      </w:rPr>
                      <w:tab/>
                    </w:r>
                    <w:r w:rsidRPr="00C204B5">
                      <w:rPr>
                        <w:rFonts w:ascii="Arial" w:hAnsi="Arial" w:cs="Arial"/>
                        <w:color w:val="FFFFFF" w:themeColor="background1"/>
                        <w:sz w:val="80"/>
                        <w:szCs w:val="80"/>
                      </w:rPr>
                      <w:t>RTBA Online</w:t>
                    </w:r>
                  </w:p>
                  <w:p w:rsidR="0049430D" w:rsidRPr="00C204B5" w:rsidRDefault="0049430D" w:rsidP="004F49A9">
                    <w:pPr>
                      <w:pStyle w:val="Header"/>
                      <w:tabs>
                        <w:tab w:val="left" w:pos="709"/>
                      </w:tabs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ab/>
                    </w:r>
                    <w:r w:rsidRPr="00C204B5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Residential Tenancies Bond Authority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286"/>
    <w:multiLevelType w:val="hybridMultilevel"/>
    <w:tmpl w:val="390A8910"/>
    <w:lvl w:ilvl="0" w:tplc="E94EFD44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HAnsi" w:hint="default"/>
        <w:b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4C01"/>
    <w:multiLevelType w:val="hybridMultilevel"/>
    <w:tmpl w:val="196460BC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CB707ED"/>
    <w:multiLevelType w:val="hybridMultilevel"/>
    <w:tmpl w:val="708C1C6C"/>
    <w:lvl w:ilvl="0" w:tplc="BA862A56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HAnsi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4E7B"/>
    <w:multiLevelType w:val="hybridMultilevel"/>
    <w:tmpl w:val="8090802A"/>
    <w:lvl w:ilvl="0" w:tplc="45F88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0D"/>
    <w:rsid w:val="000E209A"/>
    <w:rsid w:val="00114108"/>
    <w:rsid w:val="001B2715"/>
    <w:rsid w:val="001B3B73"/>
    <w:rsid w:val="001C4376"/>
    <w:rsid w:val="001C5553"/>
    <w:rsid w:val="0024327B"/>
    <w:rsid w:val="0033618E"/>
    <w:rsid w:val="0038243E"/>
    <w:rsid w:val="00390535"/>
    <w:rsid w:val="003B24B1"/>
    <w:rsid w:val="0049430D"/>
    <w:rsid w:val="004A33D2"/>
    <w:rsid w:val="004F49A9"/>
    <w:rsid w:val="00534543"/>
    <w:rsid w:val="0056332D"/>
    <w:rsid w:val="005B569D"/>
    <w:rsid w:val="00621EDF"/>
    <w:rsid w:val="0068283F"/>
    <w:rsid w:val="006944FC"/>
    <w:rsid w:val="006953F4"/>
    <w:rsid w:val="006E4175"/>
    <w:rsid w:val="007056BE"/>
    <w:rsid w:val="0072609F"/>
    <w:rsid w:val="00786B63"/>
    <w:rsid w:val="007D1718"/>
    <w:rsid w:val="00846756"/>
    <w:rsid w:val="008A35A8"/>
    <w:rsid w:val="008E0379"/>
    <w:rsid w:val="008E12E9"/>
    <w:rsid w:val="00933D7D"/>
    <w:rsid w:val="00960C56"/>
    <w:rsid w:val="009852FD"/>
    <w:rsid w:val="009F52B0"/>
    <w:rsid w:val="009F6FBD"/>
    <w:rsid w:val="00A06C27"/>
    <w:rsid w:val="00A474AC"/>
    <w:rsid w:val="00A53770"/>
    <w:rsid w:val="00A62F6A"/>
    <w:rsid w:val="00AF3CAC"/>
    <w:rsid w:val="00B25B25"/>
    <w:rsid w:val="00B4671F"/>
    <w:rsid w:val="00B73109"/>
    <w:rsid w:val="00B96B05"/>
    <w:rsid w:val="00BE5E08"/>
    <w:rsid w:val="00BF4F1B"/>
    <w:rsid w:val="00C00B43"/>
    <w:rsid w:val="00C11894"/>
    <w:rsid w:val="00C204B5"/>
    <w:rsid w:val="00C21D46"/>
    <w:rsid w:val="00C3558D"/>
    <w:rsid w:val="00C7381F"/>
    <w:rsid w:val="00CA7928"/>
    <w:rsid w:val="00CE657A"/>
    <w:rsid w:val="00D24E57"/>
    <w:rsid w:val="00DD721A"/>
    <w:rsid w:val="00E378C0"/>
    <w:rsid w:val="00E72149"/>
    <w:rsid w:val="00EE0133"/>
    <w:rsid w:val="00EE0387"/>
    <w:rsid w:val="00F3261B"/>
    <w:rsid w:val="00F40E0B"/>
    <w:rsid w:val="00F465A6"/>
    <w:rsid w:val="00F964AE"/>
    <w:rsid w:val="00FD10B7"/>
    <w:rsid w:val="00FD3229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C0676"/>
  <w15:chartTrackingRefBased/>
  <w15:docId w15:val="{81BAF880-ED1D-4535-8CC8-BEDE5DF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D46"/>
  </w:style>
  <w:style w:type="paragraph" w:styleId="Heading1">
    <w:name w:val="heading 1"/>
    <w:next w:val="Normal"/>
    <w:link w:val="Heading1Char"/>
    <w:uiPriority w:val="9"/>
    <w:qFormat/>
    <w:rsid w:val="00C21D46"/>
    <w:pPr>
      <w:keepNext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0D"/>
  </w:style>
  <w:style w:type="paragraph" w:styleId="Footer">
    <w:name w:val="footer"/>
    <w:basedOn w:val="Normal"/>
    <w:link w:val="FooterChar"/>
    <w:uiPriority w:val="99"/>
    <w:unhideWhenUsed/>
    <w:rsid w:val="0049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0D"/>
  </w:style>
  <w:style w:type="character" w:customStyle="1" w:styleId="Heading1Char">
    <w:name w:val="Heading 1 Char"/>
    <w:basedOn w:val="DefaultParagraphFont"/>
    <w:link w:val="Heading1"/>
    <w:uiPriority w:val="9"/>
    <w:rsid w:val="00C21D46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21D46"/>
    <w:pPr>
      <w:spacing w:before="240" w:after="240" w:line="240" w:lineRule="auto"/>
      <w:ind w:left="720"/>
      <w:contextualSpacing/>
    </w:pPr>
    <w:rPr>
      <w:rFonts w:ascii="Arial" w:eastAsia="Calibri" w:hAnsi="Arial" w:cs="Arial"/>
      <w:lang w:eastAsia="en-AU"/>
    </w:rPr>
  </w:style>
  <w:style w:type="character" w:styleId="Hyperlink">
    <w:name w:val="Hyperlink"/>
    <w:basedOn w:val="DefaultParagraphFont"/>
    <w:uiPriority w:val="99"/>
    <w:unhideWhenUsed/>
    <w:rsid w:val="00705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2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C43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5E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5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mer.vic.gov.au/housing/renting/rtba-online-support/property-manager-guide-administrators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 Thorn (DJR)</dc:creator>
  <cp:keywords/>
  <dc:description/>
  <cp:lastModifiedBy>Claire Schnackenberg (DJCS)</cp:lastModifiedBy>
  <cp:revision>2</cp:revision>
  <cp:lastPrinted>2019-02-21T05:31:00Z</cp:lastPrinted>
  <dcterms:created xsi:type="dcterms:W3CDTF">2019-12-11T22:44:00Z</dcterms:created>
  <dcterms:modified xsi:type="dcterms:W3CDTF">2019-12-11T22:44:00Z</dcterms:modified>
</cp:coreProperties>
</file>