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CellMar>
          <w:left w:w="0" w:type="dxa"/>
          <w:right w:w="0" w:type="dxa"/>
        </w:tblCellMar>
        <w:tblLook w:val="04A0" w:firstRow="1" w:lastRow="0" w:firstColumn="1" w:lastColumn="0" w:noHBand="0" w:noVBand="1"/>
      </w:tblPr>
      <w:tblGrid>
        <w:gridCol w:w="10093"/>
      </w:tblGrid>
      <w:tr w:rsidR="001817CD" w:rsidRPr="003072C6" w14:paraId="4C437830" w14:textId="77777777" w:rsidTr="00B70DBF">
        <w:trPr>
          <w:trHeight w:val="2552"/>
        </w:trPr>
        <w:tc>
          <w:tcPr>
            <w:tcW w:w="10093" w:type="dxa"/>
            <w:shd w:val="clear" w:color="auto" w:fill="auto"/>
          </w:tcPr>
          <w:bookmarkStart w:id="0" w:name="maintitle"/>
          <w:bookmarkStart w:id="1" w:name="_GoBack"/>
          <w:bookmarkEnd w:id="1"/>
          <w:p w14:paraId="7C25DC27" w14:textId="51556603" w:rsidR="00C416E1" w:rsidRPr="003072C6" w:rsidRDefault="00343C03" w:rsidP="00905DD8">
            <w:pPr>
              <w:pStyle w:val="DJRreportmaintitlecover"/>
              <w:tabs>
                <w:tab w:val="left" w:pos="7230"/>
              </w:tabs>
            </w:pPr>
            <w:sdt>
              <w:sdtPr>
                <w:alias w:val="Document title"/>
                <w:tag w:val="Document title"/>
                <w:id w:val="-1691831389"/>
                <w:placeholder>
                  <w:docPart w:val="7D1344C46B3342608AB00732A9367D9B"/>
                </w:placeholder>
                <w:text/>
              </w:sdtPr>
              <w:sdtEndPr/>
              <w:sdtContent>
                <w:r w:rsidR="00B6588C">
                  <w:t>Endanger</w:t>
                </w:r>
              </w:sdtContent>
            </w:sdt>
            <w:bookmarkEnd w:id="0"/>
          </w:p>
          <w:p w14:paraId="537BB7B5" w14:textId="4C7F7960" w:rsidR="00434920" w:rsidRPr="003072C6" w:rsidRDefault="00F66A6C" w:rsidP="00F66A6C">
            <w:pPr>
              <w:pStyle w:val="DJRreportsubtitlecover"/>
            </w:pPr>
            <w:r>
              <w:t>Director’s</w:t>
            </w:r>
            <w:r w:rsidR="0035763A">
              <w:rPr>
                <w:rStyle w:val="CommentReference"/>
                <w:rFonts w:ascii="Cambria" w:hAnsi="Cambria"/>
                <w:color w:val="auto"/>
              </w:rPr>
              <w:t xml:space="preserve"> </w:t>
            </w:r>
            <w:r>
              <w:t>Guidelines</w:t>
            </w:r>
            <w:r w:rsidR="00F6018C">
              <w:t xml:space="preserve"> under the </w:t>
            </w:r>
            <w:r w:rsidR="00F6018C" w:rsidRPr="00F6018C">
              <w:rPr>
                <w:i/>
                <w:iCs/>
              </w:rPr>
              <w:t>Residential Tenancies Act 1997</w:t>
            </w:r>
          </w:p>
        </w:tc>
      </w:tr>
    </w:tbl>
    <w:p w14:paraId="5366B6AF" w14:textId="77777777" w:rsidR="00C51B1C" w:rsidRPr="00256E7C" w:rsidRDefault="00C51B1C" w:rsidP="00D15BB2">
      <w:pPr>
        <w:pStyle w:val="DJRbody"/>
        <w:sectPr w:rsidR="00C51B1C" w:rsidRPr="00256E7C" w:rsidSect="006E5DBA">
          <w:headerReference w:type="default" r:id="rId11"/>
          <w:footerReference w:type="default" r:id="rId12"/>
          <w:type w:val="continuous"/>
          <w:pgSz w:w="11906" w:h="16838" w:code="9"/>
          <w:pgMar w:top="1985" w:right="851" w:bottom="1134" w:left="851" w:header="454" w:footer="567" w:gutter="0"/>
          <w:cols w:space="720"/>
          <w:titlePg/>
          <w:docGrid w:linePitch="360"/>
        </w:sectPr>
      </w:pPr>
    </w:p>
    <w:p w14:paraId="267B2AF9" w14:textId="77777777" w:rsidR="001D2A2D" w:rsidRDefault="0084768A" w:rsidP="00B15D5E">
      <w:pPr>
        <w:pStyle w:val="DJRbody"/>
      </w:pPr>
      <w:r>
        <w:rPr>
          <w:noProof/>
          <w:lang w:eastAsia="en-AU"/>
        </w:rPr>
        <w:drawing>
          <wp:anchor distT="0" distB="0" distL="114300" distR="114300" simplePos="0" relativeHeight="251658240" behindDoc="1" locked="0" layoutInCell="1" allowOverlap="1" wp14:anchorId="3046B11D" wp14:editId="2305617B">
            <wp:simplePos x="0" y="0"/>
            <wp:positionH relativeFrom="page">
              <wp:posOffset>0</wp:posOffset>
            </wp:positionH>
            <wp:positionV relativeFrom="page">
              <wp:posOffset>3525359</wp:posOffset>
            </wp:positionV>
            <wp:extent cx="7596000" cy="7174800"/>
            <wp:effectExtent l="0" t="0" r="5080" b="7620"/>
            <wp:wrapNone/>
            <wp:docPr id="3" name="Picture 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R_A4_Report COVER_No_Image.png"/>
                    <pic:cNvPicPr/>
                  </pic:nvPicPr>
                  <pic:blipFill rotWithShape="1">
                    <a:blip r:embed="rId13"/>
                    <a:srcRect t="33228" b="-43"/>
                    <a:stretch/>
                  </pic:blipFill>
                  <pic:spPr bwMode="auto">
                    <a:xfrm>
                      <a:off x="0" y="0"/>
                      <a:ext cx="7596000" cy="71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2C4C4D" w14:textId="77777777" w:rsidR="0084768A" w:rsidRDefault="0084768A" w:rsidP="00B15D5E">
      <w:pPr>
        <w:pStyle w:val="DJRbody"/>
      </w:pPr>
    </w:p>
    <w:p w14:paraId="64780880" w14:textId="77777777" w:rsidR="002430EB" w:rsidRDefault="002430EB" w:rsidP="000B1380">
      <w:pPr>
        <w:pStyle w:val="DJRTOCheadingreport"/>
        <w:sectPr w:rsidR="002430EB" w:rsidSect="006E5DBA">
          <w:headerReference w:type="default" r:id="rId14"/>
          <w:footerReference w:type="default" r:id="rId15"/>
          <w:type w:val="continuous"/>
          <w:pgSz w:w="11906" w:h="16838" w:code="9"/>
          <w:pgMar w:top="1871" w:right="851" w:bottom="1588" w:left="851" w:header="1106" w:footer="567" w:gutter="0"/>
          <w:cols w:space="720"/>
          <w:docGrid w:linePitch="360"/>
        </w:sectPr>
      </w:pPr>
    </w:p>
    <w:p w14:paraId="6BEB113B" w14:textId="77777777" w:rsidR="00AC0C3B" w:rsidRPr="00711B0C" w:rsidRDefault="002B124B" w:rsidP="000B1380">
      <w:pPr>
        <w:pStyle w:val="DJRTOCheadingreport"/>
      </w:pPr>
      <w:r>
        <w:lastRenderedPageBreak/>
        <w:t>Table of c</w:t>
      </w:r>
      <w:r w:rsidR="00AC0C3B" w:rsidRPr="00711B0C">
        <w:t>ontents</w:t>
      </w:r>
    </w:p>
    <w:p w14:paraId="1B3A015B" w14:textId="71A68278" w:rsidR="000E3A1F" w:rsidRPr="00832757" w:rsidRDefault="000E7BFA" w:rsidP="00832757">
      <w:pPr>
        <w:pStyle w:val="TOC1"/>
        <w:tabs>
          <w:tab w:val="left" w:pos="440"/>
        </w:tabs>
        <w:rPr>
          <w:rStyle w:val="Hyperlink"/>
        </w:rPr>
      </w:pPr>
      <w:r w:rsidRPr="00142F67">
        <w:rPr>
          <w:rStyle w:val="Hyperlink"/>
        </w:rPr>
        <w:fldChar w:fldCharType="begin"/>
      </w:r>
      <w:r w:rsidRPr="00142F67">
        <w:rPr>
          <w:rStyle w:val="Hyperlink"/>
        </w:rPr>
        <w:instrText xml:space="preserve"> TOC \o "1-2" \h \z \u </w:instrText>
      </w:r>
      <w:r w:rsidRPr="00142F67">
        <w:rPr>
          <w:rStyle w:val="Hyperlink"/>
        </w:rPr>
        <w:fldChar w:fldCharType="separate"/>
      </w:r>
      <w:hyperlink w:anchor="_Toc63768778" w:history="1">
        <w:r w:rsidR="000E3A1F" w:rsidRPr="00264371">
          <w:rPr>
            <w:rStyle w:val="Hyperlink"/>
          </w:rPr>
          <w:t xml:space="preserve">1. </w:t>
        </w:r>
        <w:r w:rsidR="000E3A1F" w:rsidRPr="00832757">
          <w:rPr>
            <w:rStyle w:val="Hyperlink"/>
          </w:rPr>
          <w:tab/>
        </w:r>
        <w:r w:rsidR="000E3A1F" w:rsidRPr="00264371">
          <w:rPr>
            <w:rStyle w:val="Hyperlink"/>
          </w:rPr>
          <w:t>Purpose</w:t>
        </w:r>
        <w:r w:rsidR="000E3A1F" w:rsidRPr="00832757">
          <w:rPr>
            <w:rStyle w:val="Hyperlink"/>
            <w:webHidden/>
          </w:rPr>
          <w:tab/>
        </w:r>
        <w:r w:rsidR="000E3A1F" w:rsidRPr="00832757">
          <w:rPr>
            <w:rStyle w:val="Hyperlink"/>
            <w:webHidden/>
          </w:rPr>
          <w:fldChar w:fldCharType="begin"/>
        </w:r>
        <w:r w:rsidR="000E3A1F" w:rsidRPr="00832757">
          <w:rPr>
            <w:rStyle w:val="Hyperlink"/>
            <w:webHidden/>
          </w:rPr>
          <w:instrText xml:space="preserve"> PAGEREF _Toc63768778 \h </w:instrText>
        </w:r>
        <w:r w:rsidR="000E3A1F" w:rsidRPr="00832757">
          <w:rPr>
            <w:rStyle w:val="Hyperlink"/>
            <w:webHidden/>
          </w:rPr>
        </w:r>
        <w:r w:rsidR="000E3A1F" w:rsidRPr="00832757">
          <w:rPr>
            <w:rStyle w:val="Hyperlink"/>
            <w:webHidden/>
          </w:rPr>
          <w:fldChar w:fldCharType="separate"/>
        </w:r>
        <w:r w:rsidR="000E3A1F" w:rsidRPr="00832757">
          <w:rPr>
            <w:rStyle w:val="Hyperlink"/>
            <w:webHidden/>
          </w:rPr>
          <w:t>3</w:t>
        </w:r>
        <w:r w:rsidR="000E3A1F" w:rsidRPr="00832757">
          <w:rPr>
            <w:rStyle w:val="Hyperlink"/>
            <w:webHidden/>
          </w:rPr>
          <w:fldChar w:fldCharType="end"/>
        </w:r>
      </w:hyperlink>
    </w:p>
    <w:p w14:paraId="1B52ADD8" w14:textId="4A2A3B6E" w:rsidR="000E3A1F" w:rsidRPr="00832757" w:rsidRDefault="00343C03" w:rsidP="00832757">
      <w:pPr>
        <w:pStyle w:val="TOC1"/>
        <w:tabs>
          <w:tab w:val="left" w:pos="440"/>
        </w:tabs>
        <w:rPr>
          <w:rStyle w:val="Hyperlink"/>
        </w:rPr>
      </w:pPr>
      <w:hyperlink w:anchor="_Toc63768779" w:history="1">
        <w:r w:rsidR="000E3A1F" w:rsidRPr="00264371">
          <w:rPr>
            <w:rStyle w:val="Hyperlink"/>
          </w:rPr>
          <w:t xml:space="preserve">2. </w:t>
        </w:r>
        <w:r w:rsidR="000E3A1F" w:rsidRPr="00832757">
          <w:rPr>
            <w:rStyle w:val="Hyperlink"/>
          </w:rPr>
          <w:tab/>
        </w:r>
        <w:r w:rsidR="000E3A1F" w:rsidRPr="00264371">
          <w:rPr>
            <w:rStyle w:val="Hyperlink"/>
          </w:rPr>
          <w:t>How to read these guidelines</w:t>
        </w:r>
        <w:r w:rsidR="000E3A1F" w:rsidRPr="00832757">
          <w:rPr>
            <w:rStyle w:val="Hyperlink"/>
            <w:webHidden/>
          </w:rPr>
          <w:tab/>
        </w:r>
        <w:r w:rsidR="000E3A1F" w:rsidRPr="00832757">
          <w:rPr>
            <w:rStyle w:val="Hyperlink"/>
            <w:webHidden/>
          </w:rPr>
          <w:fldChar w:fldCharType="begin"/>
        </w:r>
        <w:r w:rsidR="000E3A1F" w:rsidRPr="00832757">
          <w:rPr>
            <w:rStyle w:val="Hyperlink"/>
            <w:webHidden/>
          </w:rPr>
          <w:instrText xml:space="preserve"> PAGEREF _Toc63768779 \h </w:instrText>
        </w:r>
        <w:r w:rsidR="000E3A1F" w:rsidRPr="00832757">
          <w:rPr>
            <w:rStyle w:val="Hyperlink"/>
            <w:webHidden/>
          </w:rPr>
        </w:r>
        <w:r w:rsidR="000E3A1F" w:rsidRPr="00832757">
          <w:rPr>
            <w:rStyle w:val="Hyperlink"/>
            <w:webHidden/>
          </w:rPr>
          <w:fldChar w:fldCharType="separate"/>
        </w:r>
        <w:r w:rsidR="000E3A1F" w:rsidRPr="00832757">
          <w:rPr>
            <w:rStyle w:val="Hyperlink"/>
            <w:webHidden/>
          </w:rPr>
          <w:t>3</w:t>
        </w:r>
        <w:r w:rsidR="000E3A1F" w:rsidRPr="00832757">
          <w:rPr>
            <w:rStyle w:val="Hyperlink"/>
            <w:webHidden/>
          </w:rPr>
          <w:fldChar w:fldCharType="end"/>
        </w:r>
      </w:hyperlink>
    </w:p>
    <w:p w14:paraId="4DE3EA45" w14:textId="2F597510" w:rsidR="000E3A1F" w:rsidRPr="00832757" w:rsidRDefault="00343C03" w:rsidP="00832757">
      <w:pPr>
        <w:pStyle w:val="TOC1"/>
        <w:tabs>
          <w:tab w:val="left" w:pos="440"/>
        </w:tabs>
        <w:rPr>
          <w:rStyle w:val="Hyperlink"/>
        </w:rPr>
      </w:pPr>
      <w:hyperlink w:anchor="_Toc63768780" w:history="1">
        <w:r w:rsidR="000E3A1F" w:rsidRPr="00264371">
          <w:rPr>
            <w:rStyle w:val="Hyperlink"/>
          </w:rPr>
          <w:t xml:space="preserve">3. </w:t>
        </w:r>
        <w:r w:rsidR="000E3A1F" w:rsidRPr="00832757">
          <w:rPr>
            <w:rStyle w:val="Hyperlink"/>
          </w:rPr>
          <w:tab/>
        </w:r>
        <w:r w:rsidR="000E3A1F" w:rsidRPr="00264371">
          <w:rPr>
            <w:rStyle w:val="Hyperlink"/>
          </w:rPr>
          <w:t>Context</w:t>
        </w:r>
        <w:r w:rsidR="000E3A1F" w:rsidRPr="00832757">
          <w:rPr>
            <w:rStyle w:val="Hyperlink"/>
            <w:webHidden/>
          </w:rPr>
          <w:tab/>
        </w:r>
        <w:r w:rsidR="000E3A1F" w:rsidRPr="00832757">
          <w:rPr>
            <w:rStyle w:val="Hyperlink"/>
            <w:webHidden/>
          </w:rPr>
          <w:fldChar w:fldCharType="begin"/>
        </w:r>
        <w:r w:rsidR="000E3A1F" w:rsidRPr="00832757">
          <w:rPr>
            <w:rStyle w:val="Hyperlink"/>
            <w:webHidden/>
          </w:rPr>
          <w:instrText xml:space="preserve"> PAGEREF _Toc63768780 \h </w:instrText>
        </w:r>
        <w:r w:rsidR="000E3A1F" w:rsidRPr="00832757">
          <w:rPr>
            <w:rStyle w:val="Hyperlink"/>
            <w:webHidden/>
          </w:rPr>
        </w:r>
        <w:r w:rsidR="000E3A1F" w:rsidRPr="00832757">
          <w:rPr>
            <w:rStyle w:val="Hyperlink"/>
            <w:webHidden/>
          </w:rPr>
          <w:fldChar w:fldCharType="separate"/>
        </w:r>
        <w:r w:rsidR="000E3A1F" w:rsidRPr="00832757">
          <w:rPr>
            <w:rStyle w:val="Hyperlink"/>
            <w:webHidden/>
          </w:rPr>
          <w:t>4</w:t>
        </w:r>
        <w:r w:rsidR="000E3A1F" w:rsidRPr="00832757">
          <w:rPr>
            <w:rStyle w:val="Hyperlink"/>
            <w:webHidden/>
          </w:rPr>
          <w:fldChar w:fldCharType="end"/>
        </w:r>
      </w:hyperlink>
    </w:p>
    <w:p w14:paraId="3B9F38C0" w14:textId="0E4524C7" w:rsidR="000E3A1F" w:rsidRPr="00832757" w:rsidRDefault="00343C03" w:rsidP="00832757">
      <w:pPr>
        <w:pStyle w:val="TOC1"/>
        <w:tabs>
          <w:tab w:val="left" w:pos="440"/>
        </w:tabs>
        <w:rPr>
          <w:rStyle w:val="Hyperlink"/>
        </w:rPr>
      </w:pPr>
      <w:hyperlink w:anchor="_Toc63768781" w:history="1">
        <w:r w:rsidR="000E3A1F" w:rsidRPr="00264371">
          <w:rPr>
            <w:rStyle w:val="Hyperlink"/>
          </w:rPr>
          <w:t xml:space="preserve">4. </w:t>
        </w:r>
        <w:r w:rsidR="000E3A1F" w:rsidRPr="00832757">
          <w:rPr>
            <w:rStyle w:val="Hyperlink"/>
          </w:rPr>
          <w:tab/>
        </w:r>
        <w:r w:rsidR="000E3A1F" w:rsidRPr="00264371">
          <w:rPr>
            <w:rStyle w:val="Hyperlink"/>
          </w:rPr>
          <w:t>The Law</w:t>
        </w:r>
        <w:r w:rsidR="000E3A1F" w:rsidRPr="00832757">
          <w:rPr>
            <w:rStyle w:val="Hyperlink"/>
            <w:webHidden/>
          </w:rPr>
          <w:tab/>
        </w:r>
        <w:r w:rsidR="000E3A1F" w:rsidRPr="00832757">
          <w:rPr>
            <w:rStyle w:val="Hyperlink"/>
            <w:webHidden/>
          </w:rPr>
          <w:fldChar w:fldCharType="begin"/>
        </w:r>
        <w:r w:rsidR="000E3A1F" w:rsidRPr="00832757">
          <w:rPr>
            <w:rStyle w:val="Hyperlink"/>
            <w:webHidden/>
          </w:rPr>
          <w:instrText xml:space="preserve"> PAGEREF _Toc63768781 \h </w:instrText>
        </w:r>
        <w:r w:rsidR="000E3A1F" w:rsidRPr="00832757">
          <w:rPr>
            <w:rStyle w:val="Hyperlink"/>
            <w:webHidden/>
          </w:rPr>
        </w:r>
        <w:r w:rsidR="000E3A1F" w:rsidRPr="00832757">
          <w:rPr>
            <w:rStyle w:val="Hyperlink"/>
            <w:webHidden/>
          </w:rPr>
          <w:fldChar w:fldCharType="separate"/>
        </w:r>
        <w:r w:rsidR="000E3A1F" w:rsidRPr="00832757">
          <w:rPr>
            <w:rStyle w:val="Hyperlink"/>
            <w:webHidden/>
          </w:rPr>
          <w:t>4</w:t>
        </w:r>
        <w:r w:rsidR="000E3A1F" w:rsidRPr="00832757">
          <w:rPr>
            <w:rStyle w:val="Hyperlink"/>
            <w:webHidden/>
          </w:rPr>
          <w:fldChar w:fldCharType="end"/>
        </w:r>
      </w:hyperlink>
    </w:p>
    <w:p w14:paraId="6650F5DD" w14:textId="68785DB3" w:rsidR="000E3A1F" w:rsidRPr="006A57FA" w:rsidRDefault="00932957" w:rsidP="00832757">
      <w:pPr>
        <w:pStyle w:val="TOC1"/>
        <w:tabs>
          <w:tab w:val="left" w:pos="440"/>
        </w:tabs>
        <w:rPr>
          <w:rStyle w:val="Hyperlink"/>
          <w:b w:val="0"/>
          <w:bCs/>
        </w:rPr>
      </w:pPr>
      <w:r w:rsidRPr="00832757">
        <w:rPr>
          <w:rStyle w:val="Hyperlink"/>
        </w:rPr>
        <w:t xml:space="preserve">    </w:t>
      </w:r>
      <w:r w:rsidR="00832757">
        <w:rPr>
          <w:rStyle w:val="Hyperlink"/>
        </w:rPr>
        <w:t xml:space="preserve">    </w:t>
      </w:r>
      <w:hyperlink w:anchor="_Toc63768782" w:history="1">
        <w:r w:rsidR="000E3A1F" w:rsidRPr="006A57FA">
          <w:rPr>
            <w:rStyle w:val="Hyperlink"/>
            <w:b w:val="0"/>
            <w:bCs/>
          </w:rPr>
          <w:t>4.1 Legislation</w:t>
        </w:r>
        <w:r w:rsidR="000E3A1F" w:rsidRPr="006A57FA">
          <w:rPr>
            <w:rStyle w:val="Hyperlink"/>
            <w:b w:val="0"/>
            <w:bCs/>
            <w:webHidden/>
          </w:rPr>
          <w:tab/>
        </w:r>
        <w:r w:rsidR="000E3A1F" w:rsidRPr="006A57FA">
          <w:rPr>
            <w:rStyle w:val="Hyperlink"/>
            <w:b w:val="0"/>
            <w:bCs/>
            <w:webHidden/>
          </w:rPr>
          <w:fldChar w:fldCharType="begin"/>
        </w:r>
        <w:r w:rsidR="000E3A1F" w:rsidRPr="006A57FA">
          <w:rPr>
            <w:rStyle w:val="Hyperlink"/>
            <w:b w:val="0"/>
            <w:bCs/>
            <w:webHidden/>
          </w:rPr>
          <w:instrText xml:space="preserve"> PAGEREF _Toc63768782 \h </w:instrText>
        </w:r>
        <w:r w:rsidR="000E3A1F" w:rsidRPr="006A57FA">
          <w:rPr>
            <w:rStyle w:val="Hyperlink"/>
            <w:b w:val="0"/>
            <w:bCs/>
            <w:webHidden/>
          </w:rPr>
        </w:r>
        <w:r w:rsidR="000E3A1F" w:rsidRPr="006A57FA">
          <w:rPr>
            <w:rStyle w:val="Hyperlink"/>
            <w:b w:val="0"/>
            <w:bCs/>
            <w:webHidden/>
          </w:rPr>
          <w:fldChar w:fldCharType="separate"/>
        </w:r>
        <w:r w:rsidR="000E3A1F" w:rsidRPr="006A57FA">
          <w:rPr>
            <w:rStyle w:val="Hyperlink"/>
            <w:b w:val="0"/>
            <w:bCs/>
            <w:webHidden/>
          </w:rPr>
          <w:t>4</w:t>
        </w:r>
        <w:r w:rsidR="000E3A1F" w:rsidRPr="006A57FA">
          <w:rPr>
            <w:rStyle w:val="Hyperlink"/>
            <w:b w:val="0"/>
            <w:bCs/>
            <w:webHidden/>
          </w:rPr>
          <w:fldChar w:fldCharType="end"/>
        </w:r>
      </w:hyperlink>
    </w:p>
    <w:p w14:paraId="4AF51080" w14:textId="269388AE" w:rsidR="000E3A1F" w:rsidRPr="006A57FA" w:rsidRDefault="00932957" w:rsidP="00832757">
      <w:pPr>
        <w:pStyle w:val="TOC1"/>
        <w:tabs>
          <w:tab w:val="left" w:pos="440"/>
        </w:tabs>
        <w:rPr>
          <w:rStyle w:val="Hyperlink"/>
          <w:b w:val="0"/>
          <w:bCs/>
        </w:rPr>
      </w:pPr>
      <w:r w:rsidRPr="006A57FA">
        <w:rPr>
          <w:rStyle w:val="Hyperlink"/>
          <w:b w:val="0"/>
          <w:bCs/>
        </w:rPr>
        <w:t xml:space="preserve">    </w:t>
      </w:r>
      <w:r w:rsidR="00832757" w:rsidRPr="006A57FA">
        <w:rPr>
          <w:rStyle w:val="Hyperlink"/>
          <w:b w:val="0"/>
          <w:bCs/>
        </w:rPr>
        <w:t xml:space="preserve">    </w:t>
      </w:r>
      <w:hyperlink w:anchor="_Toc63768783" w:history="1">
        <w:r w:rsidR="000E3A1F" w:rsidRPr="006A57FA">
          <w:rPr>
            <w:rStyle w:val="Hyperlink"/>
            <w:b w:val="0"/>
            <w:bCs/>
          </w:rPr>
          <w:t>4.2 Case law</w:t>
        </w:r>
        <w:r w:rsidR="000E3A1F" w:rsidRPr="006A57FA">
          <w:rPr>
            <w:rStyle w:val="Hyperlink"/>
            <w:b w:val="0"/>
            <w:bCs/>
            <w:webHidden/>
          </w:rPr>
          <w:tab/>
        </w:r>
        <w:r w:rsidR="000E3A1F" w:rsidRPr="006A57FA">
          <w:rPr>
            <w:rStyle w:val="Hyperlink"/>
            <w:b w:val="0"/>
            <w:bCs/>
            <w:webHidden/>
          </w:rPr>
          <w:fldChar w:fldCharType="begin"/>
        </w:r>
        <w:r w:rsidR="000E3A1F" w:rsidRPr="006A57FA">
          <w:rPr>
            <w:rStyle w:val="Hyperlink"/>
            <w:b w:val="0"/>
            <w:bCs/>
            <w:webHidden/>
          </w:rPr>
          <w:instrText xml:space="preserve"> PAGEREF _Toc63768783 \h </w:instrText>
        </w:r>
        <w:r w:rsidR="000E3A1F" w:rsidRPr="006A57FA">
          <w:rPr>
            <w:rStyle w:val="Hyperlink"/>
            <w:b w:val="0"/>
            <w:bCs/>
            <w:webHidden/>
          </w:rPr>
        </w:r>
        <w:r w:rsidR="000E3A1F" w:rsidRPr="006A57FA">
          <w:rPr>
            <w:rStyle w:val="Hyperlink"/>
            <w:b w:val="0"/>
            <w:bCs/>
            <w:webHidden/>
          </w:rPr>
          <w:fldChar w:fldCharType="separate"/>
        </w:r>
        <w:r w:rsidR="000E3A1F" w:rsidRPr="006A57FA">
          <w:rPr>
            <w:rStyle w:val="Hyperlink"/>
            <w:b w:val="0"/>
            <w:bCs/>
            <w:webHidden/>
          </w:rPr>
          <w:t>5</w:t>
        </w:r>
        <w:r w:rsidR="000E3A1F" w:rsidRPr="006A57FA">
          <w:rPr>
            <w:rStyle w:val="Hyperlink"/>
            <w:b w:val="0"/>
            <w:bCs/>
            <w:webHidden/>
          </w:rPr>
          <w:fldChar w:fldCharType="end"/>
        </w:r>
      </w:hyperlink>
    </w:p>
    <w:p w14:paraId="3686E9F3" w14:textId="5C0B6A65" w:rsidR="000E3A1F" w:rsidRPr="00832757" w:rsidRDefault="00343C03">
      <w:pPr>
        <w:pStyle w:val="TOC1"/>
        <w:tabs>
          <w:tab w:val="left" w:pos="440"/>
        </w:tabs>
        <w:rPr>
          <w:rStyle w:val="Hyperlink"/>
        </w:rPr>
      </w:pPr>
      <w:hyperlink w:anchor="_Toc63768784" w:history="1">
        <w:r w:rsidR="000E3A1F" w:rsidRPr="00264371">
          <w:rPr>
            <w:rStyle w:val="Hyperlink"/>
          </w:rPr>
          <w:t>5.</w:t>
        </w:r>
        <w:r w:rsidR="000E3A1F" w:rsidRPr="00832757">
          <w:rPr>
            <w:rStyle w:val="Hyperlink"/>
          </w:rPr>
          <w:tab/>
        </w:r>
        <w:r w:rsidR="000E3A1F" w:rsidRPr="00264371">
          <w:rPr>
            <w:rStyle w:val="Hyperlink"/>
          </w:rPr>
          <w:t>Guidance</w:t>
        </w:r>
        <w:r w:rsidR="000E3A1F" w:rsidRPr="00832757">
          <w:rPr>
            <w:rStyle w:val="Hyperlink"/>
            <w:webHidden/>
          </w:rPr>
          <w:tab/>
        </w:r>
        <w:r w:rsidR="000E3A1F" w:rsidRPr="00832757">
          <w:rPr>
            <w:rStyle w:val="Hyperlink"/>
            <w:webHidden/>
          </w:rPr>
          <w:fldChar w:fldCharType="begin"/>
        </w:r>
        <w:r w:rsidR="000E3A1F" w:rsidRPr="00832757">
          <w:rPr>
            <w:rStyle w:val="Hyperlink"/>
            <w:webHidden/>
          </w:rPr>
          <w:instrText xml:space="preserve"> PAGEREF _Toc63768784 \h </w:instrText>
        </w:r>
        <w:r w:rsidR="000E3A1F" w:rsidRPr="00832757">
          <w:rPr>
            <w:rStyle w:val="Hyperlink"/>
            <w:webHidden/>
          </w:rPr>
        </w:r>
        <w:r w:rsidR="000E3A1F" w:rsidRPr="00832757">
          <w:rPr>
            <w:rStyle w:val="Hyperlink"/>
            <w:webHidden/>
          </w:rPr>
          <w:fldChar w:fldCharType="separate"/>
        </w:r>
        <w:r w:rsidR="000E3A1F" w:rsidRPr="00832757">
          <w:rPr>
            <w:rStyle w:val="Hyperlink"/>
            <w:webHidden/>
          </w:rPr>
          <w:t>6</w:t>
        </w:r>
        <w:r w:rsidR="000E3A1F" w:rsidRPr="00832757">
          <w:rPr>
            <w:rStyle w:val="Hyperlink"/>
            <w:webHidden/>
          </w:rPr>
          <w:fldChar w:fldCharType="end"/>
        </w:r>
      </w:hyperlink>
    </w:p>
    <w:p w14:paraId="70C9D4E2" w14:textId="69CC40EB" w:rsidR="000E3A1F" w:rsidRPr="00832757" w:rsidRDefault="00343C03">
      <w:pPr>
        <w:pStyle w:val="TOC1"/>
        <w:tabs>
          <w:tab w:val="left" w:pos="440"/>
        </w:tabs>
        <w:rPr>
          <w:rStyle w:val="Hyperlink"/>
        </w:rPr>
      </w:pPr>
      <w:hyperlink w:anchor="_Toc63768785" w:history="1">
        <w:r w:rsidR="000E3A1F" w:rsidRPr="00264371">
          <w:rPr>
            <w:rStyle w:val="Hyperlink"/>
          </w:rPr>
          <w:t>6.</w:t>
        </w:r>
        <w:r w:rsidR="000E3A1F" w:rsidRPr="00832757">
          <w:rPr>
            <w:rStyle w:val="Hyperlink"/>
          </w:rPr>
          <w:tab/>
        </w:r>
        <w:r w:rsidR="000E3A1F" w:rsidRPr="00264371">
          <w:rPr>
            <w:rStyle w:val="Hyperlink"/>
          </w:rPr>
          <w:t>Document information</w:t>
        </w:r>
        <w:r w:rsidR="000E3A1F" w:rsidRPr="00832757">
          <w:rPr>
            <w:rStyle w:val="Hyperlink"/>
            <w:webHidden/>
          </w:rPr>
          <w:tab/>
        </w:r>
        <w:r w:rsidR="000E3A1F" w:rsidRPr="00832757">
          <w:rPr>
            <w:rStyle w:val="Hyperlink"/>
            <w:webHidden/>
          </w:rPr>
          <w:fldChar w:fldCharType="begin"/>
        </w:r>
        <w:r w:rsidR="000E3A1F" w:rsidRPr="00832757">
          <w:rPr>
            <w:rStyle w:val="Hyperlink"/>
            <w:webHidden/>
          </w:rPr>
          <w:instrText xml:space="preserve"> PAGEREF _Toc63768785 \h </w:instrText>
        </w:r>
        <w:r w:rsidR="000E3A1F" w:rsidRPr="00832757">
          <w:rPr>
            <w:rStyle w:val="Hyperlink"/>
            <w:webHidden/>
          </w:rPr>
        </w:r>
        <w:r w:rsidR="000E3A1F" w:rsidRPr="00832757">
          <w:rPr>
            <w:rStyle w:val="Hyperlink"/>
            <w:webHidden/>
          </w:rPr>
          <w:fldChar w:fldCharType="separate"/>
        </w:r>
        <w:r w:rsidR="000E3A1F" w:rsidRPr="00832757">
          <w:rPr>
            <w:rStyle w:val="Hyperlink"/>
            <w:webHidden/>
          </w:rPr>
          <w:t>8</w:t>
        </w:r>
        <w:r w:rsidR="000E3A1F" w:rsidRPr="00832757">
          <w:rPr>
            <w:rStyle w:val="Hyperlink"/>
            <w:webHidden/>
          </w:rPr>
          <w:fldChar w:fldCharType="end"/>
        </w:r>
      </w:hyperlink>
    </w:p>
    <w:p w14:paraId="4F2E4982" w14:textId="2CFC8E9D" w:rsidR="003E2E12" w:rsidRPr="00142F67" w:rsidRDefault="000E7BFA" w:rsidP="00142F67">
      <w:pPr>
        <w:pStyle w:val="TOC1"/>
        <w:tabs>
          <w:tab w:val="left" w:pos="440"/>
        </w:tabs>
        <w:rPr>
          <w:rStyle w:val="Hyperlink"/>
        </w:rPr>
      </w:pPr>
      <w:r w:rsidRPr="00142F67">
        <w:rPr>
          <w:rStyle w:val="Hyperlink"/>
        </w:rPr>
        <w:fldChar w:fldCharType="end"/>
      </w:r>
    </w:p>
    <w:p w14:paraId="3DC6D831" w14:textId="78C5E05F" w:rsidR="00256E7C" w:rsidRPr="003072C6" w:rsidRDefault="003E2E12" w:rsidP="00F01884">
      <w:pPr>
        <w:pStyle w:val="DJRbody"/>
      </w:pPr>
      <w:r w:rsidRPr="00256E7C">
        <w:br w:type="page"/>
      </w:r>
    </w:p>
    <w:p w14:paraId="1CEA0003" w14:textId="1E07D990" w:rsidR="00765A24" w:rsidRDefault="008044AF" w:rsidP="00812D41">
      <w:pPr>
        <w:pStyle w:val="Heading1"/>
        <w:spacing w:before="0"/>
        <w:ind w:left="680" w:hanging="680"/>
      </w:pPr>
      <w:bookmarkStart w:id="2" w:name="_Toc63768778"/>
      <w:r>
        <w:lastRenderedPageBreak/>
        <w:t xml:space="preserve">1. </w:t>
      </w:r>
      <w:r w:rsidR="00EF33A5">
        <w:tab/>
      </w:r>
      <w:r w:rsidR="00E504D1">
        <w:t>Purpose</w:t>
      </w:r>
      <w:bookmarkEnd w:id="2"/>
    </w:p>
    <w:p w14:paraId="47518C47" w14:textId="77777777" w:rsidR="000A1D82" w:rsidRPr="00AD14CF" w:rsidRDefault="000A1D82" w:rsidP="000A1D82">
      <w:pPr>
        <w:pStyle w:val="DJRbodyafterbullets"/>
      </w:pPr>
      <w:r w:rsidRPr="00AD14CF">
        <w:t xml:space="preserve">Between 2015 and 2018, the Victorian Government conducted a review of the </w:t>
      </w:r>
      <w:r w:rsidRPr="00AD14CF">
        <w:rPr>
          <w:i/>
          <w:iCs/>
        </w:rPr>
        <w:t>Residential Tenancies Act 1997</w:t>
      </w:r>
      <w:r w:rsidRPr="00AD14CF">
        <w:t xml:space="preserve"> (the Act), as part of its plan for Fairer, Safer Housing. </w:t>
      </w:r>
    </w:p>
    <w:p w14:paraId="1E7F5716" w14:textId="2D93F787" w:rsidR="000A1D82" w:rsidRPr="00AD14CF" w:rsidRDefault="000A1D82" w:rsidP="000A1D82">
      <w:pPr>
        <w:pStyle w:val="DJRbodyafterbullets"/>
      </w:pPr>
      <w:r w:rsidRPr="00AD14CF">
        <w:t xml:space="preserve">In September 2018, the Victorian Parliament passed the </w:t>
      </w:r>
      <w:r w:rsidRPr="00AD14CF">
        <w:rPr>
          <w:i/>
          <w:iCs/>
        </w:rPr>
        <w:t>Residential Tenancies Amendment Act 2018</w:t>
      </w:r>
      <w:r w:rsidRPr="00AD14CF">
        <w:t xml:space="preserve"> (RTAA) to respond to the outcomes of the review. The RTAA provides for over 130 reforms to the Act to increase protections for renters, while ensuring </w:t>
      </w:r>
      <w:r>
        <w:t>residential rental providers</w:t>
      </w:r>
      <w:r w:rsidRPr="00AD14CF">
        <w:t xml:space="preserve"> </w:t>
      </w:r>
      <w:r w:rsidR="00E52B82">
        <w:t xml:space="preserve">(RRPs) </w:t>
      </w:r>
      <w:r w:rsidRPr="00AD14CF">
        <w:t xml:space="preserve">can still effectively manage their properties. </w:t>
      </w:r>
    </w:p>
    <w:p w14:paraId="163CB1EC" w14:textId="77777777" w:rsidR="000A1D82" w:rsidRPr="00AD14CF" w:rsidRDefault="000A1D82" w:rsidP="000A1D82">
      <w:pPr>
        <w:pStyle w:val="DJRbodyafterbullets"/>
      </w:pPr>
      <w:r w:rsidRPr="00AD14CF">
        <w:t>Of the 130 reforms, five reforms relate to the issuing of guidelines by the Director of Consumer Affairs Victoria (the Director) as follows:</w:t>
      </w:r>
    </w:p>
    <w:p w14:paraId="318276CA" w14:textId="77777777" w:rsidR="000A1D82" w:rsidRPr="00AD14CF" w:rsidRDefault="000A1D82" w:rsidP="000A1D82">
      <w:pPr>
        <w:pStyle w:val="DJRbody"/>
        <w:numPr>
          <w:ilvl w:val="0"/>
          <w:numId w:val="21"/>
        </w:numPr>
        <w:rPr>
          <w:rStyle w:val="normaltextrun"/>
          <w:color w:val="000000"/>
          <w:szCs w:val="22"/>
          <w:shd w:val="clear" w:color="auto" w:fill="FFFFFF"/>
        </w:rPr>
      </w:pPr>
      <w:r w:rsidRPr="00AD14CF">
        <w:rPr>
          <w:rStyle w:val="normaltextrun"/>
          <w:color w:val="000000"/>
          <w:szCs w:val="22"/>
          <w:shd w:val="clear" w:color="auto" w:fill="FFFFFF"/>
        </w:rPr>
        <w:t xml:space="preserve">Guideline 1 – Maintenance </w:t>
      </w:r>
    </w:p>
    <w:p w14:paraId="7513E4DE" w14:textId="77777777" w:rsidR="000A1D82" w:rsidRPr="00AD14CF" w:rsidRDefault="000A1D82" w:rsidP="000A1D82">
      <w:pPr>
        <w:pStyle w:val="DJRbody"/>
        <w:numPr>
          <w:ilvl w:val="0"/>
          <w:numId w:val="21"/>
        </w:numPr>
        <w:rPr>
          <w:rStyle w:val="normaltextrun"/>
          <w:color w:val="000000"/>
          <w:szCs w:val="22"/>
          <w:shd w:val="clear" w:color="auto" w:fill="FFFFFF"/>
        </w:rPr>
      </w:pPr>
      <w:r w:rsidRPr="00AD14CF">
        <w:rPr>
          <w:rStyle w:val="normaltextrun"/>
          <w:color w:val="000000"/>
          <w:szCs w:val="22"/>
          <w:shd w:val="clear" w:color="auto" w:fill="FFFFFF"/>
        </w:rPr>
        <w:t xml:space="preserve">Guideline 2 – Cleanliness </w:t>
      </w:r>
    </w:p>
    <w:p w14:paraId="17400F6A" w14:textId="77777777" w:rsidR="000A1D82" w:rsidRPr="00AD14CF" w:rsidRDefault="000A1D82" w:rsidP="000A1D82">
      <w:pPr>
        <w:pStyle w:val="DJRbody"/>
        <w:numPr>
          <w:ilvl w:val="0"/>
          <w:numId w:val="21"/>
        </w:numPr>
        <w:rPr>
          <w:rStyle w:val="normaltextrun"/>
          <w:color w:val="000000"/>
          <w:szCs w:val="22"/>
          <w:shd w:val="clear" w:color="auto" w:fill="FFFFFF"/>
        </w:rPr>
      </w:pPr>
      <w:r w:rsidRPr="00AD14CF">
        <w:rPr>
          <w:rStyle w:val="normaltextrun"/>
          <w:color w:val="000000"/>
          <w:szCs w:val="22"/>
          <w:shd w:val="clear" w:color="auto" w:fill="FFFFFF"/>
        </w:rPr>
        <w:t>Guideline 3 – Damage and fair wear and tear</w:t>
      </w:r>
    </w:p>
    <w:p w14:paraId="0F9C053E" w14:textId="77777777" w:rsidR="000A1D82" w:rsidRPr="00AD14CF" w:rsidRDefault="000A1D82" w:rsidP="000A1D82">
      <w:pPr>
        <w:pStyle w:val="DJRbody"/>
        <w:numPr>
          <w:ilvl w:val="0"/>
          <w:numId w:val="21"/>
        </w:numPr>
        <w:rPr>
          <w:rStyle w:val="normaltextrun"/>
          <w:color w:val="000000"/>
          <w:szCs w:val="22"/>
          <w:shd w:val="clear" w:color="auto" w:fill="FFFFFF"/>
        </w:rPr>
      </w:pPr>
      <w:r w:rsidRPr="00AD14CF">
        <w:rPr>
          <w:rStyle w:val="normaltextrun"/>
          <w:color w:val="000000"/>
          <w:szCs w:val="22"/>
          <w:shd w:val="clear" w:color="auto" w:fill="FFFFFF"/>
        </w:rPr>
        <w:t>Guideline 4 – Urgent repairs</w:t>
      </w:r>
    </w:p>
    <w:p w14:paraId="6F81C3AF" w14:textId="77777777" w:rsidR="000A1D82" w:rsidRPr="00AD14CF" w:rsidRDefault="000A1D82" w:rsidP="000A1D82">
      <w:pPr>
        <w:pStyle w:val="DJRbody"/>
        <w:numPr>
          <w:ilvl w:val="0"/>
          <w:numId w:val="21"/>
        </w:numPr>
        <w:rPr>
          <w:rStyle w:val="normaltextrun"/>
          <w:color w:val="000000"/>
          <w:szCs w:val="22"/>
          <w:shd w:val="clear" w:color="auto" w:fill="FFFFFF"/>
        </w:rPr>
      </w:pPr>
      <w:r w:rsidRPr="00AD14CF">
        <w:rPr>
          <w:rStyle w:val="normaltextrun"/>
          <w:color w:val="000000"/>
          <w:szCs w:val="22"/>
          <w:shd w:val="clear" w:color="auto" w:fill="FFFFFF"/>
        </w:rPr>
        <w:t xml:space="preserve">Guideline 5 – Endanger.  </w:t>
      </w:r>
    </w:p>
    <w:p w14:paraId="603CF833" w14:textId="77777777" w:rsidR="000A1D82" w:rsidRPr="00AD14CF" w:rsidRDefault="000A1D82" w:rsidP="000A1D82">
      <w:pPr>
        <w:pStyle w:val="DJRbodyafterbullets"/>
      </w:pPr>
      <w:r w:rsidRPr="00AD14CF">
        <w:t xml:space="preserve">The Director may issue guidelines under section 486 of the Act. </w:t>
      </w:r>
      <w:r>
        <w:t xml:space="preserve">The </w:t>
      </w:r>
      <w:r w:rsidRPr="00D24B36">
        <w:t>V</w:t>
      </w:r>
      <w:r>
        <w:t xml:space="preserve">ictorian </w:t>
      </w:r>
      <w:r w:rsidRPr="00D24B36">
        <w:t>C</w:t>
      </w:r>
      <w:r>
        <w:t xml:space="preserve">ivil and </w:t>
      </w:r>
      <w:r w:rsidRPr="00D24B36">
        <w:t>A</w:t>
      </w:r>
      <w:r>
        <w:t xml:space="preserve">dministrative </w:t>
      </w:r>
      <w:r w:rsidRPr="00D24B36">
        <w:t>T</w:t>
      </w:r>
      <w:r>
        <w:t>ribunal (VCAT)</w:t>
      </w:r>
      <w:r w:rsidRPr="00AD14CF">
        <w:t xml:space="preserve"> must consider the guidelines when determining particular applications made under the Act.</w:t>
      </w:r>
    </w:p>
    <w:p w14:paraId="1E0A9E76" w14:textId="77777777" w:rsidR="000A1D82" w:rsidRDefault="000A1D82" w:rsidP="000A1D82">
      <w:pPr>
        <w:pStyle w:val="DJRbodyafterbullets"/>
      </w:pPr>
      <w:r w:rsidRPr="00AD14CF">
        <w:t>The purpose of the guidelines is to outline the Director’s position on compliance and non</w:t>
      </w:r>
      <w:r w:rsidRPr="00AD14CF">
        <w:noBreakHyphen/>
        <w:t xml:space="preserve">compliance with the Act, ensuring greater consistency in VCAT decision making and dispute resolution. </w:t>
      </w:r>
    </w:p>
    <w:p w14:paraId="09B0FC41" w14:textId="77777777" w:rsidR="0061769A" w:rsidRPr="00564657" w:rsidRDefault="0061769A" w:rsidP="0061769A">
      <w:pPr>
        <w:pStyle w:val="DJRbodyafterbullets"/>
      </w:pPr>
      <w:r w:rsidRPr="00564657">
        <w:t xml:space="preserve">The Act is not prescriptive and does not go into great detail about what the parties’ obligations mean in practice. The guidelines summarise relevant case law that may be useful in interpreting </w:t>
      </w:r>
      <w:r>
        <w:t>the Act</w:t>
      </w:r>
      <w:r w:rsidRPr="00564657">
        <w:t xml:space="preserve"> and provid</w:t>
      </w:r>
      <w:r>
        <w:t>ing</w:t>
      </w:r>
      <w:r w:rsidRPr="00564657">
        <w:t xml:space="preserve"> practical guidance that parties to a tenancy agreement can rely on when determining how to comply with their duties, facilitating the resolution of unnecessary or protracted disputes.</w:t>
      </w:r>
    </w:p>
    <w:p w14:paraId="13BE3082" w14:textId="21D75079" w:rsidR="00AE2B25" w:rsidRDefault="0024573E" w:rsidP="000A1D82">
      <w:pPr>
        <w:pStyle w:val="DJRbody"/>
      </w:pPr>
      <w:r>
        <w:t>VCAT must have regard to</w:t>
      </w:r>
      <w:r w:rsidR="00DF494A">
        <w:t xml:space="preserve"> th</w:t>
      </w:r>
      <w:r w:rsidR="000F2E1E">
        <w:t>is</w:t>
      </w:r>
      <w:r w:rsidR="00DF494A">
        <w:t xml:space="preserve"> guideline</w:t>
      </w:r>
      <w:r>
        <w:t xml:space="preserve"> when determining an application for a possession order </w:t>
      </w:r>
      <w:r w:rsidR="00146F79">
        <w:t>following a notice to vacate under sections 91ZJ (</w:t>
      </w:r>
      <w:r w:rsidR="00874087">
        <w:t>rented premises</w:t>
      </w:r>
      <w:r w:rsidR="00146F79">
        <w:t xml:space="preserve">), 142ZC (rooming house </w:t>
      </w:r>
      <w:r w:rsidR="00874087">
        <w:t>accommodation</w:t>
      </w:r>
      <w:r w:rsidR="00146F79">
        <w:t>), 206AR (caravan park</w:t>
      </w:r>
      <w:r w:rsidR="00874087">
        <w:t>s</w:t>
      </w:r>
      <w:r w:rsidR="00146F79">
        <w:t>), 207X (</w:t>
      </w:r>
      <w:r w:rsidR="00874087">
        <w:t>residential parks (</w:t>
      </w:r>
      <w:r w:rsidR="00874087" w:rsidRPr="00CA0713">
        <w:t>a park where a Part 4A site is rented</w:t>
      </w:r>
      <w:r w:rsidR="00874087">
        <w:t>)</w:t>
      </w:r>
      <w:r w:rsidR="00146F79">
        <w:t>)</w:t>
      </w:r>
      <w:r w:rsidR="00387392">
        <w:t xml:space="preserve"> or</w:t>
      </w:r>
      <w:r w:rsidR="00146F79">
        <w:t xml:space="preserve"> 498ZX(1)(b) (specialist disability </w:t>
      </w:r>
      <w:r w:rsidR="009F164D">
        <w:t xml:space="preserve">accommodation (SDA) </w:t>
      </w:r>
      <w:r w:rsidR="002408F8">
        <w:t>enrolled accommodation</w:t>
      </w:r>
      <w:r w:rsidR="00146F79">
        <w:t>) of the Act.</w:t>
      </w:r>
      <w:r w:rsidR="00146F79">
        <w:rPr>
          <w:rStyle w:val="FootnoteReference"/>
        </w:rPr>
        <w:footnoteReference w:id="2"/>
      </w:r>
      <w:r w:rsidR="00146F79">
        <w:t xml:space="preserve"> Th</w:t>
      </w:r>
      <w:r w:rsidR="00274C7C">
        <w:t>is</w:t>
      </w:r>
      <w:r w:rsidR="00146F79">
        <w:t xml:space="preserve"> guideline outline</w:t>
      </w:r>
      <w:r w:rsidR="00274C7C">
        <w:t>s</w:t>
      </w:r>
      <w:r w:rsidR="00146F79">
        <w:t xml:space="preserve"> the issues to be considered when VCAT is interpreting the term ‘endanger’ when </w:t>
      </w:r>
      <w:r w:rsidR="009F6A83">
        <w:t xml:space="preserve">it is considering whether the </w:t>
      </w:r>
      <w:r w:rsidR="00694719">
        <w:t xml:space="preserve">notice </w:t>
      </w:r>
      <w:r w:rsidR="72EF083A">
        <w:t xml:space="preserve">to </w:t>
      </w:r>
      <w:r w:rsidR="00694719">
        <w:t xml:space="preserve">vacate was </w:t>
      </w:r>
      <w:r w:rsidR="00EC250B">
        <w:t xml:space="preserve">validly given. </w:t>
      </w:r>
    </w:p>
    <w:p w14:paraId="5EB4D217" w14:textId="66693869" w:rsidR="00F918B4" w:rsidRDefault="00F918B4" w:rsidP="00D405D2">
      <w:pPr>
        <w:pStyle w:val="Heading1"/>
        <w:spacing w:before="0"/>
        <w:ind w:left="680" w:hanging="680"/>
      </w:pPr>
      <w:bookmarkStart w:id="3" w:name="_Toc63768779"/>
      <w:r>
        <w:t xml:space="preserve">2. </w:t>
      </w:r>
      <w:r>
        <w:tab/>
        <w:t>How to read these guidelines</w:t>
      </w:r>
      <w:bookmarkEnd w:id="3"/>
    </w:p>
    <w:p w14:paraId="59ECB5D0" w14:textId="77777777" w:rsidR="00F918B4" w:rsidRDefault="00F918B4" w:rsidP="00F918B4">
      <w:pPr>
        <w:pStyle w:val="DJRbody"/>
      </w:pPr>
      <w:r w:rsidRPr="00674A4C">
        <w:t xml:space="preserve">The subject matter of the guidelines is interrelated and often overlaps, for example maintenance issues may result in the need </w:t>
      </w:r>
      <w:r w:rsidRPr="00FF03D7" w:rsidDel="007C5593">
        <w:t>for urgent repairs</w:t>
      </w:r>
      <w:r w:rsidRPr="00674A4C">
        <w:t>. Accordingly, the guidelines should be read in conjunction with one another, where appropriate.</w:t>
      </w:r>
    </w:p>
    <w:p w14:paraId="6907D742" w14:textId="47ADA96B" w:rsidR="00F918B4" w:rsidRDefault="00F918B4" w:rsidP="00F918B4">
      <w:pPr>
        <w:pStyle w:val="DJRbody"/>
        <w:rPr>
          <w:rStyle w:val="normaltextrun"/>
          <w:rFonts w:cs="Arial"/>
          <w:color w:val="000000"/>
          <w:szCs w:val="22"/>
          <w:shd w:val="clear" w:color="auto" w:fill="FFFFFF"/>
        </w:rPr>
      </w:pPr>
      <w:r>
        <w:lastRenderedPageBreak/>
        <w:t>This guideline</w:t>
      </w:r>
      <w:r w:rsidRPr="00052BF8">
        <w:t xml:space="preserve"> applies to </w:t>
      </w:r>
      <w:r>
        <w:t xml:space="preserve">tenancies relating to rented premises, </w:t>
      </w:r>
      <w:r w:rsidRPr="00052BF8">
        <w:t>rooming houses, caravan parks</w:t>
      </w:r>
      <w:r>
        <w:t>,</w:t>
      </w:r>
      <w:r w:rsidRPr="00052BF8">
        <w:t xml:space="preserve"> </w:t>
      </w:r>
      <w:r>
        <w:t xml:space="preserve">residential parks and </w:t>
      </w:r>
      <w:r w:rsidRPr="00674A4C">
        <w:t>SDA</w:t>
      </w:r>
      <w:r w:rsidR="00D67544">
        <w:t xml:space="preserve"> enrolled dwellings</w:t>
      </w:r>
      <w:r w:rsidRPr="00674A4C">
        <w:t>.</w:t>
      </w:r>
      <w:r w:rsidRPr="00674A4C">
        <w:rPr>
          <w:rStyle w:val="FootnoteReference"/>
        </w:rPr>
        <w:footnoteReference w:id="3"/>
      </w:r>
    </w:p>
    <w:p w14:paraId="6CD9F1FD" w14:textId="77777777" w:rsidR="00F918B4" w:rsidRPr="008057FC" w:rsidRDefault="00F918B4" w:rsidP="00F918B4">
      <w:pPr>
        <w:pStyle w:val="DJRbody"/>
        <w:numPr>
          <w:ilvl w:val="0"/>
          <w:numId w:val="21"/>
        </w:numPr>
        <w:rPr>
          <w:rStyle w:val="normaltextrun"/>
        </w:rPr>
      </w:pPr>
      <w:r w:rsidRPr="37880958">
        <w:rPr>
          <w:rStyle w:val="normaltextrun"/>
          <w:rFonts w:cs="Arial"/>
          <w:color w:val="000000"/>
          <w:shd w:val="clear" w:color="auto" w:fill="FFFFFF"/>
        </w:rPr>
        <w:t xml:space="preserve">The term RRP has been used to include rooming house operators, caravan owners, caravan park owners, site owners and </w:t>
      </w:r>
      <w:r w:rsidRPr="00FD7409">
        <w:t>SDA</w:t>
      </w:r>
      <w:r w:rsidRPr="37880958">
        <w:rPr>
          <w:rStyle w:val="normaltextrun"/>
          <w:rFonts w:cs="Arial"/>
          <w:color w:val="000000"/>
          <w:shd w:val="clear" w:color="auto" w:fill="FFFFFF"/>
        </w:rPr>
        <w:t xml:space="preserve"> providers for simplicity. </w:t>
      </w:r>
    </w:p>
    <w:p w14:paraId="00257026" w14:textId="77777777" w:rsidR="00F918B4" w:rsidRDefault="00F918B4" w:rsidP="00F918B4">
      <w:pPr>
        <w:pStyle w:val="DJRbody"/>
        <w:numPr>
          <w:ilvl w:val="0"/>
          <w:numId w:val="21"/>
        </w:numPr>
      </w:pPr>
      <w:r w:rsidRPr="37880958">
        <w:rPr>
          <w:rStyle w:val="normaltextrun"/>
          <w:rFonts w:cs="Arial"/>
          <w:color w:val="000000"/>
          <w:shd w:val="clear" w:color="auto" w:fill="FFFFFF"/>
        </w:rPr>
        <w:t>The term </w:t>
      </w:r>
      <w:r w:rsidRPr="37880958">
        <w:rPr>
          <w:rStyle w:val="normaltextrun"/>
          <w:rFonts w:cs="Arial"/>
          <w:i/>
          <w:iCs/>
          <w:color w:val="000000"/>
          <w:shd w:val="clear" w:color="auto" w:fill="FFFFFF"/>
        </w:rPr>
        <w:t>renter</w:t>
      </w:r>
      <w:r w:rsidRPr="37880958">
        <w:rPr>
          <w:rStyle w:val="normaltextrun"/>
          <w:rFonts w:cs="Arial"/>
          <w:color w:val="000000"/>
          <w:shd w:val="clear" w:color="auto" w:fill="FFFFFF"/>
        </w:rPr>
        <w:t> has been used to include rooming house residents, caravan park residents, site tenants and SDA residents for simplicity. </w:t>
      </w:r>
      <w:r w:rsidRPr="37880958">
        <w:rPr>
          <w:rStyle w:val="eop"/>
          <w:rFonts w:cs="Arial"/>
          <w:color w:val="000000"/>
          <w:shd w:val="clear" w:color="auto" w:fill="FFFFFF"/>
        </w:rPr>
        <w:t> </w:t>
      </w:r>
    </w:p>
    <w:p w14:paraId="1AFBF0DE" w14:textId="155FE679" w:rsidR="00EC2AE9" w:rsidRDefault="00F918B4" w:rsidP="00EC2AE9">
      <w:pPr>
        <w:pStyle w:val="Heading1"/>
        <w:spacing w:before="0"/>
      </w:pPr>
      <w:bookmarkStart w:id="4" w:name="_Toc63768780"/>
      <w:r>
        <w:t>3</w:t>
      </w:r>
      <w:r w:rsidR="00EF33A5">
        <w:t xml:space="preserve">. </w:t>
      </w:r>
      <w:r w:rsidR="00EF33A5">
        <w:tab/>
      </w:r>
      <w:r w:rsidR="00E504D1">
        <w:t>Context</w:t>
      </w:r>
      <w:bookmarkEnd w:id="4"/>
    </w:p>
    <w:p w14:paraId="4C812FBA" w14:textId="763BB1F5" w:rsidR="00C176AB" w:rsidRDefault="00C176AB" w:rsidP="009D783F">
      <w:pPr>
        <w:pStyle w:val="DJRbody"/>
      </w:pPr>
      <w:r>
        <w:t xml:space="preserve">One aim of residential tenancies legislation is to balance the renter’s right to occupy the rented premises and the safety of the </w:t>
      </w:r>
      <w:r w:rsidR="004833F3">
        <w:t>RRP</w:t>
      </w:r>
      <w:r w:rsidR="00174CAE">
        <w:t xml:space="preserve">, </w:t>
      </w:r>
      <w:r>
        <w:t xml:space="preserve">their agent, neighbours, and others </w:t>
      </w:r>
      <w:r w:rsidR="00316502">
        <w:t>who</w:t>
      </w:r>
      <w:r>
        <w:t xml:space="preserve"> may be required to </w:t>
      </w:r>
      <w:r w:rsidR="003B0F78">
        <w:t>enter</w:t>
      </w:r>
      <w:r>
        <w:t xml:space="preserve"> the premises. </w:t>
      </w:r>
    </w:p>
    <w:p w14:paraId="23EEC2C0" w14:textId="303833C2" w:rsidR="001A636B" w:rsidRDefault="00C176AB" w:rsidP="009D783F">
      <w:pPr>
        <w:pStyle w:val="DJRbody"/>
      </w:pPr>
      <w:r>
        <w:t>RRPs</w:t>
      </w:r>
      <w:r w:rsidRPr="009D783F">
        <w:t xml:space="preserve"> </w:t>
      </w:r>
      <w:r w:rsidR="009D783F" w:rsidRPr="009D783F">
        <w:t>may give</w:t>
      </w:r>
      <w:r>
        <w:t xml:space="preserve"> a</w:t>
      </w:r>
      <w:r w:rsidR="009D783F" w:rsidRPr="009D783F">
        <w:t xml:space="preserve"> notice to vacate </w:t>
      </w:r>
      <w:r w:rsidR="002C00D2">
        <w:t xml:space="preserve">immediately </w:t>
      </w:r>
      <w:r>
        <w:t xml:space="preserve">under section 91ZJ </w:t>
      </w:r>
      <w:r w:rsidR="008838B9">
        <w:t xml:space="preserve">if </w:t>
      </w:r>
      <w:r>
        <w:t>the renter o</w:t>
      </w:r>
      <w:r w:rsidR="00152743">
        <w:t>r</w:t>
      </w:r>
      <w:r>
        <w:t xml:space="preserve"> their </w:t>
      </w:r>
      <w:r w:rsidR="009D783F" w:rsidRPr="009D783F">
        <w:t>visitor</w:t>
      </w:r>
      <w:r>
        <w:t>, by act or omission,</w:t>
      </w:r>
      <w:r w:rsidR="009D783F" w:rsidRPr="009D783F">
        <w:t xml:space="preserve"> endanger</w:t>
      </w:r>
      <w:r>
        <w:t>s</w:t>
      </w:r>
      <w:r w:rsidR="009D783F" w:rsidRPr="009D783F">
        <w:t xml:space="preserve"> the safety of </w:t>
      </w:r>
      <w:r w:rsidR="0010292E">
        <w:t xml:space="preserve">neighbours, </w:t>
      </w:r>
      <w:r w:rsidR="009D783F" w:rsidRPr="009D783F">
        <w:t xml:space="preserve">the </w:t>
      </w:r>
      <w:r w:rsidR="00DD1A0B">
        <w:t>RRP</w:t>
      </w:r>
      <w:r w:rsidR="00A217F5" w:rsidRPr="009D783F">
        <w:t xml:space="preserve"> </w:t>
      </w:r>
      <w:r w:rsidR="009D783F" w:rsidRPr="009D783F">
        <w:t xml:space="preserve">or </w:t>
      </w:r>
      <w:r w:rsidR="00DD1A0B">
        <w:t xml:space="preserve">their </w:t>
      </w:r>
      <w:r w:rsidR="009D783F" w:rsidRPr="009D783F">
        <w:t xml:space="preserve">agent, or their contractor or employee. </w:t>
      </w:r>
    </w:p>
    <w:p w14:paraId="2F7106ED" w14:textId="063E207B" w:rsidR="009D783F" w:rsidRDefault="008203FF" w:rsidP="009D783F">
      <w:pPr>
        <w:pStyle w:val="DJRbody"/>
      </w:pPr>
      <w:r>
        <w:t>The ability to give a</w:t>
      </w:r>
      <w:r w:rsidR="001A636B">
        <w:t xml:space="preserve"> notice to vacate immediately is a significant power which puts a renter at risk of homelessness</w:t>
      </w:r>
      <w:r w:rsidR="007965F7">
        <w:t>.</w:t>
      </w:r>
      <w:r w:rsidR="001A636B">
        <w:t xml:space="preserve"> </w:t>
      </w:r>
      <w:r w:rsidR="007965F7">
        <w:t>C</w:t>
      </w:r>
      <w:r w:rsidR="001A636B">
        <w:t>ourts have</w:t>
      </w:r>
      <w:r w:rsidR="007965F7">
        <w:t xml:space="preserve"> therefore</w:t>
      </w:r>
      <w:r w:rsidR="001A636B">
        <w:t xml:space="preserve"> </w:t>
      </w:r>
      <w:r w:rsidR="005B21F7">
        <w:t xml:space="preserve">traditionally </w:t>
      </w:r>
      <w:r w:rsidR="001A636B">
        <w:t xml:space="preserve">interpreted the legislative power to use this notice narrowly. </w:t>
      </w:r>
    </w:p>
    <w:p w14:paraId="0DDED8B6" w14:textId="7097993F" w:rsidR="00B65175" w:rsidRDefault="009D783F" w:rsidP="00C06C69">
      <w:pPr>
        <w:pStyle w:val="DJRbody"/>
      </w:pPr>
      <w:r w:rsidRPr="009D783F">
        <w:t>Reform 74 of the Fairer</w:t>
      </w:r>
      <w:r w:rsidR="00E43B15">
        <w:t>,</w:t>
      </w:r>
      <w:r w:rsidRPr="009D783F">
        <w:t xml:space="preserve"> Safer Housing reforms provides that the Director </w:t>
      </w:r>
      <w:r w:rsidR="00C176AB">
        <w:t>may</w:t>
      </w:r>
      <w:r w:rsidR="00C176AB" w:rsidRPr="009D783F">
        <w:t xml:space="preserve"> </w:t>
      </w:r>
      <w:r w:rsidRPr="009D783F">
        <w:t>issue guidelines for interpreting ‘endanger’, which must be taken into account by VCAT when a possession order is sought following a notice to vacate being given for this reason.</w:t>
      </w:r>
      <w:r w:rsidR="00F42FBC">
        <w:t xml:space="preserve"> The intention of this reform was to provide</w:t>
      </w:r>
      <w:r w:rsidR="003457D8">
        <w:t xml:space="preserve"> greater guidance </w:t>
      </w:r>
      <w:r w:rsidR="00371751">
        <w:t xml:space="preserve">to VCAT, and the greater public, </w:t>
      </w:r>
      <w:r w:rsidR="003457D8">
        <w:t xml:space="preserve">on </w:t>
      </w:r>
      <w:r w:rsidR="00EF1649">
        <w:t>how and in what circumstances a renter may be found to</w:t>
      </w:r>
      <w:r w:rsidR="00371751">
        <w:t xml:space="preserve"> endanger others</w:t>
      </w:r>
      <w:r w:rsidR="00D405D2">
        <w:t>.</w:t>
      </w:r>
      <w:r w:rsidR="00671A03">
        <w:t xml:space="preserve"> </w:t>
      </w:r>
      <w:r w:rsidR="00671A03" w:rsidRPr="00D77D96">
        <w:t>This reform also applies to rooming houses, caravan parks</w:t>
      </w:r>
      <w:r w:rsidR="00671A03" w:rsidRPr="00D77D96" w:rsidDel="00E377F5">
        <w:t xml:space="preserve"> and</w:t>
      </w:r>
      <w:r w:rsidR="00671A03">
        <w:t xml:space="preserve"> residential parks (a park where a Part 4A site is rented)</w:t>
      </w:r>
      <w:r w:rsidR="000F350F">
        <w:t xml:space="preserve">. </w:t>
      </w:r>
      <w:r w:rsidR="008E651C">
        <w:t xml:space="preserve">Under section </w:t>
      </w:r>
      <w:r w:rsidR="00773F25">
        <w:t>498ZZH(</w:t>
      </w:r>
      <w:r w:rsidR="00D81F31">
        <w:t>1</w:t>
      </w:r>
      <w:r w:rsidR="00773F25">
        <w:t xml:space="preserve">A) </w:t>
      </w:r>
      <w:r w:rsidR="008E651C">
        <w:t xml:space="preserve">of the Act, VCAT must also have regard to this guideline </w:t>
      </w:r>
      <w:r w:rsidR="00741F80">
        <w:t xml:space="preserve">when determining an application for a possession order </w:t>
      </w:r>
      <w:r w:rsidR="00A8718F">
        <w:t xml:space="preserve">in relation to a SDA enrolled </w:t>
      </w:r>
      <w:r w:rsidR="0036310D">
        <w:t>dwelling</w:t>
      </w:r>
      <w:r w:rsidR="00757193">
        <w:t>,</w:t>
      </w:r>
      <w:r w:rsidR="0036310D">
        <w:rPr>
          <w:rStyle w:val="CommentReference"/>
          <w:rFonts w:ascii="Cambria" w:eastAsia="Times New Roman" w:hAnsi="Cambria"/>
        </w:rPr>
        <w:t xml:space="preserve"> </w:t>
      </w:r>
      <w:r w:rsidR="0036310D">
        <w:t>which</w:t>
      </w:r>
      <w:r w:rsidR="00741F80">
        <w:t xml:space="preserve"> is supported by a notice to vacat</w:t>
      </w:r>
      <w:r w:rsidR="00ED4297">
        <w:t>e.</w:t>
      </w:r>
    </w:p>
    <w:p w14:paraId="6B88A1BB" w14:textId="649BD37F" w:rsidR="005F139A" w:rsidRDefault="00F918B4" w:rsidP="00630557">
      <w:pPr>
        <w:pStyle w:val="Heading1"/>
      </w:pPr>
      <w:bookmarkStart w:id="5" w:name="_Toc63768781"/>
      <w:r>
        <w:t>4</w:t>
      </w:r>
      <w:r w:rsidR="00EF33A5">
        <w:t xml:space="preserve">. </w:t>
      </w:r>
      <w:r w:rsidR="00EF33A5">
        <w:tab/>
      </w:r>
      <w:r w:rsidR="00882F9B">
        <w:t xml:space="preserve">The </w:t>
      </w:r>
      <w:bookmarkEnd w:id="5"/>
      <w:r w:rsidR="00560465">
        <w:t>law</w:t>
      </w:r>
    </w:p>
    <w:p w14:paraId="4CB6DA6F" w14:textId="7B2F89DA" w:rsidR="0069303F" w:rsidRPr="00C06C69" w:rsidRDefault="00F918B4" w:rsidP="00AA7ED4">
      <w:pPr>
        <w:pStyle w:val="Heading2"/>
      </w:pPr>
      <w:bookmarkStart w:id="6" w:name="_Toc63768782"/>
      <w:r>
        <w:t>4</w:t>
      </w:r>
      <w:r w:rsidR="0041612B">
        <w:t xml:space="preserve">.1 </w:t>
      </w:r>
      <w:r w:rsidR="0041612B" w:rsidRPr="00C06C69">
        <w:tab/>
      </w:r>
      <w:r w:rsidR="0069303F" w:rsidRPr="00C06C69">
        <w:t>Legislation</w:t>
      </w:r>
      <w:bookmarkEnd w:id="6"/>
    </w:p>
    <w:p w14:paraId="1DC06F4A" w14:textId="17C0C207" w:rsidR="00AC5B19" w:rsidRDefault="006B27BD" w:rsidP="006B27BD">
      <w:pPr>
        <w:pStyle w:val="DJRbody"/>
      </w:pPr>
      <w:r>
        <w:t xml:space="preserve">Prior to the commencement of the RTAA on 29 March 2021, notices to vacate for danger were given under section 244 of the </w:t>
      </w:r>
      <w:r w:rsidR="00B95086">
        <w:t>Act</w:t>
      </w:r>
      <w:r>
        <w:t xml:space="preserve"> and could only be given in relation to acts or omissions which endanger</w:t>
      </w:r>
      <w:r w:rsidR="00B95086">
        <w:t>ed</w:t>
      </w:r>
      <w:r>
        <w:t xml:space="preserve"> the safety of occupiers of neighbouring premises.</w:t>
      </w:r>
      <w:r w:rsidR="00AC5B19">
        <w:t xml:space="preserve"> </w:t>
      </w:r>
    </w:p>
    <w:p w14:paraId="04481355" w14:textId="3F50A80C" w:rsidR="006B27BD" w:rsidRDefault="00AC5B19" w:rsidP="006B27BD">
      <w:pPr>
        <w:pStyle w:val="DJRbody"/>
      </w:pPr>
      <w:r>
        <w:t xml:space="preserve">Section 244 has now been repealed, and notices to vacate </w:t>
      </w:r>
      <w:r w:rsidR="004E349F">
        <w:t xml:space="preserve">for </w:t>
      </w:r>
      <w:r w:rsidR="009A3C31">
        <w:t>danger</w:t>
      </w:r>
      <w:r>
        <w:t xml:space="preserve"> are issued under new sections </w:t>
      </w:r>
      <w:r w:rsidRPr="00FE0C90">
        <w:t>91ZJ (rent</w:t>
      </w:r>
      <w:r w:rsidR="001E680C">
        <w:t>ed premises</w:t>
      </w:r>
      <w:r w:rsidRPr="00FE0C90">
        <w:t>), 142ZC (rooming house</w:t>
      </w:r>
      <w:r>
        <w:t>s</w:t>
      </w:r>
      <w:r w:rsidRPr="00FE0C90">
        <w:t>), 206AR (caravan park</w:t>
      </w:r>
      <w:r>
        <w:t>s</w:t>
      </w:r>
      <w:r w:rsidRPr="00FE0C90">
        <w:t>), 207X (</w:t>
      </w:r>
      <w:r>
        <w:t>residential parks</w:t>
      </w:r>
      <w:r w:rsidRPr="00FE0C90">
        <w:t>)</w:t>
      </w:r>
      <w:r w:rsidR="001E680C">
        <w:t xml:space="preserve"> and</w:t>
      </w:r>
      <w:r w:rsidRPr="00FE0C90">
        <w:t xml:space="preserve"> 498ZX(1)(b)</w:t>
      </w:r>
      <w:r>
        <w:t xml:space="preserve"> (</w:t>
      </w:r>
      <w:r w:rsidR="001E680C">
        <w:t>SDA enrolled dwellings</w:t>
      </w:r>
      <w:r>
        <w:t>).</w:t>
      </w:r>
      <w:r>
        <w:rPr>
          <w:rStyle w:val="FootnoteReference"/>
        </w:rPr>
        <w:footnoteReference w:id="4"/>
      </w:r>
    </w:p>
    <w:p w14:paraId="455CDF5F" w14:textId="25568B59" w:rsidR="0010292E" w:rsidRDefault="009B16A1" w:rsidP="005F139A">
      <w:pPr>
        <w:pStyle w:val="DJRbody"/>
      </w:pPr>
      <w:r>
        <w:t>Section 91ZJ</w:t>
      </w:r>
      <w:r w:rsidR="00D778CF">
        <w:t xml:space="preserve"> of the Act</w:t>
      </w:r>
      <w:r w:rsidR="00F45972">
        <w:t xml:space="preserve">, and the other relevant </w:t>
      </w:r>
      <w:r w:rsidR="009E2DDB">
        <w:t>sections</w:t>
      </w:r>
      <w:r w:rsidR="00F45972">
        <w:t>, provide for the</w:t>
      </w:r>
      <w:r>
        <w:t xml:space="preserve"> </w:t>
      </w:r>
      <w:r w:rsidR="00DD1A0B">
        <w:t>RRP</w:t>
      </w:r>
      <w:r w:rsidR="003B0F78">
        <w:t xml:space="preserve"> </w:t>
      </w:r>
      <w:r>
        <w:t xml:space="preserve">to give a notice to vacate </w:t>
      </w:r>
      <w:r w:rsidR="003B0F78">
        <w:t xml:space="preserve">on the basis that the renter or their visitor by act or omission endangers the safety of the </w:t>
      </w:r>
      <w:r w:rsidR="00DD1A0B">
        <w:t>RRP</w:t>
      </w:r>
      <w:r w:rsidR="003B0F78">
        <w:t xml:space="preserve">, their agent, neighbours, or contractor or employee of the </w:t>
      </w:r>
      <w:r w:rsidR="005C3A9B">
        <w:t>RRP</w:t>
      </w:r>
      <w:r w:rsidR="00C93518">
        <w:t xml:space="preserve"> or their agent</w:t>
      </w:r>
      <w:r w:rsidR="003B0F78">
        <w:t>.</w:t>
      </w:r>
      <w:r w:rsidR="007B06BE">
        <w:t xml:space="preserve"> </w:t>
      </w:r>
      <w:r w:rsidR="003811DC">
        <w:t>T</w:t>
      </w:r>
      <w:r w:rsidR="003B0F78">
        <w:t xml:space="preserve">he </w:t>
      </w:r>
      <w:r w:rsidR="005C3A9B">
        <w:t>RRP</w:t>
      </w:r>
      <w:r w:rsidR="003B0F78">
        <w:t xml:space="preserve"> </w:t>
      </w:r>
      <w:r w:rsidR="0010292E" w:rsidRPr="0010292E">
        <w:t xml:space="preserve">is </w:t>
      </w:r>
      <w:r w:rsidR="0010292E" w:rsidRPr="0010292E">
        <w:lastRenderedPageBreak/>
        <w:t xml:space="preserve">not entitled to give a notice to vacate </w:t>
      </w:r>
      <w:r w:rsidR="0010292E">
        <w:t>for danger i</w:t>
      </w:r>
      <w:r w:rsidR="0010292E" w:rsidRPr="0010292E">
        <w:t xml:space="preserve">f a notice to leave </w:t>
      </w:r>
      <w:r w:rsidR="0010292E">
        <w:t>for serious violence (</w:t>
      </w:r>
      <w:r w:rsidR="0010292E" w:rsidRPr="0010292E">
        <w:t>under section 368</w:t>
      </w:r>
      <w:r w:rsidR="00AA4C67">
        <w:t xml:space="preserve"> of the Act</w:t>
      </w:r>
      <w:r w:rsidR="0010292E">
        <w:t>)</w:t>
      </w:r>
      <w:r w:rsidR="0010292E" w:rsidRPr="0010292E">
        <w:t xml:space="preserve"> has </w:t>
      </w:r>
      <w:r w:rsidR="0010292E">
        <w:t>already been</w:t>
      </w:r>
      <w:r w:rsidR="0010292E" w:rsidRPr="0010292E">
        <w:t xml:space="preserve"> given in respect of </w:t>
      </w:r>
      <w:r w:rsidR="00903D68">
        <w:t xml:space="preserve">a </w:t>
      </w:r>
      <w:r w:rsidR="0010292E">
        <w:t>renter</w:t>
      </w:r>
      <w:r w:rsidR="0010292E" w:rsidDel="00AA4C67">
        <w:t>’s</w:t>
      </w:r>
      <w:r w:rsidR="0010292E">
        <w:t xml:space="preserve"> or visitor’s act or omission.</w:t>
      </w:r>
    </w:p>
    <w:p w14:paraId="40107B1D" w14:textId="7F2BF568" w:rsidR="00054DA2" w:rsidRDefault="00D00ADA" w:rsidP="00054DA2">
      <w:pPr>
        <w:pStyle w:val="DJRbody"/>
      </w:pPr>
      <w:r>
        <w:t>Under section 330(3)</w:t>
      </w:r>
      <w:r w:rsidR="00F16FF8">
        <w:t xml:space="preserve"> of the Act</w:t>
      </w:r>
      <w:r>
        <w:t xml:space="preserve">, VCAT must have regard to any guidelines issued by the Director when determining any application for a possession order which is supported by a notice to vacate </w:t>
      </w:r>
      <w:r w:rsidR="00826E3B">
        <w:t xml:space="preserve">given </w:t>
      </w:r>
      <w:r>
        <w:t xml:space="preserve">under sections </w:t>
      </w:r>
      <w:r w:rsidRPr="1A8EAFBB">
        <w:rPr>
          <w:sz w:val="23"/>
          <w:szCs w:val="23"/>
        </w:rPr>
        <w:t>91ZJ, 142ZC, 206AR</w:t>
      </w:r>
      <w:r w:rsidR="00650435">
        <w:rPr>
          <w:sz w:val="23"/>
          <w:szCs w:val="23"/>
        </w:rPr>
        <w:t xml:space="preserve"> </w:t>
      </w:r>
      <w:r w:rsidRPr="1A8EAFBB">
        <w:rPr>
          <w:sz w:val="23"/>
          <w:szCs w:val="23"/>
        </w:rPr>
        <w:t>or 207X</w:t>
      </w:r>
      <w:r w:rsidR="003E17BA">
        <w:t xml:space="preserve"> of the Act</w:t>
      </w:r>
      <w:r w:rsidR="003811DC">
        <w:t>.</w:t>
      </w:r>
    </w:p>
    <w:p w14:paraId="6E2D9173" w14:textId="0C71B115" w:rsidR="004B75D1" w:rsidRDefault="004B75D1" w:rsidP="00054DA2">
      <w:pPr>
        <w:pStyle w:val="DJRbody"/>
      </w:pPr>
      <w:r>
        <w:t xml:space="preserve">In relation to SDA enrolled dwellings, </w:t>
      </w:r>
      <w:r w:rsidR="001622AF">
        <w:t>under section 498ZZH(1A)</w:t>
      </w:r>
      <w:r w:rsidR="001C3165">
        <w:t xml:space="preserve"> of the Act</w:t>
      </w:r>
      <w:r w:rsidR="001622AF">
        <w:t xml:space="preserve">, </w:t>
      </w:r>
      <w:r>
        <w:t xml:space="preserve">VCAT </w:t>
      </w:r>
      <w:r w:rsidR="007C5B27">
        <w:t>must have regard to the Director’s guidelines when determining an application for a possession order supported by a notice to vacate</w:t>
      </w:r>
      <w:r w:rsidR="00F40275">
        <w:t xml:space="preserve"> </w:t>
      </w:r>
      <w:r w:rsidR="0072008D">
        <w:t xml:space="preserve">under section 498ZX of the Act. </w:t>
      </w:r>
    </w:p>
    <w:p w14:paraId="1083A898" w14:textId="7ABC4D21" w:rsidR="000712EE" w:rsidRDefault="00F918B4" w:rsidP="00AA7ED4">
      <w:pPr>
        <w:pStyle w:val="Heading2"/>
      </w:pPr>
      <w:bookmarkStart w:id="7" w:name="_Toc63768783"/>
      <w:r>
        <w:t>4</w:t>
      </w:r>
      <w:r w:rsidR="00AB7635">
        <w:t>.2</w:t>
      </w:r>
      <w:r w:rsidR="0EBBC0B9">
        <w:t xml:space="preserve"> </w:t>
      </w:r>
      <w:r w:rsidR="00AB7635" w:rsidRPr="00C06C69">
        <w:tab/>
      </w:r>
      <w:r w:rsidR="005F139A" w:rsidRPr="00C06C69">
        <w:t>Case law</w:t>
      </w:r>
      <w:bookmarkEnd w:id="7"/>
    </w:p>
    <w:p w14:paraId="4F5EE042" w14:textId="4E0F0EBE" w:rsidR="009C38EA" w:rsidRDefault="669ECCAC" w:rsidP="00EF14FA">
      <w:pPr>
        <w:pStyle w:val="DJRbody"/>
      </w:pPr>
      <w:r>
        <w:t xml:space="preserve">Most case law </w:t>
      </w:r>
      <w:r w:rsidR="7C153BEF">
        <w:t>on</w:t>
      </w:r>
      <w:r>
        <w:t xml:space="preserve"> the term </w:t>
      </w:r>
      <w:r w:rsidR="4AB8DE32">
        <w:t>‘</w:t>
      </w:r>
      <w:r>
        <w:t>endanger</w:t>
      </w:r>
      <w:r w:rsidR="7A269741">
        <w:t>’</w:t>
      </w:r>
      <w:r>
        <w:t xml:space="preserve">, </w:t>
      </w:r>
      <w:r w:rsidR="27C20EDC">
        <w:t>within</w:t>
      </w:r>
      <w:r w:rsidR="04A45726">
        <w:t xml:space="preserve"> residential tenancies matters,</w:t>
      </w:r>
      <w:r w:rsidR="7C153BEF">
        <w:t xml:space="preserve"> relates to </w:t>
      </w:r>
      <w:r w:rsidR="00B26B70">
        <w:t xml:space="preserve">notices </w:t>
      </w:r>
      <w:r w:rsidR="003E089E">
        <w:t>to vacate for danger given</w:t>
      </w:r>
      <w:r w:rsidR="00B26B70">
        <w:t xml:space="preserve"> under section 244 of the </w:t>
      </w:r>
      <w:r w:rsidR="00F516A1">
        <w:t xml:space="preserve">Act </w:t>
      </w:r>
      <w:r w:rsidR="00B26B70">
        <w:t xml:space="preserve">before </w:t>
      </w:r>
      <w:r w:rsidR="00F516A1">
        <w:t>commencement of</w:t>
      </w:r>
      <w:r w:rsidR="00B26B70">
        <w:t xml:space="preserve"> the RTAA</w:t>
      </w:r>
      <w:r w:rsidR="00F516A1">
        <w:t xml:space="preserve"> on 29 March 2021</w:t>
      </w:r>
      <w:r w:rsidR="4CA70104">
        <w:t>.</w:t>
      </w:r>
      <w:r w:rsidR="003E089E">
        <w:t xml:space="preserve"> </w:t>
      </w:r>
    </w:p>
    <w:p w14:paraId="0A1A7B8A" w14:textId="54FF5747" w:rsidR="00111A0E" w:rsidRDefault="00111A0E" w:rsidP="00EF14FA">
      <w:pPr>
        <w:pStyle w:val="DJRbody"/>
      </w:pPr>
      <w:r>
        <w:t xml:space="preserve">Notices </w:t>
      </w:r>
      <w:r w:rsidR="00DB0185">
        <w:t xml:space="preserve">to vacate </w:t>
      </w:r>
      <w:r w:rsidR="009C38EA">
        <w:t xml:space="preserve">given </w:t>
      </w:r>
      <w:r>
        <w:t>under section 244</w:t>
      </w:r>
      <w:r w:rsidR="00DB0185">
        <w:t xml:space="preserve"> </w:t>
      </w:r>
      <w:r w:rsidR="009C38EA">
        <w:t>before 29 March 2021</w:t>
      </w:r>
      <w:r>
        <w:t xml:space="preserve"> applied only to rental </w:t>
      </w:r>
      <w:r w:rsidR="006B27BD">
        <w:t>properties and</w:t>
      </w:r>
      <w:r>
        <w:t xml:space="preserve"> w</w:t>
      </w:r>
      <w:r w:rsidR="009C38EA">
        <w:t>ere</w:t>
      </w:r>
      <w:r>
        <w:t xml:space="preserve"> limited to </w:t>
      </w:r>
      <w:r w:rsidR="00CA4811">
        <w:t>acts or omissions which endanger</w:t>
      </w:r>
      <w:r w:rsidR="009C38EA">
        <w:t>ed</w:t>
      </w:r>
      <w:r w:rsidR="00CA4811">
        <w:t xml:space="preserve"> the safety of occupiers of neighbouring premises. </w:t>
      </w:r>
      <w:r w:rsidR="00D9588C">
        <w:t xml:space="preserve">From 29 March 2021, </w:t>
      </w:r>
      <w:r w:rsidR="00985444">
        <w:t xml:space="preserve">section 91ZJ </w:t>
      </w:r>
      <w:r w:rsidR="00782D9A">
        <w:t>has been expanded to include danger to the R</w:t>
      </w:r>
      <w:r w:rsidR="2FB2BCFA">
        <w:t>R</w:t>
      </w:r>
      <w:r w:rsidR="00782D9A">
        <w:t xml:space="preserve">P, their agent and contractors, </w:t>
      </w:r>
      <w:r w:rsidR="00D9588C">
        <w:t xml:space="preserve">however, </w:t>
      </w:r>
      <w:r w:rsidR="006A0991">
        <w:t xml:space="preserve">it expected that </w:t>
      </w:r>
      <w:r w:rsidR="005C46D3">
        <w:t xml:space="preserve">a </w:t>
      </w:r>
      <w:r w:rsidR="006A0991">
        <w:t xml:space="preserve">similar </w:t>
      </w:r>
      <w:r w:rsidR="005C46D3">
        <w:t xml:space="preserve">interpretation </w:t>
      </w:r>
      <w:r w:rsidR="00D9588C">
        <w:t>would</w:t>
      </w:r>
      <w:r w:rsidR="005C46D3">
        <w:t xml:space="preserve"> be applied</w:t>
      </w:r>
      <w:r w:rsidR="00D9588C">
        <w:t xml:space="preserve"> by the courts</w:t>
      </w:r>
      <w:r w:rsidR="005C46D3">
        <w:t xml:space="preserve">. </w:t>
      </w:r>
      <w:r w:rsidR="006A0991">
        <w:t xml:space="preserve"> </w:t>
      </w:r>
      <w:r w:rsidR="00CA4811">
        <w:t xml:space="preserve">  </w:t>
      </w:r>
    </w:p>
    <w:p w14:paraId="226F9CA7" w14:textId="4D798EF5" w:rsidR="005C3A9B" w:rsidRDefault="005C46D3" w:rsidP="00EF14FA">
      <w:pPr>
        <w:pStyle w:val="DJRbody"/>
      </w:pPr>
      <w:r>
        <w:t xml:space="preserve">Additionally, </w:t>
      </w:r>
      <w:r w:rsidR="000F1BE5">
        <w:t>although the case law refers to notices</w:t>
      </w:r>
      <w:r w:rsidR="00DB0185">
        <w:t xml:space="preserve"> to vacate for danger</w:t>
      </w:r>
      <w:r w:rsidR="000F1BE5">
        <w:t xml:space="preserve"> </w:t>
      </w:r>
      <w:r w:rsidR="00CD4334">
        <w:t>given</w:t>
      </w:r>
      <w:r w:rsidR="00D9588C">
        <w:t xml:space="preserve"> </w:t>
      </w:r>
      <w:r w:rsidR="000F1BE5">
        <w:t xml:space="preserve">to </w:t>
      </w:r>
      <w:r w:rsidR="00DD02EE">
        <w:t xml:space="preserve">renters </w:t>
      </w:r>
      <w:r w:rsidR="008F282D">
        <w:t>under</w:t>
      </w:r>
      <w:r w:rsidR="00DD02EE" w:rsidDel="008F282D">
        <w:t xml:space="preserve"> </w:t>
      </w:r>
      <w:r w:rsidR="00DD02EE">
        <w:t xml:space="preserve">private and public rental </w:t>
      </w:r>
      <w:r w:rsidR="00625149">
        <w:t xml:space="preserve">agreements, </w:t>
      </w:r>
      <w:r w:rsidR="4CA70104">
        <w:t>it is expected that the case</w:t>
      </w:r>
      <w:r w:rsidR="131DD843">
        <w:t xml:space="preserve"> </w:t>
      </w:r>
      <w:r w:rsidR="4CA70104">
        <w:t xml:space="preserve">law will be applicable to rooming houses, </w:t>
      </w:r>
      <w:r w:rsidR="5BE7EB80">
        <w:t xml:space="preserve">caravan parks, </w:t>
      </w:r>
      <w:r w:rsidR="009752A9">
        <w:t>residential parks</w:t>
      </w:r>
      <w:r w:rsidR="5BE7EB80">
        <w:t xml:space="preserve"> and </w:t>
      </w:r>
      <w:r w:rsidR="00DB0185">
        <w:t>SDA enrolled dwellings</w:t>
      </w:r>
      <w:r w:rsidR="5BE7EB80">
        <w:t xml:space="preserve">. </w:t>
      </w:r>
      <w:r w:rsidR="04A45726">
        <w:t xml:space="preserve"> </w:t>
      </w:r>
    </w:p>
    <w:p w14:paraId="7FCB2953" w14:textId="7712BC31" w:rsidR="00C93518" w:rsidRDefault="00C93518" w:rsidP="00EF14FA">
      <w:pPr>
        <w:pStyle w:val="DJRbody"/>
      </w:pPr>
      <w:r>
        <w:t xml:space="preserve">The present tense ‘endangers’ has been interpreted by the Supreme Court </w:t>
      </w:r>
      <w:r w:rsidR="005B17B7">
        <w:t xml:space="preserve">of Victoria (the Court) </w:t>
      </w:r>
      <w:r>
        <w:t>to mean that the conduct must be continuing at the time the notice to vacate was given.</w:t>
      </w:r>
      <w:r>
        <w:rPr>
          <w:rStyle w:val="FootnoteReference"/>
        </w:rPr>
        <w:footnoteReference w:id="5"/>
      </w:r>
      <w:r>
        <w:t xml:space="preserve"> The </w:t>
      </w:r>
      <w:r w:rsidR="005B17B7">
        <w:t>C</w:t>
      </w:r>
      <w:r>
        <w:t xml:space="preserve">ourt was not persuaded to read the requirement as ‘the renter had endangered the safety’ as </w:t>
      </w:r>
      <w:r w:rsidR="005B17B7">
        <w:t xml:space="preserve">this </w:t>
      </w:r>
      <w:r>
        <w:t>would lead to ‘harsh, unfair and absurd results’.</w:t>
      </w:r>
      <w:r w:rsidRPr="00C93518">
        <w:t xml:space="preserve"> </w:t>
      </w:r>
      <w:r w:rsidR="00B464E0">
        <w:t>T</w:t>
      </w:r>
      <w:r w:rsidR="003F5EFF">
        <w:t xml:space="preserve">he </w:t>
      </w:r>
      <w:r>
        <w:t xml:space="preserve">immediate nature of the termination could result in misuse where historical acts or omissions could lead to unrelated evictions.   </w:t>
      </w:r>
    </w:p>
    <w:p w14:paraId="2B29CFB1" w14:textId="62C4206C" w:rsidR="00AF60E3" w:rsidRDefault="00AF60E3" w:rsidP="00A05895">
      <w:pPr>
        <w:pStyle w:val="DJRbody"/>
      </w:pPr>
      <w:r>
        <w:t xml:space="preserve">In other contexts, the courts have </w:t>
      </w:r>
      <w:r w:rsidR="00A32770">
        <w:t>referred to the term’s ordinary meaning. The Macquarie Dictionary definition</w:t>
      </w:r>
      <w:r w:rsidR="00C17B80">
        <w:t xml:space="preserve"> of endanger</w:t>
      </w:r>
      <w:r w:rsidR="00A32770">
        <w:t xml:space="preserve"> </w:t>
      </w:r>
      <w:r w:rsidR="00903D68">
        <w:t xml:space="preserve">uses </w:t>
      </w:r>
      <w:r w:rsidR="00A32770">
        <w:t>phrases such as ‘to expose to danger’ and ‘to put in peril’. Thus, an act ‘endangers’ life if it ‘gives rise to a real or substantial risk to life or threat to life’.</w:t>
      </w:r>
      <w:r w:rsidR="00A32770">
        <w:rPr>
          <w:rStyle w:val="FootnoteReference"/>
        </w:rPr>
        <w:footnoteReference w:id="6"/>
      </w:r>
      <w:r w:rsidR="00A32770">
        <w:t xml:space="preserve"> The Oxford English Dictionary </w:t>
      </w:r>
      <w:r w:rsidR="00784316">
        <w:t>defines endanger as ‘to expose to danger or cause danger to’ with danger described as ‘liability or exposure to harm or injury; the condition of being exposed to the chance of evil; risk, peril’.</w:t>
      </w:r>
      <w:r w:rsidR="00784316">
        <w:rPr>
          <w:rStyle w:val="FootnoteReference"/>
        </w:rPr>
        <w:footnoteReference w:id="7"/>
      </w:r>
    </w:p>
    <w:p w14:paraId="1C23DB4F" w14:textId="4B6E39CD" w:rsidR="00C21644" w:rsidRDefault="00D30435" w:rsidP="00A05895">
      <w:pPr>
        <w:pStyle w:val="DJRbody"/>
      </w:pPr>
      <w:r>
        <w:t xml:space="preserve">The </w:t>
      </w:r>
      <w:r w:rsidR="00C21644">
        <w:t>following examples</w:t>
      </w:r>
      <w:r w:rsidR="0029270B">
        <w:t xml:space="preserve">, from previous VCAT cases, </w:t>
      </w:r>
      <w:r w:rsidR="00C93518">
        <w:t xml:space="preserve">were found </w:t>
      </w:r>
      <w:r w:rsidR="0087129C">
        <w:t>to</w:t>
      </w:r>
      <w:r w:rsidR="00C93518">
        <w:t xml:space="preserve"> </w:t>
      </w:r>
      <w:r w:rsidR="00C21644">
        <w:t xml:space="preserve">meet the </w:t>
      </w:r>
      <w:r>
        <w:t xml:space="preserve">requirements of </w:t>
      </w:r>
      <w:r w:rsidR="006F78B5">
        <w:t xml:space="preserve">former </w:t>
      </w:r>
      <w:r>
        <w:t xml:space="preserve">section </w:t>
      </w:r>
      <w:r w:rsidR="00B1176B">
        <w:t xml:space="preserve">244 </w:t>
      </w:r>
      <w:r w:rsidR="00BF5BDA">
        <w:t>of the Act</w:t>
      </w:r>
      <w:r w:rsidR="00C21644">
        <w:t>:</w:t>
      </w:r>
    </w:p>
    <w:p w14:paraId="33720B1B" w14:textId="4423C64E" w:rsidR="00D30435" w:rsidRDefault="00EF14FA" w:rsidP="003811DC">
      <w:pPr>
        <w:pStyle w:val="DJRbody"/>
        <w:numPr>
          <w:ilvl w:val="0"/>
          <w:numId w:val="16"/>
        </w:numPr>
      </w:pPr>
      <w:r>
        <w:t>After a dispute, a r</w:t>
      </w:r>
      <w:r w:rsidR="00C93518">
        <w:t>ente</w:t>
      </w:r>
      <w:r>
        <w:t xml:space="preserve">r </w:t>
      </w:r>
      <w:r w:rsidR="00C93518">
        <w:t xml:space="preserve">fired a gun at neighbours in </w:t>
      </w:r>
      <w:r>
        <w:t xml:space="preserve">the </w:t>
      </w:r>
      <w:r w:rsidR="00C93518">
        <w:t xml:space="preserve">apartment block and </w:t>
      </w:r>
      <w:r>
        <w:t>made threats</w:t>
      </w:r>
      <w:r w:rsidR="001A636B">
        <w:t xml:space="preserve"> to them</w:t>
      </w:r>
      <w:r w:rsidR="00C93518">
        <w:t xml:space="preserve">. </w:t>
      </w:r>
      <w:r>
        <w:t>Following the renter</w:t>
      </w:r>
      <w:r w:rsidR="001A636B">
        <w:t>’</w:t>
      </w:r>
      <w:r>
        <w:t>s release from police custody</w:t>
      </w:r>
      <w:r w:rsidR="00BF5BDA">
        <w:t>,</w:t>
      </w:r>
      <w:r>
        <w:t xml:space="preserve"> a notice to vacate was served</w:t>
      </w:r>
      <w:r w:rsidR="001A636B">
        <w:t xml:space="preserve"> on the basis that the renter was a continuing danger to his neighbours</w:t>
      </w:r>
      <w:r>
        <w:t xml:space="preserve">. </w:t>
      </w:r>
      <w:r w:rsidR="001A636B">
        <w:t>VCAT</w:t>
      </w:r>
      <w:r>
        <w:t xml:space="preserve"> was</w:t>
      </w:r>
      <w:r w:rsidR="00C93518">
        <w:t xml:space="preserve"> </w:t>
      </w:r>
      <w:r w:rsidR="001A636B">
        <w:t>persuaded</w:t>
      </w:r>
      <w:r w:rsidR="00C93518">
        <w:t xml:space="preserve"> </w:t>
      </w:r>
      <w:r>
        <w:t xml:space="preserve">that the </w:t>
      </w:r>
      <w:r w:rsidR="001A636B">
        <w:t>renter’s</w:t>
      </w:r>
      <w:r>
        <w:t xml:space="preserve"> grievance was likely ongoing and </w:t>
      </w:r>
      <w:r w:rsidR="00C93518">
        <w:t>he remained a threat to those neighbours.</w:t>
      </w:r>
      <w:r w:rsidR="00C93518">
        <w:rPr>
          <w:rStyle w:val="FootnoteReference"/>
        </w:rPr>
        <w:footnoteReference w:id="8"/>
      </w:r>
      <w:r>
        <w:t xml:space="preserve"> </w:t>
      </w:r>
      <w:r w:rsidR="001A636B">
        <w:t xml:space="preserve">In this case, </w:t>
      </w:r>
      <w:r>
        <w:t xml:space="preserve">the notice to vacate was triggered by the discharge of the </w:t>
      </w:r>
      <w:r>
        <w:lastRenderedPageBreak/>
        <w:t xml:space="preserve">firearm, </w:t>
      </w:r>
      <w:r w:rsidR="001A636B">
        <w:t xml:space="preserve">however </w:t>
      </w:r>
      <w:r>
        <w:t xml:space="preserve">the ongoing nature of the </w:t>
      </w:r>
      <w:r w:rsidR="001A636B">
        <w:t xml:space="preserve">dispute and the renter’s aggrieved state </w:t>
      </w:r>
      <w:r>
        <w:t>present</w:t>
      </w:r>
      <w:r w:rsidR="001A636B">
        <w:t>ed</w:t>
      </w:r>
      <w:r>
        <w:t xml:space="preserve"> a continuing danger to the neighbours.  </w:t>
      </w:r>
    </w:p>
    <w:p w14:paraId="42DC7A29" w14:textId="3A03506D" w:rsidR="00354112" w:rsidRDefault="00354112" w:rsidP="003811DC">
      <w:pPr>
        <w:pStyle w:val="DJRbody"/>
        <w:numPr>
          <w:ilvl w:val="0"/>
          <w:numId w:val="16"/>
        </w:numPr>
      </w:pPr>
      <w:r>
        <w:t xml:space="preserve">The renter was already the subject of an intervention order </w:t>
      </w:r>
      <w:r w:rsidR="00F977BF">
        <w:t xml:space="preserve">in favour of </w:t>
      </w:r>
      <w:r>
        <w:t>a neighbour. Following the</w:t>
      </w:r>
      <w:r w:rsidR="006657A2">
        <w:t xml:space="preserve"> making of</w:t>
      </w:r>
      <w:r>
        <w:t xml:space="preserve"> the intervention order</w:t>
      </w:r>
      <w:r w:rsidR="00F21207">
        <w:t>,</w:t>
      </w:r>
      <w:r>
        <w:t xml:space="preserve"> the renter</w:t>
      </w:r>
      <w:r w:rsidR="00F21207">
        <w:t>’</w:t>
      </w:r>
      <w:r>
        <w:t xml:space="preserve">s visitors harassed </w:t>
      </w:r>
      <w:r w:rsidR="00276AE1">
        <w:t xml:space="preserve">the neighbour </w:t>
      </w:r>
      <w:r>
        <w:t xml:space="preserve">and graffitied his residence. There was a history of conflict and a threat to kill was made in aggressive terms. In this matter, VCAT was satisfied that the history of the dispute and the continued nature of the </w:t>
      </w:r>
      <w:r w:rsidR="00F12D99">
        <w:t xml:space="preserve">renter’s </w:t>
      </w:r>
      <w:r>
        <w:t>threats were sufficient to represent an ongoing danger to the neighbour.</w:t>
      </w:r>
      <w:r>
        <w:rPr>
          <w:rStyle w:val="FootnoteReference"/>
        </w:rPr>
        <w:footnoteReference w:id="9"/>
      </w:r>
    </w:p>
    <w:p w14:paraId="75DDC04E" w14:textId="43318153" w:rsidR="00D30435" w:rsidRDefault="00354112" w:rsidP="003811DC">
      <w:pPr>
        <w:pStyle w:val="DJRbody"/>
        <w:numPr>
          <w:ilvl w:val="0"/>
          <w:numId w:val="16"/>
        </w:numPr>
      </w:pPr>
      <w:r>
        <w:t>The r</w:t>
      </w:r>
      <w:r w:rsidR="00D30435" w:rsidRPr="00D30435">
        <w:t>enter was verbally abusive, made threats to kill and broke the window of neighbour.</w:t>
      </w:r>
      <w:r w:rsidR="00EF14FA">
        <w:rPr>
          <w:rStyle w:val="FootnoteReference"/>
        </w:rPr>
        <w:footnoteReference w:id="10"/>
      </w:r>
      <w:r w:rsidR="00EF14FA">
        <w:t xml:space="preserve"> </w:t>
      </w:r>
      <w:r w:rsidR="001A636B">
        <w:t xml:space="preserve">VCAT </w:t>
      </w:r>
      <w:r>
        <w:t>noted that a notice to vacate under this section</w:t>
      </w:r>
      <w:r w:rsidR="001A636B" w:rsidRPr="001A636B">
        <w:t xml:space="preserve"> requires that the </w:t>
      </w:r>
      <w:r w:rsidR="00F21207">
        <w:t>RRP</w:t>
      </w:r>
      <w:r w:rsidR="000E7DDC">
        <w:t xml:space="preserve"> </w:t>
      </w:r>
      <w:r w:rsidR="001A636B" w:rsidRPr="001A636B">
        <w:t>show</w:t>
      </w:r>
      <w:r w:rsidR="000E7DDC">
        <w:t xml:space="preserve"> that the renter’s</w:t>
      </w:r>
      <w:r w:rsidR="001A636B" w:rsidRPr="001A636B">
        <w:t xml:space="preserve"> conduct causes exposure to harm or risk</w:t>
      </w:r>
      <w:r w:rsidR="006D7333">
        <w:t>,</w:t>
      </w:r>
      <w:r>
        <w:t xml:space="preserve"> </w:t>
      </w:r>
      <w:r w:rsidR="001A636B" w:rsidRPr="001A636B">
        <w:t xml:space="preserve">and </w:t>
      </w:r>
      <w:r w:rsidR="00F21207">
        <w:t>‘</w:t>
      </w:r>
      <w:r w:rsidR="001A636B" w:rsidRPr="001A636B">
        <w:t>that the Tribunal must consider whether there is a real likelihood of the threat being carried out. If there is only a remote or faint possibility of the harm threatened ensuing, threatening conduct by a tenant is unlikely to come within the intended ambit of the section.</w:t>
      </w:r>
    </w:p>
    <w:p w14:paraId="5D3B1BC0" w14:textId="5EAC3D6B" w:rsidR="00CC731E" w:rsidRDefault="00876D47" w:rsidP="00475128">
      <w:pPr>
        <w:pStyle w:val="DJRbody"/>
      </w:pPr>
      <w:r w:rsidRPr="00475128">
        <w:t xml:space="preserve">While these decisions are not binding, they illustrate how the concept of </w:t>
      </w:r>
      <w:r>
        <w:t>endanger</w:t>
      </w:r>
      <w:r w:rsidRPr="00475128">
        <w:t xml:space="preserve"> has been </w:t>
      </w:r>
      <w:r w:rsidR="1F90FFA2">
        <w:t xml:space="preserve">considered and applied </w:t>
      </w:r>
      <w:r w:rsidRPr="00475128">
        <w:t xml:space="preserve">by </w:t>
      </w:r>
      <w:r w:rsidR="004821A2">
        <w:t>VCAT</w:t>
      </w:r>
      <w:r w:rsidRPr="00475128">
        <w:t>.</w:t>
      </w:r>
    </w:p>
    <w:p w14:paraId="2648C3BA" w14:textId="21C31871" w:rsidR="00EF4E36" w:rsidRDefault="00F918B4" w:rsidP="00AA7ED4">
      <w:pPr>
        <w:pStyle w:val="Heading1"/>
      </w:pPr>
      <w:bookmarkStart w:id="8" w:name="_Toc63768784"/>
      <w:r>
        <w:t>5</w:t>
      </w:r>
      <w:r w:rsidR="00416EB0">
        <w:t>.</w:t>
      </w:r>
      <w:r w:rsidR="00416EB0" w:rsidRPr="00C06C69">
        <w:tab/>
      </w:r>
      <w:r w:rsidR="003811DC" w:rsidRPr="00C06C69">
        <w:t>Guidance</w:t>
      </w:r>
      <w:bookmarkEnd w:id="8"/>
    </w:p>
    <w:p w14:paraId="7DEE0218" w14:textId="14A6042D" w:rsidR="00F93340" w:rsidRDefault="00F93340" w:rsidP="00EF4E36">
      <w:pPr>
        <w:pStyle w:val="DJRbody"/>
      </w:pPr>
      <w:r>
        <w:t xml:space="preserve">It is the responsibility of the </w:t>
      </w:r>
      <w:r w:rsidR="005C3A9B">
        <w:t>RRP</w:t>
      </w:r>
      <w:r>
        <w:t xml:space="preserve"> to give</w:t>
      </w:r>
      <w:r w:rsidRPr="00A217F5">
        <w:t xml:space="preserve"> evidence of the danger or risk</w:t>
      </w:r>
      <w:r>
        <w:t xml:space="preserve"> posed by the renter </w:t>
      </w:r>
      <w:r w:rsidR="002D5A51">
        <w:t xml:space="preserve">or </w:t>
      </w:r>
      <w:r w:rsidR="00926E00">
        <w:t xml:space="preserve">their visitor </w:t>
      </w:r>
      <w:r>
        <w:t>to the other part</w:t>
      </w:r>
      <w:r w:rsidR="003811DC">
        <w:t>y</w:t>
      </w:r>
      <w:r>
        <w:t xml:space="preserve">. </w:t>
      </w:r>
    </w:p>
    <w:p w14:paraId="7A944B53" w14:textId="4E4F02FB" w:rsidR="00F93340" w:rsidRDefault="00F93340" w:rsidP="00EF4E36">
      <w:pPr>
        <w:pStyle w:val="DJRbody"/>
      </w:pPr>
      <w:r>
        <w:t>When considering the conduct giving rise to the notice to vacate</w:t>
      </w:r>
      <w:r w:rsidR="00926E00">
        <w:t>,</w:t>
      </w:r>
      <w:r>
        <w:t xml:space="preserve"> the following must be </w:t>
      </w:r>
      <w:r w:rsidR="00091C98">
        <w:t>demonstrated</w:t>
      </w:r>
      <w:r>
        <w:t>:</w:t>
      </w:r>
    </w:p>
    <w:p w14:paraId="7BDD7C65" w14:textId="7E1149B3" w:rsidR="00F93340" w:rsidRDefault="00091C98" w:rsidP="003811DC">
      <w:pPr>
        <w:pStyle w:val="DJRbody"/>
        <w:numPr>
          <w:ilvl w:val="0"/>
          <w:numId w:val="17"/>
        </w:numPr>
      </w:pPr>
      <w:r>
        <w:t>An</w:t>
      </w:r>
      <w:r w:rsidR="00F93340">
        <w:t xml:space="preserve"> act or omission </w:t>
      </w:r>
      <w:r>
        <w:t xml:space="preserve">which endangers </w:t>
      </w:r>
      <w:r w:rsidR="006B7D73">
        <w:t xml:space="preserve">the </w:t>
      </w:r>
      <w:r w:rsidR="005C3A9B">
        <w:t>RRP</w:t>
      </w:r>
      <w:r w:rsidR="000F7C05">
        <w:t>, t</w:t>
      </w:r>
      <w:r w:rsidR="006B7D73">
        <w:t xml:space="preserve">heir agent, neighbour, or contractor or employee of the </w:t>
      </w:r>
      <w:r w:rsidR="005C3A9B">
        <w:t>RRP</w:t>
      </w:r>
      <w:r w:rsidR="006B7D73">
        <w:t xml:space="preserve"> or their agent</w:t>
      </w:r>
      <w:r>
        <w:t xml:space="preserve"> </w:t>
      </w:r>
      <w:r w:rsidR="007D7BA4">
        <w:t xml:space="preserve">(‘the </w:t>
      </w:r>
      <w:r>
        <w:t>target</w:t>
      </w:r>
      <w:r w:rsidR="007D7BA4">
        <w:t>’)</w:t>
      </w:r>
      <w:r>
        <w:t xml:space="preserve"> which poses</w:t>
      </w:r>
      <w:r w:rsidR="00F93340">
        <w:t xml:space="preserve"> a real risk to the health and safety of the target</w:t>
      </w:r>
      <w:r w:rsidR="005D7666">
        <w:t>; and</w:t>
      </w:r>
    </w:p>
    <w:p w14:paraId="13D1161D" w14:textId="482AE67B" w:rsidR="00091C98" w:rsidRDefault="00091C98" w:rsidP="003811DC">
      <w:pPr>
        <w:pStyle w:val="DJRbody"/>
        <w:numPr>
          <w:ilvl w:val="0"/>
          <w:numId w:val="17"/>
        </w:numPr>
      </w:pPr>
      <w:r>
        <w:t xml:space="preserve">That the danger is ongoing at the time the notice to vacate is given.  </w:t>
      </w:r>
    </w:p>
    <w:p w14:paraId="47643DAB" w14:textId="1D015FFC" w:rsidR="00091C98" w:rsidRPr="00A217F5" w:rsidRDefault="00091C98" w:rsidP="003811DC">
      <w:pPr>
        <w:pStyle w:val="Heading4"/>
        <w:numPr>
          <w:ilvl w:val="0"/>
          <w:numId w:val="19"/>
        </w:numPr>
      </w:pPr>
      <w:r>
        <w:t>Does the</w:t>
      </w:r>
      <w:r w:rsidRPr="00A217F5">
        <w:t xml:space="preserve"> act or omission which endangers a target pose a real risk to the health and safety of the target</w:t>
      </w:r>
      <w:r w:rsidR="00FE172E">
        <w:t>?</w:t>
      </w:r>
    </w:p>
    <w:p w14:paraId="6490D27F" w14:textId="04136778" w:rsidR="006C3D36" w:rsidRDefault="006C3D36" w:rsidP="00091C98">
      <w:pPr>
        <w:pStyle w:val="DJRbody"/>
      </w:pPr>
      <w:r>
        <w:t xml:space="preserve">The notice to vacate should specify the acts or omissions which are considered to endanger the target. </w:t>
      </w:r>
      <w:r w:rsidR="000740E4">
        <w:t xml:space="preserve">The nature of the act or omission should be considered in relation to the ordinary meaning of the word ‘endanger’ and should constitute a real exposure to danger.  </w:t>
      </w:r>
    </w:p>
    <w:p w14:paraId="58BEF91F" w14:textId="0DF7B0A6" w:rsidR="006C3D36" w:rsidRDefault="00C91FB6" w:rsidP="00091C98">
      <w:pPr>
        <w:pStyle w:val="DJRbody"/>
      </w:pPr>
      <w:r>
        <w:t>Behaviour</w:t>
      </w:r>
      <w:r w:rsidR="00091C98">
        <w:t xml:space="preserve"> which is anti-social or a nuisance is not sufficient</w:t>
      </w:r>
      <w:r w:rsidR="30601732">
        <w:t xml:space="preserve"> to</w:t>
      </w:r>
      <w:r w:rsidR="00091C98">
        <w:t xml:space="preserve"> constitute a danger to the target. </w:t>
      </w:r>
    </w:p>
    <w:p w14:paraId="4A5616E2" w14:textId="02DEF157" w:rsidR="006C3D36" w:rsidRDefault="00BC1D8F" w:rsidP="006C3D36">
      <w:pPr>
        <w:pStyle w:val="DJRbody"/>
      </w:pPr>
      <w:r>
        <w:t>Behaviour</w:t>
      </w:r>
      <w:r w:rsidR="006C3D36">
        <w:t xml:space="preserve"> which is limited to threats and intimidation, by itself, will also not be considered to endanger the target</w:t>
      </w:r>
      <w:r w:rsidR="00625149">
        <w:t>. Where threats and intimidation ha</w:t>
      </w:r>
      <w:r w:rsidR="00DE5D5D">
        <w:t>ve</w:t>
      </w:r>
      <w:r w:rsidR="00625149">
        <w:t xml:space="preserve"> been aimed at the RRP, their agent, contractor, or employee, this should be </w:t>
      </w:r>
      <w:r w:rsidR="006C3D36">
        <w:t xml:space="preserve">addressed through </w:t>
      </w:r>
      <w:r>
        <w:t>a</w:t>
      </w:r>
      <w:r w:rsidR="006C3D36">
        <w:t xml:space="preserve"> notice to vacate</w:t>
      </w:r>
      <w:r w:rsidR="009C04C6">
        <w:t xml:space="preserve"> issued</w:t>
      </w:r>
      <w:r w:rsidR="006C3D36">
        <w:t xml:space="preserve"> under section 91ZK, 142ZD, </w:t>
      </w:r>
      <w:r w:rsidR="006245DE">
        <w:t xml:space="preserve">206AS </w:t>
      </w:r>
      <w:r w:rsidR="006C3D36">
        <w:t>or 207Y</w:t>
      </w:r>
      <w:r w:rsidR="003811DC">
        <w:t xml:space="preserve"> </w:t>
      </w:r>
      <w:r w:rsidR="00EC403E">
        <w:t>of the Act</w:t>
      </w:r>
      <w:r w:rsidR="00B55E65">
        <w:t xml:space="preserve">, which provides </w:t>
      </w:r>
      <w:r w:rsidR="00B704F7">
        <w:t>for 14 days’ notice</w:t>
      </w:r>
      <w:r w:rsidR="006C3D36">
        <w:t xml:space="preserve">. However, if there is a real likelihood that the threat may be carried out (for example, if it is combined with aggressive behaviour and/or prior actions) </w:t>
      </w:r>
      <w:r>
        <w:t>th</w:t>
      </w:r>
      <w:r w:rsidR="00B46284">
        <w:t xml:space="preserve">en the </w:t>
      </w:r>
      <w:r w:rsidR="00E268EA">
        <w:t>threat</w:t>
      </w:r>
      <w:r>
        <w:t xml:space="preserve"> may be considered a danger to the target</w:t>
      </w:r>
      <w:r w:rsidR="003811DC">
        <w:t xml:space="preserve"> of the action</w:t>
      </w:r>
      <w:r>
        <w:t>.</w:t>
      </w:r>
      <w:r w:rsidR="006C3D36">
        <w:t xml:space="preserve">   </w:t>
      </w:r>
    </w:p>
    <w:p w14:paraId="041BB041" w14:textId="5B0DAD27" w:rsidR="00091C98" w:rsidRDefault="00BC1D8F" w:rsidP="003811DC">
      <w:pPr>
        <w:pStyle w:val="Heading4"/>
        <w:numPr>
          <w:ilvl w:val="0"/>
          <w:numId w:val="19"/>
        </w:numPr>
      </w:pPr>
      <w:r>
        <w:lastRenderedPageBreak/>
        <w:t>Is the danger ongoing</w:t>
      </w:r>
      <w:r w:rsidRPr="00BC1D8F">
        <w:t xml:space="preserve"> at the time the notice to vacate is given</w:t>
      </w:r>
      <w:r w:rsidR="00FE172E">
        <w:t>?</w:t>
      </w:r>
      <w:r w:rsidRPr="00BC1D8F">
        <w:t xml:space="preserve"> </w:t>
      </w:r>
    </w:p>
    <w:p w14:paraId="1BB142EE" w14:textId="57BC421D" w:rsidR="00BC1D8F" w:rsidRDefault="00BC1D8F" w:rsidP="00BC1D8F">
      <w:pPr>
        <w:pStyle w:val="DJRbody"/>
      </w:pPr>
      <w:r>
        <w:t>There must be a temporal connection between the danger and the notice to vacate</w:t>
      </w:r>
      <w:r w:rsidR="00A217F5">
        <w:t xml:space="preserve"> </w:t>
      </w:r>
      <w:r w:rsidR="008B6FB2">
        <w:t>(</w:t>
      </w:r>
      <w:r w:rsidR="08917F20">
        <w:t>i.e.,</w:t>
      </w:r>
      <w:r w:rsidR="00A217F5">
        <w:t xml:space="preserve"> </w:t>
      </w:r>
      <w:r>
        <w:t xml:space="preserve">the danger must be ongoing at the time the notice is </w:t>
      </w:r>
      <w:r w:rsidR="008B6FB2">
        <w:t>given)</w:t>
      </w:r>
      <w:r>
        <w:t xml:space="preserve">. </w:t>
      </w:r>
    </w:p>
    <w:p w14:paraId="79AE84A0" w14:textId="26C1A9BA" w:rsidR="00A217F5" w:rsidRDefault="00A217F5" w:rsidP="00BC1D8F">
      <w:pPr>
        <w:pStyle w:val="DJRbody"/>
      </w:pPr>
      <w:r>
        <w:t xml:space="preserve">It is possible that a single act or omission may give rise to an ongoing danger, however in most cases, ongoing danger will also take into account whether </w:t>
      </w:r>
      <w:r w:rsidR="008B6FB2">
        <w:t xml:space="preserve">there </w:t>
      </w:r>
      <w:r>
        <w:t xml:space="preserve">is a history of conflict between the </w:t>
      </w:r>
      <w:r w:rsidR="005D6D76">
        <w:t xml:space="preserve">renter </w:t>
      </w:r>
      <w:r>
        <w:t xml:space="preserve">and the target, and the pattern of behaviour displayed by the renter. </w:t>
      </w:r>
    </w:p>
    <w:p w14:paraId="33D836D4" w14:textId="08BC3E6F" w:rsidR="00A217F5" w:rsidRDefault="00A217F5" w:rsidP="00F87390">
      <w:pPr>
        <w:pStyle w:val="DJRbody"/>
      </w:pPr>
      <w:r>
        <w:t>For example:</w:t>
      </w:r>
    </w:p>
    <w:p w14:paraId="47319EAA" w14:textId="3D67B10D" w:rsidR="00BC1D8F" w:rsidRDefault="00A217F5" w:rsidP="003811DC">
      <w:pPr>
        <w:pStyle w:val="DJRbody"/>
        <w:numPr>
          <w:ilvl w:val="0"/>
          <w:numId w:val="18"/>
        </w:numPr>
      </w:pPr>
      <w:r>
        <w:t>A</w:t>
      </w:r>
      <w:r w:rsidR="0017153B">
        <w:t xml:space="preserve"> renter who has a</w:t>
      </w:r>
      <w:r w:rsidR="004C65BE">
        <w:t xml:space="preserve">n </w:t>
      </w:r>
      <w:r w:rsidR="00526352">
        <w:t xml:space="preserve">episode arising from mental health issues </w:t>
      </w:r>
      <w:r w:rsidR="0017153B">
        <w:t xml:space="preserve">that causes </w:t>
      </w:r>
      <w:r w:rsidR="00526352">
        <w:t xml:space="preserve">violence or </w:t>
      </w:r>
      <w:r w:rsidR="0017153B">
        <w:t xml:space="preserve">danger to a neighbour may not be considered a continuing danger to the neighbour. </w:t>
      </w:r>
      <w:r>
        <w:t xml:space="preserve">If there was only a single incident, the renter’s mental state </w:t>
      </w:r>
      <w:r w:rsidR="00667EE9">
        <w:t>is being</w:t>
      </w:r>
      <w:r>
        <w:t xml:space="preserve"> managed, and there is not </w:t>
      </w:r>
      <w:r w:rsidR="008B6FB2">
        <w:t xml:space="preserve">a </w:t>
      </w:r>
      <w:r>
        <w:t>pattern of behaviour targeting the neighbour</w:t>
      </w:r>
      <w:r w:rsidR="008B6FB2">
        <w:t>,</w:t>
      </w:r>
      <w:r>
        <w:t xml:space="preserve"> i</w:t>
      </w:r>
      <w:r w:rsidR="0017153B">
        <w:t>t may be concluded that the danger to the neighbour has passed</w:t>
      </w:r>
      <w:r w:rsidR="00F87390">
        <w:t xml:space="preserve">. </w:t>
      </w:r>
      <w:r w:rsidR="0017153B">
        <w:t xml:space="preserve">    </w:t>
      </w:r>
      <w:r w:rsidR="00BC1D8F">
        <w:t xml:space="preserve"> </w:t>
      </w:r>
    </w:p>
    <w:p w14:paraId="24F6C559" w14:textId="374BC57F" w:rsidR="00A217F5" w:rsidRDefault="00A217F5" w:rsidP="003811DC">
      <w:pPr>
        <w:pStyle w:val="DJRbody"/>
        <w:numPr>
          <w:ilvl w:val="0"/>
          <w:numId w:val="18"/>
        </w:numPr>
      </w:pPr>
      <w:r>
        <w:t xml:space="preserve">If </w:t>
      </w:r>
      <w:r w:rsidR="00323B68">
        <w:t>a</w:t>
      </w:r>
      <w:r>
        <w:t xml:space="preserve"> renter commits a</w:t>
      </w:r>
      <w:r w:rsidR="00F87390">
        <w:t xml:space="preserve"> violent incident </w:t>
      </w:r>
      <w:r w:rsidR="00287ED4">
        <w:t xml:space="preserve">towards a target </w:t>
      </w:r>
      <w:r w:rsidR="00F87390">
        <w:t xml:space="preserve">and </w:t>
      </w:r>
      <w:r>
        <w:t>there is</w:t>
      </w:r>
      <w:r w:rsidR="00F87390">
        <w:t xml:space="preserve"> history of conflict</w:t>
      </w:r>
      <w:r>
        <w:t xml:space="preserve"> between the parties, it may be concluded that the renter will remain aggrieved and continue to represent a danger to the target. </w:t>
      </w:r>
    </w:p>
    <w:p w14:paraId="79977D5D" w14:textId="784A8608" w:rsidR="00A217F5" w:rsidRDefault="00A217F5" w:rsidP="003811DC">
      <w:pPr>
        <w:pStyle w:val="DJRbody"/>
        <w:numPr>
          <w:ilvl w:val="0"/>
          <w:numId w:val="18"/>
        </w:numPr>
      </w:pPr>
      <w:r>
        <w:t xml:space="preserve">If </w:t>
      </w:r>
      <w:r w:rsidR="00DE6461">
        <w:t>a</w:t>
      </w:r>
      <w:r>
        <w:t xml:space="preserve"> renter commits a violent incident</w:t>
      </w:r>
      <w:r w:rsidR="00A8609C">
        <w:t>, which is then</w:t>
      </w:r>
      <w:r>
        <w:t xml:space="preserve"> followed by ongoing threats and intimidation by the </w:t>
      </w:r>
      <w:r w:rsidR="002F4B91">
        <w:t xml:space="preserve">renter’s </w:t>
      </w:r>
      <w:r>
        <w:t>visitor, or where a renter stalks a neighbour</w:t>
      </w:r>
      <w:r w:rsidR="00F65EF6">
        <w:t>,</w:t>
      </w:r>
      <w:r>
        <w:t xml:space="preserve"> this may present a continuing danger to the target.  </w:t>
      </w:r>
    </w:p>
    <w:p w14:paraId="11649B1C" w14:textId="67AC8718" w:rsidR="00BC1D8F" w:rsidRDefault="00A217F5" w:rsidP="003811DC">
      <w:pPr>
        <w:pStyle w:val="DJRbody"/>
        <w:numPr>
          <w:ilvl w:val="0"/>
          <w:numId w:val="18"/>
        </w:numPr>
      </w:pPr>
      <w:r>
        <w:t>In other cases, i</w:t>
      </w:r>
      <w:r w:rsidR="00F87390">
        <w:t xml:space="preserve">f the violence was sufficiently dangerous (for example, the renter stabbed a </w:t>
      </w:r>
      <w:r>
        <w:t>neighbour</w:t>
      </w:r>
      <w:r w:rsidR="006D0DAC">
        <w:t xml:space="preserve"> or another act of serious violence</w:t>
      </w:r>
      <w:r w:rsidR="00F87390">
        <w:t>)</w:t>
      </w:r>
      <w:r>
        <w:t xml:space="preserve"> this </w:t>
      </w:r>
      <w:r w:rsidR="003811DC">
        <w:t>will</w:t>
      </w:r>
      <w:r>
        <w:t xml:space="preserve"> be sufficient to constitute a continuing danger to the target who may be fearful of </w:t>
      </w:r>
      <w:r w:rsidR="0022375A">
        <w:t xml:space="preserve">potential </w:t>
      </w:r>
      <w:r>
        <w:t xml:space="preserve">future interactions. </w:t>
      </w:r>
    </w:p>
    <w:p w14:paraId="50358546" w14:textId="18A5DE16" w:rsidR="00043C76" w:rsidRPr="003072C6" w:rsidRDefault="00043C76" w:rsidP="00BB5E17">
      <w:pPr>
        <w:pStyle w:val="DJRbody"/>
        <w:ind w:left="0"/>
      </w:pPr>
    </w:p>
    <w:sectPr w:rsidR="00043C76" w:rsidRPr="003072C6" w:rsidSect="00037350">
      <w:pgSz w:w="11906" w:h="16838" w:code="9"/>
      <w:pgMar w:top="1871" w:right="851" w:bottom="1588" w:left="851" w:header="110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E46D" w14:textId="77777777" w:rsidR="004F412C" w:rsidRDefault="004F412C">
      <w:r>
        <w:separator/>
      </w:r>
    </w:p>
    <w:p w14:paraId="5CFCE7F0" w14:textId="77777777" w:rsidR="004F412C" w:rsidRDefault="004F412C"/>
  </w:endnote>
  <w:endnote w:type="continuationSeparator" w:id="0">
    <w:p w14:paraId="4DA421F0" w14:textId="77777777" w:rsidR="004F412C" w:rsidRDefault="004F412C">
      <w:r>
        <w:continuationSeparator/>
      </w:r>
    </w:p>
    <w:p w14:paraId="2CB6D286" w14:textId="77777777" w:rsidR="004F412C" w:rsidRDefault="004F412C"/>
  </w:endnote>
  <w:endnote w:type="continuationNotice" w:id="1">
    <w:p w14:paraId="1A314CD0" w14:textId="77777777" w:rsidR="004F412C" w:rsidRDefault="004F4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6A6" w14:textId="77777777" w:rsidR="006C3D36" w:rsidRDefault="006C3D36" w:rsidP="00E8487C">
    <w:pPr>
      <w:pStyle w:val="DJR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565" w14:textId="68316F98" w:rsidR="006C3D36" w:rsidRDefault="006C3D36" w:rsidP="00840B9F">
    <w:pPr>
      <w:pStyle w:val="DJRfooter"/>
      <w:tabs>
        <w:tab w:val="left" w:pos="567"/>
        <w:tab w:val="left" w:pos="1418"/>
        <w:tab w:val="left" w:pos="4536"/>
      </w:tabs>
    </w:pPr>
    <w:r>
      <w:tab/>
    </w:r>
    <w:r>
      <w:tab/>
    </w:r>
  </w:p>
  <w:p w14:paraId="6A57E853" w14:textId="31345D89" w:rsidR="006C3D36" w:rsidRDefault="006C3D36" w:rsidP="00840B9F">
    <w:pPr>
      <w:pStyle w:val="DJRfooter"/>
      <w:tabs>
        <w:tab w:val="left" w:pos="567"/>
        <w:tab w:val="left" w:pos="1418"/>
        <w:tab w:val="left" w:pos="3969"/>
      </w:tabs>
    </w:pPr>
    <w:r>
      <w:rPr>
        <w:noProof/>
        <w:lang w:eastAsia="en-AU"/>
      </w:rPr>
      <w:drawing>
        <wp:anchor distT="0" distB="0" distL="114300" distR="114300" simplePos="0" relativeHeight="251657728" behindDoc="1" locked="1" layoutInCell="1" allowOverlap="1" wp14:anchorId="34E9C3A3" wp14:editId="07032540">
          <wp:simplePos x="0" y="0"/>
          <wp:positionH relativeFrom="page">
            <wp:posOffset>6350</wp:posOffset>
          </wp:positionH>
          <wp:positionV relativeFrom="page">
            <wp:posOffset>9919970</wp:posOffset>
          </wp:positionV>
          <wp:extent cx="7559675" cy="762635"/>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1"/>
                  <a:stretch>
                    <a:fillRect/>
                  </a:stretch>
                </pic:blipFill>
                <pic:spPr>
                  <a:xfrm>
                    <a:off x="0" y="0"/>
                    <a:ext cx="7559675" cy="762635"/>
                  </a:xfrm>
                  <a:prstGeom prst="rect">
                    <a:avLst/>
                  </a:prstGeom>
                </pic:spPr>
              </pic:pic>
            </a:graphicData>
          </a:graphic>
          <wp14:sizeRelH relativeFrom="page">
            <wp14:pctWidth>0</wp14:pctWidth>
          </wp14:sizeRelH>
          <wp14:sizeRelV relativeFrom="page">
            <wp14:pctHeight>0</wp14:pctHeight>
          </wp14:sizeRelV>
        </wp:anchor>
      </w:drawing>
    </w:r>
    <w:r w:rsidR="1A8EAFBB">
      <w:t xml:space="preserve">Page </w:t>
    </w:r>
    <w:r w:rsidRPr="3BED887B">
      <w:rPr>
        <w:sz w:val="24"/>
        <w:szCs w:val="24"/>
      </w:rPr>
      <w:fldChar w:fldCharType="begin"/>
    </w:r>
    <w:r w:rsidRPr="00424153">
      <w:rPr>
        <w:bCs/>
      </w:rPr>
      <w:instrText xml:space="preserve"> PAGE </w:instrText>
    </w:r>
    <w:r w:rsidRPr="3BED887B">
      <w:rPr>
        <w:sz w:val="24"/>
        <w:szCs w:val="24"/>
      </w:rPr>
      <w:fldChar w:fldCharType="separate"/>
    </w:r>
    <w:r w:rsidR="1A8EAFBB" w:rsidRPr="3BED887B">
      <w:rPr>
        <w:noProof/>
      </w:rPr>
      <w:t>3</w:t>
    </w:r>
    <w:r w:rsidRPr="3BED887B">
      <w:rPr>
        <w:sz w:val="24"/>
        <w:szCs w:val="24"/>
      </w:rPr>
      <w:fldChar w:fldCharType="end"/>
    </w:r>
    <w:r w:rsidR="1A8EAFBB">
      <w:t xml:space="preserve"> of </w:t>
    </w:r>
    <w:r w:rsidRPr="3BED887B">
      <w:rPr>
        <w:sz w:val="24"/>
        <w:szCs w:val="24"/>
      </w:rPr>
      <w:fldChar w:fldCharType="begin"/>
    </w:r>
    <w:r w:rsidRPr="00424153">
      <w:rPr>
        <w:bCs/>
      </w:rPr>
      <w:instrText xml:space="preserve"> NUMPAGES  </w:instrText>
    </w:r>
    <w:r w:rsidRPr="3BED887B">
      <w:rPr>
        <w:sz w:val="24"/>
        <w:szCs w:val="24"/>
      </w:rPr>
      <w:fldChar w:fldCharType="separate"/>
    </w:r>
    <w:r w:rsidR="1A8EAFBB" w:rsidRPr="3BED887B">
      <w:rPr>
        <w:noProof/>
      </w:rPr>
      <w:t>4</w:t>
    </w:r>
    <w:r w:rsidRPr="3BED887B">
      <w:rPr>
        <w:sz w:val="24"/>
        <w:szCs w:val="24"/>
      </w:rPr>
      <w:fldChar w:fldCharType="end"/>
    </w:r>
    <w:r>
      <w:tab/>
    </w:r>
    <w:sdt>
      <w:sdtPr>
        <w:alias w:val="Enter date"/>
        <w:tag w:val="Enter date"/>
        <w:id w:val="-1844085134"/>
        <w:placeholder>
          <w:docPart w:val="036CB5BAC388427DADF1D6E80D3475F3"/>
        </w:placeholder>
        <w:text/>
      </w:sdtPr>
      <w:sdtEndPr/>
      <w:sdtContent>
        <w:r w:rsidR="00874A94" w:rsidRPr="00874A94">
          <w:t>2 March 2021</w:t>
        </w:r>
      </w:sdtContent>
    </w:sdt>
    <w:r w:rsidR="1A8EAFBB">
      <w:t xml:space="preserve"> </w:t>
    </w:r>
    <w:r>
      <w:tab/>
    </w:r>
    <w:r w:rsidR="1A8EAFBB">
      <w:t xml:space="preserve">Version </w:t>
    </w:r>
    <w:sdt>
      <w:sdtPr>
        <w:alias w:val="Enter draft number"/>
        <w:tag w:val="Enter draft number"/>
        <w:id w:val="-1477756969"/>
        <w:placeholder>
          <w:docPart w:val="E064D287086041DFA4B41647303308DB"/>
        </w:placeholder>
        <w:text/>
      </w:sdtPr>
      <w:sdtEndPr/>
      <w:sdtContent>
        <w:r w:rsidR="1A8EAFBB">
          <w:t>1</w:t>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0641" w14:textId="77777777" w:rsidR="004F412C" w:rsidRDefault="004F412C">
      <w:r>
        <w:separator/>
      </w:r>
    </w:p>
    <w:p w14:paraId="7F37E7D7" w14:textId="77777777" w:rsidR="004F412C" w:rsidRDefault="004F412C"/>
  </w:footnote>
  <w:footnote w:type="continuationSeparator" w:id="0">
    <w:p w14:paraId="333114D8" w14:textId="77777777" w:rsidR="004F412C" w:rsidRDefault="004F412C">
      <w:r>
        <w:continuationSeparator/>
      </w:r>
    </w:p>
    <w:p w14:paraId="7CF963CE" w14:textId="77777777" w:rsidR="004F412C" w:rsidRDefault="004F412C"/>
  </w:footnote>
  <w:footnote w:type="continuationNotice" w:id="1">
    <w:p w14:paraId="147D37BB" w14:textId="77777777" w:rsidR="004F412C" w:rsidRDefault="004F412C"/>
  </w:footnote>
  <w:footnote w:id="2">
    <w:p w14:paraId="092C1007" w14:textId="0E5AA024" w:rsidR="00146F79" w:rsidRDefault="00146F79" w:rsidP="00146F79">
      <w:pPr>
        <w:pStyle w:val="FootnoteText"/>
      </w:pPr>
      <w:r>
        <w:rPr>
          <w:rStyle w:val="FootnoteReference"/>
        </w:rPr>
        <w:footnoteRef/>
      </w:r>
      <w:r>
        <w:t xml:space="preserve"> Specialist Disability Accommodation (SDA) became a new tenure type regulated under the</w:t>
      </w:r>
      <w:r w:rsidR="003C5783">
        <w:t xml:space="preserve"> Act</w:t>
      </w:r>
      <w:r>
        <w:t xml:space="preserve">, with the insertion of Part 12A by the </w:t>
      </w:r>
      <w:r w:rsidRPr="00C72BD5">
        <w:rPr>
          <w:i/>
          <w:iCs/>
        </w:rPr>
        <w:t>Disability Service Safeguards Act 2018</w:t>
      </w:r>
      <w:r>
        <w:t>. Although the F</w:t>
      </w:r>
      <w:r w:rsidR="003C5783">
        <w:t xml:space="preserve">airer </w:t>
      </w:r>
      <w:r>
        <w:t>S</w:t>
      </w:r>
      <w:r w:rsidR="003C5783">
        <w:t xml:space="preserve">afer </w:t>
      </w:r>
      <w:r>
        <w:t>H</w:t>
      </w:r>
      <w:r w:rsidR="003C5783">
        <w:t>ousing</w:t>
      </w:r>
      <w:r>
        <w:t xml:space="preserve"> reforms did not provide for SDA, section 498ZZH(</w:t>
      </w:r>
      <w:r w:rsidR="00D81F31">
        <w:t>1</w:t>
      </w:r>
      <w:r>
        <w:t xml:space="preserve">A) (inserted by the </w:t>
      </w:r>
      <w:r w:rsidRPr="007D31DD">
        <w:rPr>
          <w:i/>
          <w:iCs/>
        </w:rPr>
        <w:t>Disability (National Disability Insurance Scheme Transition) Amendment Act 2019</w:t>
      </w:r>
      <w:r>
        <w:t>) provides that VCAT must have regard guidelines issued by the Director CAV when determining an application for a possession order which is supported by a notice to vacate.</w:t>
      </w:r>
    </w:p>
  </w:footnote>
  <w:footnote w:id="3">
    <w:p w14:paraId="374C1163" w14:textId="77777777" w:rsidR="00F918B4" w:rsidRDefault="00F918B4" w:rsidP="00F918B4">
      <w:pPr>
        <w:pStyle w:val="FootnoteText"/>
      </w:pPr>
      <w:r>
        <w:rPr>
          <w:rStyle w:val="FootnoteReference"/>
        </w:rPr>
        <w:footnoteRef/>
      </w:r>
      <w:r>
        <w:t xml:space="preserve"> SDA became a new tenure type regulated under the RTA, with the insertion of Part 12A by the </w:t>
      </w:r>
      <w:r w:rsidRPr="00A75028">
        <w:rPr>
          <w:i/>
          <w:iCs/>
        </w:rPr>
        <w:t>Disability Service Safeguards Act 2018</w:t>
      </w:r>
      <w:r>
        <w:t xml:space="preserve"> (DSSA). Although the FSH reforms did not provide for SDA, section 498P(3) (inserted by the </w:t>
      </w:r>
      <w:r>
        <w:rPr>
          <w:i/>
          <w:iCs/>
        </w:rPr>
        <w:t>Disability (National Disability Insurance Scheme Transition) Amendment Act 2019</w:t>
      </w:r>
      <w:r>
        <w:t xml:space="preserve">) provides that VCAT must have regard guidelines issued by the Director CAV when determining an application for urgent repairs. </w:t>
      </w:r>
    </w:p>
  </w:footnote>
  <w:footnote w:id="4">
    <w:p w14:paraId="15BA018E" w14:textId="61D12D15" w:rsidR="00AC5B19" w:rsidRDefault="00AC5B19">
      <w:pPr>
        <w:pStyle w:val="FootnoteText"/>
      </w:pPr>
      <w:r>
        <w:rPr>
          <w:rStyle w:val="FootnoteReference"/>
        </w:rPr>
        <w:footnoteRef/>
      </w:r>
      <w:r>
        <w:t xml:space="preserve"> </w:t>
      </w:r>
      <w:r w:rsidRPr="00FE0C90">
        <w:t xml:space="preserve">Changes to </w:t>
      </w:r>
      <w:r>
        <w:t xml:space="preserve">notice to vacate requirements for </w:t>
      </w:r>
      <w:r w:rsidRPr="00FE0C90">
        <w:t>sections 91ZJ (rent</w:t>
      </w:r>
      <w:r w:rsidR="002E3626">
        <w:t>ed premises</w:t>
      </w:r>
      <w:r w:rsidRPr="00FE0C90">
        <w:t>), 142ZC (rooming house</w:t>
      </w:r>
      <w:r>
        <w:t>s</w:t>
      </w:r>
      <w:r w:rsidRPr="00FE0C90">
        <w:t>), 206AR (caravan park</w:t>
      </w:r>
      <w:r>
        <w:t>s</w:t>
      </w:r>
      <w:r w:rsidRPr="00FE0C90">
        <w:t>), 207X (</w:t>
      </w:r>
      <w:r>
        <w:t>residential parks</w:t>
      </w:r>
      <w:r w:rsidRPr="00FE0C90">
        <w:t>), 498ZX(1)(b)</w:t>
      </w:r>
      <w:r>
        <w:t xml:space="preserve"> (</w:t>
      </w:r>
      <w:r w:rsidR="0040563B">
        <w:t xml:space="preserve">SDA enrolled </w:t>
      </w:r>
      <w:r w:rsidR="00DC71C9">
        <w:t>dwellings</w:t>
      </w:r>
      <w:r>
        <w:t>)</w:t>
      </w:r>
      <w:r w:rsidRPr="00FE0C90">
        <w:t xml:space="preserve"> arising out of the commencement of the </w:t>
      </w:r>
      <w:r w:rsidRPr="00D405D2">
        <w:rPr>
          <w:i/>
          <w:iCs/>
        </w:rPr>
        <w:t>Residential Tenancies Amendment Act 2018</w:t>
      </w:r>
      <w:r w:rsidRPr="00FE0C90">
        <w:t xml:space="preserve"> apply on commencement of </w:t>
      </w:r>
      <w:r>
        <w:t>the relevant provisions of that</w:t>
      </w:r>
      <w:r w:rsidRPr="00FE0C90">
        <w:t xml:space="preserve"> Act</w:t>
      </w:r>
      <w:r>
        <w:t xml:space="preserve"> </w:t>
      </w:r>
      <w:r w:rsidRPr="00FE0C90">
        <w:t>on 29 March 2021</w:t>
      </w:r>
      <w:r>
        <w:t>.</w:t>
      </w:r>
    </w:p>
  </w:footnote>
  <w:footnote w:id="5">
    <w:p w14:paraId="136060BB" w14:textId="48825B96" w:rsidR="006C3D36" w:rsidRDefault="006C3D36">
      <w:pPr>
        <w:pStyle w:val="FootnoteText"/>
      </w:pPr>
      <w:r>
        <w:rPr>
          <w:rStyle w:val="FootnoteReference"/>
        </w:rPr>
        <w:footnoteRef/>
      </w:r>
      <w:r>
        <w:t xml:space="preserve"> </w:t>
      </w:r>
      <w:r w:rsidRPr="0017457F">
        <w:rPr>
          <w:i/>
          <w:iCs/>
        </w:rPr>
        <w:t>Director of Housing v Pavletic</w:t>
      </w:r>
      <w:r>
        <w:t xml:space="preserve"> [2002] VSC 438</w:t>
      </w:r>
    </w:p>
  </w:footnote>
  <w:footnote w:id="6">
    <w:p w14:paraId="2914FEF8" w14:textId="4F8E477A" w:rsidR="006C3D36" w:rsidRPr="00A32770" w:rsidRDefault="006C3D36">
      <w:pPr>
        <w:pStyle w:val="FootnoteText"/>
      </w:pPr>
      <w:r>
        <w:rPr>
          <w:rStyle w:val="FootnoteReference"/>
        </w:rPr>
        <w:footnoteRef/>
      </w:r>
      <w:r>
        <w:t xml:space="preserve"> </w:t>
      </w:r>
      <w:r>
        <w:rPr>
          <w:i/>
        </w:rPr>
        <w:t xml:space="preserve">R v Paranzee </w:t>
      </w:r>
      <w:r>
        <w:t>[2008] SASC 245</w:t>
      </w:r>
    </w:p>
  </w:footnote>
  <w:footnote w:id="7">
    <w:p w14:paraId="37F580B6" w14:textId="470269A0" w:rsidR="006C3D36" w:rsidRPr="00784316" w:rsidRDefault="006C3D36">
      <w:pPr>
        <w:pStyle w:val="FootnoteText"/>
      </w:pPr>
      <w:r>
        <w:rPr>
          <w:rStyle w:val="FootnoteReference"/>
        </w:rPr>
        <w:footnoteRef/>
      </w:r>
      <w:r>
        <w:t xml:space="preserve"> </w:t>
      </w:r>
      <w:r>
        <w:rPr>
          <w:i/>
        </w:rPr>
        <w:t xml:space="preserve">Oxford English Dictionary </w:t>
      </w:r>
      <w:r>
        <w:t xml:space="preserve">cited in </w:t>
      </w:r>
      <w:r>
        <w:rPr>
          <w:i/>
        </w:rPr>
        <w:t xml:space="preserve">NOM v DPP </w:t>
      </w:r>
      <w:r>
        <w:t>(2012) 38 VR 618</w:t>
      </w:r>
    </w:p>
  </w:footnote>
  <w:footnote w:id="8">
    <w:p w14:paraId="451043FE" w14:textId="77777777" w:rsidR="006C3D36" w:rsidRPr="00E20AA1" w:rsidRDefault="006C3D36" w:rsidP="00C93518">
      <w:pPr>
        <w:pStyle w:val="FootnoteText"/>
      </w:pPr>
      <w:r>
        <w:rPr>
          <w:rStyle w:val="FootnoteReference"/>
        </w:rPr>
        <w:footnoteRef/>
      </w:r>
      <w:r>
        <w:t xml:space="preserve"> </w:t>
      </w:r>
      <w:r>
        <w:rPr>
          <w:i/>
        </w:rPr>
        <w:t xml:space="preserve">Director of Housing v Ingram </w:t>
      </w:r>
      <w:r>
        <w:t>[2018] VCAT 754</w:t>
      </w:r>
    </w:p>
  </w:footnote>
  <w:footnote w:id="9">
    <w:p w14:paraId="1F47419A" w14:textId="77777777" w:rsidR="006C3D36" w:rsidRPr="00BD0175" w:rsidRDefault="006C3D36" w:rsidP="00354112">
      <w:pPr>
        <w:pStyle w:val="FootnoteText"/>
      </w:pPr>
      <w:r>
        <w:rPr>
          <w:rStyle w:val="FootnoteReference"/>
        </w:rPr>
        <w:footnoteRef/>
      </w:r>
      <w:r>
        <w:t xml:space="preserve"> </w:t>
      </w:r>
      <w:r>
        <w:rPr>
          <w:i/>
        </w:rPr>
        <w:t xml:space="preserve">Port Phillip Housing Association Ltd v Handsley </w:t>
      </w:r>
      <w:r>
        <w:t>[2017] VCAT 1141</w:t>
      </w:r>
    </w:p>
  </w:footnote>
  <w:footnote w:id="10">
    <w:p w14:paraId="363C7FB0" w14:textId="1FDCE390" w:rsidR="006C3D36" w:rsidRDefault="006C3D36">
      <w:pPr>
        <w:pStyle w:val="FootnoteText"/>
      </w:pPr>
      <w:r>
        <w:rPr>
          <w:rStyle w:val="FootnoteReference"/>
        </w:rPr>
        <w:footnoteRef/>
      </w:r>
      <w:r>
        <w:t xml:space="preserve"> </w:t>
      </w:r>
      <w:r w:rsidRPr="00354112">
        <w:rPr>
          <w:i/>
        </w:rPr>
        <w:t>Director of Housing v M [4] (‘DOH v M’)</w:t>
      </w:r>
      <w:r>
        <w:rPr>
          <w:i/>
        </w:rPr>
        <w:t xml:space="preserve"> </w:t>
      </w:r>
      <w:r w:rsidRPr="00A217F5">
        <w:rPr>
          <w:iCs/>
        </w:rPr>
        <w:t>[2002] VCAT 456 (15 April 2002)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5D9D" w14:textId="77777777" w:rsidR="006C3D36" w:rsidRDefault="006C3D36" w:rsidP="004B65F7">
    <w:pPr>
      <w:pStyle w:val="DJRheader"/>
    </w:pPr>
    <w:r>
      <w:t>R Header</w:t>
    </w:r>
  </w:p>
  <w:p w14:paraId="2C8AF68D" w14:textId="77777777" w:rsidR="006C3D36" w:rsidRDefault="006C3D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56CF" w14:textId="039430C8" w:rsidR="006C3D36" w:rsidRDefault="006C3D36" w:rsidP="004B65F7">
    <w:pPr>
      <w:pStyle w:val="DJRheader"/>
    </w:pPr>
    <w:r>
      <w:fldChar w:fldCharType="begin"/>
    </w:r>
    <w:r>
      <w:instrText xml:space="preserve"> REF busunit \h </w:instrText>
    </w:r>
    <w:r>
      <w:fldChar w:fldCharType="separate"/>
    </w:r>
    <w:sdt>
      <w:sdtPr>
        <w:alias w:val="Business unit"/>
        <w:tag w:val="Business unit"/>
        <w:id w:val="-983848506"/>
        <w:placeholder>
          <w:docPart w:val="DB156BBB063B43AC9012338D635D72C0"/>
        </w:placeholder>
        <w:text/>
      </w:sdtPr>
      <w:sdtEndPr/>
      <w:sdtContent>
        <w:r w:rsidR="1A8EAFBB">
          <w:t>Consumer Affairs Victoria</w:t>
        </w:r>
      </w:sdtContent>
    </w:sdt>
    <w:r>
      <w:fldChar w:fldCharType="end"/>
    </w:r>
    <w:r>
      <w:rPr>
        <w:noProof/>
        <w:lang w:eastAsia="en-AU"/>
      </w:rPr>
      <w:drawing>
        <wp:anchor distT="0" distB="0" distL="114300" distR="114300" simplePos="0" relativeHeight="251656704" behindDoc="1" locked="0" layoutInCell="1" allowOverlap="1" wp14:anchorId="5D253E2B" wp14:editId="78CEE9BC">
          <wp:simplePos x="0" y="0"/>
          <wp:positionH relativeFrom="page">
            <wp:posOffset>0</wp:posOffset>
          </wp:positionH>
          <wp:positionV relativeFrom="page">
            <wp:posOffset>0</wp:posOffset>
          </wp:positionV>
          <wp:extent cx="7560000" cy="988891"/>
          <wp:effectExtent l="0" t="0" r="0" b="1905"/>
          <wp:wrapNone/>
          <wp:docPr id="6" name="Picture 6"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fldChar w:fldCharType="begin"/>
    </w:r>
    <w:r>
      <w:instrText xml:space="preserve"> REF maintitle \h  \* MERGEFORMAT </w:instrText>
    </w:r>
    <w:r>
      <w:fldChar w:fldCharType="separate"/>
    </w:r>
    <w:sdt>
      <w:sdtPr>
        <w:alias w:val="Document title"/>
        <w:tag w:val="Document title"/>
        <w:id w:val="2046103012"/>
        <w:placeholder>
          <w:docPart w:val="6A7B1B4670514F29A422ED4A4ABF1E33"/>
        </w:placeholder>
        <w:text/>
      </w:sdtPr>
      <w:sdtEndPr/>
      <w:sdtContent>
        <w:r w:rsidR="1A8EAFBB">
          <w:t>Director's Guidelines - Endanger</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E1C"/>
    <w:multiLevelType w:val="hybridMultilevel"/>
    <w:tmpl w:val="0BCC0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D2E30"/>
    <w:multiLevelType w:val="hybridMultilevel"/>
    <w:tmpl w:val="68F05C02"/>
    <w:styleLink w:val="ZZNumbersloweralpha"/>
    <w:lvl w:ilvl="0" w:tplc="8D0A461E">
      <w:start w:val="1"/>
      <w:numFmt w:val="lowerLetter"/>
      <w:pStyle w:val="DJRnumberloweralpha"/>
      <w:lvlText w:val="(%1)"/>
      <w:lvlJc w:val="left"/>
      <w:pPr>
        <w:ind w:left="1077" w:hanging="397"/>
      </w:pPr>
      <w:rPr>
        <w:rFonts w:hint="default"/>
      </w:rPr>
    </w:lvl>
    <w:lvl w:ilvl="1" w:tplc="484AB95C">
      <w:start w:val="1"/>
      <w:numFmt w:val="lowerLetter"/>
      <w:lvlText w:val="(%2)"/>
      <w:lvlJc w:val="left"/>
      <w:pPr>
        <w:tabs>
          <w:tab w:val="num" w:pos="794"/>
        </w:tabs>
        <w:ind w:left="794" w:hanging="397"/>
      </w:pPr>
      <w:rPr>
        <w:rFonts w:hint="default"/>
      </w:rPr>
    </w:lvl>
    <w:lvl w:ilvl="2" w:tplc="9FD8C3EE">
      <w:start w:val="1"/>
      <w:numFmt w:val="none"/>
      <w:lvlRestart w:val="0"/>
      <w:lvlText w:val=""/>
      <w:lvlJc w:val="left"/>
      <w:pPr>
        <w:ind w:left="0" w:firstLine="0"/>
      </w:pPr>
      <w:rPr>
        <w:rFonts w:hint="default"/>
      </w:rPr>
    </w:lvl>
    <w:lvl w:ilvl="3" w:tplc="2514CA5C">
      <w:start w:val="1"/>
      <w:numFmt w:val="none"/>
      <w:lvlRestart w:val="0"/>
      <w:lvlText w:val=""/>
      <w:lvlJc w:val="left"/>
      <w:pPr>
        <w:ind w:left="0" w:firstLine="0"/>
      </w:pPr>
      <w:rPr>
        <w:rFonts w:hint="default"/>
      </w:rPr>
    </w:lvl>
    <w:lvl w:ilvl="4" w:tplc="9EF48874">
      <w:start w:val="1"/>
      <w:numFmt w:val="none"/>
      <w:lvlRestart w:val="0"/>
      <w:lvlText w:val=""/>
      <w:lvlJc w:val="left"/>
      <w:pPr>
        <w:ind w:left="0" w:firstLine="0"/>
      </w:pPr>
      <w:rPr>
        <w:rFonts w:hint="default"/>
      </w:rPr>
    </w:lvl>
    <w:lvl w:ilvl="5" w:tplc="3D80E5E0">
      <w:start w:val="1"/>
      <w:numFmt w:val="none"/>
      <w:lvlRestart w:val="0"/>
      <w:lvlText w:val=""/>
      <w:lvlJc w:val="left"/>
      <w:pPr>
        <w:ind w:left="0" w:firstLine="0"/>
      </w:pPr>
      <w:rPr>
        <w:rFonts w:hint="default"/>
      </w:rPr>
    </w:lvl>
    <w:lvl w:ilvl="6" w:tplc="730C1310">
      <w:start w:val="1"/>
      <w:numFmt w:val="none"/>
      <w:lvlRestart w:val="0"/>
      <w:lvlText w:val=""/>
      <w:lvlJc w:val="left"/>
      <w:pPr>
        <w:ind w:left="0" w:firstLine="0"/>
      </w:pPr>
      <w:rPr>
        <w:rFonts w:hint="default"/>
      </w:rPr>
    </w:lvl>
    <w:lvl w:ilvl="7" w:tplc="D4C29324">
      <w:start w:val="1"/>
      <w:numFmt w:val="none"/>
      <w:lvlRestart w:val="0"/>
      <w:lvlText w:val=""/>
      <w:lvlJc w:val="left"/>
      <w:pPr>
        <w:ind w:left="0" w:firstLine="0"/>
      </w:pPr>
      <w:rPr>
        <w:rFonts w:hint="default"/>
      </w:rPr>
    </w:lvl>
    <w:lvl w:ilvl="8" w:tplc="4532E524">
      <w:start w:val="1"/>
      <w:numFmt w:val="none"/>
      <w:lvlRestart w:val="0"/>
      <w:lvlText w:val=""/>
      <w:lvlJc w:val="left"/>
      <w:pPr>
        <w:ind w:left="0" w:firstLine="0"/>
      </w:pPr>
      <w:rPr>
        <w:rFonts w:hint="default"/>
      </w:rPr>
    </w:lvl>
  </w:abstractNum>
  <w:abstractNum w:abstractNumId="2"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9D6D96"/>
    <w:multiLevelType w:val="hybridMultilevel"/>
    <w:tmpl w:val="AD06323A"/>
    <w:numStyleLink w:val="zzDJRbullets"/>
  </w:abstractNum>
  <w:abstractNum w:abstractNumId="4"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4B41952"/>
    <w:multiLevelType w:val="hybridMultilevel"/>
    <w:tmpl w:val="405A479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6" w15:restartNumberingAfterBreak="0">
    <w:nsid w:val="38B364B8"/>
    <w:multiLevelType w:val="hybridMultilevel"/>
    <w:tmpl w:val="8650351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7"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1B19C4"/>
    <w:multiLevelType w:val="hybridMultilevel"/>
    <w:tmpl w:val="653E9AC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4BB357AC"/>
    <w:multiLevelType w:val="hybridMultilevel"/>
    <w:tmpl w:val="6420A8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1611C2"/>
    <w:multiLevelType w:val="hybridMultilevel"/>
    <w:tmpl w:val="96B4DF56"/>
    <w:styleLink w:val="ZZTablebullets"/>
    <w:lvl w:ilvl="0" w:tplc="9C249876">
      <w:start w:val="1"/>
      <w:numFmt w:val="bullet"/>
      <w:lvlText w:val="•"/>
      <w:lvlJc w:val="left"/>
      <w:pPr>
        <w:ind w:left="227" w:hanging="227"/>
      </w:pPr>
      <w:rPr>
        <w:rFonts w:ascii="Calibri" w:hAnsi="Calibri" w:hint="default"/>
      </w:rPr>
    </w:lvl>
    <w:lvl w:ilvl="1" w:tplc="77DCB0F8">
      <w:start w:val="1"/>
      <w:numFmt w:val="bullet"/>
      <w:lvlRestart w:val="0"/>
      <w:pStyle w:val="DJRtablebullet2"/>
      <w:lvlText w:val="–"/>
      <w:lvlJc w:val="left"/>
      <w:pPr>
        <w:tabs>
          <w:tab w:val="num" w:pos="227"/>
        </w:tabs>
        <w:ind w:left="454" w:hanging="227"/>
      </w:pPr>
      <w:rPr>
        <w:rFonts w:ascii="Calibri" w:hAnsi="Calibri" w:hint="default"/>
      </w:rPr>
    </w:lvl>
    <w:lvl w:ilvl="2" w:tplc="C4663442">
      <w:start w:val="1"/>
      <w:numFmt w:val="none"/>
      <w:lvlRestart w:val="0"/>
      <w:lvlText w:val=""/>
      <w:lvlJc w:val="left"/>
      <w:pPr>
        <w:ind w:left="0" w:firstLine="0"/>
      </w:pPr>
      <w:rPr>
        <w:rFonts w:hint="default"/>
      </w:rPr>
    </w:lvl>
    <w:lvl w:ilvl="3" w:tplc="37F290E6">
      <w:start w:val="1"/>
      <w:numFmt w:val="none"/>
      <w:lvlRestart w:val="0"/>
      <w:lvlText w:val=""/>
      <w:lvlJc w:val="left"/>
      <w:pPr>
        <w:ind w:left="0" w:firstLine="0"/>
      </w:pPr>
      <w:rPr>
        <w:rFonts w:hint="default"/>
      </w:rPr>
    </w:lvl>
    <w:lvl w:ilvl="4" w:tplc="3A20644C">
      <w:start w:val="1"/>
      <w:numFmt w:val="none"/>
      <w:lvlRestart w:val="0"/>
      <w:lvlText w:val=""/>
      <w:lvlJc w:val="left"/>
      <w:pPr>
        <w:ind w:left="0" w:firstLine="0"/>
      </w:pPr>
      <w:rPr>
        <w:rFonts w:hint="default"/>
      </w:rPr>
    </w:lvl>
    <w:lvl w:ilvl="5" w:tplc="1B7A9B90">
      <w:start w:val="1"/>
      <w:numFmt w:val="none"/>
      <w:lvlRestart w:val="0"/>
      <w:lvlText w:val=""/>
      <w:lvlJc w:val="left"/>
      <w:pPr>
        <w:ind w:left="0" w:firstLine="0"/>
      </w:pPr>
      <w:rPr>
        <w:rFonts w:hint="default"/>
      </w:rPr>
    </w:lvl>
    <w:lvl w:ilvl="6" w:tplc="50FE6FE0">
      <w:start w:val="1"/>
      <w:numFmt w:val="none"/>
      <w:lvlRestart w:val="0"/>
      <w:lvlText w:val=""/>
      <w:lvlJc w:val="left"/>
      <w:pPr>
        <w:ind w:left="0" w:firstLine="0"/>
      </w:pPr>
      <w:rPr>
        <w:rFonts w:hint="default"/>
      </w:rPr>
    </w:lvl>
    <w:lvl w:ilvl="7" w:tplc="588091D4">
      <w:start w:val="1"/>
      <w:numFmt w:val="none"/>
      <w:lvlRestart w:val="0"/>
      <w:lvlText w:val=""/>
      <w:lvlJc w:val="left"/>
      <w:pPr>
        <w:ind w:left="0" w:firstLine="0"/>
      </w:pPr>
      <w:rPr>
        <w:rFonts w:hint="default"/>
      </w:rPr>
    </w:lvl>
    <w:lvl w:ilvl="8" w:tplc="F3F486A0">
      <w:start w:val="1"/>
      <w:numFmt w:val="none"/>
      <w:lvlRestart w:val="0"/>
      <w:lvlText w:val=""/>
      <w:lvlJc w:val="left"/>
      <w:pPr>
        <w:ind w:left="0" w:firstLine="0"/>
      </w:pPr>
      <w:rPr>
        <w:rFonts w:hint="default"/>
      </w:rPr>
    </w:lvl>
  </w:abstractNum>
  <w:abstractNum w:abstractNumId="13" w15:restartNumberingAfterBreak="0">
    <w:nsid w:val="54BA1E5A"/>
    <w:multiLevelType w:val="hybridMultilevel"/>
    <w:tmpl w:val="21984544"/>
    <w:styleLink w:val="ZZBullets"/>
    <w:lvl w:ilvl="0" w:tplc="10A03C00">
      <w:start w:val="1"/>
      <w:numFmt w:val="bullet"/>
      <w:lvlText w:val="•"/>
      <w:lvlJc w:val="left"/>
      <w:pPr>
        <w:ind w:left="284" w:hanging="284"/>
      </w:pPr>
      <w:rPr>
        <w:rFonts w:ascii="Calibri" w:hAnsi="Calibri" w:hint="default"/>
      </w:rPr>
    </w:lvl>
    <w:lvl w:ilvl="1" w:tplc="1EAC0952">
      <w:start w:val="1"/>
      <w:numFmt w:val="bullet"/>
      <w:lvlRestart w:val="0"/>
      <w:lvlText w:val="–"/>
      <w:lvlJc w:val="left"/>
      <w:pPr>
        <w:ind w:left="567" w:hanging="283"/>
      </w:pPr>
      <w:rPr>
        <w:rFonts w:ascii="Calibri" w:hAnsi="Calibri" w:hint="default"/>
      </w:rPr>
    </w:lvl>
    <w:lvl w:ilvl="2" w:tplc="13A60F28">
      <w:start w:val="1"/>
      <w:numFmt w:val="none"/>
      <w:lvlRestart w:val="0"/>
      <w:lvlText w:val=""/>
      <w:lvlJc w:val="left"/>
      <w:pPr>
        <w:ind w:left="0" w:firstLine="0"/>
      </w:pPr>
      <w:rPr>
        <w:rFonts w:hint="default"/>
      </w:rPr>
    </w:lvl>
    <w:lvl w:ilvl="3" w:tplc="CA84AC22">
      <w:start w:val="1"/>
      <w:numFmt w:val="none"/>
      <w:lvlRestart w:val="0"/>
      <w:lvlText w:val=""/>
      <w:lvlJc w:val="left"/>
      <w:pPr>
        <w:ind w:left="0" w:firstLine="0"/>
      </w:pPr>
      <w:rPr>
        <w:rFonts w:hint="default"/>
      </w:rPr>
    </w:lvl>
    <w:lvl w:ilvl="4" w:tplc="1D7C711E">
      <w:start w:val="1"/>
      <w:numFmt w:val="none"/>
      <w:lvlRestart w:val="0"/>
      <w:lvlText w:val=""/>
      <w:lvlJc w:val="left"/>
      <w:pPr>
        <w:ind w:left="0" w:firstLine="0"/>
      </w:pPr>
      <w:rPr>
        <w:rFonts w:hint="default"/>
      </w:rPr>
    </w:lvl>
    <w:lvl w:ilvl="5" w:tplc="EEB677CE">
      <w:start w:val="1"/>
      <w:numFmt w:val="none"/>
      <w:lvlRestart w:val="0"/>
      <w:lvlText w:val=""/>
      <w:lvlJc w:val="left"/>
      <w:pPr>
        <w:ind w:left="0" w:firstLine="0"/>
      </w:pPr>
      <w:rPr>
        <w:rFonts w:hint="default"/>
      </w:rPr>
    </w:lvl>
    <w:lvl w:ilvl="6" w:tplc="9B9E7E8E">
      <w:start w:val="1"/>
      <w:numFmt w:val="none"/>
      <w:lvlRestart w:val="0"/>
      <w:lvlText w:val=""/>
      <w:lvlJc w:val="left"/>
      <w:pPr>
        <w:ind w:left="0" w:firstLine="0"/>
      </w:pPr>
      <w:rPr>
        <w:rFonts w:hint="default"/>
      </w:rPr>
    </w:lvl>
    <w:lvl w:ilvl="7" w:tplc="9E9E79AA">
      <w:start w:val="1"/>
      <w:numFmt w:val="none"/>
      <w:lvlRestart w:val="0"/>
      <w:lvlText w:val=""/>
      <w:lvlJc w:val="left"/>
      <w:pPr>
        <w:ind w:left="0" w:firstLine="0"/>
      </w:pPr>
      <w:rPr>
        <w:rFonts w:hint="default"/>
      </w:rPr>
    </w:lvl>
    <w:lvl w:ilvl="8" w:tplc="11C89752">
      <w:start w:val="1"/>
      <w:numFmt w:val="none"/>
      <w:lvlRestart w:val="0"/>
      <w:lvlText w:val=""/>
      <w:lvlJc w:val="left"/>
      <w:pPr>
        <w:ind w:left="0" w:firstLine="0"/>
      </w:pPr>
      <w:rPr>
        <w:rFonts w:hint="default"/>
      </w:rPr>
    </w:lvl>
  </w:abstractNum>
  <w:abstractNum w:abstractNumId="14" w15:restartNumberingAfterBreak="0">
    <w:nsid w:val="5B2611D0"/>
    <w:multiLevelType w:val="hybridMultilevel"/>
    <w:tmpl w:val="F4446C5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5" w15:restartNumberingAfterBreak="0">
    <w:nsid w:val="5EB76483"/>
    <w:multiLevelType w:val="hybridMultilevel"/>
    <w:tmpl w:val="4FCA5016"/>
    <w:lvl w:ilvl="0" w:tplc="BA76C260">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6309259F"/>
    <w:multiLevelType w:val="hybridMultilevel"/>
    <w:tmpl w:val="8AE88B0E"/>
    <w:styleLink w:val="ZZQuotebullets"/>
    <w:lvl w:ilvl="0" w:tplc="828EEB8C">
      <w:start w:val="1"/>
      <w:numFmt w:val="bullet"/>
      <w:pStyle w:val="DJRquotebullet1"/>
      <w:lvlText w:val="•"/>
      <w:lvlJc w:val="left"/>
      <w:pPr>
        <w:tabs>
          <w:tab w:val="num" w:pos="1304"/>
        </w:tabs>
        <w:ind w:left="1418" w:hanging="341"/>
      </w:pPr>
      <w:rPr>
        <w:rFonts w:ascii="Calibri" w:hAnsi="Calibri" w:hint="default"/>
        <w:color w:val="auto"/>
      </w:rPr>
    </w:lvl>
    <w:lvl w:ilvl="1" w:tplc="0B30AE2E">
      <w:start w:val="1"/>
      <w:numFmt w:val="bullet"/>
      <w:lvlRestart w:val="0"/>
      <w:pStyle w:val="DJRquotebullet2"/>
      <w:lvlText w:val="–"/>
      <w:lvlJc w:val="left"/>
      <w:pPr>
        <w:ind w:left="1758" w:hanging="397"/>
      </w:pPr>
      <w:rPr>
        <w:rFonts w:ascii="Calibri" w:hAnsi="Calibri" w:hint="default"/>
        <w:color w:val="auto"/>
      </w:rPr>
    </w:lvl>
    <w:lvl w:ilvl="2" w:tplc="8A821B48">
      <w:start w:val="1"/>
      <w:numFmt w:val="none"/>
      <w:lvlRestart w:val="0"/>
      <w:lvlText w:val=""/>
      <w:lvlJc w:val="left"/>
      <w:pPr>
        <w:ind w:left="0" w:firstLine="0"/>
      </w:pPr>
      <w:rPr>
        <w:rFonts w:hint="default"/>
      </w:rPr>
    </w:lvl>
    <w:lvl w:ilvl="3" w:tplc="DA48B482">
      <w:start w:val="1"/>
      <w:numFmt w:val="none"/>
      <w:lvlRestart w:val="0"/>
      <w:lvlText w:val=""/>
      <w:lvlJc w:val="left"/>
      <w:pPr>
        <w:ind w:left="0" w:firstLine="0"/>
      </w:pPr>
      <w:rPr>
        <w:rFonts w:hint="default"/>
      </w:rPr>
    </w:lvl>
    <w:lvl w:ilvl="4" w:tplc="96142086">
      <w:start w:val="1"/>
      <w:numFmt w:val="none"/>
      <w:lvlRestart w:val="0"/>
      <w:lvlText w:val=""/>
      <w:lvlJc w:val="left"/>
      <w:pPr>
        <w:ind w:left="0" w:firstLine="0"/>
      </w:pPr>
      <w:rPr>
        <w:rFonts w:hint="default"/>
      </w:rPr>
    </w:lvl>
    <w:lvl w:ilvl="5" w:tplc="24AADD1C">
      <w:start w:val="1"/>
      <w:numFmt w:val="none"/>
      <w:lvlRestart w:val="0"/>
      <w:lvlText w:val=""/>
      <w:lvlJc w:val="left"/>
      <w:pPr>
        <w:ind w:left="0" w:firstLine="0"/>
      </w:pPr>
      <w:rPr>
        <w:rFonts w:hint="default"/>
      </w:rPr>
    </w:lvl>
    <w:lvl w:ilvl="6" w:tplc="F5F8AFDE">
      <w:start w:val="1"/>
      <w:numFmt w:val="none"/>
      <w:lvlRestart w:val="0"/>
      <w:lvlText w:val=""/>
      <w:lvlJc w:val="left"/>
      <w:pPr>
        <w:ind w:left="0" w:firstLine="0"/>
      </w:pPr>
      <w:rPr>
        <w:rFonts w:hint="default"/>
      </w:rPr>
    </w:lvl>
    <w:lvl w:ilvl="7" w:tplc="8D98804C">
      <w:start w:val="1"/>
      <w:numFmt w:val="none"/>
      <w:lvlRestart w:val="0"/>
      <w:lvlText w:val=""/>
      <w:lvlJc w:val="left"/>
      <w:pPr>
        <w:ind w:left="0" w:firstLine="0"/>
      </w:pPr>
      <w:rPr>
        <w:rFonts w:hint="default"/>
      </w:rPr>
    </w:lvl>
    <w:lvl w:ilvl="8" w:tplc="7A78D8F6">
      <w:start w:val="1"/>
      <w:numFmt w:val="none"/>
      <w:lvlRestart w:val="0"/>
      <w:lvlText w:val=""/>
      <w:lvlJc w:val="left"/>
      <w:pPr>
        <w:ind w:left="0" w:firstLine="0"/>
      </w:pPr>
      <w:rPr>
        <w:rFonts w:hint="default"/>
      </w:rPr>
    </w:lvl>
  </w:abstractNum>
  <w:abstractNum w:abstractNumId="17" w15:restartNumberingAfterBreak="0">
    <w:nsid w:val="6EB15A71"/>
    <w:multiLevelType w:val="hybridMultilevel"/>
    <w:tmpl w:val="9A66C5E2"/>
    <w:lvl w:ilvl="0" w:tplc="0C09000F">
      <w:start w:val="1"/>
      <w:numFmt w:val="decimal"/>
      <w:lvlText w:val="%1."/>
      <w:lvlJc w:val="left"/>
      <w:pPr>
        <w:ind w:left="1400" w:hanging="360"/>
      </w:pPr>
      <w:rPr>
        <w:rFonts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8" w15:restartNumberingAfterBreak="0">
    <w:nsid w:val="72BE34FC"/>
    <w:multiLevelType w:val="hybridMultilevel"/>
    <w:tmpl w:val="E0FA958A"/>
    <w:styleLink w:val="zzDJRnumberdigit"/>
    <w:lvl w:ilvl="0" w:tplc="03ECD5AE">
      <w:start w:val="1"/>
      <w:numFmt w:val="decimal"/>
      <w:pStyle w:val="DJRnumberdigit"/>
      <w:lvlText w:val="%1."/>
      <w:lvlJc w:val="left"/>
      <w:pPr>
        <w:tabs>
          <w:tab w:val="num" w:pos="680"/>
        </w:tabs>
        <w:ind w:left="1077" w:hanging="397"/>
      </w:pPr>
      <w:rPr>
        <w:rFonts w:hint="default"/>
      </w:rPr>
    </w:lvl>
    <w:lvl w:ilvl="1" w:tplc="1F24E7E0">
      <w:start w:val="1"/>
      <w:numFmt w:val="decimal"/>
      <w:lvlRestart w:val="0"/>
      <w:lvlText w:val="%2."/>
      <w:lvlJc w:val="left"/>
      <w:pPr>
        <w:tabs>
          <w:tab w:val="num" w:pos="907"/>
        </w:tabs>
        <w:ind w:left="794" w:firstLine="31975"/>
      </w:pPr>
      <w:rPr>
        <w:rFonts w:hint="default"/>
      </w:rPr>
    </w:lvl>
    <w:lvl w:ilvl="2" w:tplc="0504CA6E">
      <w:start w:val="1"/>
      <w:numFmt w:val="bullet"/>
      <w:lvlRestart w:val="0"/>
      <w:lvlText w:val="•"/>
      <w:lvlJc w:val="left"/>
      <w:pPr>
        <w:tabs>
          <w:tab w:val="num" w:pos="794"/>
        </w:tabs>
        <w:ind w:left="794" w:hanging="397"/>
      </w:pPr>
      <w:rPr>
        <w:rFonts w:ascii="Calibri" w:hAnsi="Calibri" w:hint="default"/>
      </w:rPr>
    </w:lvl>
    <w:lvl w:ilvl="3" w:tplc="59826396">
      <w:start w:val="1"/>
      <w:numFmt w:val="bullet"/>
      <w:lvlRestart w:val="0"/>
      <w:lvlText w:val="–"/>
      <w:lvlJc w:val="left"/>
      <w:pPr>
        <w:tabs>
          <w:tab w:val="num" w:pos="1191"/>
        </w:tabs>
        <w:ind w:left="1191" w:hanging="397"/>
      </w:pPr>
      <w:rPr>
        <w:rFonts w:ascii="Calibri" w:hAnsi="Calibri" w:hint="default"/>
      </w:rPr>
    </w:lvl>
    <w:lvl w:ilvl="4" w:tplc="0FBAD0B8">
      <w:start w:val="1"/>
      <w:numFmt w:val="none"/>
      <w:lvlRestart w:val="0"/>
      <w:lvlText w:val=""/>
      <w:lvlJc w:val="left"/>
      <w:pPr>
        <w:ind w:left="0" w:firstLine="0"/>
      </w:pPr>
      <w:rPr>
        <w:rFonts w:hint="default"/>
      </w:rPr>
    </w:lvl>
    <w:lvl w:ilvl="5" w:tplc="B50AC64E">
      <w:start w:val="1"/>
      <w:numFmt w:val="none"/>
      <w:lvlRestart w:val="0"/>
      <w:lvlText w:val=""/>
      <w:lvlJc w:val="left"/>
      <w:pPr>
        <w:ind w:left="0" w:firstLine="0"/>
      </w:pPr>
      <w:rPr>
        <w:rFonts w:hint="default"/>
      </w:rPr>
    </w:lvl>
    <w:lvl w:ilvl="6" w:tplc="4A9497CA">
      <w:start w:val="1"/>
      <w:numFmt w:val="none"/>
      <w:lvlRestart w:val="0"/>
      <w:lvlText w:val=""/>
      <w:lvlJc w:val="left"/>
      <w:pPr>
        <w:ind w:left="0" w:firstLine="0"/>
      </w:pPr>
      <w:rPr>
        <w:rFonts w:hint="default"/>
      </w:rPr>
    </w:lvl>
    <w:lvl w:ilvl="7" w:tplc="9176C1DA">
      <w:start w:val="1"/>
      <w:numFmt w:val="none"/>
      <w:lvlRestart w:val="0"/>
      <w:lvlText w:val=""/>
      <w:lvlJc w:val="left"/>
      <w:pPr>
        <w:ind w:left="0" w:firstLine="0"/>
      </w:pPr>
      <w:rPr>
        <w:rFonts w:hint="default"/>
      </w:rPr>
    </w:lvl>
    <w:lvl w:ilvl="8" w:tplc="5DF612FA">
      <w:start w:val="1"/>
      <w:numFmt w:val="none"/>
      <w:lvlRestart w:val="0"/>
      <w:lvlText w:val=""/>
      <w:lvlJc w:val="right"/>
      <w:pPr>
        <w:ind w:left="0" w:firstLine="0"/>
      </w:pPr>
      <w:rPr>
        <w:rFonts w:hint="default"/>
      </w:rPr>
    </w:lvl>
  </w:abstractNum>
  <w:abstractNum w:abstractNumId="19" w15:restartNumberingAfterBreak="0">
    <w:nsid w:val="787B53A8"/>
    <w:multiLevelType w:val="hybridMultilevel"/>
    <w:tmpl w:val="AD06323A"/>
    <w:styleLink w:val="zzDJRbullets"/>
    <w:lvl w:ilvl="0" w:tplc="F7865254">
      <w:start w:val="1"/>
      <w:numFmt w:val="bullet"/>
      <w:pStyle w:val="DJRbullet1"/>
      <w:lvlText w:val="•"/>
      <w:lvlJc w:val="left"/>
      <w:pPr>
        <w:tabs>
          <w:tab w:val="num" w:pos="680"/>
        </w:tabs>
        <w:ind w:left="964" w:hanging="284"/>
      </w:pPr>
      <w:rPr>
        <w:rFonts w:ascii="Calibri" w:hAnsi="Calibri" w:hint="default"/>
      </w:rPr>
    </w:lvl>
    <w:lvl w:ilvl="1" w:tplc="E092C58C">
      <w:start w:val="1"/>
      <w:numFmt w:val="bullet"/>
      <w:pStyle w:val="DJRbullet2"/>
      <w:lvlText w:val="–"/>
      <w:lvlJc w:val="left"/>
      <w:pPr>
        <w:ind w:left="1304" w:hanging="340"/>
      </w:pPr>
      <w:rPr>
        <w:rFonts w:ascii="Calibri" w:hAnsi="Calibri" w:hint="default"/>
        <w:color w:val="auto"/>
      </w:rPr>
    </w:lvl>
    <w:lvl w:ilvl="2" w:tplc="149C1764">
      <w:start w:val="1"/>
      <w:numFmt w:val="lowerRoman"/>
      <w:lvlText w:val="%3)"/>
      <w:lvlJc w:val="left"/>
      <w:pPr>
        <w:ind w:left="1080" w:hanging="360"/>
      </w:pPr>
      <w:rPr>
        <w:rFonts w:hint="default"/>
      </w:rPr>
    </w:lvl>
    <w:lvl w:ilvl="3" w:tplc="D5E68A28">
      <w:start w:val="1"/>
      <w:numFmt w:val="decimal"/>
      <w:lvlText w:val="(%4)"/>
      <w:lvlJc w:val="left"/>
      <w:pPr>
        <w:ind w:left="1440" w:hanging="360"/>
      </w:pPr>
      <w:rPr>
        <w:rFonts w:hint="default"/>
      </w:rPr>
    </w:lvl>
    <w:lvl w:ilvl="4" w:tplc="B6AECA84">
      <w:start w:val="1"/>
      <w:numFmt w:val="lowerLetter"/>
      <w:lvlText w:val="(%5)"/>
      <w:lvlJc w:val="left"/>
      <w:pPr>
        <w:ind w:left="1800" w:hanging="360"/>
      </w:pPr>
      <w:rPr>
        <w:rFonts w:hint="default"/>
      </w:rPr>
    </w:lvl>
    <w:lvl w:ilvl="5" w:tplc="D2B883B4">
      <w:start w:val="1"/>
      <w:numFmt w:val="lowerRoman"/>
      <w:lvlText w:val="(%6)"/>
      <w:lvlJc w:val="left"/>
      <w:pPr>
        <w:ind w:left="2160" w:hanging="360"/>
      </w:pPr>
      <w:rPr>
        <w:rFonts w:hint="default"/>
      </w:rPr>
    </w:lvl>
    <w:lvl w:ilvl="6" w:tplc="0B006772">
      <w:start w:val="1"/>
      <w:numFmt w:val="decimal"/>
      <w:lvlText w:val="%7."/>
      <w:lvlJc w:val="left"/>
      <w:pPr>
        <w:ind w:left="2520" w:hanging="360"/>
      </w:pPr>
      <w:rPr>
        <w:rFonts w:hint="default"/>
      </w:rPr>
    </w:lvl>
    <w:lvl w:ilvl="7" w:tplc="14AC7E68">
      <w:start w:val="1"/>
      <w:numFmt w:val="lowerLetter"/>
      <w:lvlText w:val="%8."/>
      <w:lvlJc w:val="left"/>
      <w:pPr>
        <w:ind w:left="2880" w:hanging="360"/>
      </w:pPr>
      <w:rPr>
        <w:rFonts w:hint="default"/>
      </w:rPr>
    </w:lvl>
    <w:lvl w:ilvl="8" w:tplc="F3D0F424">
      <w:start w:val="1"/>
      <w:numFmt w:val="lowerRoman"/>
      <w:lvlText w:val="%9."/>
      <w:lvlJc w:val="left"/>
      <w:pPr>
        <w:ind w:left="3240" w:hanging="360"/>
      </w:pPr>
      <w:rPr>
        <w:rFonts w:hint="default"/>
      </w:rPr>
    </w:lvl>
  </w:abstractNum>
  <w:abstractNum w:abstractNumId="20" w15:restartNumberingAfterBreak="0">
    <w:nsid w:val="7DAD21FC"/>
    <w:multiLevelType w:val="hybridMultilevel"/>
    <w:tmpl w:val="B4828CCA"/>
    <w:styleLink w:val="zzzznumberloweralphaindent"/>
    <w:lvl w:ilvl="0" w:tplc="BA4203E6">
      <w:start w:val="1"/>
      <w:numFmt w:val="lowerLetter"/>
      <w:pStyle w:val="DJRnumberloweralphaindent"/>
      <w:lvlText w:val="%1)"/>
      <w:lvlJc w:val="left"/>
      <w:pPr>
        <w:ind w:left="1474" w:hanging="397"/>
      </w:pPr>
      <w:rPr>
        <w:rFonts w:hint="default"/>
      </w:rPr>
    </w:lvl>
    <w:lvl w:ilvl="1" w:tplc="F094DD9E">
      <w:start w:val="1"/>
      <w:numFmt w:val="lowerLetter"/>
      <w:lvlText w:val="%2)"/>
      <w:lvlJc w:val="left"/>
      <w:pPr>
        <w:ind w:left="720" w:hanging="360"/>
      </w:pPr>
      <w:rPr>
        <w:rFonts w:hint="default"/>
      </w:rPr>
    </w:lvl>
    <w:lvl w:ilvl="2" w:tplc="8EEECA62">
      <w:start w:val="1"/>
      <w:numFmt w:val="lowerRoman"/>
      <w:lvlText w:val="%3)"/>
      <w:lvlJc w:val="left"/>
      <w:pPr>
        <w:ind w:left="1080" w:hanging="360"/>
      </w:pPr>
      <w:rPr>
        <w:rFonts w:hint="default"/>
      </w:rPr>
    </w:lvl>
    <w:lvl w:ilvl="3" w:tplc="A0E28CA6">
      <w:start w:val="1"/>
      <w:numFmt w:val="decimal"/>
      <w:lvlText w:val="(%4)"/>
      <w:lvlJc w:val="left"/>
      <w:pPr>
        <w:ind w:left="1440" w:hanging="360"/>
      </w:pPr>
      <w:rPr>
        <w:rFonts w:hint="default"/>
      </w:rPr>
    </w:lvl>
    <w:lvl w:ilvl="4" w:tplc="2CD681A2">
      <w:start w:val="1"/>
      <w:numFmt w:val="lowerLetter"/>
      <w:lvlText w:val="(%5)"/>
      <w:lvlJc w:val="left"/>
      <w:pPr>
        <w:ind w:left="1800" w:hanging="360"/>
      </w:pPr>
      <w:rPr>
        <w:rFonts w:hint="default"/>
      </w:rPr>
    </w:lvl>
    <w:lvl w:ilvl="5" w:tplc="8A3219D2">
      <w:start w:val="1"/>
      <w:numFmt w:val="lowerRoman"/>
      <w:lvlText w:val="(%6)"/>
      <w:lvlJc w:val="left"/>
      <w:pPr>
        <w:ind w:left="2160" w:hanging="360"/>
      </w:pPr>
      <w:rPr>
        <w:rFonts w:hint="default"/>
      </w:rPr>
    </w:lvl>
    <w:lvl w:ilvl="6" w:tplc="0C0C753C">
      <w:start w:val="1"/>
      <w:numFmt w:val="decimal"/>
      <w:lvlText w:val="%7."/>
      <w:lvlJc w:val="left"/>
      <w:pPr>
        <w:ind w:left="2520" w:hanging="360"/>
      </w:pPr>
      <w:rPr>
        <w:rFonts w:hint="default"/>
      </w:rPr>
    </w:lvl>
    <w:lvl w:ilvl="7" w:tplc="FF3C4364">
      <w:start w:val="1"/>
      <w:numFmt w:val="lowerLetter"/>
      <w:lvlText w:val="%8."/>
      <w:lvlJc w:val="left"/>
      <w:pPr>
        <w:ind w:left="2880" w:hanging="360"/>
      </w:pPr>
      <w:rPr>
        <w:rFonts w:hint="default"/>
      </w:rPr>
    </w:lvl>
    <w:lvl w:ilvl="8" w:tplc="BF4416E8">
      <w:start w:val="1"/>
      <w:numFmt w:val="lowerRoman"/>
      <w:lvlText w:val="%9."/>
      <w:lvlJc w:val="left"/>
      <w:pPr>
        <w:ind w:left="3240" w:hanging="360"/>
      </w:pPr>
      <w:rPr>
        <w:rFonts w:hint="default"/>
      </w:rPr>
    </w:lvl>
  </w:abstractNum>
  <w:num w:numId="1">
    <w:abstractNumId w:val="13"/>
  </w:num>
  <w:num w:numId="2">
    <w:abstractNumId w:val="8"/>
  </w:num>
  <w:num w:numId="3">
    <w:abstractNumId w:val="1"/>
  </w:num>
  <w:num w:numId="4">
    <w:abstractNumId w:val="4"/>
  </w:num>
  <w:num w:numId="5">
    <w:abstractNumId w:val="16"/>
  </w:num>
  <w:num w:numId="6">
    <w:abstractNumId w:val="12"/>
  </w:num>
  <w:num w:numId="7">
    <w:abstractNumId w:val="11"/>
  </w:num>
  <w:num w:numId="8">
    <w:abstractNumId w:val="7"/>
  </w:num>
  <w:num w:numId="9">
    <w:abstractNumId w:val="20"/>
  </w:num>
  <w:num w:numId="10">
    <w:abstractNumId w:val="19"/>
  </w:num>
  <w:num w:numId="11">
    <w:abstractNumId w:val="2"/>
  </w:num>
  <w:num w:numId="12">
    <w:abstractNumId w:val="18"/>
    <w:lvlOverride w:ilvl="0">
      <w:lvl w:ilvl="0" w:tplc="03ECD5AE">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8"/>
  </w:num>
  <w:num w:numId="14">
    <w:abstractNumId w:val="12"/>
  </w:num>
  <w:num w:numId="15">
    <w:abstractNumId w:val="3"/>
  </w:num>
  <w:num w:numId="16">
    <w:abstractNumId w:val="14"/>
  </w:num>
  <w:num w:numId="17">
    <w:abstractNumId w:val="17"/>
  </w:num>
  <w:num w:numId="18">
    <w:abstractNumId w:val="6"/>
  </w:num>
  <w:num w:numId="19">
    <w:abstractNumId w:val="15"/>
  </w:num>
  <w:num w:numId="20">
    <w:abstractNumId w:val="0"/>
  </w:num>
  <w:num w:numId="21">
    <w:abstractNumId w:val="5"/>
  </w:num>
  <w:num w:numId="22">
    <w:abstractNumId w:val="10"/>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E560024-6C26-412C-894F-661881E31627}"/>
    <w:docVar w:name="dgnword-eventsink" w:val="495604664"/>
  </w:docVars>
  <w:rsids>
    <w:rsidRoot w:val="00D60973"/>
    <w:rsid w:val="000024CD"/>
    <w:rsid w:val="00002990"/>
    <w:rsid w:val="000033B3"/>
    <w:rsid w:val="000048AC"/>
    <w:rsid w:val="000059C0"/>
    <w:rsid w:val="00006FFB"/>
    <w:rsid w:val="00007D1F"/>
    <w:rsid w:val="00012943"/>
    <w:rsid w:val="000140BF"/>
    <w:rsid w:val="00014FC4"/>
    <w:rsid w:val="0001590D"/>
    <w:rsid w:val="00015E16"/>
    <w:rsid w:val="00016E7F"/>
    <w:rsid w:val="00017E63"/>
    <w:rsid w:val="00020AAB"/>
    <w:rsid w:val="000223A4"/>
    <w:rsid w:val="00022E60"/>
    <w:rsid w:val="00023B12"/>
    <w:rsid w:val="00023F65"/>
    <w:rsid w:val="00024960"/>
    <w:rsid w:val="00026C19"/>
    <w:rsid w:val="0002753E"/>
    <w:rsid w:val="00031263"/>
    <w:rsid w:val="000368BD"/>
    <w:rsid w:val="00037350"/>
    <w:rsid w:val="00037406"/>
    <w:rsid w:val="00042180"/>
    <w:rsid w:val="00042371"/>
    <w:rsid w:val="000435E6"/>
    <w:rsid w:val="00043C76"/>
    <w:rsid w:val="00045BC3"/>
    <w:rsid w:val="000518FC"/>
    <w:rsid w:val="0005301A"/>
    <w:rsid w:val="000544CF"/>
    <w:rsid w:val="00054DA2"/>
    <w:rsid w:val="0005587D"/>
    <w:rsid w:val="00056773"/>
    <w:rsid w:val="00060E93"/>
    <w:rsid w:val="000616D5"/>
    <w:rsid w:val="00064936"/>
    <w:rsid w:val="00065774"/>
    <w:rsid w:val="000712EE"/>
    <w:rsid w:val="00073486"/>
    <w:rsid w:val="000734F8"/>
    <w:rsid w:val="000736B8"/>
    <w:rsid w:val="0007404C"/>
    <w:rsid w:val="000740E4"/>
    <w:rsid w:val="000758B0"/>
    <w:rsid w:val="0007671D"/>
    <w:rsid w:val="000817CB"/>
    <w:rsid w:val="000873EF"/>
    <w:rsid w:val="00091C98"/>
    <w:rsid w:val="00091F17"/>
    <w:rsid w:val="0009297D"/>
    <w:rsid w:val="00092EAD"/>
    <w:rsid w:val="000A07ED"/>
    <w:rsid w:val="000A12D5"/>
    <w:rsid w:val="000A1D82"/>
    <w:rsid w:val="000B1380"/>
    <w:rsid w:val="000B1B83"/>
    <w:rsid w:val="000B273A"/>
    <w:rsid w:val="000B3792"/>
    <w:rsid w:val="000B78B9"/>
    <w:rsid w:val="000C2594"/>
    <w:rsid w:val="000C6242"/>
    <w:rsid w:val="000C68DB"/>
    <w:rsid w:val="000D0281"/>
    <w:rsid w:val="000D0562"/>
    <w:rsid w:val="000D1962"/>
    <w:rsid w:val="000D2C32"/>
    <w:rsid w:val="000E0C32"/>
    <w:rsid w:val="000E145F"/>
    <w:rsid w:val="000E22D6"/>
    <w:rsid w:val="000E3A1F"/>
    <w:rsid w:val="000E3EDE"/>
    <w:rsid w:val="000E6964"/>
    <w:rsid w:val="000E6F72"/>
    <w:rsid w:val="000E7BFA"/>
    <w:rsid w:val="000E7DDC"/>
    <w:rsid w:val="000F0478"/>
    <w:rsid w:val="000F0A50"/>
    <w:rsid w:val="000F0FDC"/>
    <w:rsid w:val="000F1BE5"/>
    <w:rsid w:val="000F25C8"/>
    <w:rsid w:val="000F2E1E"/>
    <w:rsid w:val="000F316B"/>
    <w:rsid w:val="000F350F"/>
    <w:rsid w:val="000F4CD4"/>
    <w:rsid w:val="000F6399"/>
    <w:rsid w:val="000F7C05"/>
    <w:rsid w:val="0010036F"/>
    <w:rsid w:val="0010292E"/>
    <w:rsid w:val="00103D5E"/>
    <w:rsid w:val="00104EA7"/>
    <w:rsid w:val="00105FAD"/>
    <w:rsid w:val="00107218"/>
    <w:rsid w:val="00107A7F"/>
    <w:rsid w:val="0011155B"/>
    <w:rsid w:val="00111A0E"/>
    <w:rsid w:val="00111A4A"/>
    <w:rsid w:val="00111A6A"/>
    <w:rsid w:val="001131D6"/>
    <w:rsid w:val="00121BF1"/>
    <w:rsid w:val="0012311D"/>
    <w:rsid w:val="00125B59"/>
    <w:rsid w:val="001270A5"/>
    <w:rsid w:val="00127A8B"/>
    <w:rsid w:val="001329A3"/>
    <w:rsid w:val="001331CB"/>
    <w:rsid w:val="00134BE5"/>
    <w:rsid w:val="00134E33"/>
    <w:rsid w:val="00140BA7"/>
    <w:rsid w:val="001412D1"/>
    <w:rsid w:val="001423E3"/>
    <w:rsid w:val="00142F67"/>
    <w:rsid w:val="00143CC0"/>
    <w:rsid w:val="00146F79"/>
    <w:rsid w:val="001475EA"/>
    <w:rsid w:val="00147EE4"/>
    <w:rsid w:val="001504F5"/>
    <w:rsid w:val="001517BD"/>
    <w:rsid w:val="0015193F"/>
    <w:rsid w:val="00152743"/>
    <w:rsid w:val="00155109"/>
    <w:rsid w:val="001622AF"/>
    <w:rsid w:val="001625D1"/>
    <w:rsid w:val="0016626C"/>
    <w:rsid w:val="001713C9"/>
    <w:rsid w:val="0017153B"/>
    <w:rsid w:val="0017248D"/>
    <w:rsid w:val="00173626"/>
    <w:rsid w:val="00173A34"/>
    <w:rsid w:val="0017457F"/>
    <w:rsid w:val="00174CAE"/>
    <w:rsid w:val="0017614A"/>
    <w:rsid w:val="00177F39"/>
    <w:rsid w:val="001802AD"/>
    <w:rsid w:val="0018177B"/>
    <w:rsid w:val="001817CD"/>
    <w:rsid w:val="0018235E"/>
    <w:rsid w:val="0018768C"/>
    <w:rsid w:val="001914FA"/>
    <w:rsid w:val="00192BA0"/>
    <w:rsid w:val="00197303"/>
    <w:rsid w:val="00197EFA"/>
    <w:rsid w:val="001A17EA"/>
    <w:rsid w:val="001A1D17"/>
    <w:rsid w:val="001A22AA"/>
    <w:rsid w:val="001A2CB0"/>
    <w:rsid w:val="001A636B"/>
    <w:rsid w:val="001A7A18"/>
    <w:rsid w:val="001B0F6E"/>
    <w:rsid w:val="001B1565"/>
    <w:rsid w:val="001B166D"/>
    <w:rsid w:val="001B1D3D"/>
    <w:rsid w:val="001B28B5"/>
    <w:rsid w:val="001B2975"/>
    <w:rsid w:val="001B5E16"/>
    <w:rsid w:val="001B6398"/>
    <w:rsid w:val="001B6636"/>
    <w:rsid w:val="001B7DB6"/>
    <w:rsid w:val="001C08A9"/>
    <w:rsid w:val="001C0E31"/>
    <w:rsid w:val="001C122D"/>
    <w:rsid w:val="001C17CA"/>
    <w:rsid w:val="001C3165"/>
    <w:rsid w:val="001C5DD7"/>
    <w:rsid w:val="001C7F74"/>
    <w:rsid w:val="001D2A2D"/>
    <w:rsid w:val="001D2A82"/>
    <w:rsid w:val="001D569B"/>
    <w:rsid w:val="001D654D"/>
    <w:rsid w:val="001E0EA3"/>
    <w:rsid w:val="001E2BD7"/>
    <w:rsid w:val="001E4995"/>
    <w:rsid w:val="001E5EB8"/>
    <w:rsid w:val="001E680C"/>
    <w:rsid w:val="001E7A42"/>
    <w:rsid w:val="001F09DC"/>
    <w:rsid w:val="001F30A5"/>
    <w:rsid w:val="001F43E6"/>
    <w:rsid w:val="0020133D"/>
    <w:rsid w:val="00201512"/>
    <w:rsid w:val="00202993"/>
    <w:rsid w:val="002101E2"/>
    <w:rsid w:val="00213772"/>
    <w:rsid w:val="00215AED"/>
    <w:rsid w:val="00215D68"/>
    <w:rsid w:val="002161E0"/>
    <w:rsid w:val="0021794B"/>
    <w:rsid w:val="00220749"/>
    <w:rsid w:val="002233F7"/>
    <w:rsid w:val="0022375A"/>
    <w:rsid w:val="0022422C"/>
    <w:rsid w:val="00224BBD"/>
    <w:rsid w:val="0022724E"/>
    <w:rsid w:val="00230666"/>
    <w:rsid w:val="00230AD8"/>
    <w:rsid w:val="00230ADF"/>
    <w:rsid w:val="002310FF"/>
    <w:rsid w:val="00231153"/>
    <w:rsid w:val="0023252E"/>
    <w:rsid w:val="00233BB0"/>
    <w:rsid w:val="002408F8"/>
    <w:rsid w:val="00241C31"/>
    <w:rsid w:val="00242551"/>
    <w:rsid w:val="002426DF"/>
    <w:rsid w:val="002430EB"/>
    <w:rsid w:val="0024451B"/>
    <w:rsid w:val="002447FF"/>
    <w:rsid w:val="002449BC"/>
    <w:rsid w:val="0024573E"/>
    <w:rsid w:val="00246AB1"/>
    <w:rsid w:val="00250846"/>
    <w:rsid w:val="00250CF6"/>
    <w:rsid w:val="00250D70"/>
    <w:rsid w:val="002540BF"/>
    <w:rsid w:val="002545DF"/>
    <w:rsid w:val="00256E7C"/>
    <w:rsid w:val="002619D9"/>
    <w:rsid w:val="002634F0"/>
    <w:rsid w:val="002645BC"/>
    <w:rsid w:val="00264D6B"/>
    <w:rsid w:val="0026578A"/>
    <w:rsid w:val="002659E3"/>
    <w:rsid w:val="002679D5"/>
    <w:rsid w:val="00267DD9"/>
    <w:rsid w:val="00270DC8"/>
    <w:rsid w:val="002714FD"/>
    <w:rsid w:val="00274C7C"/>
    <w:rsid w:val="00275F94"/>
    <w:rsid w:val="00276AE1"/>
    <w:rsid w:val="00277F39"/>
    <w:rsid w:val="0028176A"/>
    <w:rsid w:val="00281B9C"/>
    <w:rsid w:val="002838D7"/>
    <w:rsid w:val="00283C22"/>
    <w:rsid w:val="002843E1"/>
    <w:rsid w:val="00284C9B"/>
    <w:rsid w:val="00287ED4"/>
    <w:rsid w:val="002906B7"/>
    <w:rsid w:val="002906E9"/>
    <w:rsid w:val="00290F83"/>
    <w:rsid w:val="00292635"/>
    <w:rsid w:val="0029270B"/>
    <w:rsid w:val="00292867"/>
    <w:rsid w:val="002939CB"/>
    <w:rsid w:val="00295285"/>
    <w:rsid w:val="00296129"/>
    <w:rsid w:val="002974CD"/>
    <w:rsid w:val="002A03AB"/>
    <w:rsid w:val="002A0DBB"/>
    <w:rsid w:val="002A141B"/>
    <w:rsid w:val="002A26B6"/>
    <w:rsid w:val="002A2EBB"/>
    <w:rsid w:val="002A3423"/>
    <w:rsid w:val="002A638F"/>
    <w:rsid w:val="002A6A4E"/>
    <w:rsid w:val="002B06F4"/>
    <w:rsid w:val="002B124B"/>
    <w:rsid w:val="002B1C8F"/>
    <w:rsid w:val="002B2622"/>
    <w:rsid w:val="002B271E"/>
    <w:rsid w:val="002B34CA"/>
    <w:rsid w:val="002B487B"/>
    <w:rsid w:val="002B55C8"/>
    <w:rsid w:val="002B5A85"/>
    <w:rsid w:val="002B63A7"/>
    <w:rsid w:val="002C00D2"/>
    <w:rsid w:val="002C1D96"/>
    <w:rsid w:val="002C22E6"/>
    <w:rsid w:val="002C2583"/>
    <w:rsid w:val="002C3BBB"/>
    <w:rsid w:val="002C42BA"/>
    <w:rsid w:val="002C5543"/>
    <w:rsid w:val="002D0F7F"/>
    <w:rsid w:val="002D2D7E"/>
    <w:rsid w:val="002D37BC"/>
    <w:rsid w:val="002D3BC7"/>
    <w:rsid w:val="002D5A51"/>
    <w:rsid w:val="002D61FD"/>
    <w:rsid w:val="002D6EBF"/>
    <w:rsid w:val="002D7DDB"/>
    <w:rsid w:val="002E0198"/>
    <w:rsid w:val="002E1D7C"/>
    <w:rsid w:val="002E3626"/>
    <w:rsid w:val="002E3F44"/>
    <w:rsid w:val="002E4A35"/>
    <w:rsid w:val="002E6159"/>
    <w:rsid w:val="002F1F5B"/>
    <w:rsid w:val="002F449B"/>
    <w:rsid w:val="002F4B91"/>
    <w:rsid w:val="002F4D86"/>
    <w:rsid w:val="002F5D69"/>
    <w:rsid w:val="002F66D4"/>
    <w:rsid w:val="002F7C77"/>
    <w:rsid w:val="00300C38"/>
    <w:rsid w:val="00300CB3"/>
    <w:rsid w:val="0030394B"/>
    <w:rsid w:val="003039F9"/>
    <w:rsid w:val="00304110"/>
    <w:rsid w:val="00306D19"/>
    <w:rsid w:val="003072C6"/>
    <w:rsid w:val="00310A17"/>
    <w:rsid w:val="00310D8E"/>
    <w:rsid w:val="0031189E"/>
    <w:rsid w:val="0031411A"/>
    <w:rsid w:val="00315BBD"/>
    <w:rsid w:val="00316502"/>
    <w:rsid w:val="00316AB8"/>
    <w:rsid w:val="00317505"/>
    <w:rsid w:val="0031753A"/>
    <w:rsid w:val="003201DA"/>
    <w:rsid w:val="00320293"/>
    <w:rsid w:val="003206AA"/>
    <w:rsid w:val="00321745"/>
    <w:rsid w:val="00322CC2"/>
    <w:rsid w:val="00323897"/>
    <w:rsid w:val="00323B68"/>
    <w:rsid w:val="00324D53"/>
    <w:rsid w:val="003271DC"/>
    <w:rsid w:val="0032722F"/>
    <w:rsid w:val="00327ED2"/>
    <w:rsid w:val="00330F36"/>
    <w:rsid w:val="0033322B"/>
    <w:rsid w:val="00334B54"/>
    <w:rsid w:val="0033503B"/>
    <w:rsid w:val="003360F1"/>
    <w:rsid w:val="0033739E"/>
    <w:rsid w:val="00340934"/>
    <w:rsid w:val="00342142"/>
    <w:rsid w:val="00343733"/>
    <w:rsid w:val="00343C03"/>
    <w:rsid w:val="00344C58"/>
    <w:rsid w:val="003452BB"/>
    <w:rsid w:val="003457D8"/>
    <w:rsid w:val="00345F57"/>
    <w:rsid w:val="00346ABE"/>
    <w:rsid w:val="003533AB"/>
    <w:rsid w:val="00354112"/>
    <w:rsid w:val="00355886"/>
    <w:rsid w:val="00356769"/>
    <w:rsid w:val="00356814"/>
    <w:rsid w:val="0035763A"/>
    <w:rsid w:val="00357C73"/>
    <w:rsid w:val="0036310D"/>
    <w:rsid w:val="00366D17"/>
    <w:rsid w:val="0037100E"/>
    <w:rsid w:val="00371751"/>
    <w:rsid w:val="003741AD"/>
    <w:rsid w:val="00374F85"/>
    <w:rsid w:val="00375922"/>
    <w:rsid w:val="0037671B"/>
    <w:rsid w:val="0037795D"/>
    <w:rsid w:val="0038019F"/>
    <w:rsid w:val="0038082D"/>
    <w:rsid w:val="003811DC"/>
    <w:rsid w:val="00382071"/>
    <w:rsid w:val="003823AE"/>
    <w:rsid w:val="00382402"/>
    <w:rsid w:val="00387392"/>
    <w:rsid w:val="003A0FCA"/>
    <w:rsid w:val="003A2F25"/>
    <w:rsid w:val="003A3924"/>
    <w:rsid w:val="003A4F12"/>
    <w:rsid w:val="003A6604"/>
    <w:rsid w:val="003A6883"/>
    <w:rsid w:val="003B0F78"/>
    <w:rsid w:val="003B2807"/>
    <w:rsid w:val="003B3716"/>
    <w:rsid w:val="003B4011"/>
    <w:rsid w:val="003B47B9"/>
    <w:rsid w:val="003B4886"/>
    <w:rsid w:val="003B4E9E"/>
    <w:rsid w:val="003C4A4B"/>
    <w:rsid w:val="003C5783"/>
    <w:rsid w:val="003C58CB"/>
    <w:rsid w:val="003C61EC"/>
    <w:rsid w:val="003C68F2"/>
    <w:rsid w:val="003C6CEB"/>
    <w:rsid w:val="003D12C5"/>
    <w:rsid w:val="003D16DF"/>
    <w:rsid w:val="003D19FA"/>
    <w:rsid w:val="003D23AD"/>
    <w:rsid w:val="003D491D"/>
    <w:rsid w:val="003D58B8"/>
    <w:rsid w:val="003D5CFB"/>
    <w:rsid w:val="003D738C"/>
    <w:rsid w:val="003E089E"/>
    <w:rsid w:val="003E11A1"/>
    <w:rsid w:val="003E17BA"/>
    <w:rsid w:val="003E215B"/>
    <w:rsid w:val="003E2636"/>
    <w:rsid w:val="003E2E12"/>
    <w:rsid w:val="003E574D"/>
    <w:rsid w:val="003E7A1A"/>
    <w:rsid w:val="003E7AD3"/>
    <w:rsid w:val="003F1734"/>
    <w:rsid w:val="003F39CE"/>
    <w:rsid w:val="003F5EFF"/>
    <w:rsid w:val="00400BA3"/>
    <w:rsid w:val="00401108"/>
    <w:rsid w:val="00402927"/>
    <w:rsid w:val="0040563B"/>
    <w:rsid w:val="00407993"/>
    <w:rsid w:val="00410AFD"/>
    <w:rsid w:val="00411833"/>
    <w:rsid w:val="00412F64"/>
    <w:rsid w:val="00413A71"/>
    <w:rsid w:val="004149B4"/>
    <w:rsid w:val="0041612B"/>
    <w:rsid w:val="00416EB0"/>
    <w:rsid w:val="00417BEB"/>
    <w:rsid w:val="00417CC6"/>
    <w:rsid w:val="004246C1"/>
    <w:rsid w:val="00426F81"/>
    <w:rsid w:val="004324FF"/>
    <w:rsid w:val="00432A55"/>
    <w:rsid w:val="00432D53"/>
    <w:rsid w:val="00434920"/>
    <w:rsid w:val="0043579D"/>
    <w:rsid w:val="004372B7"/>
    <w:rsid w:val="00440533"/>
    <w:rsid w:val="00441AC9"/>
    <w:rsid w:val="00441B6C"/>
    <w:rsid w:val="00442194"/>
    <w:rsid w:val="004424B2"/>
    <w:rsid w:val="0044260A"/>
    <w:rsid w:val="00442939"/>
    <w:rsid w:val="00442A6C"/>
    <w:rsid w:val="00444058"/>
    <w:rsid w:val="00444920"/>
    <w:rsid w:val="00444B07"/>
    <w:rsid w:val="00444D82"/>
    <w:rsid w:val="00447103"/>
    <w:rsid w:val="00452049"/>
    <w:rsid w:val="00452452"/>
    <w:rsid w:val="00452768"/>
    <w:rsid w:val="004539C5"/>
    <w:rsid w:val="00454418"/>
    <w:rsid w:val="004564C6"/>
    <w:rsid w:val="004603F2"/>
    <w:rsid w:val="004610CC"/>
    <w:rsid w:val="00461C14"/>
    <w:rsid w:val="004637C9"/>
    <w:rsid w:val="00465464"/>
    <w:rsid w:val="00465DBC"/>
    <w:rsid w:val="00465E87"/>
    <w:rsid w:val="00467986"/>
    <w:rsid w:val="00471FDC"/>
    <w:rsid w:val="00472A1D"/>
    <w:rsid w:val="00474E1A"/>
    <w:rsid w:val="00475128"/>
    <w:rsid w:val="0047786A"/>
    <w:rsid w:val="00477A65"/>
    <w:rsid w:val="004821A2"/>
    <w:rsid w:val="0048298F"/>
    <w:rsid w:val="00482DB3"/>
    <w:rsid w:val="004833F3"/>
    <w:rsid w:val="00485D9E"/>
    <w:rsid w:val="004976FF"/>
    <w:rsid w:val="004A0236"/>
    <w:rsid w:val="004A16EE"/>
    <w:rsid w:val="004A369A"/>
    <w:rsid w:val="004A36C8"/>
    <w:rsid w:val="004A3B3E"/>
    <w:rsid w:val="004A6967"/>
    <w:rsid w:val="004A6F7B"/>
    <w:rsid w:val="004A7217"/>
    <w:rsid w:val="004A7463"/>
    <w:rsid w:val="004B14DA"/>
    <w:rsid w:val="004B2729"/>
    <w:rsid w:val="004B65F7"/>
    <w:rsid w:val="004B67A5"/>
    <w:rsid w:val="004B75D1"/>
    <w:rsid w:val="004C0353"/>
    <w:rsid w:val="004C07D1"/>
    <w:rsid w:val="004C1361"/>
    <w:rsid w:val="004C3D28"/>
    <w:rsid w:val="004C3D2C"/>
    <w:rsid w:val="004C5777"/>
    <w:rsid w:val="004C65BE"/>
    <w:rsid w:val="004D0173"/>
    <w:rsid w:val="004D1056"/>
    <w:rsid w:val="004D2076"/>
    <w:rsid w:val="004D2B7B"/>
    <w:rsid w:val="004D2F7B"/>
    <w:rsid w:val="004D3577"/>
    <w:rsid w:val="004D6B74"/>
    <w:rsid w:val="004D6F07"/>
    <w:rsid w:val="004E1419"/>
    <w:rsid w:val="004E1EDE"/>
    <w:rsid w:val="004E21E2"/>
    <w:rsid w:val="004E293F"/>
    <w:rsid w:val="004E3250"/>
    <w:rsid w:val="004E349F"/>
    <w:rsid w:val="004E380D"/>
    <w:rsid w:val="004E4472"/>
    <w:rsid w:val="004E45E2"/>
    <w:rsid w:val="004E634F"/>
    <w:rsid w:val="004E7922"/>
    <w:rsid w:val="004E7D1E"/>
    <w:rsid w:val="004F0DFC"/>
    <w:rsid w:val="004F3441"/>
    <w:rsid w:val="004F412C"/>
    <w:rsid w:val="004F41B2"/>
    <w:rsid w:val="004F4AFC"/>
    <w:rsid w:val="004F502B"/>
    <w:rsid w:val="004F52A5"/>
    <w:rsid w:val="004F7C34"/>
    <w:rsid w:val="00500219"/>
    <w:rsid w:val="00500C8C"/>
    <w:rsid w:val="00501375"/>
    <w:rsid w:val="00501D3B"/>
    <w:rsid w:val="005022C9"/>
    <w:rsid w:val="00502B8F"/>
    <w:rsid w:val="0050779D"/>
    <w:rsid w:val="00511B7D"/>
    <w:rsid w:val="005139EA"/>
    <w:rsid w:val="00517591"/>
    <w:rsid w:val="00520BBB"/>
    <w:rsid w:val="00520C72"/>
    <w:rsid w:val="00521BAD"/>
    <w:rsid w:val="00524222"/>
    <w:rsid w:val="00524310"/>
    <w:rsid w:val="00525456"/>
    <w:rsid w:val="005257D4"/>
    <w:rsid w:val="00525F0E"/>
    <w:rsid w:val="00526352"/>
    <w:rsid w:val="00527634"/>
    <w:rsid w:val="00527A64"/>
    <w:rsid w:val="0053046B"/>
    <w:rsid w:val="00530548"/>
    <w:rsid w:val="00531328"/>
    <w:rsid w:val="00532236"/>
    <w:rsid w:val="0053279D"/>
    <w:rsid w:val="005338EA"/>
    <w:rsid w:val="00535727"/>
    <w:rsid w:val="005377A2"/>
    <w:rsid w:val="00541DFE"/>
    <w:rsid w:val="00543E6C"/>
    <w:rsid w:val="00544184"/>
    <w:rsid w:val="00547A8B"/>
    <w:rsid w:val="00547B9F"/>
    <w:rsid w:val="00550740"/>
    <w:rsid w:val="00551789"/>
    <w:rsid w:val="00553F68"/>
    <w:rsid w:val="005552FD"/>
    <w:rsid w:val="005600E5"/>
    <w:rsid w:val="00560305"/>
    <w:rsid w:val="00560465"/>
    <w:rsid w:val="005622C0"/>
    <w:rsid w:val="00563C50"/>
    <w:rsid w:val="00564B26"/>
    <w:rsid w:val="00564E8F"/>
    <w:rsid w:val="00565F69"/>
    <w:rsid w:val="00566080"/>
    <w:rsid w:val="00572089"/>
    <w:rsid w:val="005728A4"/>
    <w:rsid w:val="00573F2C"/>
    <w:rsid w:val="00574A5E"/>
    <w:rsid w:val="00575097"/>
    <w:rsid w:val="005763FC"/>
    <w:rsid w:val="00576EB4"/>
    <w:rsid w:val="00577B30"/>
    <w:rsid w:val="00582768"/>
    <w:rsid w:val="00583461"/>
    <w:rsid w:val="00584ED3"/>
    <w:rsid w:val="005856A4"/>
    <w:rsid w:val="00585C87"/>
    <w:rsid w:val="00587164"/>
    <w:rsid w:val="00590730"/>
    <w:rsid w:val="00590E45"/>
    <w:rsid w:val="005921D6"/>
    <w:rsid w:val="00592B5A"/>
    <w:rsid w:val="00596778"/>
    <w:rsid w:val="005A3051"/>
    <w:rsid w:val="005A4496"/>
    <w:rsid w:val="005A53FE"/>
    <w:rsid w:val="005A74C7"/>
    <w:rsid w:val="005B17B7"/>
    <w:rsid w:val="005B21F7"/>
    <w:rsid w:val="005B7D22"/>
    <w:rsid w:val="005C029E"/>
    <w:rsid w:val="005C3A9B"/>
    <w:rsid w:val="005C46D3"/>
    <w:rsid w:val="005C5592"/>
    <w:rsid w:val="005C5BC8"/>
    <w:rsid w:val="005C5E06"/>
    <w:rsid w:val="005C5EF0"/>
    <w:rsid w:val="005D1823"/>
    <w:rsid w:val="005D1BCA"/>
    <w:rsid w:val="005D2879"/>
    <w:rsid w:val="005D2EED"/>
    <w:rsid w:val="005D4D7C"/>
    <w:rsid w:val="005D6D76"/>
    <w:rsid w:val="005D7666"/>
    <w:rsid w:val="005D7C75"/>
    <w:rsid w:val="005E085D"/>
    <w:rsid w:val="005E2368"/>
    <w:rsid w:val="005E3DFD"/>
    <w:rsid w:val="005E3FA7"/>
    <w:rsid w:val="005E794E"/>
    <w:rsid w:val="005E7963"/>
    <w:rsid w:val="005F139A"/>
    <w:rsid w:val="005F218C"/>
    <w:rsid w:val="005F3687"/>
    <w:rsid w:val="005F4523"/>
    <w:rsid w:val="005F5DB6"/>
    <w:rsid w:val="005F692A"/>
    <w:rsid w:val="005F6D5C"/>
    <w:rsid w:val="00600EB7"/>
    <w:rsid w:val="00600FCE"/>
    <w:rsid w:val="00601460"/>
    <w:rsid w:val="00601C26"/>
    <w:rsid w:val="00601D4D"/>
    <w:rsid w:val="006021B4"/>
    <w:rsid w:val="00602FEF"/>
    <w:rsid w:val="00604AB7"/>
    <w:rsid w:val="00604B8A"/>
    <w:rsid w:val="00605B5B"/>
    <w:rsid w:val="006062D8"/>
    <w:rsid w:val="00606827"/>
    <w:rsid w:val="00607AEA"/>
    <w:rsid w:val="00612B69"/>
    <w:rsid w:val="00615057"/>
    <w:rsid w:val="0061664C"/>
    <w:rsid w:val="00616F25"/>
    <w:rsid w:val="0061769A"/>
    <w:rsid w:val="0061798D"/>
    <w:rsid w:val="00620262"/>
    <w:rsid w:val="00621361"/>
    <w:rsid w:val="00621B4C"/>
    <w:rsid w:val="00621B9D"/>
    <w:rsid w:val="0062265D"/>
    <w:rsid w:val="006245DE"/>
    <w:rsid w:val="00625149"/>
    <w:rsid w:val="00627501"/>
    <w:rsid w:val="00627C52"/>
    <w:rsid w:val="00630557"/>
    <w:rsid w:val="00630937"/>
    <w:rsid w:val="0063102A"/>
    <w:rsid w:val="00633BE6"/>
    <w:rsid w:val="00634974"/>
    <w:rsid w:val="00641662"/>
    <w:rsid w:val="006433E1"/>
    <w:rsid w:val="00644842"/>
    <w:rsid w:val="00645985"/>
    <w:rsid w:val="00647DC8"/>
    <w:rsid w:val="00650435"/>
    <w:rsid w:val="0065123B"/>
    <w:rsid w:val="006528B5"/>
    <w:rsid w:val="00653B84"/>
    <w:rsid w:val="00653E0D"/>
    <w:rsid w:val="006564A6"/>
    <w:rsid w:val="00657DB5"/>
    <w:rsid w:val="006602B6"/>
    <w:rsid w:val="00660CED"/>
    <w:rsid w:val="0066110D"/>
    <w:rsid w:val="006616E5"/>
    <w:rsid w:val="006627F7"/>
    <w:rsid w:val="00664E94"/>
    <w:rsid w:val="00665382"/>
    <w:rsid w:val="006657A2"/>
    <w:rsid w:val="00667AD7"/>
    <w:rsid w:val="00667EE9"/>
    <w:rsid w:val="00671A03"/>
    <w:rsid w:val="00674448"/>
    <w:rsid w:val="006805A4"/>
    <w:rsid w:val="006807AD"/>
    <w:rsid w:val="00681EC2"/>
    <w:rsid w:val="00681F9C"/>
    <w:rsid w:val="00685366"/>
    <w:rsid w:val="006865C8"/>
    <w:rsid w:val="00686B48"/>
    <w:rsid w:val="00687038"/>
    <w:rsid w:val="0068714E"/>
    <w:rsid w:val="006872F5"/>
    <w:rsid w:val="00687CFF"/>
    <w:rsid w:val="0069070A"/>
    <w:rsid w:val="00691281"/>
    <w:rsid w:val="0069161A"/>
    <w:rsid w:val="00691F41"/>
    <w:rsid w:val="006929F7"/>
    <w:rsid w:val="0069303F"/>
    <w:rsid w:val="0069374A"/>
    <w:rsid w:val="00694719"/>
    <w:rsid w:val="00694AB8"/>
    <w:rsid w:val="00695EF7"/>
    <w:rsid w:val="0069699D"/>
    <w:rsid w:val="006A0991"/>
    <w:rsid w:val="006A2DB2"/>
    <w:rsid w:val="006A3401"/>
    <w:rsid w:val="006A57FA"/>
    <w:rsid w:val="006A57FF"/>
    <w:rsid w:val="006A5E3F"/>
    <w:rsid w:val="006A673F"/>
    <w:rsid w:val="006A7445"/>
    <w:rsid w:val="006B1FCC"/>
    <w:rsid w:val="006B21C0"/>
    <w:rsid w:val="006B27BD"/>
    <w:rsid w:val="006B2C51"/>
    <w:rsid w:val="006B598A"/>
    <w:rsid w:val="006B6361"/>
    <w:rsid w:val="006B7BDC"/>
    <w:rsid w:val="006B7D73"/>
    <w:rsid w:val="006C3D36"/>
    <w:rsid w:val="006C5977"/>
    <w:rsid w:val="006C5E84"/>
    <w:rsid w:val="006C7E83"/>
    <w:rsid w:val="006D07D6"/>
    <w:rsid w:val="006D0DAC"/>
    <w:rsid w:val="006D24CE"/>
    <w:rsid w:val="006D360C"/>
    <w:rsid w:val="006D5AC9"/>
    <w:rsid w:val="006D5D1A"/>
    <w:rsid w:val="006D66ED"/>
    <w:rsid w:val="006D7333"/>
    <w:rsid w:val="006E1AB7"/>
    <w:rsid w:val="006E5DBA"/>
    <w:rsid w:val="006E5DFE"/>
    <w:rsid w:val="006E786B"/>
    <w:rsid w:val="006E7C59"/>
    <w:rsid w:val="006E7D08"/>
    <w:rsid w:val="006F0684"/>
    <w:rsid w:val="006F1EF7"/>
    <w:rsid w:val="006F3CF2"/>
    <w:rsid w:val="006F3E0E"/>
    <w:rsid w:val="006F6649"/>
    <w:rsid w:val="006F70EF"/>
    <w:rsid w:val="006F78B5"/>
    <w:rsid w:val="007002B1"/>
    <w:rsid w:val="0070031A"/>
    <w:rsid w:val="00701B2A"/>
    <w:rsid w:val="00702F29"/>
    <w:rsid w:val="00702F61"/>
    <w:rsid w:val="007042D3"/>
    <w:rsid w:val="00704EB7"/>
    <w:rsid w:val="00705742"/>
    <w:rsid w:val="007104FE"/>
    <w:rsid w:val="00711B0C"/>
    <w:rsid w:val="007121A2"/>
    <w:rsid w:val="00713981"/>
    <w:rsid w:val="00716968"/>
    <w:rsid w:val="007176D6"/>
    <w:rsid w:val="0072008D"/>
    <w:rsid w:val="00725B78"/>
    <w:rsid w:val="00727D54"/>
    <w:rsid w:val="00730644"/>
    <w:rsid w:val="0073083A"/>
    <w:rsid w:val="00731A1E"/>
    <w:rsid w:val="00731CDF"/>
    <w:rsid w:val="00731EF2"/>
    <w:rsid w:val="00731EF4"/>
    <w:rsid w:val="00733869"/>
    <w:rsid w:val="007344C5"/>
    <w:rsid w:val="00734959"/>
    <w:rsid w:val="00735137"/>
    <w:rsid w:val="0073520D"/>
    <w:rsid w:val="00735CF5"/>
    <w:rsid w:val="007376B8"/>
    <w:rsid w:val="00737E5E"/>
    <w:rsid w:val="007400BC"/>
    <w:rsid w:val="00741F80"/>
    <w:rsid w:val="007443E8"/>
    <w:rsid w:val="00744DB1"/>
    <w:rsid w:val="00747AA3"/>
    <w:rsid w:val="0075462B"/>
    <w:rsid w:val="00757193"/>
    <w:rsid w:val="00760B38"/>
    <w:rsid w:val="007617CF"/>
    <w:rsid w:val="00765A24"/>
    <w:rsid w:val="00766A17"/>
    <w:rsid w:val="007722AD"/>
    <w:rsid w:val="00772341"/>
    <w:rsid w:val="00773F25"/>
    <w:rsid w:val="00776111"/>
    <w:rsid w:val="00776F3F"/>
    <w:rsid w:val="007775B1"/>
    <w:rsid w:val="00780226"/>
    <w:rsid w:val="00780D17"/>
    <w:rsid w:val="00781AB4"/>
    <w:rsid w:val="00782117"/>
    <w:rsid w:val="00782593"/>
    <w:rsid w:val="00782D9A"/>
    <w:rsid w:val="00784316"/>
    <w:rsid w:val="00784865"/>
    <w:rsid w:val="00787751"/>
    <w:rsid w:val="007910BF"/>
    <w:rsid w:val="007923B7"/>
    <w:rsid w:val="00792616"/>
    <w:rsid w:val="00792692"/>
    <w:rsid w:val="007926BB"/>
    <w:rsid w:val="0079344C"/>
    <w:rsid w:val="00795CDE"/>
    <w:rsid w:val="00795D5E"/>
    <w:rsid w:val="007965F7"/>
    <w:rsid w:val="007968AE"/>
    <w:rsid w:val="00796CDC"/>
    <w:rsid w:val="00797416"/>
    <w:rsid w:val="00797C96"/>
    <w:rsid w:val="007A0283"/>
    <w:rsid w:val="007A0815"/>
    <w:rsid w:val="007A0956"/>
    <w:rsid w:val="007A1973"/>
    <w:rsid w:val="007A3279"/>
    <w:rsid w:val="007A3566"/>
    <w:rsid w:val="007A3909"/>
    <w:rsid w:val="007A3BBD"/>
    <w:rsid w:val="007B06BE"/>
    <w:rsid w:val="007B2B6C"/>
    <w:rsid w:val="007B7239"/>
    <w:rsid w:val="007B7846"/>
    <w:rsid w:val="007C02C7"/>
    <w:rsid w:val="007C16F0"/>
    <w:rsid w:val="007C184A"/>
    <w:rsid w:val="007C21EE"/>
    <w:rsid w:val="007C5B27"/>
    <w:rsid w:val="007C77FD"/>
    <w:rsid w:val="007D31DD"/>
    <w:rsid w:val="007D3A2E"/>
    <w:rsid w:val="007D4771"/>
    <w:rsid w:val="007D4A79"/>
    <w:rsid w:val="007D6652"/>
    <w:rsid w:val="007D745A"/>
    <w:rsid w:val="007D7BA4"/>
    <w:rsid w:val="007E0020"/>
    <w:rsid w:val="007E343D"/>
    <w:rsid w:val="007E3F16"/>
    <w:rsid w:val="007E4CA0"/>
    <w:rsid w:val="007E50A5"/>
    <w:rsid w:val="007E61CA"/>
    <w:rsid w:val="007E66FC"/>
    <w:rsid w:val="007E7D3F"/>
    <w:rsid w:val="007F330B"/>
    <w:rsid w:val="007F4383"/>
    <w:rsid w:val="007F5858"/>
    <w:rsid w:val="007F6862"/>
    <w:rsid w:val="00801601"/>
    <w:rsid w:val="0080169A"/>
    <w:rsid w:val="00801951"/>
    <w:rsid w:val="008036A7"/>
    <w:rsid w:val="008044AF"/>
    <w:rsid w:val="00804D50"/>
    <w:rsid w:val="0080743A"/>
    <w:rsid w:val="00810991"/>
    <w:rsid w:val="00811FF0"/>
    <w:rsid w:val="008127AF"/>
    <w:rsid w:val="00812D41"/>
    <w:rsid w:val="00814A9B"/>
    <w:rsid w:val="00814F66"/>
    <w:rsid w:val="00815DDE"/>
    <w:rsid w:val="00817C9E"/>
    <w:rsid w:val="00817E17"/>
    <w:rsid w:val="008203FF"/>
    <w:rsid w:val="008205AF"/>
    <w:rsid w:val="00820792"/>
    <w:rsid w:val="008225E5"/>
    <w:rsid w:val="008243C4"/>
    <w:rsid w:val="00826215"/>
    <w:rsid w:val="0082623A"/>
    <w:rsid w:val="00826E3B"/>
    <w:rsid w:val="00831053"/>
    <w:rsid w:val="008314D2"/>
    <w:rsid w:val="008324A7"/>
    <w:rsid w:val="0083254D"/>
    <w:rsid w:val="00832757"/>
    <w:rsid w:val="00836249"/>
    <w:rsid w:val="0083689C"/>
    <w:rsid w:val="008369AB"/>
    <w:rsid w:val="00836F00"/>
    <w:rsid w:val="00840B9F"/>
    <w:rsid w:val="00843314"/>
    <w:rsid w:val="008439C9"/>
    <w:rsid w:val="00846192"/>
    <w:rsid w:val="0084768A"/>
    <w:rsid w:val="00850806"/>
    <w:rsid w:val="00854669"/>
    <w:rsid w:val="008553C8"/>
    <w:rsid w:val="00856046"/>
    <w:rsid w:val="0085615D"/>
    <w:rsid w:val="00856A1B"/>
    <w:rsid w:val="008621C3"/>
    <w:rsid w:val="008637A1"/>
    <w:rsid w:val="008650EB"/>
    <w:rsid w:val="00865486"/>
    <w:rsid w:val="008669BE"/>
    <w:rsid w:val="0086794A"/>
    <w:rsid w:val="0087129C"/>
    <w:rsid w:val="00873189"/>
    <w:rsid w:val="00874087"/>
    <w:rsid w:val="00874A94"/>
    <w:rsid w:val="00876275"/>
    <w:rsid w:val="00876D47"/>
    <w:rsid w:val="00881B41"/>
    <w:rsid w:val="00882B30"/>
    <w:rsid w:val="00882B99"/>
    <w:rsid w:val="00882F9B"/>
    <w:rsid w:val="008838B9"/>
    <w:rsid w:val="00886121"/>
    <w:rsid w:val="00887489"/>
    <w:rsid w:val="00894371"/>
    <w:rsid w:val="008A295B"/>
    <w:rsid w:val="008A2DCB"/>
    <w:rsid w:val="008A390A"/>
    <w:rsid w:val="008A3F8F"/>
    <w:rsid w:val="008A4B40"/>
    <w:rsid w:val="008A5B97"/>
    <w:rsid w:val="008A6604"/>
    <w:rsid w:val="008A720B"/>
    <w:rsid w:val="008B1C73"/>
    <w:rsid w:val="008B38B6"/>
    <w:rsid w:val="008B4323"/>
    <w:rsid w:val="008B48B1"/>
    <w:rsid w:val="008B5482"/>
    <w:rsid w:val="008B6FB2"/>
    <w:rsid w:val="008B7009"/>
    <w:rsid w:val="008C11F4"/>
    <w:rsid w:val="008C2BEC"/>
    <w:rsid w:val="008C33D6"/>
    <w:rsid w:val="008C4CC3"/>
    <w:rsid w:val="008C616E"/>
    <w:rsid w:val="008C6523"/>
    <w:rsid w:val="008C6D0E"/>
    <w:rsid w:val="008D09D2"/>
    <w:rsid w:val="008D1DFC"/>
    <w:rsid w:val="008D39C5"/>
    <w:rsid w:val="008D6625"/>
    <w:rsid w:val="008E0D26"/>
    <w:rsid w:val="008E1D89"/>
    <w:rsid w:val="008E3E3E"/>
    <w:rsid w:val="008E5250"/>
    <w:rsid w:val="008E651C"/>
    <w:rsid w:val="008F1474"/>
    <w:rsid w:val="008F234A"/>
    <w:rsid w:val="008F282D"/>
    <w:rsid w:val="008F5F87"/>
    <w:rsid w:val="00900A34"/>
    <w:rsid w:val="00900E2F"/>
    <w:rsid w:val="00903D68"/>
    <w:rsid w:val="00905DD8"/>
    <w:rsid w:val="00906132"/>
    <w:rsid w:val="00907073"/>
    <w:rsid w:val="0090748D"/>
    <w:rsid w:val="009106B0"/>
    <w:rsid w:val="00910DA3"/>
    <w:rsid w:val="00911976"/>
    <w:rsid w:val="00912929"/>
    <w:rsid w:val="009146FB"/>
    <w:rsid w:val="0091717F"/>
    <w:rsid w:val="009208F5"/>
    <w:rsid w:val="00920A3E"/>
    <w:rsid w:val="0092109A"/>
    <w:rsid w:val="00926E00"/>
    <w:rsid w:val="00927D51"/>
    <w:rsid w:val="009303F7"/>
    <w:rsid w:val="00932272"/>
    <w:rsid w:val="00932862"/>
    <w:rsid w:val="00932957"/>
    <w:rsid w:val="0093554C"/>
    <w:rsid w:val="00935BC3"/>
    <w:rsid w:val="00935D60"/>
    <w:rsid w:val="009419AF"/>
    <w:rsid w:val="00943E7A"/>
    <w:rsid w:val="009447BB"/>
    <w:rsid w:val="00944C48"/>
    <w:rsid w:val="00946335"/>
    <w:rsid w:val="009464C5"/>
    <w:rsid w:val="00947926"/>
    <w:rsid w:val="009513C4"/>
    <w:rsid w:val="00952978"/>
    <w:rsid w:val="00952D29"/>
    <w:rsid w:val="00955E55"/>
    <w:rsid w:val="00956A08"/>
    <w:rsid w:val="00962200"/>
    <w:rsid w:val="00962D9A"/>
    <w:rsid w:val="009636D8"/>
    <w:rsid w:val="00963855"/>
    <w:rsid w:val="009642AD"/>
    <w:rsid w:val="009665B7"/>
    <w:rsid w:val="00966F54"/>
    <w:rsid w:val="009715A2"/>
    <w:rsid w:val="00972168"/>
    <w:rsid w:val="0097311B"/>
    <w:rsid w:val="00973242"/>
    <w:rsid w:val="009752A9"/>
    <w:rsid w:val="00975E61"/>
    <w:rsid w:val="00976E31"/>
    <w:rsid w:val="0097739C"/>
    <w:rsid w:val="0097790B"/>
    <w:rsid w:val="00977B92"/>
    <w:rsid w:val="00977C63"/>
    <w:rsid w:val="00980087"/>
    <w:rsid w:val="00980C0B"/>
    <w:rsid w:val="00980E76"/>
    <w:rsid w:val="009849F9"/>
    <w:rsid w:val="0098524F"/>
    <w:rsid w:val="00985444"/>
    <w:rsid w:val="0098658A"/>
    <w:rsid w:val="00986954"/>
    <w:rsid w:val="00987ABE"/>
    <w:rsid w:val="009906C7"/>
    <w:rsid w:val="00990E24"/>
    <w:rsid w:val="00991AE9"/>
    <w:rsid w:val="00993044"/>
    <w:rsid w:val="00993B77"/>
    <w:rsid w:val="009963CD"/>
    <w:rsid w:val="00997FFE"/>
    <w:rsid w:val="009A3A62"/>
    <w:rsid w:val="009A3C31"/>
    <w:rsid w:val="009A3CD8"/>
    <w:rsid w:val="009A3F63"/>
    <w:rsid w:val="009A5B9B"/>
    <w:rsid w:val="009B0A8B"/>
    <w:rsid w:val="009B16A1"/>
    <w:rsid w:val="009B266D"/>
    <w:rsid w:val="009B3BFB"/>
    <w:rsid w:val="009B5CBF"/>
    <w:rsid w:val="009B7411"/>
    <w:rsid w:val="009C04C6"/>
    <w:rsid w:val="009C184A"/>
    <w:rsid w:val="009C2CA5"/>
    <w:rsid w:val="009C2F6F"/>
    <w:rsid w:val="009C38EA"/>
    <w:rsid w:val="009C3BD1"/>
    <w:rsid w:val="009D0487"/>
    <w:rsid w:val="009D0CDA"/>
    <w:rsid w:val="009D2E15"/>
    <w:rsid w:val="009D3E45"/>
    <w:rsid w:val="009D4788"/>
    <w:rsid w:val="009D783F"/>
    <w:rsid w:val="009E2DDB"/>
    <w:rsid w:val="009E3D11"/>
    <w:rsid w:val="009E5612"/>
    <w:rsid w:val="009E5A41"/>
    <w:rsid w:val="009E7876"/>
    <w:rsid w:val="009E7B87"/>
    <w:rsid w:val="009F080B"/>
    <w:rsid w:val="009F164D"/>
    <w:rsid w:val="009F351F"/>
    <w:rsid w:val="009F3F89"/>
    <w:rsid w:val="009F480E"/>
    <w:rsid w:val="009F6A83"/>
    <w:rsid w:val="00A022A2"/>
    <w:rsid w:val="00A02D15"/>
    <w:rsid w:val="00A05895"/>
    <w:rsid w:val="00A062B1"/>
    <w:rsid w:val="00A0659B"/>
    <w:rsid w:val="00A11403"/>
    <w:rsid w:val="00A12925"/>
    <w:rsid w:val="00A14113"/>
    <w:rsid w:val="00A14773"/>
    <w:rsid w:val="00A14A6F"/>
    <w:rsid w:val="00A14C7C"/>
    <w:rsid w:val="00A15E86"/>
    <w:rsid w:val="00A174CB"/>
    <w:rsid w:val="00A217F5"/>
    <w:rsid w:val="00A229C1"/>
    <w:rsid w:val="00A26B0D"/>
    <w:rsid w:val="00A32770"/>
    <w:rsid w:val="00A34527"/>
    <w:rsid w:val="00A3735A"/>
    <w:rsid w:val="00A41FD9"/>
    <w:rsid w:val="00A42F1B"/>
    <w:rsid w:val="00A44EBE"/>
    <w:rsid w:val="00A5038B"/>
    <w:rsid w:val="00A510C8"/>
    <w:rsid w:val="00A546BC"/>
    <w:rsid w:val="00A55989"/>
    <w:rsid w:val="00A5694A"/>
    <w:rsid w:val="00A62FB6"/>
    <w:rsid w:val="00A63DA4"/>
    <w:rsid w:val="00A651AB"/>
    <w:rsid w:val="00A65D9E"/>
    <w:rsid w:val="00A6633A"/>
    <w:rsid w:val="00A669F1"/>
    <w:rsid w:val="00A706F2"/>
    <w:rsid w:val="00A710B8"/>
    <w:rsid w:val="00A74108"/>
    <w:rsid w:val="00A74495"/>
    <w:rsid w:val="00A75277"/>
    <w:rsid w:val="00A752BE"/>
    <w:rsid w:val="00A75CD5"/>
    <w:rsid w:val="00A7630E"/>
    <w:rsid w:val="00A763D5"/>
    <w:rsid w:val="00A7790B"/>
    <w:rsid w:val="00A830CC"/>
    <w:rsid w:val="00A83DF3"/>
    <w:rsid w:val="00A85864"/>
    <w:rsid w:val="00A85915"/>
    <w:rsid w:val="00A8609C"/>
    <w:rsid w:val="00A86270"/>
    <w:rsid w:val="00A866CD"/>
    <w:rsid w:val="00A8692F"/>
    <w:rsid w:val="00A8718F"/>
    <w:rsid w:val="00A911E9"/>
    <w:rsid w:val="00A92FB1"/>
    <w:rsid w:val="00A952AB"/>
    <w:rsid w:val="00A974F0"/>
    <w:rsid w:val="00A9783D"/>
    <w:rsid w:val="00A97B27"/>
    <w:rsid w:val="00A97EE6"/>
    <w:rsid w:val="00AA23B0"/>
    <w:rsid w:val="00AA2D35"/>
    <w:rsid w:val="00AA37BE"/>
    <w:rsid w:val="00AA45E6"/>
    <w:rsid w:val="00AA4C67"/>
    <w:rsid w:val="00AA5A37"/>
    <w:rsid w:val="00AA7ED4"/>
    <w:rsid w:val="00AB489C"/>
    <w:rsid w:val="00AB50C1"/>
    <w:rsid w:val="00AB6936"/>
    <w:rsid w:val="00AB7635"/>
    <w:rsid w:val="00AC0C3B"/>
    <w:rsid w:val="00AC2B20"/>
    <w:rsid w:val="00AC2D63"/>
    <w:rsid w:val="00AC5983"/>
    <w:rsid w:val="00AC5B19"/>
    <w:rsid w:val="00AC5EE6"/>
    <w:rsid w:val="00AC6CE4"/>
    <w:rsid w:val="00AC76DD"/>
    <w:rsid w:val="00AD00BB"/>
    <w:rsid w:val="00AD03D8"/>
    <w:rsid w:val="00AD0711"/>
    <w:rsid w:val="00AD4593"/>
    <w:rsid w:val="00AD704E"/>
    <w:rsid w:val="00AD7AE6"/>
    <w:rsid w:val="00AE28BD"/>
    <w:rsid w:val="00AE2B25"/>
    <w:rsid w:val="00AE4A92"/>
    <w:rsid w:val="00AE5FE0"/>
    <w:rsid w:val="00AE60B7"/>
    <w:rsid w:val="00AE649B"/>
    <w:rsid w:val="00AE73AC"/>
    <w:rsid w:val="00AF2AB7"/>
    <w:rsid w:val="00AF2B1C"/>
    <w:rsid w:val="00AF4D3F"/>
    <w:rsid w:val="00AF4FE5"/>
    <w:rsid w:val="00AF5978"/>
    <w:rsid w:val="00AF6031"/>
    <w:rsid w:val="00AF60E3"/>
    <w:rsid w:val="00B0078A"/>
    <w:rsid w:val="00B00D9E"/>
    <w:rsid w:val="00B011F5"/>
    <w:rsid w:val="00B02352"/>
    <w:rsid w:val="00B0300B"/>
    <w:rsid w:val="00B04468"/>
    <w:rsid w:val="00B05159"/>
    <w:rsid w:val="00B05457"/>
    <w:rsid w:val="00B057F5"/>
    <w:rsid w:val="00B05AA2"/>
    <w:rsid w:val="00B1176B"/>
    <w:rsid w:val="00B128A0"/>
    <w:rsid w:val="00B1331D"/>
    <w:rsid w:val="00B14DD7"/>
    <w:rsid w:val="00B15D5E"/>
    <w:rsid w:val="00B15D79"/>
    <w:rsid w:val="00B20240"/>
    <w:rsid w:val="00B23281"/>
    <w:rsid w:val="00B26B70"/>
    <w:rsid w:val="00B27571"/>
    <w:rsid w:val="00B32B63"/>
    <w:rsid w:val="00B36D68"/>
    <w:rsid w:val="00B40AC4"/>
    <w:rsid w:val="00B4164B"/>
    <w:rsid w:val="00B454D1"/>
    <w:rsid w:val="00B4572D"/>
    <w:rsid w:val="00B46284"/>
    <w:rsid w:val="00B464E0"/>
    <w:rsid w:val="00B52863"/>
    <w:rsid w:val="00B5409A"/>
    <w:rsid w:val="00B5483B"/>
    <w:rsid w:val="00B55574"/>
    <w:rsid w:val="00B55E65"/>
    <w:rsid w:val="00B65175"/>
    <w:rsid w:val="00B6525D"/>
    <w:rsid w:val="00B6588C"/>
    <w:rsid w:val="00B65ABA"/>
    <w:rsid w:val="00B67097"/>
    <w:rsid w:val="00B6790F"/>
    <w:rsid w:val="00B704F7"/>
    <w:rsid w:val="00B70DBF"/>
    <w:rsid w:val="00B7163D"/>
    <w:rsid w:val="00B71B3B"/>
    <w:rsid w:val="00B73C65"/>
    <w:rsid w:val="00B808C4"/>
    <w:rsid w:val="00B81674"/>
    <w:rsid w:val="00B840B0"/>
    <w:rsid w:val="00B84DAF"/>
    <w:rsid w:val="00B853DB"/>
    <w:rsid w:val="00B857CA"/>
    <w:rsid w:val="00B86295"/>
    <w:rsid w:val="00B86D88"/>
    <w:rsid w:val="00B876F2"/>
    <w:rsid w:val="00B87D61"/>
    <w:rsid w:val="00B93948"/>
    <w:rsid w:val="00B94AD5"/>
    <w:rsid w:val="00B95086"/>
    <w:rsid w:val="00BA17F1"/>
    <w:rsid w:val="00BA4BC7"/>
    <w:rsid w:val="00BA55B7"/>
    <w:rsid w:val="00BA5E47"/>
    <w:rsid w:val="00BA7D57"/>
    <w:rsid w:val="00BA7E79"/>
    <w:rsid w:val="00BB156E"/>
    <w:rsid w:val="00BB3330"/>
    <w:rsid w:val="00BB47D7"/>
    <w:rsid w:val="00BB4A62"/>
    <w:rsid w:val="00BB5E17"/>
    <w:rsid w:val="00BB72CE"/>
    <w:rsid w:val="00BC01C1"/>
    <w:rsid w:val="00BC028E"/>
    <w:rsid w:val="00BC05C6"/>
    <w:rsid w:val="00BC1014"/>
    <w:rsid w:val="00BC1D8F"/>
    <w:rsid w:val="00BC23A3"/>
    <w:rsid w:val="00BC42D4"/>
    <w:rsid w:val="00BC45A1"/>
    <w:rsid w:val="00BC5A34"/>
    <w:rsid w:val="00BC5CE5"/>
    <w:rsid w:val="00BD0175"/>
    <w:rsid w:val="00BD1590"/>
    <w:rsid w:val="00BD17F5"/>
    <w:rsid w:val="00BD2579"/>
    <w:rsid w:val="00BD5543"/>
    <w:rsid w:val="00BD6E05"/>
    <w:rsid w:val="00BE01CD"/>
    <w:rsid w:val="00BE1F80"/>
    <w:rsid w:val="00BE31B5"/>
    <w:rsid w:val="00BE519A"/>
    <w:rsid w:val="00BE54D0"/>
    <w:rsid w:val="00BE60B0"/>
    <w:rsid w:val="00BF5212"/>
    <w:rsid w:val="00BF54CD"/>
    <w:rsid w:val="00BF5BDA"/>
    <w:rsid w:val="00BF6B6C"/>
    <w:rsid w:val="00BF6D23"/>
    <w:rsid w:val="00BF7251"/>
    <w:rsid w:val="00BF7C6A"/>
    <w:rsid w:val="00BF7F28"/>
    <w:rsid w:val="00C01909"/>
    <w:rsid w:val="00C04BF0"/>
    <w:rsid w:val="00C05787"/>
    <w:rsid w:val="00C06C69"/>
    <w:rsid w:val="00C0742F"/>
    <w:rsid w:val="00C104F8"/>
    <w:rsid w:val="00C11871"/>
    <w:rsid w:val="00C12D2F"/>
    <w:rsid w:val="00C13059"/>
    <w:rsid w:val="00C14527"/>
    <w:rsid w:val="00C152C6"/>
    <w:rsid w:val="00C156D4"/>
    <w:rsid w:val="00C167A3"/>
    <w:rsid w:val="00C176AB"/>
    <w:rsid w:val="00C17B80"/>
    <w:rsid w:val="00C2062C"/>
    <w:rsid w:val="00C2156D"/>
    <w:rsid w:val="00C21644"/>
    <w:rsid w:val="00C2181C"/>
    <w:rsid w:val="00C218BA"/>
    <w:rsid w:val="00C2297D"/>
    <w:rsid w:val="00C2474C"/>
    <w:rsid w:val="00C25191"/>
    <w:rsid w:val="00C2657D"/>
    <w:rsid w:val="00C26A87"/>
    <w:rsid w:val="00C26A99"/>
    <w:rsid w:val="00C274D0"/>
    <w:rsid w:val="00C33BC1"/>
    <w:rsid w:val="00C3745D"/>
    <w:rsid w:val="00C40BFD"/>
    <w:rsid w:val="00C416E1"/>
    <w:rsid w:val="00C41ED1"/>
    <w:rsid w:val="00C43A60"/>
    <w:rsid w:val="00C45AFC"/>
    <w:rsid w:val="00C45F23"/>
    <w:rsid w:val="00C46FCA"/>
    <w:rsid w:val="00C471F6"/>
    <w:rsid w:val="00C47BF8"/>
    <w:rsid w:val="00C500BC"/>
    <w:rsid w:val="00C5085D"/>
    <w:rsid w:val="00C51B1C"/>
    <w:rsid w:val="00C53DCE"/>
    <w:rsid w:val="00C578B1"/>
    <w:rsid w:val="00C639DE"/>
    <w:rsid w:val="00C655F2"/>
    <w:rsid w:val="00C65B4C"/>
    <w:rsid w:val="00C65B61"/>
    <w:rsid w:val="00C65E28"/>
    <w:rsid w:val="00C67E11"/>
    <w:rsid w:val="00C70E53"/>
    <w:rsid w:val="00C72979"/>
    <w:rsid w:val="00C74528"/>
    <w:rsid w:val="00C74EB4"/>
    <w:rsid w:val="00C75883"/>
    <w:rsid w:val="00C76B8C"/>
    <w:rsid w:val="00C81529"/>
    <w:rsid w:val="00C81BA6"/>
    <w:rsid w:val="00C82ACA"/>
    <w:rsid w:val="00C8377C"/>
    <w:rsid w:val="00C85A1C"/>
    <w:rsid w:val="00C877CD"/>
    <w:rsid w:val="00C902E9"/>
    <w:rsid w:val="00C90347"/>
    <w:rsid w:val="00C908B7"/>
    <w:rsid w:val="00C91D81"/>
    <w:rsid w:val="00C91FB6"/>
    <w:rsid w:val="00C92A42"/>
    <w:rsid w:val="00C9301E"/>
    <w:rsid w:val="00C93518"/>
    <w:rsid w:val="00C9384B"/>
    <w:rsid w:val="00C944F9"/>
    <w:rsid w:val="00C964BB"/>
    <w:rsid w:val="00CA18F2"/>
    <w:rsid w:val="00CA4811"/>
    <w:rsid w:val="00CA4871"/>
    <w:rsid w:val="00CA544A"/>
    <w:rsid w:val="00CA6722"/>
    <w:rsid w:val="00CA6D4E"/>
    <w:rsid w:val="00CA7B4B"/>
    <w:rsid w:val="00CB1470"/>
    <w:rsid w:val="00CB36A8"/>
    <w:rsid w:val="00CB3AB5"/>
    <w:rsid w:val="00CB4FC7"/>
    <w:rsid w:val="00CB5894"/>
    <w:rsid w:val="00CB7D3C"/>
    <w:rsid w:val="00CC02DC"/>
    <w:rsid w:val="00CC0F15"/>
    <w:rsid w:val="00CC139A"/>
    <w:rsid w:val="00CC1E7A"/>
    <w:rsid w:val="00CC3398"/>
    <w:rsid w:val="00CC3D04"/>
    <w:rsid w:val="00CC4F64"/>
    <w:rsid w:val="00CC5051"/>
    <w:rsid w:val="00CC731E"/>
    <w:rsid w:val="00CC7361"/>
    <w:rsid w:val="00CD058C"/>
    <w:rsid w:val="00CD181B"/>
    <w:rsid w:val="00CD39C6"/>
    <w:rsid w:val="00CD3B98"/>
    <w:rsid w:val="00CD405D"/>
    <w:rsid w:val="00CD4216"/>
    <w:rsid w:val="00CD4334"/>
    <w:rsid w:val="00CD518C"/>
    <w:rsid w:val="00CD733F"/>
    <w:rsid w:val="00CD7C65"/>
    <w:rsid w:val="00CE0942"/>
    <w:rsid w:val="00CE17C7"/>
    <w:rsid w:val="00CE1E8E"/>
    <w:rsid w:val="00CE2276"/>
    <w:rsid w:val="00CE6326"/>
    <w:rsid w:val="00CE640F"/>
    <w:rsid w:val="00CE6B87"/>
    <w:rsid w:val="00CE7745"/>
    <w:rsid w:val="00CE7CA5"/>
    <w:rsid w:val="00CF1539"/>
    <w:rsid w:val="00CF1705"/>
    <w:rsid w:val="00CF1D81"/>
    <w:rsid w:val="00CF1F92"/>
    <w:rsid w:val="00CF2DC9"/>
    <w:rsid w:val="00CF405E"/>
    <w:rsid w:val="00CF7CB6"/>
    <w:rsid w:val="00D00ADA"/>
    <w:rsid w:val="00D00B6A"/>
    <w:rsid w:val="00D024DA"/>
    <w:rsid w:val="00D03540"/>
    <w:rsid w:val="00D137B0"/>
    <w:rsid w:val="00D14BDF"/>
    <w:rsid w:val="00D15BB2"/>
    <w:rsid w:val="00D160BA"/>
    <w:rsid w:val="00D17321"/>
    <w:rsid w:val="00D1762D"/>
    <w:rsid w:val="00D20090"/>
    <w:rsid w:val="00D20C69"/>
    <w:rsid w:val="00D214ED"/>
    <w:rsid w:val="00D30435"/>
    <w:rsid w:val="00D311AB"/>
    <w:rsid w:val="00D3143F"/>
    <w:rsid w:val="00D32290"/>
    <w:rsid w:val="00D325A8"/>
    <w:rsid w:val="00D34416"/>
    <w:rsid w:val="00D4007C"/>
    <w:rsid w:val="00D405D2"/>
    <w:rsid w:val="00D42A1F"/>
    <w:rsid w:val="00D442AD"/>
    <w:rsid w:val="00D45002"/>
    <w:rsid w:val="00D521A7"/>
    <w:rsid w:val="00D52A97"/>
    <w:rsid w:val="00D532E7"/>
    <w:rsid w:val="00D55041"/>
    <w:rsid w:val="00D5618A"/>
    <w:rsid w:val="00D573DA"/>
    <w:rsid w:val="00D5784B"/>
    <w:rsid w:val="00D5788B"/>
    <w:rsid w:val="00D57D83"/>
    <w:rsid w:val="00D60973"/>
    <w:rsid w:val="00D63EFB"/>
    <w:rsid w:val="00D658AF"/>
    <w:rsid w:val="00D67544"/>
    <w:rsid w:val="00D70289"/>
    <w:rsid w:val="00D70A79"/>
    <w:rsid w:val="00D7267F"/>
    <w:rsid w:val="00D73E15"/>
    <w:rsid w:val="00D74B19"/>
    <w:rsid w:val="00D763CA"/>
    <w:rsid w:val="00D778CF"/>
    <w:rsid w:val="00D77F0F"/>
    <w:rsid w:val="00D80711"/>
    <w:rsid w:val="00D81F31"/>
    <w:rsid w:val="00D82A43"/>
    <w:rsid w:val="00D82F0E"/>
    <w:rsid w:val="00D83DE9"/>
    <w:rsid w:val="00D8450D"/>
    <w:rsid w:val="00D9237A"/>
    <w:rsid w:val="00D9588C"/>
    <w:rsid w:val="00D95AF9"/>
    <w:rsid w:val="00D964A7"/>
    <w:rsid w:val="00D972E1"/>
    <w:rsid w:val="00D978B4"/>
    <w:rsid w:val="00DA09C9"/>
    <w:rsid w:val="00DA1822"/>
    <w:rsid w:val="00DA2A7C"/>
    <w:rsid w:val="00DB0185"/>
    <w:rsid w:val="00DB0885"/>
    <w:rsid w:val="00DB1AD1"/>
    <w:rsid w:val="00DB2911"/>
    <w:rsid w:val="00DB5147"/>
    <w:rsid w:val="00DB5E1F"/>
    <w:rsid w:val="00DB703B"/>
    <w:rsid w:val="00DB76D3"/>
    <w:rsid w:val="00DC19D8"/>
    <w:rsid w:val="00DC2613"/>
    <w:rsid w:val="00DC375A"/>
    <w:rsid w:val="00DC395F"/>
    <w:rsid w:val="00DC4512"/>
    <w:rsid w:val="00DC494E"/>
    <w:rsid w:val="00DC6466"/>
    <w:rsid w:val="00DC6646"/>
    <w:rsid w:val="00DC71C9"/>
    <w:rsid w:val="00DD02EE"/>
    <w:rsid w:val="00DD1A0B"/>
    <w:rsid w:val="00DD3691"/>
    <w:rsid w:val="00DD4B55"/>
    <w:rsid w:val="00DE1E90"/>
    <w:rsid w:val="00DE24E6"/>
    <w:rsid w:val="00DE2896"/>
    <w:rsid w:val="00DE44A8"/>
    <w:rsid w:val="00DE4D60"/>
    <w:rsid w:val="00DE5064"/>
    <w:rsid w:val="00DE5C8A"/>
    <w:rsid w:val="00DE5D5D"/>
    <w:rsid w:val="00DE6461"/>
    <w:rsid w:val="00DE655B"/>
    <w:rsid w:val="00DE6575"/>
    <w:rsid w:val="00DF07AD"/>
    <w:rsid w:val="00DF07C4"/>
    <w:rsid w:val="00DF1CB9"/>
    <w:rsid w:val="00DF3364"/>
    <w:rsid w:val="00DF494A"/>
    <w:rsid w:val="00DF4C50"/>
    <w:rsid w:val="00DF504C"/>
    <w:rsid w:val="00DF5518"/>
    <w:rsid w:val="00E00794"/>
    <w:rsid w:val="00E03330"/>
    <w:rsid w:val="00E055BB"/>
    <w:rsid w:val="00E11988"/>
    <w:rsid w:val="00E1405C"/>
    <w:rsid w:val="00E1421F"/>
    <w:rsid w:val="00E1559E"/>
    <w:rsid w:val="00E15907"/>
    <w:rsid w:val="00E15DA9"/>
    <w:rsid w:val="00E17427"/>
    <w:rsid w:val="00E204BB"/>
    <w:rsid w:val="00E2095D"/>
    <w:rsid w:val="00E20AA1"/>
    <w:rsid w:val="00E268EA"/>
    <w:rsid w:val="00E26B5D"/>
    <w:rsid w:val="00E27964"/>
    <w:rsid w:val="00E30414"/>
    <w:rsid w:val="00E377F5"/>
    <w:rsid w:val="00E40769"/>
    <w:rsid w:val="00E417CA"/>
    <w:rsid w:val="00E41B13"/>
    <w:rsid w:val="00E42BE4"/>
    <w:rsid w:val="00E42C90"/>
    <w:rsid w:val="00E42E8B"/>
    <w:rsid w:val="00E43B15"/>
    <w:rsid w:val="00E504D1"/>
    <w:rsid w:val="00E52B82"/>
    <w:rsid w:val="00E542BF"/>
    <w:rsid w:val="00E57CEA"/>
    <w:rsid w:val="00E60F12"/>
    <w:rsid w:val="00E62010"/>
    <w:rsid w:val="00E6299D"/>
    <w:rsid w:val="00E64BB7"/>
    <w:rsid w:val="00E652FB"/>
    <w:rsid w:val="00E66C20"/>
    <w:rsid w:val="00E71C46"/>
    <w:rsid w:val="00E731B7"/>
    <w:rsid w:val="00E75ED2"/>
    <w:rsid w:val="00E81109"/>
    <w:rsid w:val="00E8280C"/>
    <w:rsid w:val="00E83E4C"/>
    <w:rsid w:val="00E8472F"/>
    <w:rsid w:val="00E8487C"/>
    <w:rsid w:val="00E8662D"/>
    <w:rsid w:val="00E901D7"/>
    <w:rsid w:val="00E90CFD"/>
    <w:rsid w:val="00E91933"/>
    <w:rsid w:val="00E92211"/>
    <w:rsid w:val="00E92A81"/>
    <w:rsid w:val="00E94F8F"/>
    <w:rsid w:val="00E95CCA"/>
    <w:rsid w:val="00E969B1"/>
    <w:rsid w:val="00EA060D"/>
    <w:rsid w:val="00EA1660"/>
    <w:rsid w:val="00EA3608"/>
    <w:rsid w:val="00EA633B"/>
    <w:rsid w:val="00EB2749"/>
    <w:rsid w:val="00EB2E19"/>
    <w:rsid w:val="00EB300B"/>
    <w:rsid w:val="00EB445A"/>
    <w:rsid w:val="00EB57C1"/>
    <w:rsid w:val="00EB6552"/>
    <w:rsid w:val="00EC18E6"/>
    <w:rsid w:val="00EC1984"/>
    <w:rsid w:val="00EC234C"/>
    <w:rsid w:val="00EC250B"/>
    <w:rsid w:val="00EC2AE9"/>
    <w:rsid w:val="00EC403E"/>
    <w:rsid w:val="00EC48B7"/>
    <w:rsid w:val="00EC589A"/>
    <w:rsid w:val="00EC70C1"/>
    <w:rsid w:val="00ED15F0"/>
    <w:rsid w:val="00ED2ED6"/>
    <w:rsid w:val="00ED3529"/>
    <w:rsid w:val="00ED4297"/>
    <w:rsid w:val="00ED4362"/>
    <w:rsid w:val="00ED4D17"/>
    <w:rsid w:val="00ED7615"/>
    <w:rsid w:val="00ED7EA2"/>
    <w:rsid w:val="00EE33CE"/>
    <w:rsid w:val="00EE3E2D"/>
    <w:rsid w:val="00EE47D5"/>
    <w:rsid w:val="00EE5CB8"/>
    <w:rsid w:val="00EE6CD3"/>
    <w:rsid w:val="00EE7297"/>
    <w:rsid w:val="00EF14FA"/>
    <w:rsid w:val="00EF1649"/>
    <w:rsid w:val="00EF16A5"/>
    <w:rsid w:val="00EF20D7"/>
    <w:rsid w:val="00EF2CB0"/>
    <w:rsid w:val="00EF33A5"/>
    <w:rsid w:val="00EF3419"/>
    <w:rsid w:val="00EF3539"/>
    <w:rsid w:val="00EF4E36"/>
    <w:rsid w:val="00EF5AD7"/>
    <w:rsid w:val="00EF7594"/>
    <w:rsid w:val="00EF76EE"/>
    <w:rsid w:val="00EF7BC5"/>
    <w:rsid w:val="00F0119C"/>
    <w:rsid w:val="00F01884"/>
    <w:rsid w:val="00F02987"/>
    <w:rsid w:val="00F02BDB"/>
    <w:rsid w:val="00F03B78"/>
    <w:rsid w:val="00F0441B"/>
    <w:rsid w:val="00F06C0F"/>
    <w:rsid w:val="00F070E5"/>
    <w:rsid w:val="00F07623"/>
    <w:rsid w:val="00F07D0B"/>
    <w:rsid w:val="00F12D99"/>
    <w:rsid w:val="00F15688"/>
    <w:rsid w:val="00F164EE"/>
    <w:rsid w:val="00F16FF8"/>
    <w:rsid w:val="00F2073E"/>
    <w:rsid w:val="00F21207"/>
    <w:rsid w:val="00F21528"/>
    <w:rsid w:val="00F3136B"/>
    <w:rsid w:val="00F314F1"/>
    <w:rsid w:val="00F327EA"/>
    <w:rsid w:val="00F33641"/>
    <w:rsid w:val="00F33E3A"/>
    <w:rsid w:val="00F40275"/>
    <w:rsid w:val="00F42842"/>
    <w:rsid w:val="00F42FBC"/>
    <w:rsid w:val="00F43EE0"/>
    <w:rsid w:val="00F44DC1"/>
    <w:rsid w:val="00F45972"/>
    <w:rsid w:val="00F46E40"/>
    <w:rsid w:val="00F4760A"/>
    <w:rsid w:val="00F516A1"/>
    <w:rsid w:val="00F529FE"/>
    <w:rsid w:val="00F52B8E"/>
    <w:rsid w:val="00F53CFD"/>
    <w:rsid w:val="00F547DF"/>
    <w:rsid w:val="00F54AF5"/>
    <w:rsid w:val="00F557E3"/>
    <w:rsid w:val="00F6018C"/>
    <w:rsid w:val="00F61856"/>
    <w:rsid w:val="00F61A60"/>
    <w:rsid w:val="00F61E78"/>
    <w:rsid w:val="00F62353"/>
    <w:rsid w:val="00F62849"/>
    <w:rsid w:val="00F635C5"/>
    <w:rsid w:val="00F648B1"/>
    <w:rsid w:val="00F65EF6"/>
    <w:rsid w:val="00F66A6C"/>
    <w:rsid w:val="00F736E3"/>
    <w:rsid w:val="00F767E8"/>
    <w:rsid w:val="00F807FF"/>
    <w:rsid w:val="00F8443A"/>
    <w:rsid w:val="00F865E7"/>
    <w:rsid w:val="00F86A3F"/>
    <w:rsid w:val="00F87390"/>
    <w:rsid w:val="00F90A0A"/>
    <w:rsid w:val="00F91297"/>
    <w:rsid w:val="00F9133B"/>
    <w:rsid w:val="00F918B4"/>
    <w:rsid w:val="00F921F3"/>
    <w:rsid w:val="00F93340"/>
    <w:rsid w:val="00F9359A"/>
    <w:rsid w:val="00F95057"/>
    <w:rsid w:val="00F97730"/>
    <w:rsid w:val="00F977BF"/>
    <w:rsid w:val="00F97F01"/>
    <w:rsid w:val="00FA1792"/>
    <w:rsid w:val="00FA6034"/>
    <w:rsid w:val="00FA6F2D"/>
    <w:rsid w:val="00FB32A4"/>
    <w:rsid w:val="00FB4A22"/>
    <w:rsid w:val="00FB4A8D"/>
    <w:rsid w:val="00FB594D"/>
    <w:rsid w:val="00FC408C"/>
    <w:rsid w:val="00FC49BB"/>
    <w:rsid w:val="00FC681E"/>
    <w:rsid w:val="00FC7718"/>
    <w:rsid w:val="00FD28D8"/>
    <w:rsid w:val="00FD47EC"/>
    <w:rsid w:val="00FD544D"/>
    <w:rsid w:val="00FD5AF4"/>
    <w:rsid w:val="00FD616B"/>
    <w:rsid w:val="00FE07C2"/>
    <w:rsid w:val="00FE0C90"/>
    <w:rsid w:val="00FE10B9"/>
    <w:rsid w:val="00FE172E"/>
    <w:rsid w:val="00FE1D5D"/>
    <w:rsid w:val="00FE367F"/>
    <w:rsid w:val="00FE6A13"/>
    <w:rsid w:val="00FE7C0C"/>
    <w:rsid w:val="00FF0DAE"/>
    <w:rsid w:val="00FF1C3E"/>
    <w:rsid w:val="00FF1E63"/>
    <w:rsid w:val="00FF29DC"/>
    <w:rsid w:val="00FF3859"/>
    <w:rsid w:val="00FF4D86"/>
    <w:rsid w:val="00FF748F"/>
    <w:rsid w:val="00FF7E1C"/>
    <w:rsid w:val="0174286E"/>
    <w:rsid w:val="019FCE26"/>
    <w:rsid w:val="01C1BBF7"/>
    <w:rsid w:val="023DD279"/>
    <w:rsid w:val="04A45726"/>
    <w:rsid w:val="07E2E3BF"/>
    <w:rsid w:val="08917F20"/>
    <w:rsid w:val="0EBBC0B9"/>
    <w:rsid w:val="0EF075B8"/>
    <w:rsid w:val="0EF3C8E5"/>
    <w:rsid w:val="0F3B59B5"/>
    <w:rsid w:val="131DD843"/>
    <w:rsid w:val="14C0A4CB"/>
    <w:rsid w:val="15625945"/>
    <w:rsid w:val="18F2DF5A"/>
    <w:rsid w:val="1A8EAFBB"/>
    <w:rsid w:val="1D593E7E"/>
    <w:rsid w:val="1E6A4998"/>
    <w:rsid w:val="1EDF617A"/>
    <w:rsid w:val="1F8C7134"/>
    <w:rsid w:val="1F90FFA2"/>
    <w:rsid w:val="1FE68224"/>
    <w:rsid w:val="2227B3F0"/>
    <w:rsid w:val="2262B4EA"/>
    <w:rsid w:val="23FC7A7C"/>
    <w:rsid w:val="27C20EDC"/>
    <w:rsid w:val="2A506911"/>
    <w:rsid w:val="2F29034E"/>
    <w:rsid w:val="2FB2BCFA"/>
    <w:rsid w:val="30601732"/>
    <w:rsid w:val="36B522CA"/>
    <w:rsid w:val="36FA6B25"/>
    <w:rsid w:val="37A54056"/>
    <w:rsid w:val="3AE8A5DB"/>
    <w:rsid w:val="3BED887B"/>
    <w:rsid w:val="3CE9ED46"/>
    <w:rsid w:val="469629B6"/>
    <w:rsid w:val="4AB8DE32"/>
    <w:rsid w:val="4CA70104"/>
    <w:rsid w:val="4E03699E"/>
    <w:rsid w:val="4F7D37F2"/>
    <w:rsid w:val="50E27994"/>
    <w:rsid w:val="585E654C"/>
    <w:rsid w:val="59356CB6"/>
    <w:rsid w:val="5BE7EB80"/>
    <w:rsid w:val="5ECC2EAA"/>
    <w:rsid w:val="5ED32210"/>
    <w:rsid w:val="606E0E9C"/>
    <w:rsid w:val="609F3EBE"/>
    <w:rsid w:val="6211221C"/>
    <w:rsid w:val="669ECCAC"/>
    <w:rsid w:val="694CCBA0"/>
    <w:rsid w:val="6A07116C"/>
    <w:rsid w:val="6A92A477"/>
    <w:rsid w:val="6CFB1A00"/>
    <w:rsid w:val="72EF083A"/>
    <w:rsid w:val="7A269741"/>
    <w:rsid w:val="7B5A99CE"/>
    <w:rsid w:val="7C153BEF"/>
    <w:rsid w:val="7F58613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03492B"/>
  <w15:docId w15:val="{FD1021A2-6AEF-4679-80D5-C29D46CF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715A2"/>
    <w:rPr>
      <w:rFonts w:ascii="Cambria" w:hAnsi="Cambria"/>
      <w:lang w:eastAsia="en-US"/>
    </w:rPr>
  </w:style>
  <w:style w:type="paragraph" w:styleId="Heading1">
    <w:name w:val="heading 1"/>
    <w:next w:val="DJRbody"/>
    <w:link w:val="Heading1Char"/>
    <w:uiPriority w:val="1"/>
    <w:qFormat/>
    <w:rsid w:val="00023F65"/>
    <w:pPr>
      <w:keepNext/>
      <w:keepLines/>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uiPriority w:val="1"/>
    <w:qFormat/>
    <w:rsid w:val="00C40BFD"/>
    <w:pPr>
      <w:keepNext/>
      <w:keepLines/>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uiPriority w:val="1"/>
    <w:unhideWhenUsed/>
    <w:qFormat/>
    <w:rsid w:val="00C40BFD"/>
    <w:pPr>
      <w:keepNext/>
      <w:keepLines/>
      <w:spacing w:before="28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uiPriority w:val="1"/>
    <w:unhideWhenUsed/>
    <w:qFormat/>
    <w:rsid w:val="00C40BFD"/>
    <w:pPr>
      <w:keepNext/>
      <w:keepLines/>
      <w:spacing w:before="240" w:after="120" w:line="240" w:lineRule="atLeast"/>
      <w:ind w:left="680"/>
      <w:outlineLvl w:val="3"/>
    </w:pPr>
    <w:rPr>
      <w:rFonts w:ascii="Arial" w:eastAsia="MS Mincho" w:hAnsi="Arial" w:cstheme="majorBidi"/>
      <w:b/>
      <w:bCs/>
      <w:color w:val="16145F" w:themeColor="accent3"/>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3F6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C40BFD"/>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C40BFD"/>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C40BFD"/>
    <w:rPr>
      <w:rFonts w:ascii="Arial" w:eastAsia="MS Mincho" w:hAnsi="Arial" w:cstheme="majorBidi"/>
      <w:b/>
      <w:bCs/>
      <w:color w:val="16145F" w:themeColor="accent3"/>
      <w:sz w:val="22"/>
      <w:lang w:eastAsia="en-US"/>
    </w:rPr>
  </w:style>
  <w:style w:type="paragraph" w:customStyle="1" w:styleId="DJRbodynospace">
    <w:name w:val="DJR body no space"/>
    <w:basedOn w:val="DJRbody"/>
    <w:rsid w:val="00CC02DC"/>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uiPriority w:val="4"/>
    <w:rsid w:val="007722AD"/>
    <w:pPr>
      <w:spacing w:after="120" w:line="380" w:lineRule="atLeast"/>
    </w:pPr>
    <w:rPr>
      <w:rFonts w:ascii="Arial" w:hAnsi="Arial"/>
      <w:color w:val="16145F" w:themeColor="accent3"/>
      <w:sz w:val="32"/>
      <w:szCs w:val="30"/>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fn,FT,ft"/>
    <w:basedOn w:val="Normal"/>
    <w:link w:val="FootnoteTextChar"/>
    <w:qFormat/>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qFormat/>
    <w:rsid w:val="00C40BFD"/>
    <w:pPr>
      <w:spacing w:after="120" w:line="250" w:lineRule="atLeast"/>
      <w:ind w:left="680"/>
    </w:pPr>
    <w:rPr>
      <w:rFonts w:ascii="Arial" w:eastAsia="Times" w:hAnsi="Arial"/>
      <w:sz w:val="22"/>
      <w:lang w:eastAsia="en-US"/>
    </w:rPr>
  </w:style>
  <w:style w:type="paragraph" w:customStyle="1" w:styleId="DJRbullet1">
    <w:name w:val="DJR bullet 1"/>
    <w:basedOn w:val="DJRbody"/>
    <w:qFormat/>
    <w:rsid w:val="00C40BFD"/>
    <w:pPr>
      <w:numPr>
        <w:numId w:val="15"/>
      </w:numPr>
      <w:spacing w:after="40"/>
    </w:pPr>
  </w:style>
  <w:style w:type="paragraph" w:customStyle="1" w:styleId="DJRtabletext">
    <w:name w:val="DJR table text"/>
    <w:uiPriority w:val="3"/>
    <w:qFormat/>
    <w:rsid w:val="00C40BFD"/>
    <w:pPr>
      <w:spacing w:before="80" w:after="60"/>
    </w:pPr>
    <w:rPr>
      <w:rFonts w:ascii="Arial" w:hAnsi="Arial"/>
      <w:sz w:val="22"/>
      <w:lang w:eastAsia="en-US"/>
    </w:rPr>
  </w:style>
  <w:style w:type="paragraph" w:customStyle="1" w:styleId="DJRtablecaption">
    <w:name w:val="DJR table caption"/>
    <w:next w:val="DJRbody"/>
    <w:uiPriority w:val="3"/>
    <w:qFormat/>
    <w:rsid w:val="00C40BFD"/>
    <w:pPr>
      <w:keepNext/>
      <w:keepLines/>
      <w:spacing w:before="240" w:after="120" w:line="240" w:lineRule="atLeast"/>
      <w:ind w:left="680"/>
    </w:pPr>
    <w:rPr>
      <w:rFonts w:ascii="Arial" w:hAnsi="Arial"/>
      <w:i/>
      <w:color w:val="000000" w:themeColor="text1"/>
      <w:sz w:val="22"/>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DJRbullet2">
    <w:name w:val="DJR bullet 2"/>
    <w:basedOn w:val="DJRbody"/>
    <w:uiPriority w:val="2"/>
    <w:qFormat/>
    <w:rsid w:val="0033503B"/>
    <w:pPr>
      <w:numPr>
        <w:ilvl w:val="1"/>
        <w:numId w:val="15"/>
      </w:numPr>
      <w:spacing w:after="40"/>
    </w:pPr>
  </w:style>
  <w:style w:type="paragraph" w:customStyle="1" w:styleId="DJRbodyafterbullets">
    <w:name w:val="DJR body after bullets"/>
    <w:basedOn w:val="DJRbody"/>
    <w:uiPriority w:val="11"/>
    <w:rsid w:val="00F95057"/>
    <w:pPr>
      <w:spacing w:before="120"/>
    </w:pPr>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fn Char,FT Char"/>
    <w:link w:val="FootnoteText"/>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szCs w:val="18"/>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uiPriority w:val="11"/>
    <w:qFormat/>
    <w:rsid w:val="00432D53"/>
    <w:pPr>
      <w:spacing w:before="80" w:after="60"/>
    </w:pPr>
    <w:rPr>
      <w:rFonts w:ascii="Arial" w:hAnsi="Arial"/>
      <w:b/>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character" w:styleId="FootnoteReference">
    <w:name w:val="footnote reference"/>
    <w:aliases w:val="fr"/>
    <w:basedOn w:val="DefaultParagraphFont"/>
    <w:uiPriority w:val="99"/>
    <w:semiHidden/>
    <w:unhideWhenUsed/>
    <w:qFormat/>
    <w:rsid w:val="0080743A"/>
    <w:rPr>
      <w:vertAlign w:val="superscript"/>
    </w:rPr>
  </w:style>
  <w:style w:type="character" w:styleId="CommentReference">
    <w:name w:val="annotation reference"/>
    <w:basedOn w:val="DefaultParagraphFont"/>
    <w:uiPriority w:val="99"/>
    <w:semiHidden/>
    <w:unhideWhenUsed/>
    <w:rsid w:val="00323897"/>
    <w:rPr>
      <w:sz w:val="16"/>
      <w:szCs w:val="16"/>
    </w:rPr>
  </w:style>
  <w:style w:type="paragraph" w:styleId="CommentText">
    <w:name w:val="annotation text"/>
    <w:basedOn w:val="Normal"/>
    <w:link w:val="CommentTextChar"/>
    <w:uiPriority w:val="99"/>
    <w:semiHidden/>
    <w:unhideWhenUsed/>
    <w:rsid w:val="00323897"/>
  </w:style>
  <w:style w:type="character" w:customStyle="1" w:styleId="CommentTextChar">
    <w:name w:val="Comment Text Char"/>
    <w:basedOn w:val="DefaultParagraphFont"/>
    <w:link w:val="CommentText"/>
    <w:uiPriority w:val="99"/>
    <w:semiHidden/>
    <w:rsid w:val="0032389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23897"/>
    <w:rPr>
      <w:b/>
      <w:bCs/>
    </w:rPr>
  </w:style>
  <w:style w:type="character" w:customStyle="1" w:styleId="CommentSubjectChar">
    <w:name w:val="Comment Subject Char"/>
    <w:basedOn w:val="CommentTextChar"/>
    <w:link w:val="CommentSubject"/>
    <w:uiPriority w:val="99"/>
    <w:semiHidden/>
    <w:rsid w:val="00323897"/>
    <w:rPr>
      <w:rFonts w:ascii="Cambria" w:hAnsi="Cambria"/>
      <w:b/>
      <w:bCs/>
      <w:lang w:eastAsia="en-US"/>
    </w:rPr>
  </w:style>
  <w:style w:type="paragraph" w:styleId="Revision">
    <w:name w:val="Revision"/>
    <w:hidden/>
    <w:uiPriority w:val="71"/>
    <w:semiHidden/>
    <w:rsid w:val="00323897"/>
    <w:rPr>
      <w:rFonts w:ascii="Cambria" w:hAnsi="Cambria"/>
      <w:lang w:eastAsia="en-US"/>
    </w:rPr>
  </w:style>
  <w:style w:type="character" w:customStyle="1" w:styleId="bnwrappedspan">
    <w:name w:val="bn_wrapped_span"/>
    <w:basedOn w:val="DefaultParagraphFont"/>
    <w:rsid w:val="00D30435"/>
  </w:style>
  <w:style w:type="character" w:customStyle="1" w:styleId="normaltextrun">
    <w:name w:val="normaltextrun"/>
    <w:basedOn w:val="DefaultParagraphFont"/>
    <w:rsid w:val="00A0659B"/>
  </w:style>
  <w:style w:type="character" w:customStyle="1" w:styleId="eop">
    <w:name w:val="eop"/>
    <w:basedOn w:val="DefaultParagraphFont"/>
    <w:rsid w:val="00A0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70619">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93705126">
      <w:bodyDiv w:val="1"/>
      <w:marLeft w:val="0"/>
      <w:marRight w:val="0"/>
      <w:marTop w:val="0"/>
      <w:marBottom w:val="0"/>
      <w:divBdr>
        <w:top w:val="none" w:sz="0" w:space="0" w:color="auto"/>
        <w:left w:val="none" w:sz="0" w:space="0" w:color="auto"/>
        <w:bottom w:val="none" w:sz="0" w:space="0" w:color="auto"/>
        <w:right w:val="none" w:sz="0" w:space="0" w:color="auto"/>
      </w:divBdr>
      <w:divsChild>
        <w:div w:id="95248773">
          <w:marLeft w:val="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344C46B3342608AB00732A9367D9B"/>
        <w:category>
          <w:name w:val="General"/>
          <w:gallery w:val="placeholder"/>
        </w:category>
        <w:types>
          <w:type w:val="bbPlcHdr"/>
        </w:types>
        <w:behaviors>
          <w:behavior w:val="content"/>
        </w:behaviors>
        <w:guid w:val="{BBB14F9E-FA21-4CB8-B345-FC911EBEE9A2}"/>
      </w:docPartPr>
      <w:docPartBody>
        <w:p w:rsidR="00D07BC4" w:rsidRDefault="00E542BF">
          <w:pPr>
            <w:pStyle w:val="7D1344C46B3342608AB00732A9367D9B"/>
          </w:pPr>
          <w:r w:rsidRPr="002645BC">
            <w:t>Document title</w:t>
          </w:r>
        </w:p>
      </w:docPartBody>
    </w:docPart>
    <w:docPart>
      <w:docPartPr>
        <w:name w:val="036CB5BAC388427DADF1D6E80D3475F3"/>
        <w:category>
          <w:name w:val="General"/>
          <w:gallery w:val="placeholder"/>
        </w:category>
        <w:types>
          <w:type w:val="bbPlcHdr"/>
        </w:types>
        <w:behaviors>
          <w:behavior w:val="content"/>
        </w:behaviors>
        <w:guid w:val="{D52C1E37-B1D8-4C6D-961F-93EC20F028FA}"/>
      </w:docPartPr>
      <w:docPartBody>
        <w:p w:rsidR="00D07BC4" w:rsidRDefault="00E542BF">
          <w:pPr>
            <w:pStyle w:val="036CB5BAC388427DADF1D6E80D3475F3"/>
          </w:pPr>
          <w:r>
            <w:t>&lt;</w:t>
          </w:r>
          <w:r w:rsidRPr="00A752BE">
            <w:t>Enter date</w:t>
          </w:r>
          <w:r>
            <w:t>&gt;</w:t>
          </w:r>
        </w:p>
      </w:docPartBody>
    </w:docPart>
    <w:docPart>
      <w:docPartPr>
        <w:name w:val="E064D287086041DFA4B41647303308DB"/>
        <w:category>
          <w:name w:val="General"/>
          <w:gallery w:val="placeholder"/>
        </w:category>
        <w:types>
          <w:type w:val="bbPlcHdr"/>
        </w:types>
        <w:behaviors>
          <w:behavior w:val="content"/>
        </w:behaviors>
        <w:guid w:val="{96AA39D1-EE75-4013-89BE-387D6A6A65F9}"/>
      </w:docPartPr>
      <w:docPartBody>
        <w:p w:rsidR="00D07BC4" w:rsidRDefault="00E542BF">
          <w:pPr>
            <w:pStyle w:val="E064D287086041DFA4B41647303308DB"/>
          </w:pPr>
          <w:r w:rsidRPr="00A752BE">
            <w:t>&lt;Enter draft number&gt;</w:t>
          </w:r>
        </w:p>
      </w:docPartBody>
    </w:docPart>
    <w:docPart>
      <w:docPartPr>
        <w:name w:val="DB156BBB063B43AC9012338D635D72C0"/>
        <w:category>
          <w:name w:val="General"/>
          <w:gallery w:val="placeholder"/>
        </w:category>
        <w:types>
          <w:type w:val="bbPlcHdr"/>
        </w:types>
        <w:behaviors>
          <w:behavior w:val="content"/>
        </w:behaviors>
        <w:guid w:val="{2A311F7D-1404-4144-9BD5-C49F3C3C0F26}"/>
      </w:docPartPr>
      <w:docPartBody>
        <w:p w:rsidR="00D07BC4" w:rsidRDefault="00E542BF" w:rsidP="00E542BF">
          <w:pPr>
            <w:pStyle w:val="DB156BBB063B43AC9012338D635D72C0"/>
          </w:pPr>
          <w:r>
            <w:t>Business Unit</w:t>
          </w:r>
        </w:p>
      </w:docPartBody>
    </w:docPart>
    <w:docPart>
      <w:docPartPr>
        <w:name w:val="6A7B1B4670514F29A422ED4A4ABF1E33"/>
        <w:category>
          <w:name w:val="General"/>
          <w:gallery w:val="placeholder"/>
        </w:category>
        <w:types>
          <w:type w:val="bbPlcHdr"/>
        </w:types>
        <w:behaviors>
          <w:behavior w:val="content"/>
        </w:behaviors>
        <w:guid w:val="{41494AA6-0518-4CAA-8E85-D091D4F00851}"/>
      </w:docPartPr>
      <w:docPartBody>
        <w:p w:rsidR="00D07BC4" w:rsidRDefault="00E542BF" w:rsidP="00E542BF">
          <w:pPr>
            <w:pStyle w:val="6A7B1B4670514F29A422ED4A4ABF1E33"/>
          </w:pPr>
          <w:r w:rsidRPr="002645BC">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F"/>
    <w:rsid w:val="00052BE9"/>
    <w:rsid w:val="003359C5"/>
    <w:rsid w:val="0038355F"/>
    <w:rsid w:val="003D18EF"/>
    <w:rsid w:val="00402C80"/>
    <w:rsid w:val="004703FF"/>
    <w:rsid w:val="0048036A"/>
    <w:rsid w:val="005116B6"/>
    <w:rsid w:val="00562283"/>
    <w:rsid w:val="00642DF9"/>
    <w:rsid w:val="00681FEB"/>
    <w:rsid w:val="00687B5C"/>
    <w:rsid w:val="00736E66"/>
    <w:rsid w:val="00820792"/>
    <w:rsid w:val="008C37E5"/>
    <w:rsid w:val="008F2E8A"/>
    <w:rsid w:val="0095781C"/>
    <w:rsid w:val="00966E26"/>
    <w:rsid w:val="009B6E37"/>
    <w:rsid w:val="00A32621"/>
    <w:rsid w:val="00A86208"/>
    <w:rsid w:val="00AD2491"/>
    <w:rsid w:val="00BC394A"/>
    <w:rsid w:val="00C75D44"/>
    <w:rsid w:val="00C8451F"/>
    <w:rsid w:val="00D07BC4"/>
    <w:rsid w:val="00D428C3"/>
    <w:rsid w:val="00E04459"/>
    <w:rsid w:val="00E542BF"/>
    <w:rsid w:val="00F93378"/>
    <w:rsid w:val="00FC64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344C46B3342608AB00732A9367D9B">
    <w:name w:val="7D1344C46B3342608AB00732A9367D9B"/>
  </w:style>
  <w:style w:type="paragraph" w:customStyle="1" w:styleId="FF3E925A379B47C4AB7F783B7D4A11BF">
    <w:name w:val="FF3E925A379B47C4AB7F783B7D4A11BF"/>
  </w:style>
  <w:style w:type="paragraph" w:customStyle="1" w:styleId="16A53DD95E6F490DAF2C78193F6F7968">
    <w:name w:val="16A53DD95E6F490DAF2C78193F6F7968"/>
  </w:style>
  <w:style w:type="paragraph" w:customStyle="1" w:styleId="D54CD4B0CC3A431C81D93179A1968657">
    <w:name w:val="D54CD4B0CC3A431C81D93179A1968657"/>
  </w:style>
  <w:style w:type="paragraph" w:customStyle="1" w:styleId="912976C0392C44DF8127FC8ADDEFB419">
    <w:name w:val="912976C0392C44DF8127FC8ADDEFB419"/>
  </w:style>
  <w:style w:type="paragraph" w:customStyle="1" w:styleId="A0D6C74D57ED4ACAAE9A59C771CC990F">
    <w:name w:val="A0D6C74D57ED4ACAAE9A59C771CC990F"/>
  </w:style>
  <w:style w:type="paragraph" w:customStyle="1" w:styleId="052D5A15521C43B680799B33C4C8AE94">
    <w:name w:val="052D5A15521C43B680799B33C4C8AE94"/>
  </w:style>
  <w:style w:type="paragraph" w:customStyle="1" w:styleId="34614E66FB0C4478812E638DA717DEE2">
    <w:name w:val="34614E66FB0C4478812E638DA717DEE2"/>
  </w:style>
  <w:style w:type="paragraph" w:customStyle="1" w:styleId="4763F5AF41724953972855A531ED3BFA">
    <w:name w:val="4763F5AF41724953972855A531ED3BFA"/>
  </w:style>
  <w:style w:type="paragraph" w:customStyle="1" w:styleId="75C4FE790C024C6B84C2BAC1F31C5FAA">
    <w:name w:val="75C4FE790C024C6B84C2BAC1F31C5FAA"/>
  </w:style>
  <w:style w:type="paragraph" w:customStyle="1" w:styleId="AA18114AD75B448CA0F26AAD0CFC3C90">
    <w:name w:val="AA18114AD75B448CA0F26AAD0CFC3C90"/>
  </w:style>
  <w:style w:type="paragraph" w:customStyle="1" w:styleId="070D57009D8F4C6287FABDF9BD3F491C">
    <w:name w:val="070D57009D8F4C6287FABDF9BD3F491C"/>
  </w:style>
  <w:style w:type="paragraph" w:customStyle="1" w:styleId="738CD29D67644F368C3AB757D64CC672">
    <w:name w:val="738CD29D67644F368C3AB757D64CC672"/>
  </w:style>
  <w:style w:type="paragraph" w:customStyle="1" w:styleId="6EE44D65094542B399D13D818FF2A954">
    <w:name w:val="6EE44D65094542B399D13D818FF2A954"/>
  </w:style>
  <w:style w:type="paragraph" w:customStyle="1" w:styleId="D8B05A24B80347D189AB90E426EE1567">
    <w:name w:val="D8B05A24B80347D189AB90E426EE1567"/>
  </w:style>
  <w:style w:type="paragraph" w:customStyle="1" w:styleId="548A8949D5CB4333A2A30F9E5A3874DD">
    <w:name w:val="548A8949D5CB4333A2A30F9E5A3874DD"/>
  </w:style>
  <w:style w:type="paragraph" w:customStyle="1" w:styleId="110F7D912D244F67947EA5A236300325">
    <w:name w:val="110F7D912D244F67947EA5A236300325"/>
  </w:style>
  <w:style w:type="paragraph" w:customStyle="1" w:styleId="E67922F8DBA14AB58BF2F1D2F63091C7">
    <w:name w:val="E67922F8DBA14AB58BF2F1D2F63091C7"/>
  </w:style>
  <w:style w:type="paragraph" w:customStyle="1" w:styleId="C96749BFBDD34D7485064C49BAEDB279">
    <w:name w:val="C96749BFBDD34D7485064C49BAEDB279"/>
  </w:style>
  <w:style w:type="character" w:styleId="Strong">
    <w:name w:val="Strong"/>
    <w:uiPriority w:val="22"/>
    <w:rPr>
      <w:b/>
      <w:bCs/>
    </w:rPr>
  </w:style>
  <w:style w:type="paragraph" w:customStyle="1" w:styleId="BB23194F307C4AF98C29156EA698A015">
    <w:name w:val="BB23194F307C4AF98C29156EA698A015"/>
  </w:style>
  <w:style w:type="paragraph" w:customStyle="1" w:styleId="C711B8539F114DA7AAD9F0B107C6B66F">
    <w:name w:val="C711B8539F114DA7AAD9F0B107C6B66F"/>
  </w:style>
  <w:style w:type="paragraph" w:customStyle="1" w:styleId="706719D5A0D245E481F5791457DD35A8">
    <w:name w:val="706719D5A0D245E481F5791457DD35A8"/>
  </w:style>
  <w:style w:type="paragraph" w:customStyle="1" w:styleId="0D5B597B5C2A4B37A80A088D450B668C">
    <w:name w:val="0D5B597B5C2A4B37A80A088D450B668C"/>
  </w:style>
  <w:style w:type="paragraph" w:customStyle="1" w:styleId="32EF3409EA6D4DC49CFD05F45EBC5079">
    <w:name w:val="32EF3409EA6D4DC49CFD05F45EBC5079"/>
  </w:style>
  <w:style w:type="paragraph" w:customStyle="1" w:styleId="24F1D66F32C84CBCB8865C1BD1A6CEB6">
    <w:name w:val="24F1D66F32C84CBCB8865C1BD1A6CEB6"/>
  </w:style>
  <w:style w:type="paragraph" w:customStyle="1" w:styleId="B5BB72C5810D4D7BBEB6CE7334B16180">
    <w:name w:val="B5BB72C5810D4D7BBEB6CE7334B16180"/>
  </w:style>
  <w:style w:type="paragraph" w:customStyle="1" w:styleId="A71268700F3341F9A6D4CA2BD52E4D66">
    <w:name w:val="A71268700F3341F9A6D4CA2BD52E4D66"/>
  </w:style>
  <w:style w:type="paragraph" w:customStyle="1" w:styleId="036CB5BAC388427DADF1D6E80D3475F3">
    <w:name w:val="036CB5BAC388427DADF1D6E80D3475F3"/>
  </w:style>
  <w:style w:type="paragraph" w:customStyle="1" w:styleId="E064D287086041DFA4B41647303308DB">
    <w:name w:val="E064D287086041DFA4B41647303308DB"/>
  </w:style>
  <w:style w:type="paragraph" w:customStyle="1" w:styleId="DB156BBB063B43AC9012338D635D72C0">
    <w:name w:val="DB156BBB063B43AC9012338D635D72C0"/>
    <w:rsid w:val="00E542BF"/>
  </w:style>
  <w:style w:type="paragraph" w:customStyle="1" w:styleId="6A7B1B4670514F29A422ED4A4ABF1E33">
    <w:name w:val="6A7B1B4670514F29A422ED4A4ABF1E33"/>
    <w:rsid w:val="00E542BF"/>
  </w:style>
  <w:style w:type="paragraph" w:customStyle="1" w:styleId="DC5F6DCCA0864A1680203EC3FFA5F061">
    <w:name w:val="DC5F6DCCA0864A1680203EC3FFA5F061"/>
    <w:rsid w:val="003359C5"/>
  </w:style>
  <w:style w:type="paragraph" w:customStyle="1" w:styleId="A647FF4FCF634D48895F8484AC08C50E">
    <w:name w:val="A647FF4FCF634D48895F8484AC08C50E"/>
    <w:rsid w:val="00820792"/>
  </w:style>
  <w:style w:type="paragraph" w:customStyle="1" w:styleId="FA14181E6D1A400F8729C2A5A13DF92D">
    <w:name w:val="FA14181E6D1A400F8729C2A5A13DF92D"/>
    <w:rsid w:val="00820792"/>
  </w:style>
  <w:style w:type="paragraph" w:customStyle="1" w:styleId="DD3340F3BB174C8ABC3D47423B4F2616">
    <w:name w:val="DD3340F3BB174C8ABC3D47423B4F2616"/>
    <w:rsid w:val="00820792"/>
  </w:style>
  <w:style w:type="paragraph" w:customStyle="1" w:styleId="490B82E907A94E24A47D288A64B6DE6E">
    <w:name w:val="490B82E907A94E24A47D288A64B6DE6E"/>
    <w:rsid w:val="00820792"/>
  </w:style>
  <w:style w:type="paragraph" w:customStyle="1" w:styleId="E5FBC0B5F62B4DB4BE1D5872D66592E3">
    <w:name w:val="E5FBC0B5F62B4DB4BE1D5872D66592E3"/>
    <w:rsid w:val="00820792"/>
  </w:style>
  <w:style w:type="paragraph" w:customStyle="1" w:styleId="19570D700E04459B86BE175EBDBFBAEB">
    <w:name w:val="19570D700E04459B86BE175EBDBFBAEB"/>
    <w:rsid w:val="00820792"/>
  </w:style>
  <w:style w:type="paragraph" w:customStyle="1" w:styleId="A96392FCDD454AFF9659209DAA7BD24D">
    <w:name w:val="A96392FCDD454AFF9659209DAA7BD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9C46-81BF-438E-A08E-55CA30C3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AAC28-18B1-4021-A77E-1136E7F115F4}">
  <ds:schemaRefs>
    <ds:schemaRef ds:uri="http://schemas.microsoft.com/sharepoint/v3/contenttype/forms"/>
  </ds:schemaRefs>
</ds:datastoreItem>
</file>

<file path=customXml/itemProps3.xml><?xml version="1.0" encoding="utf-8"?>
<ds:datastoreItem xmlns:ds="http://schemas.openxmlformats.org/officeDocument/2006/customXml" ds:itemID="{8F2E103E-93A0-49F8-AEA6-9912B77969E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476b55d-422e-4664-905d-7ecd8c5cbb88"/>
    <ds:schemaRef ds:uri="7e03c794-9f37-4a11-9bac-c837e4667ea1"/>
    <ds:schemaRef ds:uri="http://www.w3.org/XML/1998/namespace"/>
  </ds:schemaRefs>
</ds:datastoreItem>
</file>

<file path=customXml/itemProps4.xml><?xml version="1.0" encoding="utf-8"?>
<ds:datastoreItem xmlns:ds="http://schemas.openxmlformats.org/officeDocument/2006/customXml" ds:itemID="{D4565AEF-6559-43C8-A3B6-701EDBB5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2140</Words>
  <Characters>11300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Attachment E- Guidelines 5- Endanger.docx</vt:lpstr>
    </vt:vector>
  </TitlesOfParts>
  <Company>Department of Justice and Regulation</Company>
  <LinksUpToDate>false</LinksUpToDate>
  <CharactersWithSpaces>13414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Guidelines 5- Endanger.docx</dc:title>
  <dc:subject/>
  <dc:creator>Consumer Affairs Victoria</dc:creator>
  <cp:keywords/>
  <cp:lastModifiedBy>David M Darragh (DJCS)</cp:lastModifiedBy>
  <cp:revision>2</cp:revision>
  <cp:lastPrinted>2017-07-09T03:32:00Z</cp:lastPrinted>
  <dcterms:created xsi:type="dcterms:W3CDTF">2021-03-10T06:03:00Z</dcterms:created>
  <dcterms:modified xsi:type="dcterms:W3CDTF">2021-03-10T06:03:00Z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ies>
</file>