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4D6C" w14:textId="77777777" w:rsidR="00E26EB2" w:rsidRPr="00302F8F" w:rsidRDefault="00E26EB2" w:rsidP="00302F8F">
      <w:pPr>
        <w:spacing w:before="1680"/>
        <w:rPr>
          <w:rFonts w:eastAsia="Calibri" w:cs="Arial"/>
          <w:b/>
          <w:color w:val="FFFFFF" w:themeColor="background1"/>
          <w:sz w:val="36"/>
          <w:szCs w:val="36"/>
        </w:rPr>
      </w:pPr>
      <w:r w:rsidRPr="00302F8F">
        <w:rPr>
          <w:rFonts w:eastAsia="Calibri" w:cs="Arial"/>
          <w:b/>
          <w:color w:val="FFFFFF" w:themeColor="background1"/>
          <w:sz w:val="36"/>
          <w:szCs w:val="36"/>
        </w:rPr>
        <w:t xml:space="preserve">Victorian Property Fund Grants Program </w:t>
      </w:r>
    </w:p>
    <w:p w14:paraId="45711541" w14:textId="373C8843" w:rsidR="00E26EB2" w:rsidRPr="00302F8F" w:rsidRDefault="005903A8" w:rsidP="00E26EB2">
      <w:pPr>
        <w:rPr>
          <w:rFonts w:eastAsia="Calibri" w:cs="Arial"/>
          <w:b/>
          <w:color w:val="FFFFFF" w:themeColor="background1"/>
          <w:sz w:val="36"/>
          <w:szCs w:val="36"/>
        </w:rPr>
      </w:pPr>
      <w:r>
        <w:rPr>
          <w:rFonts w:eastAsia="Calibri"/>
          <w:b/>
          <w:bCs/>
          <w:color w:val="FFFFFF"/>
          <w:sz w:val="34"/>
          <w:szCs w:val="30"/>
        </w:rPr>
        <w:t>Rental Stress Support Package 2023-24</w:t>
      </w:r>
    </w:p>
    <w:p w14:paraId="1BF342E3" w14:textId="28444A15" w:rsidR="005F1037" w:rsidRPr="00302F8F" w:rsidRDefault="00E26EB2" w:rsidP="00302F8F">
      <w:pPr>
        <w:spacing w:before="480"/>
        <w:rPr>
          <w:b/>
          <w:bCs/>
          <w:color w:val="FFFFFF" w:themeColor="background1"/>
          <w:sz w:val="26"/>
          <w:szCs w:val="26"/>
        </w:rPr>
      </w:pPr>
      <w:r w:rsidRPr="00302F8F">
        <w:rPr>
          <w:rFonts w:eastAsia="Calibri" w:cs="Arial"/>
          <w:b/>
          <w:color w:val="FFFFFF" w:themeColor="background1"/>
          <w:sz w:val="56"/>
          <w:szCs w:val="56"/>
        </w:rPr>
        <w:t>Expressions of Interest</w:t>
      </w:r>
      <w:r w:rsidRPr="00302F8F">
        <w:rPr>
          <w:b/>
          <w:bCs/>
          <w:color w:val="FFFFFF" w:themeColor="background1"/>
          <w:sz w:val="26"/>
          <w:szCs w:val="26"/>
        </w:rPr>
        <w:t xml:space="preserve"> </w:t>
      </w:r>
    </w:p>
    <w:p w14:paraId="3570552B" w14:textId="569CF236" w:rsidR="002202E8" w:rsidRDefault="005903A8" w:rsidP="00302F8F">
      <w:pPr>
        <w:spacing w:before="360"/>
        <w:rPr>
          <w:b/>
          <w:bCs/>
          <w:color w:val="FFFFFF" w:themeColor="background1"/>
          <w:sz w:val="26"/>
          <w:szCs w:val="26"/>
        </w:rPr>
      </w:pPr>
      <w:r>
        <w:rPr>
          <w:b/>
          <w:bCs/>
          <w:color w:val="FFFFFF" w:themeColor="background1"/>
          <w:sz w:val="26"/>
          <w:szCs w:val="26"/>
        </w:rPr>
        <w:t>17 November</w:t>
      </w:r>
      <w:r w:rsidR="009A418A" w:rsidRPr="00200D1D">
        <w:rPr>
          <w:b/>
          <w:bCs/>
          <w:color w:val="FFFFFF" w:themeColor="background1"/>
          <w:sz w:val="26"/>
          <w:szCs w:val="26"/>
        </w:rPr>
        <w:t xml:space="preserve"> </w:t>
      </w:r>
      <w:r w:rsidR="00467D1B" w:rsidRPr="00200D1D">
        <w:rPr>
          <w:b/>
          <w:bCs/>
          <w:color w:val="FFFFFF" w:themeColor="background1"/>
          <w:sz w:val="26"/>
          <w:szCs w:val="26"/>
        </w:rPr>
        <w:t>20</w:t>
      </w:r>
      <w:r>
        <w:rPr>
          <w:b/>
          <w:bCs/>
          <w:color w:val="FFFFFF" w:themeColor="background1"/>
          <w:sz w:val="26"/>
          <w:szCs w:val="26"/>
        </w:rPr>
        <w:t>23</w:t>
      </w:r>
    </w:p>
    <w:p w14:paraId="6014B754" w14:textId="77777777" w:rsidR="00812BAE" w:rsidRPr="00CF3B7F" w:rsidRDefault="00812BAE" w:rsidP="006B29C1">
      <w:pPr>
        <w:pStyle w:val="Heading1-notinTOC"/>
      </w:pPr>
      <w:bookmarkStart w:id="0" w:name="_Toc151041929"/>
      <w:r w:rsidRPr="00CF3B7F">
        <w:t>Table of Contents</w:t>
      </w:r>
      <w:bookmarkEnd w:id="0"/>
    </w:p>
    <w:p w14:paraId="1EBB5521" w14:textId="73A8C9DE" w:rsidR="00676482" w:rsidRDefault="00126A60" w:rsidP="00676482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"1-2" </w:instrText>
      </w:r>
      <w:r>
        <w:rPr>
          <w:szCs w:val="24"/>
        </w:rPr>
        <w:fldChar w:fldCharType="separate"/>
      </w:r>
      <w:r w:rsidR="00676482">
        <w:t>Table of Contents</w:t>
      </w:r>
      <w:r w:rsidR="00676482">
        <w:tab/>
      </w:r>
      <w:r w:rsidR="00676482">
        <w:fldChar w:fldCharType="begin"/>
      </w:r>
      <w:r w:rsidR="00676482">
        <w:instrText xml:space="preserve"> PAGEREF _Toc151041929 \h </w:instrText>
      </w:r>
      <w:r w:rsidR="00676482">
        <w:fldChar w:fldCharType="separate"/>
      </w:r>
      <w:r w:rsidR="00676482">
        <w:t>2</w:t>
      </w:r>
      <w:r w:rsidR="00676482">
        <w:fldChar w:fldCharType="end"/>
      </w:r>
    </w:p>
    <w:p w14:paraId="13BD9B26" w14:textId="5C93BCA8" w:rsidR="00676482" w:rsidRDefault="00676482" w:rsidP="00676482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>
        <w:t>Definitions</w:t>
      </w:r>
      <w:r>
        <w:tab/>
      </w:r>
      <w:r>
        <w:fldChar w:fldCharType="begin"/>
      </w:r>
      <w:r>
        <w:instrText xml:space="preserve"> PAGEREF _Toc151041930 \h </w:instrText>
      </w:r>
      <w:r>
        <w:fldChar w:fldCharType="separate"/>
      </w:r>
      <w:r>
        <w:t>3</w:t>
      </w:r>
      <w:r>
        <w:fldChar w:fldCharType="end"/>
      </w:r>
    </w:p>
    <w:p w14:paraId="6BF5B135" w14:textId="03F614B2" w:rsidR="00676482" w:rsidRDefault="00676482" w:rsidP="00676482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 w:rsidRPr="00CA122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>
        <w:rPr>
          <w:rFonts w:asciiTheme="minorHAnsi" w:eastAsiaTheme="minorEastAsia" w:hAnsiTheme="minorHAnsi" w:cstheme="minorBidi"/>
          <w:sz w:val="22"/>
          <w:lang w:eastAsia="en-AU"/>
        </w:rPr>
        <w:tab/>
      </w:r>
      <w:r>
        <w:t>Introduction</w:t>
      </w:r>
      <w:r>
        <w:tab/>
      </w:r>
      <w:r>
        <w:fldChar w:fldCharType="begin"/>
      </w:r>
      <w:r>
        <w:instrText xml:space="preserve"> PAGEREF _Toc151041931 \h </w:instrText>
      </w:r>
      <w:r>
        <w:fldChar w:fldCharType="separate"/>
      </w:r>
      <w:r>
        <w:t>4</w:t>
      </w:r>
      <w:r>
        <w:fldChar w:fldCharType="end"/>
      </w:r>
    </w:p>
    <w:p w14:paraId="4B9C2521" w14:textId="3F0976AF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Expressions of Interest</w:t>
      </w:r>
      <w:r>
        <w:tab/>
      </w:r>
      <w:r>
        <w:fldChar w:fldCharType="begin"/>
      </w:r>
      <w:r>
        <w:instrText xml:space="preserve"> PAGEREF _Toc151041932 \h </w:instrText>
      </w:r>
      <w:r>
        <w:fldChar w:fldCharType="separate"/>
      </w:r>
      <w:r>
        <w:t>4</w:t>
      </w:r>
      <w:r>
        <w:fldChar w:fldCharType="end"/>
      </w:r>
    </w:p>
    <w:p w14:paraId="40494BF7" w14:textId="1B9A51CA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Background</w:t>
      </w:r>
      <w:r>
        <w:tab/>
      </w:r>
      <w:r>
        <w:fldChar w:fldCharType="begin"/>
      </w:r>
      <w:r>
        <w:instrText xml:space="preserve"> PAGEREF _Toc151041933 \h </w:instrText>
      </w:r>
      <w:r>
        <w:fldChar w:fldCharType="separate"/>
      </w:r>
      <w:r>
        <w:t>4</w:t>
      </w:r>
      <w:r>
        <w:fldChar w:fldCharType="end"/>
      </w:r>
    </w:p>
    <w:p w14:paraId="56F40890" w14:textId="596E6F03" w:rsidR="00676482" w:rsidRDefault="00676482" w:rsidP="00676482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 w:rsidRPr="00CA122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>
        <w:rPr>
          <w:rFonts w:asciiTheme="minorHAnsi" w:eastAsiaTheme="minorEastAsia" w:hAnsiTheme="minorHAnsi" w:cstheme="minorBidi"/>
          <w:sz w:val="22"/>
          <w:lang w:eastAsia="en-AU"/>
        </w:rPr>
        <w:tab/>
      </w:r>
      <w:r>
        <w:t>Information on the EOI and Grant application Process</w:t>
      </w:r>
      <w:r>
        <w:tab/>
      </w:r>
      <w:r>
        <w:fldChar w:fldCharType="begin"/>
      </w:r>
      <w:r>
        <w:instrText xml:space="preserve"> PAGEREF _Toc151041934 \h </w:instrText>
      </w:r>
      <w:r>
        <w:fldChar w:fldCharType="separate"/>
      </w:r>
      <w:r>
        <w:t>6</w:t>
      </w:r>
      <w:r>
        <w:fldChar w:fldCharType="end"/>
      </w:r>
    </w:p>
    <w:p w14:paraId="6AF9613D" w14:textId="2BE2CDAA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A Two-Stage Process</w:t>
      </w:r>
      <w:r>
        <w:tab/>
      </w:r>
      <w:r>
        <w:fldChar w:fldCharType="begin"/>
      </w:r>
      <w:r>
        <w:instrText xml:space="preserve"> PAGEREF _Toc151041935 \h </w:instrText>
      </w:r>
      <w:r>
        <w:fldChar w:fldCharType="separate"/>
      </w:r>
      <w:r>
        <w:t>6</w:t>
      </w:r>
      <w:r>
        <w:fldChar w:fldCharType="end"/>
      </w:r>
    </w:p>
    <w:p w14:paraId="7C1454B2" w14:textId="61912F5E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Purpose of the EOI Process</w:t>
      </w:r>
      <w:r>
        <w:tab/>
      </w:r>
      <w:r>
        <w:fldChar w:fldCharType="begin"/>
      </w:r>
      <w:r>
        <w:instrText xml:space="preserve"> PAGEREF _Toc151041936 \h </w:instrText>
      </w:r>
      <w:r>
        <w:fldChar w:fldCharType="separate"/>
      </w:r>
      <w:r>
        <w:t>6</w:t>
      </w:r>
      <w:r>
        <w:fldChar w:fldCharType="end"/>
      </w:r>
    </w:p>
    <w:p w14:paraId="33023477" w14:textId="3289823F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Who Should Apply</w:t>
      </w:r>
      <w:r>
        <w:tab/>
      </w:r>
      <w:r>
        <w:fldChar w:fldCharType="begin"/>
      </w:r>
      <w:r>
        <w:instrText xml:space="preserve"> PAGEREF _Toc151041937 \h </w:instrText>
      </w:r>
      <w:r>
        <w:fldChar w:fldCharType="separate"/>
      </w:r>
      <w:r>
        <w:t>6</w:t>
      </w:r>
      <w:r>
        <w:fldChar w:fldCharType="end"/>
      </w:r>
    </w:p>
    <w:p w14:paraId="76A3802F" w14:textId="498B8A75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Who Should Not Apply</w:t>
      </w:r>
      <w:r>
        <w:tab/>
      </w:r>
      <w:r>
        <w:fldChar w:fldCharType="begin"/>
      </w:r>
      <w:r>
        <w:instrText xml:space="preserve"> PAGEREF _Toc151041938 \h </w:instrText>
      </w:r>
      <w:r>
        <w:fldChar w:fldCharType="separate"/>
      </w:r>
      <w:r>
        <w:t>6</w:t>
      </w:r>
      <w:r>
        <w:fldChar w:fldCharType="end"/>
      </w:r>
    </w:p>
    <w:p w14:paraId="79798BCC" w14:textId="03C964A9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Key Dates</w:t>
      </w:r>
      <w:r>
        <w:tab/>
      </w:r>
      <w:r>
        <w:fldChar w:fldCharType="begin"/>
      </w:r>
      <w:r>
        <w:instrText xml:space="preserve"> PAGEREF _Toc151041939 \h </w:instrText>
      </w:r>
      <w:r>
        <w:fldChar w:fldCharType="separate"/>
      </w:r>
      <w:r>
        <w:t>7</w:t>
      </w:r>
      <w:r>
        <w:fldChar w:fldCharType="end"/>
      </w:r>
    </w:p>
    <w:p w14:paraId="46F513B6" w14:textId="1E113D5A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EOI Response Process</w:t>
      </w:r>
      <w:r>
        <w:tab/>
      </w:r>
      <w:r>
        <w:fldChar w:fldCharType="begin"/>
      </w:r>
      <w:r>
        <w:instrText xml:space="preserve"> PAGEREF _Toc151041940 \h </w:instrText>
      </w:r>
      <w:r>
        <w:fldChar w:fldCharType="separate"/>
      </w:r>
      <w:r>
        <w:t>7</w:t>
      </w:r>
      <w:r>
        <w:fldChar w:fldCharType="end"/>
      </w:r>
    </w:p>
    <w:p w14:paraId="4301F7AC" w14:textId="4D260557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Grant Application Process</w:t>
      </w:r>
      <w:r>
        <w:tab/>
      </w:r>
      <w:r>
        <w:fldChar w:fldCharType="begin"/>
      </w:r>
      <w:r>
        <w:instrText xml:space="preserve"> PAGEREF _Toc151041941 \h </w:instrText>
      </w:r>
      <w:r>
        <w:fldChar w:fldCharType="separate"/>
      </w:r>
      <w:r>
        <w:t>8</w:t>
      </w:r>
      <w:r>
        <w:fldChar w:fldCharType="end"/>
      </w:r>
    </w:p>
    <w:p w14:paraId="3D87510F" w14:textId="2984CBE1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2.8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Conditions of Participation</w:t>
      </w:r>
      <w:r>
        <w:tab/>
      </w:r>
      <w:r>
        <w:fldChar w:fldCharType="begin"/>
      </w:r>
      <w:r>
        <w:instrText xml:space="preserve"> PAGEREF _Toc151041942 \h </w:instrText>
      </w:r>
      <w:r>
        <w:fldChar w:fldCharType="separate"/>
      </w:r>
      <w:r>
        <w:t>9</w:t>
      </w:r>
      <w:r>
        <w:fldChar w:fldCharType="end"/>
      </w:r>
    </w:p>
    <w:p w14:paraId="0B3D828C" w14:textId="6E10A570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2.9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Registration, Enquiries and Feedback</w:t>
      </w:r>
      <w:r>
        <w:tab/>
      </w:r>
      <w:r>
        <w:fldChar w:fldCharType="begin"/>
      </w:r>
      <w:r>
        <w:instrText xml:space="preserve"> PAGEREF _Toc151041943 \h </w:instrText>
      </w:r>
      <w:r>
        <w:fldChar w:fldCharType="separate"/>
      </w:r>
      <w:r>
        <w:t>9</w:t>
      </w:r>
      <w:r>
        <w:fldChar w:fldCharType="end"/>
      </w:r>
    </w:p>
    <w:p w14:paraId="51C5DD05" w14:textId="62ED2B79" w:rsidR="00676482" w:rsidRDefault="00676482" w:rsidP="00676482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 w:rsidRPr="00CA122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>
        <w:rPr>
          <w:rFonts w:asciiTheme="minorHAnsi" w:eastAsiaTheme="minorEastAsia" w:hAnsiTheme="minorHAnsi" w:cstheme="minorBidi"/>
          <w:sz w:val="22"/>
          <w:lang w:eastAsia="en-AU"/>
        </w:rPr>
        <w:tab/>
      </w:r>
      <w:r>
        <w:t>Requirements</w:t>
      </w:r>
      <w:r>
        <w:tab/>
      </w:r>
      <w:r>
        <w:fldChar w:fldCharType="begin"/>
      </w:r>
      <w:r>
        <w:instrText xml:space="preserve"> PAGEREF _Toc151041944 \h </w:instrText>
      </w:r>
      <w:r>
        <w:fldChar w:fldCharType="separate"/>
      </w:r>
      <w:r>
        <w:t>11</w:t>
      </w:r>
      <w:r>
        <w:fldChar w:fldCharType="end"/>
      </w:r>
    </w:p>
    <w:p w14:paraId="2EBCF072" w14:textId="1499B7A0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Summary of Proposed Arrangements</w:t>
      </w:r>
      <w:r>
        <w:tab/>
      </w:r>
      <w:r>
        <w:fldChar w:fldCharType="begin"/>
      </w:r>
      <w:r>
        <w:instrText xml:space="preserve"> PAGEREF _Toc151041945 \h </w:instrText>
      </w:r>
      <w:r>
        <w:fldChar w:fldCharType="separate"/>
      </w:r>
      <w:r>
        <w:t>11</w:t>
      </w:r>
      <w:r>
        <w:fldChar w:fldCharType="end"/>
      </w:r>
    </w:p>
    <w:p w14:paraId="216100E9" w14:textId="6D692B70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Government contribution limited</w:t>
      </w:r>
      <w:r>
        <w:tab/>
      </w:r>
      <w:r>
        <w:fldChar w:fldCharType="begin"/>
      </w:r>
      <w:r>
        <w:instrText xml:space="preserve"> PAGEREF _Toc151041946 \h </w:instrText>
      </w:r>
      <w:r>
        <w:fldChar w:fldCharType="separate"/>
      </w:r>
      <w:r>
        <w:t>11</w:t>
      </w:r>
      <w:r>
        <w:fldChar w:fldCharType="end"/>
      </w:r>
    </w:p>
    <w:p w14:paraId="216CA6AA" w14:textId="353C17F1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Contractual terms</w:t>
      </w:r>
      <w:r>
        <w:tab/>
      </w:r>
      <w:r>
        <w:fldChar w:fldCharType="begin"/>
      </w:r>
      <w:r>
        <w:instrText xml:space="preserve"> PAGEREF _Toc151041947 \h </w:instrText>
      </w:r>
      <w:r>
        <w:fldChar w:fldCharType="separate"/>
      </w:r>
      <w:r>
        <w:t>11</w:t>
      </w:r>
      <w:r>
        <w:fldChar w:fldCharType="end"/>
      </w:r>
    </w:p>
    <w:p w14:paraId="60428E30" w14:textId="4E6FDEAA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Delivery timeframe</w:t>
      </w:r>
      <w:r>
        <w:tab/>
      </w:r>
      <w:r>
        <w:fldChar w:fldCharType="begin"/>
      </w:r>
      <w:r>
        <w:instrText xml:space="preserve"> PAGEREF _Toc151041948 \h </w:instrText>
      </w:r>
      <w:r>
        <w:fldChar w:fldCharType="separate"/>
      </w:r>
      <w:r>
        <w:t>11</w:t>
      </w:r>
      <w:r>
        <w:fldChar w:fldCharType="end"/>
      </w:r>
    </w:p>
    <w:p w14:paraId="7455BDBF" w14:textId="360D23AF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3.5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Other responsibilities and risks to be assumed by Respondent</w:t>
      </w:r>
      <w:r>
        <w:tab/>
      </w:r>
      <w:r>
        <w:fldChar w:fldCharType="begin"/>
      </w:r>
      <w:r>
        <w:instrText xml:space="preserve"> PAGEREF _Toc151041949 \h </w:instrText>
      </w:r>
      <w:r>
        <w:fldChar w:fldCharType="separate"/>
      </w:r>
      <w:r>
        <w:t>11</w:t>
      </w:r>
      <w:r>
        <w:fldChar w:fldCharType="end"/>
      </w:r>
    </w:p>
    <w:p w14:paraId="185D4153" w14:textId="596B5A67" w:rsidR="00676482" w:rsidRDefault="00676482" w:rsidP="00676482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 w:rsidRPr="00CA122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>
        <w:rPr>
          <w:rFonts w:asciiTheme="minorHAnsi" w:eastAsiaTheme="minorEastAsia" w:hAnsiTheme="minorHAnsi" w:cstheme="minorBidi"/>
          <w:sz w:val="22"/>
          <w:lang w:eastAsia="en-AU"/>
        </w:rPr>
        <w:tab/>
      </w:r>
      <w:r>
        <w:t>Response Assessment Criteria</w:t>
      </w:r>
      <w:r>
        <w:tab/>
      </w:r>
      <w:r>
        <w:fldChar w:fldCharType="begin"/>
      </w:r>
      <w:r>
        <w:instrText xml:space="preserve"> PAGEREF _Toc151041950 \h </w:instrText>
      </w:r>
      <w:r>
        <w:fldChar w:fldCharType="separate"/>
      </w:r>
      <w:r>
        <w:t>12</w:t>
      </w:r>
      <w:r>
        <w:fldChar w:fldCharType="end"/>
      </w:r>
    </w:p>
    <w:p w14:paraId="4C9FC739" w14:textId="43845885" w:rsidR="00676482" w:rsidRDefault="00676482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CA122D">
        <w:rPr>
          <w:rFonts w:asciiTheme="minorBidi" w:hAnsiTheme="minorBidi" w:cstheme="minorBidi"/>
          <w:bCs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eastAsia="en-AU"/>
        </w:rPr>
        <w:tab/>
      </w:r>
      <w:r>
        <w:t>Overview</w:t>
      </w:r>
      <w:r>
        <w:tab/>
      </w:r>
      <w:r>
        <w:fldChar w:fldCharType="begin"/>
      </w:r>
      <w:r>
        <w:instrText xml:space="preserve"> PAGEREF _Toc151041951 \h </w:instrText>
      </w:r>
      <w:r>
        <w:fldChar w:fldCharType="separate"/>
      </w:r>
      <w:r>
        <w:t>12</w:t>
      </w:r>
      <w:r>
        <w:fldChar w:fldCharType="end"/>
      </w:r>
    </w:p>
    <w:p w14:paraId="30FBB220" w14:textId="28AAA6C8" w:rsidR="00812BAE" w:rsidRDefault="00126A60" w:rsidP="00812BAE">
      <w:pPr>
        <w:pStyle w:val="FootnoteText"/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  <w:r>
        <w:rPr>
          <w:rFonts w:ascii="Arial" w:hAnsi="Arial"/>
          <w:b/>
          <w:noProof/>
          <w:szCs w:val="24"/>
        </w:rPr>
        <w:fldChar w:fldCharType="end"/>
      </w:r>
    </w:p>
    <w:p w14:paraId="42ED3FBB" w14:textId="77777777" w:rsidR="00812BAE" w:rsidRDefault="00812BAE" w:rsidP="00676482">
      <w:pPr>
        <w:pStyle w:val="TOC1"/>
      </w:pPr>
      <w:r>
        <w:t>RETURNABLE SCHEDULES</w:t>
      </w:r>
    </w:p>
    <w:p w14:paraId="22B2B510" w14:textId="564886EB" w:rsidR="00F513C7" w:rsidRDefault="00812BAE" w:rsidP="00812BAE">
      <w:r w:rsidRPr="00DF60F3">
        <w:t xml:space="preserve">(Available </w:t>
      </w:r>
      <w:r w:rsidR="00F22765">
        <w:t>for download</w:t>
      </w:r>
      <w:r w:rsidRPr="00DF60F3">
        <w:t xml:space="preserve"> by visiting </w:t>
      </w:r>
      <w:hyperlink r:id="rId11" w:history="1">
        <w:r w:rsidR="00BC0DF5" w:rsidRPr="00BC0DF5">
          <w:rPr>
            <w:rStyle w:val="Hyperlink"/>
          </w:rPr>
          <w:t>www.consumer.vic.gov.au/rentalstresssupp</w:t>
        </w:r>
        <w:r w:rsidR="00BC0DF5" w:rsidRPr="00B0009F">
          <w:rPr>
            <w:rStyle w:val="Hyperlink"/>
          </w:rPr>
          <w:t>ort</w:t>
        </w:r>
      </w:hyperlink>
      <w:r w:rsidR="00BC0DF5">
        <w:t>)</w:t>
      </w:r>
      <w:r w:rsidRPr="00DF60F3">
        <w:t>.</w:t>
      </w:r>
      <w:r w:rsidR="00F513C7" w:rsidRPr="00DF60F3">
        <w:t xml:space="preserve"> </w:t>
      </w:r>
    </w:p>
    <w:p w14:paraId="23C84B90" w14:textId="6E2B3713" w:rsidR="00E52D77" w:rsidRDefault="00812BAE" w:rsidP="00812BAE">
      <w:pPr>
        <w:ind w:left="2694" w:hanging="2694"/>
      </w:pPr>
      <w:r>
        <w:rPr>
          <w:szCs w:val="24"/>
        </w:rPr>
        <w:t xml:space="preserve">Returnable </w:t>
      </w:r>
      <w:r>
        <w:t xml:space="preserve">Schedule 1 – </w:t>
      </w:r>
      <w:r w:rsidR="00AC50C3">
        <w:t xml:space="preserve">Respondent </w:t>
      </w:r>
      <w:r w:rsidR="00E52D77">
        <w:t>Details</w:t>
      </w:r>
      <w:r w:rsidR="00AC50C3">
        <w:t xml:space="preserve"> </w:t>
      </w:r>
    </w:p>
    <w:p w14:paraId="3CD8EF45" w14:textId="376CD76A" w:rsidR="00812BAE" w:rsidRDefault="00E52D77" w:rsidP="00812BAE">
      <w:pPr>
        <w:ind w:left="2694" w:hanging="2694"/>
      </w:pPr>
      <w:r w:rsidRPr="00BC0DF5">
        <w:rPr>
          <w:szCs w:val="24"/>
        </w:rPr>
        <w:t xml:space="preserve">Returnable </w:t>
      </w:r>
      <w:r w:rsidRPr="00BC0DF5">
        <w:t>Schedule 2 –</w:t>
      </w:r>
      <w:r w:rsidR="001C47C0" w:rsidRPr="00BC0DF5">
        <w:t xml:space="preserve"> </w:t>
      </w:r>
      <w:r w:rsidR="005D7076" w:rsidRPr="00DE12FD">
        <w:t>Proposal</w:t>
      </w:r>
      <w:r w:rsidR="005D7076" w:rsidRPr="00BC0DF5">
        <w:t xml:space="preserve"> </w:t>
      </w:r>
      <w:r w:rsidR="00583D8E" w:rsidRPr="00BC0DF5">
        <w:t>Details</w:t>
      </w:r>
    </w:p>
    <w:p w14:paraId="32F5AF92" w14:textId="1239C5E1" w:rsidR="00E52D77" w:rsidRDefault="00812BAE" w:rsidP="00812BAE">
      <w:pPr>
        <w:ind w:left="2694" w:hanging="2694"/>
      </w:pPr>
      <w:r>
        <w:rPr>
          <w:szCs w:val="24"/>
        </w:rPr>
        <w:t xml:space="preserve">Returnable </w:t>
      </w:r>
      <w:r>
        <w:t>Schedule 3 –</w:t>
      </w:r>
      <w:r w:rsidR="008A60DE" w:rsidRPr="008A60DE">
        <w:t xml:space="preserve"> </w:t>
      </w:r>
      <w:r w:rsidR="00583D8E">
        <w:t>Financial Capacity</w:t>
      </w:r>
      <w:r w:rsidR="009E03F9">
        <w:t xml:space="preserve"> and </w:t>
      </w:r>
      <w:r w:rsidR="00014197">
        <w:t>Accountability Requirements</w:t>
      </w:r>
      <w:r w:rsidR="00BC0DF5">
        <w:t xml:space="preserve"> </w:t>
      </w:r>
    </w:p>
    <w:p w14:paraId="217A645D" w14:textId="7D8326F4" w:rsidR="00812BAE" w:rsidRDefault="00E52D77" w:rsidP="00812BAE">
      <w:pPr>
        <w:ind w:left="2694" w:hanging="2694"/>
      </w:pPr>
      <w:r>
        <w:rPr>
          <w:szCs w:val="24"/>
        </w:rPr>
        <w:t xml:space="preserve">Returnable </w:t>
      </w:r>
      <w:r>
        <w:t>Schedule 4 –</w:t>
      </w:r>
      <w:r w:rsidR="008A60DE">
        <w:t xml:space="preserve"> </w:t>
      </w:r>
      <w:r w:rsidR="00BC0DF5">
        <w:t>Service Delivery Experience</w:t>
      </w:r>
    </w:p>
    <w:p w14:paraId="699469CB" w14:textId="76AC51DF" w:rsidR="00A83762" w:rsidRDefault="00A83762" w:rsidP="00A83762">
      <w:pPr>
        <w:ind w:left="2694" w:hanging="2694"/>
      </w:pPr>
      <w:r>
        <w:rPr>
          <w:szCs w:val="24"/>
        </w:rPr>
        <w:t xml:space="preserve">Returnable </w:t>
      </w:r>
      <w:r>
        <w:t>Schedule 5 – Responde</w:t>
      </w:r>
      <w:r w:rsidR="00583D8E">
        <w:t>nt Capability and Capacity</w:t>
      </w:r>
    </w:p>
    <w:p w14:paraId="4A919164" w14:textId="237DD59F" w:rsidR="002202E8" w:rsidRDefault="00812BAE" w:rsidP="00812BAE">
      <w:pPr>
        <w:ind w:left="2694" w:hanging="2694"/>
      </w:pPr>
      <w:r>
        <w:rPr>
          <w:szCs w:val="24"/>
        </w:rPr>
        <w:t xml:space="preserve">Returnable </w:t>
      </w:r>
      <w:r>
        <w:t xml:space="preserve">Schedule </w:t>
      </w:r>
      <w:r w:rsidR="00A83762">
        <w:t>6</w:t>
      </w:r>
      <w:r>
        <w:t xml:space="preserve"> – Value for Money</w:t>
      </w:r>
      <w:r w:rsidR="00014197">
        <w:t xml:space="preserve"> </w:t>
      </w:r>
    </w:p>
    <w:p w14:paraId="2D3C248F" w14:textId="77777777" w:rsidR="00812BAE" w:rsidRDefault="00812BAE" w:rsidP="006B29C1">
      <w:pPr>
        <w:pStyle w:val="Heading1-notinTOC"/>
      </w:pPr>
      <w:bookmarkStart w:id="1" w:name="_Toc151041930"/>
      <w:r w:rsidRPr="006E5E41">
        <w:t>Definitions</w:t>
      </w:r>
      <w:bookmarkEnd w:id="1"/>
    </w:p>
    <w:tbl>
      <w:tblPr>
        <w:tblW w:w="538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546"/>
        <w:gridCol w:w="6380"/>
      </w:tblGrid>
      <w:tr w:rsidR="00A21B98" w14:paraId="2640EF30" w14:textId="77777777" w:rsidTr="00565D5A">
        <w:tc>
          <w:tcPr>
            <w:tcW w:w="1426" w:type="pct"/>
          </w:tcPr>
          <w:p w14:paraId="7753574A" w14:textId="77777777" w:rsidR="00A21B98" w:rsidRDefault="00A21B98" w:rsidP="00CF3B7F">
            <w:r>
              <w:t>Assessment Criteria</w:t>
            </w:r>
          </w:p>
        </w:tc>
        <w:tc>
          <w:tcPr>
            <w:tcW w:w="3574" w:type="pct"/>
          </w:tcPr>
          <w:p w14:paraId="5348ADD0" w14:textId="39794230" w:rsidR="00A21B98" w:rsidRDefault="00A21B98" w:rsidP="00CF3B7F">
            <w:r>
              <w:t>Refers to the mandatory (pass /fail) and comparative (weighted) assessment criteria set out in</w:t>
            </w:r>
            <w:r w:rsidR="006A12B1">
              <w:t xml:space="preserve"> </w:t>
            </w:r>
            <w:r w:rsidR="00EE6EB7">
              <w:t>Section 4</w:t>
            </w:r>
            <w:r w:rsidRPr="00BE1004">
              <w:t>.</w:t>
            </w:r>
          </w:p>
        </w:tc>
      </w:tr>
      <w:tr w:rsidR="004429A2" w:rsidRPr="00CB0A50" w14:paraId="6E8792E6" w14:textId="77777777" w:rsidTr="00565D5A">
        <w:tc>
          <w:tcPr>
            <w:tcW w:w="1426" w:type="pct"/>
          </w:tcPr>
          <w:p w14:paraId="69E1C471" w14:textId="77777777" w:rsidR="004429A2" w:rsidRDefault="004429A2" w:rsidP="00CF3B7F">
            <w:r>
              <w:t>CAV</w:t>
            </w:r>
          </w:p>
        </w:tc>
        <w:tc>
          <w:tcPr>
            <w:tcW w:w="3574" w:type="pct"/>
          </w:tcPr>
          <w:p w14:paraId="153A0968" w14:textId="7BECEB6C" w:rsidR="004429A2" w:rsidRPr="00BA55B1" w:rsidRDefault="004429A2" w:rsidP="00CF3B7F">
            <w:r>
              <w:t xml:space="preserve">Consumer Affairs Victoria, a business unit of the Department of </w:t>
            </w:r>
            <w:r w:rsidR="00EB6805">
              <w:t>Government Services</w:t>
            </w:r>
            <w:r>
              <w:t>, Victorian State Government</w:t>
            </w:r>
          </w:p>
        </w:tc>
      </w:tr>
      <w:tr w:rsidR="003842C7" w:rsidRPr="00CB0A50" w14:paraId="71F15DE2" w14:textId="77777777" w:rsidTr="00565D5A">
        <w:tc>
          <w:tcPr>
            <w:tcW w:w="1426" w:type="pct"/>
          </w:tcPr>
          <w:p w14:paraId="717E70CC" w14:textId="66F667C8" w:rsidR="003842C7" w:rsidRDefault="003842C7" w:rsidP="003842C7">
            <w:r>
              <w:t>Confidential Information</w:t>
            </w:r>
          </w:p>
        </w:tc>
        <w:tc>
          <w:tcPr>
            <w:tcW w:w="3574" w:type="pct"/>
          </w:tcPr>
          <w:p w14:paraId="1ABA2385" w14:textId="15F8576C" w:rsidR="003842C7" w:rsidRPr="00BA55B1" w:rsidRDefault="003842C7" w:rsidP="003842C7">
            <w:r w:rsidRPr="00BA55B1">
              <w:t xml:space="preserve">Any information or data, </w:t>
            </w:r>
            <w:proofErr w:type="gramStart"/>
            <w:r w:rsidRPr="00BA55B1">
              <w:t>whether or not</w:t>
            </w:r>
            <w:proofErr w:type="gramEnd"/>
            <w:r w:rsidRPr="00BA55B1">
              <w:t xml:space="preserve"> in a material form, which is confidential to a party including confidential information acquired, collected or developed for the purpose of the </w:t>
            </w:r>
            <w:r>
              <w:t>EOI submission</w:t>
            </w:r>
            <w:r w:rsidRPr="00BA55B1">
              <w:t>, except that which is already in the public domain</w:t>
            </w:r>
          </w:p>
        </w:tc>
      </w:tr>
      <w:tr w:rsidR="00A21B98" w:rsidRPr="00CB0A50" w14:paraId="69F61644" w14:textId="77777777" w:rsidTr="00565D5A">
        <w:tc>
          <w:tcPr>
            <w:tcW w:w="1426" w:type="pct"/>
          </w:tcPr>
          <w:p w14:paraId="1B702976" w14:textId="6F210DFA" w:rsidR="00A21B98" w:rsidRDefault="008840AA" w:rsidP="00CF3B7F">
            <w:r>
              <w:t xml:space="preserve">Proposal </w:t>
            </w:r>
          </w:p>
        </w:tc>
        <w:tc>
          <w:tcPr>
            <w:tcW w:w="3574" w:type="pct"/>
          </w:tcPr>
          <w:p w14:paraId="38F3544E" w14:textId="24A96D5A" w:rsidR="00A21B98" w:rsidRPr="00BA55B1" w:rsidRDefault="00A21B98" w:rsidP="00CF3B7F">
            <w:r>
              <w:t xml:space="preserve">The Respondent’s proposed </w:t>
            </w:r>
            <w:r w:rsidR="000907EE">
              <w:t xml:space="preserve">response </w:t>
            </w:r>
            <w:r>
              <w:t xml:space="preserve">to </w:t>
            </w:r>
            <w:r w:rsidR="001B7AEC">
              <w:t>help renters through the</w:t>
            </w:r>
            <w:r>
              <w:t xml:space="preserve"> </w:t>
            </w:r>
            <w:r w:rsidR="00BA5D76">
              <w:t>deliver</w:t>
            </w:r>
            <w:r w:rsidR="001B7AEC">
              <w:t>y of services such as</w:t>
            </w:r>
            <w:r w:rsidR="00BA5D76">
              <w:t xml:space="preserve"> </w:t>
            </w:r>
            <w:r w:rsidR="005D7076" w:rsidRPr="006841E9">
              <w:t xml:space="preserve">legal assistance, financial information and advice, and advocacy </w:t>
            </w:r>
            <w:r w:rsidR="005D7076">
              <w:t>for Victorian renters</w:t>
            </w:r>
          </w:p>
        </w:tc>
      </w:tr>
      <w:tr w:rsidR="00422A98" w14:paraId="33507041" w14:textId="77777777" w:rsidTr="00565D5A">
        <w:tc>
          <w:tcPr>
            <w:tcW w:w="1426" w:type="pct"/>
          </w:tcPr>
          <w:p w14:paraId="525AFEDF" w14:textId="2FEF41AF" w:rsidR="00422A98" w:rsidRDefault="00422A98" w:rsidP="00CF3B7F">
            <w:r>
              <w:t>EAC</w:t>
            </w:r>
          </w:p>
        </w:tc>
        <w:tc>
          <w:tcPr>
            <w:tcW w:w="3574" w:type="pct"/>
          </w:tcPr>
          <w:p w14:paraId="07F09352" w14:textId="77BBA1CA" w:rsidR="00422A98" w:rsidRDefault="00422A98" w:rsidP="00CF3B7F">
            <w:r>
              <w:t xml:space="preserve">The Estate Agents Council, a ministerial advisory body established under Section </w:t>
            </w:r>
            <w:r w:rsidR="00ED1AFE">
              <w:t>6</w:t>
            </w:r>
            <w:r>
              <w:t xml:space="preserve"> of the </w:t>
            </w:r>
            <w:r w:rsidRPr="00DE56C3">
              <w:rPr>
                <w:i/>
              </w:rPr>
              <w:t>Estate Agents Act 1980</w:t>
            </w:r>
          </w:p>
        </w:tc>
      </w:tr>
      <w:tr w:rsidR="00CF1E8E" w14:paraId="22759B5B" w14:textId="77777777" w:rsidTr="00565D5A">
        <w:tc>
          <w:tcPr>
            <w:tcW w:w="1426" w:type="pct"/>
          </w:tcPr>
          <w:p w14:paraId="72B0FAE1" w14:textId="41A211E3" w:rsidR="00CF1E8E" w:rsidRDefault="00CF1E8E" w:rsidP="00CF1E8E">
            <w:pPr>
              <w:rPr>
                <w:rFonts w:cs="Arial"/>
              </w:rPr>
            </w:pPr>
            <w:r>
              <w:t>EOI</w:t>
            </w:r>
          </w:p>
        </w:tc>
        <w:tc>
          <w:tcPr>
            <w:tcW w:w="3574" w:type="pct"/>
          </w:tcPr>
          <w:p w14:paraId="0A957351" w14:textId="01950DB5" w:rsidR="00CF1E8E" w:rsidRDefault="00CF1E8E" w:rsidP="00CF1E8E">
            <w:r>
              <w:t xml:space="preserve">Expression of Interest </w:t>
            </w:r>
          </w:p>
        </w:tc>
      </w:tr>
      <w:tr w:rsidR="00C60EF9" w14:paraId="3BEE07E0" w14:textId="77777777" w:rsidTr="00565D5A">
        <w:tc>
          <w:tcPr>
            <w:tcW w:w="1426" w:type="pct"/>
          </w:tcPr>
          <w:p w14:paraId="0036594D" w14:textId="35B0F671" w:rsidR="00C60EF9" w:rsidRDefault="00C60EF9" w:rsidP="00CF3B7F">
            <w:pPr>
              <w:rPr>
                <w:rFonts w:cs="Arial"/>
              </w:rPr>
            </w:pPr>
            <w:r>
              <w:rPr>
                <w:rFonts w:cs="Arial"/>
              </w:rPr>
              <w:t>Funding Agreement</w:t>
            </w:r>
          </w:p>
        </w:tc>
        <w:tc>
          <w:tcPr>
            <w:tcW w:w="3574" w:type="pct"/>
          </w:tcPr>
          <w:p w14:paraId="400C88EF" w14:textId="5F60220B" w:rsidR="00C60EF9" w:rsidRDefault="00C60EF9" w:rsidP="00CF3B7F">
            <w:r>
              <w:t xml:space="preserve">The funding agreement for the </w:t>
            </w:r>
            <w:r w:rsidR="005D5ADF">
              <w:t>Proposal</w:t>
            </w:r>
            <w:r w:rsidR="00EB6805">
              <w:t xml:space="preserve"> </w:t>
            </w:r>
            <w:r>
              <w:t>made between the grant recipient and CAV</w:t>
            </w:r>
          </w:p>
        </w:tc>
      </w:tr>
      <w:tr w:rsidR="00A21B98" w14:paraId="41840DE0" w14:textId="77777777" w:rsidTr="00565D5A">
        <w:tc>
          <w:tcPr>
            <w:tcW w:w="1426" w:type="pct"/>
          </w:tcPr>
          <w:p w14:paraId="75EF4CF2" w14:textId="77777777" w:rsidR="00A21B98" w:rsidRDefault="00A21B98" w:rsidP="00CF3B7F">
            <w:pPr>
              <w:rPr>
                <w:rFonts w:cs="Arial"/>
              </w:rPr>
            </w:pPr>
            <w:r>
              <w:rPr>
                <w:rFonts w:cs="Arial"/>
              </w:rPr>
              <w:t>Government</w:t>
            </w:r>
          </w:p>
        </w:tc>
        <w:tc>
          <w:tcPr>
            <w:tcW w:w="3574" w:type="pct"/>
          </w:tcPr>
          <w:p w14:paraId="7867CF2E" w14:textId="77777777" w:rsidR="00A21B98" w:rsidRDefault="00A21B98" w:rsidP="00CF3B7F">
            <w:r>
              <w:t>Victorian State Government</w:t>
            </w:r>
          </w:p>
        </w:tc>
      </w:tr>
      <w:tr w:rsidR="007C5018" w14:paraId="32A2F1E5" w14:textId="77777777" w:rsidTr="00565D5A">
        <w:tc>
          <w:tcPr>
            <w:tcW w:w="1426" w:type="pct"/>
          </w:tcPr>
          <w:p w14:paraId="02150F17" w14:textId="77777777" w:rsidR="007C5018" w:rsidRDefault="007C5018" w:rsidP="00CF3B7F">
            <w:pPr>
              <w:rPr>
                <w:rFonts w:cs="Arial"/>
              </w:rPr>
            </w:pPr>
            <w:r>
              <w:rPr>
                <w:rFonts w:cs="Arial"/>
              </w:rPr>
              <w:t xml:space="preserve">Grant Application </w:t>
            </w:r>
          </w:p>
        </w:tc>
        <w:tc>
          <w:tcPr>
            <w:tcW w:w="3574" w:type="pct"/>
          </w:tcPr>
          <w:p w14:paraId="7CF0881E" w14:textId="260F408B" w:rsidR="007C5018" w:rsidRPr="00680424" w:rsidRDefault="007C5018" w:rsidP="00CF3B7F">
            <w:r>
              <w:t xml:space="preserve">A </w:t>
            </w:r>
            <w:r w:rsidR="009242A2">
              <w:t xml:space="preserve">formal </w:t>
            </w:r>
            <w:r w:rsidR="009F0FFA">
              <w:t xml:space="preserve">grant </w:t>
            </w:r>
            <w:r>
              <w:t xml:space="preserve">application to the Victorian Property Fund </w:t>
            </w:r>
            <w:r w:rsidR="00BA4609">
              <w:t>under S</w:t>
            </w:r>
            <w:r w:rsidR="009F0FFA">
              <w:t xml:space="preserve">ection </w:t>
            </w:r>
            <w:r w:rsidR="00BA4609">
              <w:t xml:space="preserve">76(3) of the </w:t>
            </w:r>
            <w:r w:rsidR="00BA4609" w:rsidRPr="00DE56C3">
              <w:rPr>
                <w:i/>
              </w:rPr>
              <w:t>Estate Agents Act 1980</w:t>
            </w:r>
          </w:p>
        </w:tc>
      </w:tr>
      <w:tr w:rsidR="0050162F" w14:paraId="2D837688" w14:textId="77777777" w:rsidTr="00565D5A">
        <w:tc>
          <w:tcPr>
            <w:tcW w:w="1426" w:type="pct"/>
          </w:tcPr>
          <w:p w14:paraId="7F6B299F" w14:textId="27670D55" w:rsidR="0050162F" w:rsidRDefault="0050162F" w:rsidP="00CF3B7F">
            <w:pPr>
              <w:rPr>
                <w:rFonts w:cs="Arial"/>
              </w:rPr>
            </w:pPr>
            <w:r>
              <w:rPr>
                <w:rFonts w:cs="Arial"/>
              </w:rPr>
              <w:t>Grant Recipient</w:t>
            </w:r>
          </w:p>
        </w:tc>
        <w:tc>
          <w:tcPr>
            <w:tcW w:w="3574" w:type="pct"/>
          </w:tcPr>
          <w:p w14:paraId="4D28B3B8" w14:textId="37774C1F" w:rsidR="0050162F" w:rsidRPr="00680424" w:rsidRDefault="0050162F" w:rsidP="00CF3B7F">
            <w:r>
              <w:t>A Proponent whose application for a grant is successful</w:t>
            </w:r>
          </w:p>
        </w:tc>
      </w:tr>
      <w:tr w:rsidR="00F71FDF" w14:paraId="04E8DB0D" w14:textId="77777777" w:rsidTr="00565D5A">
        <w:tc>
          <w:tcPr>
            <w:tcW w:w="1426" w:type="pct"/>
          </w:tcPr>
          <w:p w14:paraId="05E8303B" w14:textId="74283485" w:rsidR="00F71FDF" w:rsidRDefault="00F71FDF" w:rsidP="00CF3B7F">
            <w:pPr>
              <w:rPr>
                <w:rFonts w:cs="Arial"/>
              </w:rPr>
            </w:pPr>
            <w:r>
              <w:rPr>
                <w:rFonts w:cs="Arial"/>
              </w:rPr>
              <w:t>Minister</w:t>
            </w:r>
          </w:p>
        </w:tc>
        <w:tc>
          <w:tcPr>
            <w:tcW w:w="3574" w:type="pct"/>
          </w:tcPr>
          <w:p w14:paraId="378F0613" w14:textId="4573D85D" w:rsidR="00F71FDF" w:rsidRPr="00BA55B1" w:rsidRDefault="00F71FDF" w:rsidP="00CF3B7F">
            <w:r>
              <w:t>The Minister for Consumer Affairs</w:t>
            </w:r>
          </w:p>
        </w:tc>
      </w:tr>
      <w:tr w:rsidR="00A21B98" w14:paraId="7FCE72B2" w14:textId="77777777" w:rsidTr="00565D5A">
        <w:tc>
          <w:tcPr>
            <w:tcW w:w="1426" w:type="pct"/>
          </w:tcPr>
          <w:p w14:paraId="65774FB0" w14:textId="77777777" w:rsidR="00A21B98" w:rsidRDefault="00A21B98" w:rsidP="00CF3B7F">
            <w:pPr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3574" w:type="pct"/>
          </w:tcPr>
          <w:p w14:paraId="2D390701" w14:textId="6CC6D393" w:rsidR="00A21B98" w:rsidRPr="00BA55B1" w:rsidRDefault="00A21B98" w:rsidP="00CF3B7F">
            <w:r w:rsidRPr="009242A2">
              <w:t xml:space="preserve">The </w:t>
            </w:r>
            <w:r w:rsidR="00EB6805">
              <w:t>Rental Stress Support Package 2023-24</w:t>
            </w:r>
          </w:p>
        </w:tc>
      </w:tr>
      <w:tr w:rsidR="003B4606" w14:paraId="0649115C" w14:textId="77777777" w:rsidTr="00565D5A">
        <w:tc>
          <w:tcPr>
            <w:tcW w:w="1426" w:type="pct"/>
          </w:tcPr>
          <w:p w14:paraId="69BFDF05" w14:textId="2146E6D3" w:rsidR="003B4606" w:rsidRDefault="003B4606" w:rsidP="003B4606">
            <w:pPr>
              <w:rPr>
                <w:rFonts w:cs="Arial"/>
              </w:rPr>
            </w:pPr>
            <w:r>
              <w:t>Proponent</w:t>
            </w:r>
          </w:p>
        </w:tc>
        <w:tc>
          <w:tcPr>
            <w:tcW w:w="3574" w:type="pct"/>
          </w:tcPr>
          <w:p w14:paraId="00DBAB58" w14:textId="3811E958" w:rsidR="003B4606" w:rsidRPr="009242A2" w:rsidRDefault="003B4606" w:rsidP="003B4606">
            <w:r w:rsidRPr="00650519">
              <w:t>A Respondent with a shortlisted proposal who is invited to participate in the Grant Application stage</w:t>
            </w:r>
          </w:p>
        </w:tc>
      </w:tr>
      <w:tr w:rsidR="003B4606" w14:paraId="7C126301" w14:textId="77777777" w:rsidTr="00565D5A">
        <w:tc>
          <w:tcPr>
            <w:tcW w:w="1426" w:type="pct"/>
          </w:tcPr>
          <w:p w14:paraId="007892AC" w14:textId="2231B3C1" w:rsidR="003B4606" w:rsidRDefault="003B4606" w:rsidP="003B4606">
            <w:pPr>
              <w:rPr>
                <w:rFonts w:cs="Arial"/>
              </w:rPr>
            </w:pPr>
            <w:r>
              <w:t>Respondent</w:t>
            </w:r>
          </w:p>
        </w:tc>
        <w:tc>
          <w:tcPr>
            <w:tcW w:w="3574" w:type="pct"/>
          </w:tcPr>
          <w:p w14:paraId="2C9F732D" w14:textId="67C9C455" w:rsidR="003B4606" w:rsidRPr="009242A2" w:rsidRDefault="003B4606" w:rsidP="003B4606">
            <w:r w:rsidRPr="00650519">
              <w:t xml:space="preserve">An eligible </w:t>
            </w:r>
            <w:r w:rsidRPr="00E4252A">
              <w:t>not-for-profit o</w:t>
            </w:r>
            <w:r w:rsidRPr="00650519">
              <w:t>rganisation participating in this EOI process</w:t>
            </w:r>
          </w:p>
        </w:tc>
      </w:tr>
      <w:tr w:rsidR="003B4606" w14:paraId="6BA82BD7" w14:textId="77777777" w:rsidTr="00565D5A">
        <w:tc>
          <w:tcPr>
            <w:tcW w:w="1426" w:type="pct"/>
          </w:tcPr>
          <w:p w14:paraId="107C1CA2" w14:textId="427DED2F" w:rsidR="003B4606" w:rsidRDefault="003B4606" w:rsidP="003B4606">
            <w:pPr>
              <w:rPr>
                <w:rFonts w:cs="Arial"/>
              </w:rPr>
            </w:pPr>
            <w:r>
              <w:t>Returnable Schedules</w:t>
            </w:r>
          </w:p>
        </w:tc>
        <w:tc>
          <w:tcPr>
            <w:tcW w:w="3574" w:type="pct"/>
          </w:tcPr>
          <w:p w14:paraId="04632C53" w14:textId="22AF97FA" w:rsidR="003B4606" w:rsidRPr="009242A2" w:rsidRDefault="003B4606" w:rsidP="003B4606">
            <w:r w:rsidRPr="00650519">
              <w:t xml:space="preserve">Schedules 1 to </w:t>
            </w:r>
            <w:r w:rsidRPr="00E4252A">
              <w:t>6</w:t>
            </w:r>
            <w:r w:rsidRPr="00650519">
              <w:t xml:space="preserve"> to be completed and returned as part of the Respondent’s response to the EOI</w:t>
            </w:r>
          </w:p>
        </w:tc>
      </w:tr>
      <w:tr w:rsidR="003B4606" w14:paraId="15E6CE21" w14:textId="77777777" w:rsidTr="00565D5A">
        <w:tc>
          <w:tcPr>
            <w:tcW w:w="1426" w:type="pct"/>
          </w:tcPr>
          <w:p w14:paraId="12F13E01" w14:textId="6710D50C" w:rsidR="003B4606" w:rsidRDefault="003B4606" w:rsidP="003B4606">
            <w:pPr>
              <w:rPr>
                <w:rFonts w:cs="Arial"/>
              </w:rPr>
            </w:pPr>
            <w:r>
              <w:t>VCFA</w:t>
            </w:r>
          </w:p>
        </w:tc>
        <w:tc>
          <w:tcPr>
            <w:tcW w:w="3574" w:type="pct"/>
          </w:tcPr>
          <w:p w14:paraId="4BE47199" w14:textId="0BCA0E8B" w:rsidR="003B4606" w:rsidRPr="009242A2" w:rsidRDefault="003B4606" w:rsidP="003B4606">
            <w:r>
              <w:t>Victorian Common Funding Agreement</w:t>
            </w:r>
          </w:p>
        </w:tc>
      </w:tr>
      <w:tr w:rsidR="003B4606" w14:paraId="0E7DE6A9" w14:textId="77777777" w:rsidTr="00565D5A">
        <w:tc>
          <w:tcPr>
            <w:tcW w:w="1426" w:type="pct"/>
          </w:tcPr>
          <w:p w14:paraId="3C02A43A" w14:textId="619CB486" w:rsidR="003B4606" w:rsidRDefault="003B4606" w:rsidP="003B4606">
            <w:pPr>
              <w:rPr>
                <w:rFonts w:cs="Arial"/>
              </w:rPr>
            </w:pPr>
            <w:r>
              <w:t>VPF</w:t>
            </w:r>
          </w:p>
        </w:tc>
        <w:tc>
          <w:tcPr>
            <w:tcW w:w="3574" w:type="pct"/>
          </w:tcPr>
          <w:p w14:paraId="4C6309DB" w14:textId="53C66433" w:rsidR="003B4606" w:rsidRPr="009242A2" w:rsidRDefault="003B4606" w:rsidP="003B4606">
            <w:r>
              <w:t xml:space="preserve">Victorian Property Fund </w:t>
            </w:r>
          </w:p>
        </w:tc>
      </w:tr>
    </w:tbl>
    <w:p w14:paraId="46A7FC64" w14:textId="53F658C5" w:rsidR="00812BAE" w:rsidRPr="006B29C1" w:rsidRDefault="00812BAE" w:rsidP="006B29C1">
      <w:pPr>
        <w:pStyle w:val="Heading1"/>
      </w:pPr>
      <w:bookmarkStart w:id="2" w:name="_Toc151041931"/>
      <w:r w:rsidRPr="006B29C1">
        <w:t>Introduction</w:t>
      </w:r>
      <w:bookmarkEnd w:id="2"/>
    </w:p>
    <w:p w14:paraId="358A5C8C" w14:textId="1A69EFEF" w:rsidR="00812BAE" w:rsidRPr="006B29C1" w:rsidRDefault="00B72AE5" w:rsidP="006B29C1">
      <w:pPr>
        <w:pStyle w:val="Heading2"/>
      </w:pPr>
      <w:bookmarkStart w:id="3" w:name="_Toc151041932"/>
      <w:r w:rsidRPr="006B29C1">
        <w:t>Expressions of Interest</w:t>
      </w:r>
      <w:bookmarkEnd w:id="3"/>
    </w:p>
    <w:p w14:paraId="180D46FF" w14:textId="08A9BF06" w:rsidR="00812BAE" w:rsidRDefault="00341644" w:rsidP="00812BAE">
      <w:r>
        <w:t>Consumer Affairs Victoria (CAV)</w:t>
      </w:r>
      <w:r w:rsidR="00A21B98">
        <w:t xml:space="preserve"> invites </w:t>
      </w:r>
      <w:r w:rsidR="00812BAE">
        <w:t xml:space="preserve">Expressions of Interest </w:t>
      </w:r>
      <w:r w:rsidR="00E831C2">
        <w:t xml:space="preserve">(EOI) </w:t>
      </w:r>
      <w:r w:rsidR="00812BAE">
        <w:t xml:space="preserve">from </w:t>
      </w:r>
      <w:r w:rsidR="00655621">
        <w:t>not-for-profit (NFP</w:t>
      </w:r>
      <w:r w:rsidR="00FB5C10">
        <w:t>)</w:t>
      </w:r>
      <w:r w:rsidR="00655621">
        <w:t xml:space="preserve"> organisations</w:t>
      </w:r>
      <w:r w:rsidR="00FB5C10">
        <w:t xml:space="preserve"> </w:t>
      </w:r>
      <w:r w:rsidR="0051609C">
        <w:t xml:space="preserve">for funding </w:t>
      </w:r>
      <w:r w:rsidR="00AB1096">
        <w:t xml:space="preserve">for legal assistance, financial </w:t>
      </w:r>
      <w:proofErr w:type="gramStart"/>
      <w:r w:rsidR="00AB1096">
        <w:t>information</w:t>
      </w:r>
      <w:proofErr w:type="gramEnd"/>
      <w:r w:rsidR="00AB1096">
        <w:t xml:space="preserve"> and advice, and </w:t>
      </w:r>
      <w:r w:rsidR="002A2A07">
        <w:t>/ or</w:t>
      </w:r>
      <w:r w:rsidR="00AB1096">
        <w:t xml:space="preserve"> advocacy services to support renters</w:t>
      </w:r>
      <w:r w:rsidR="0051609C">
        <w:t>.</w:t>
      </w:r>
    </w:p>
    <w:p w14:paraId="74A83F3B" w14:textId="15BD17B2" w:rsidR="00812BAE" w:rsidRDefault="00812BAE" w:rsidP="00812BAE">
      <w:r>
        <w:t>This</w:t>
      </w:r>
      <w:r w:rsidR="00E831C2">
        <w:t xml:space="preserve"> EOI</w:t>
      </w:r>
      <w:r w:rsidR="00565D5A">
        <w:t xml:space="preserve"> </w:t>
      </w:r>
      <w:r w:rsidR="00A17EDD">
        <w:t xml:space="preserve">comprises this </w:t>
      </w:r>
      <w:r>
        <w:t>document</w:t>
      </w:r>
      <w:r w:rsidR="00A17EDD">
        <w:t xml:space="preserve">, the Conditions for Participation, and </w:t>
      </w:r>
      <w:r w:rsidR="00796957">
        <w:t>the Response and Certification form</w:t>
      </w:r>
      <w:r w:rsidR="00A17EDD">
        <w:t>. All these documents provide</w:t>
      </w:r>
      <w:r>
        <w:t xml:space="preserve"> guidance to Respondents and should be read in full before deciding whether to respond</w:t>
      </w:r>
      <w:r w:rsidR="00565D5A">
        <w:t>.</w:t>
      </w:r>
      <w:r w:rsidR="00A17EDD">
        <w:t xml:space="preserve"> </w:t>
      </w:r>
    </w:p>
    <w:p w14:paraId="58952BC3" w14:textId="1242C2C9" w:rsidR="004C5CEA" w:rsidRDefault="004C5CEA" w:rsidP="004C5CEA">
      <w:pPr>
        <w:spacing w:before="0"/>
      </w:pPr>
      <w:r>
        <w:t xml:space="preserve">Following the </w:t>
      </w:r>
      <w:r w:rsidR="00A53DF2">
        <w:t>Expression of Interest (EOI)</w:t>
      </w:r>
      <w:r>
        <w:t xml:space="preserve"> process, CAV </w:t>
      </w:r>
      <w:r w:rsidR="00A17EDD">
        <w:t>intends to</w:t>
      </w:r>
      <w:r>
        <w:t xml:space="preserve"> shortlist </w:t>
      </w:r>
      <w:r w:rsidR="00A53DF2">
        <w:t>proposals</w:t>
      </w:r>
      <w:r>
        <w:t xml:space="preserve"> and</w:t>
      </w:r>
      <w:r w:rsidR="00360209">
        <w:t xml:space="preserve"> may</w:t>
      </w:r>
      <w:r>
        <w:t xml:space="preserve"> invite formal grant applications to the Victorian Property Fund (VPF).</w:t>
      </w:r>
    </w:p>
    <w:p w14:paraId="7CD4D0D4" w14:textId="16DA0190" w:rsidR="00812BAE" w:rsidRPr="006B29C1" w:rsidRDefault="00812BAE" w:rsidP="006B29C1">
      <w:pPr>
        <w:pStyle w:val="Heading2"/>
      </w:pPr>
      <w:bookmarkStart w:id="4" w:name="_Toc151041933"/>
      <w:r w:rsidRPr="006B29C1">
        <w:t>Background</w:t>
      </w:r>
      <w:bookmarkEnd w:id="4"/>
    </w:p>
    <w:p w14:paraId="272D5664" w14:textId="2F688997" w:rsidR="00B653A5" w:rsidRDefault="001A13DD" w:rsidP="00855A86">
      <w:pPr>
        <w:spacing w:before="0"/>
      </w:pPr>
      <w:r w:rsidRPr="00650519">
        <w:t xml:space="preserve">Under </w:t>
      </w:r>
      <w:r w:rsidR="00855A86" w:rsidRPr="00650519">
        <w:t>Section 76(3)(</w:t>
      </w:r>
      <w:r w:rsidR="009B126E" w:rsidRPr="00DE12FD">
        <w:t>a</w:t>
      </w:r>
      <w:r w:rsidR="00855A86" w:rsidRPr="00650519">
        <w:t>)</w:t>
      </w:r>
      <w:r w:rsidR="00650519" w:rsidRPr="00DE12FD">
        <w:t>(i)</w:t>
      </w:r>
      <w:r w:rsidR="00855A86" w:rsidRPr="00650519">
        <w:t xml:space="preserve"> of the </w:t>
      </w:r>
      <w:r w:rsidR="00855A86" w:rsidRPr="00650519">
        <w:rPr>
          <w:i/>
        </w:rPr>
        <w:t>Estate Agents Act 1980</w:t>
      </w:r>
      <w:r w:rsidR="00855A86" w:rsidRPr="00650519">
        <w:t xml:space="preserve"> (the Act) the Minister for Consumer Affairs (the Minister) </w:t>
      </w:r>
      <w:r w:rsidRPr="00650519">
        <w:t>may approve</w:t>
      </w:r>
      <w:r w:rsidR="00855A86" w:rsidRPr="00650519">
        <w:t xml:space="preserve"> grants from the VPF for “</w:t>
      </w:r>
      <w:r w:rsidR="002005C4" w:rsidRPr="00DE12FD">
        <w:t>community advice or information services</w:t>
      </w:r>
      <w:r w:rsidRPr="00650519">
        <w:t>”.</w:t>
      </w:r>
      <w:r w:rsidR="00C42EED" w:rsidRPr="00650519">
        <w:t xml:space="preserve"> </w:t>
      </w:r>
      <w:r w:rsidR="00B653A5" w:rsidRPr="00650519">
        <w:t>Under Section 76(3)(</w:t>
      </w:r>
      <w:r w:rsidR="00B85BD3" w:rsidRPr="00DE12FD">
        <w:t>d</w:t>
      </w:r>
      <w:r w:rsidR="00A9045A" w:rsidRPr="00DE12FD">
        <w:t>)(i)</w:t>
      </w:r>
      <w:r w:rsidR="00B653A5" w:rsidRPr="00650519">
        <w:t xml:space="preserve"> of the Act, the Minister may also award VPF grant funding for “projects </w:t>
      </w:r>
      <w:r w:rsidR="007B06D8" w:rsidRPr="00DE12FD">
        <w:t>for dispute resolution or advocacy services</w:t>
      </w:r>
      <w:r w:rsidR="00B653A5" w:rsidRPr="00650519">
        <w:t>.”</w:t>
      </w:r>
    </w:p>
    <w:p w14:paraId="0D7260AB" w14:textId="38F98499" w:rsidR="00C42EED" w:rsidRDefault="00C42EED" w:rsidP="00855A86">
      <w:pPr>
        <w:spacing w:before="0"/>
      </w:pPr>
      <w:r>
        <w:t>The Minister makes her</w:t>
      </w:r>
      <w:r w:rsidR="00FB5C10">
        <w:t xml:space="preserve"> or his</w:t>
      </w:r>
      <w:r>
        <w:t xml:space="preserve"> decision</w:t>
      </w:r>
      <w:r w:rsidR="007031D0">
        <w:t xml:space="preserve"> on grant applications</w:t>
      </w:r>
      <w:r>
        <w:t xml:space="preserve"> after consulting with CAV, the Estate Agents Council (EAC</w:t>
      </w:r>
      <w:r w:rsidRPr="00D5389E">
        <w:t>)</w:t>
      </w:r>
      <w:r>
        <w:t>,</w:t>
      </w:r>
      <w:r w:rsidRPr="00D5389E">
        <w:t xml:space="preserve"> and any industry </w:t>
      </w:r>
      <w:r w:rsidRPr="00590B5E">
        <w:t>associations, government departments and other bodies</w:t>
      </w:r>
      <w:r w:rsidRPr="00D5389E">
        <w:t xml:space="preserve"> considered appropriate</w:t>
      </w:r>
      <w:r>
        <w:t>.</w:t>
      </w:r>
    </w:p>
    <w:p w14:paraId="2D54CB4A" w14:textId="0DE43C34" w:rsidR="00855A86" w:rsidRDefault="00855A86" w:rsidP="00855A86">
      <w:pPr>
        <w:spacing w:before="0"/>
      </w:pPr>
      <w:r>
        <w:t xml:space="preserve">CAV is responsible for administering the VPF grants program, which includes evaluating </w:t>
      </w:r>
      <w:r w:rsidR="001A13DD">
        <w:t xml:space="preserve">grant </w:t>
      </w:r>
      <w:r>
        <w:t xml:space="preserve">applications, making recommendations regarding proposals to the Minister, and administering the grants awarded. </w:t>
      </w:r>
    </w:p>
    <w:p w14:paraId="6C801C55" w14:textId="5CD9AE13" w:rsidR="00855A86" w:rsidRDefault="00855A86" w:rsidP="001B504E">
      <w:pPr>
        <w:spacing w:before="0"/>
      </w:pPr>
      <w:r>
        <w:t xml:space="preserve">For </w:t>
      </w:r>
      <w:r w:rsidR="00D71FE1">
        <w:t>general</w:t>
      </w:r>
      <w:r>
        <w:t xml:space="preserve"> information on the VPF grants program, see the Consumer Affairs Victoria website </w:t>
      </w:r>
      <w:hyperlink r:id="rId12" w:history="1">
        <w:r w:rsidRPr="00165A8B">
          <w:rPr>
            <w:rStyle w:val="Hyperlink"/>
          </w:rPr>
          <w:t>www.consumer.vic.gov.au/grants</w:t>
        </w:r>
      </w:hyperlink>
    </w:p>
    <w:p w14:paraId="0B5C42F0" w14:textId="32E0934F" w:rsidR="00812BAE" w:rsidRPr="006B29C1" w:rsidRDefault="00812BAE" w:rsidP="006B29C1">
      <w:pPr>
        <w:pStyle w:val="Heading3"/>
      </w:pPr>
      <w:r w:rsidRPr="006B29C1">
        <w:t>Purpose</w:t>
      </w:r>
      <w:r w:rsidR="00855A86" w:rsidRPr="006B29C1">
        <w:t xml:space="preserve"> of Program</w:t>
      </w:r>
    </w:p>
    <w:p w14:paraId="6D80B6A5" w14:textId="75995EC3" w:rsidR="008F046B" w:rsidRDefault="00680424" w:rsidP="00680424">
      <w:r w:rsidRPr="00650519">
        <w:t xml:space="preserve">The </w:t>
      </w:r>
      <w:r w:rsidR="00B92555" w:rsidRPr="00DE12FD">
        <w:t>Rental Stress Support Package 2023-24</w:t>
      </w:r>
      <w:r w:rsidR="00285012" w:rsidRPr="00650519">
        <w:t xml:space="preserve"> (the Program</w:t>
      </w:r>
      <w:r w:rsidR="00285012">
        <w:t xml:space="preserve">) </w:t>
      </w:r>
      <w:r w:rsidR="00D57172">
        <w:t>will</w:t>
      </w:r>
      <w:r w:rsidR="00285012">
        <w:t xml:space="preserve"> fund </w:t>
      </w:r>
      <w:r w:rsidR="004605D2" w:rsidRPr="004605D2">
        <w:t xml:space="preserve">legal assistance, financial information and advice, and advocacy services </w:t>
      </w:r>
      <w:r w:rsidR="004605D2">
        <w:t xml:space="preserve">delivered by </w:t>
      </w:r>
      <w:r w:rsidR="005F6BD8">
        <w:t>NFP organisations</w:t>
      </w:r>
      <w:r w:rsidR="00285012">
        <w:t>.</w:t>
      </w:r>
      <w:r w:rsidR="00AD09FF">
        <w:t xml:space="preserve"> </w:t>
      </w:r>
    </w:p>
    <w:p w14:paraId="7DEBC063" w14:textId="241235C2" w:rsidR="002B573C" w:rsidRDefault="008F046B" w:rsidP="00680424">
      <w:r>
        <w:t xml:space="preserve">The Program </w:t>
      </w:r>
      <w:r w:rsidR="00D57172">
        <w:t xml:space="preserve">aims to </w:t>
      </w:r>
      <w:r w:rsidR="002B573C">
        <w:t xml:space="preserve">support </w:t>
      </w:r>
      <w:r w:rsidR="005F6BD8">
        <w:t>NFPs</w:t>
      </w:r>
      <w:r w:rsidR="003A537F">
        <w:t xml:space="preserve"> to provide support to renters through </w:t>
      </w:r>
      <w:r w:rsidR="00C87629">
        <w:t xml:space="preserve">a </w:t>
      </w:r>
      <w:r w:rsidR="002B573C">
        <w:t>VPF grant</w:t>
      </w:r>
      <w:r w:rsidR="00C87629">
        <w:t xml:space="preserve"> awarded </w:t>
      </w:r>
      <w:r w:rsidR="002B573C">
        <w:t xml:space="preserve">by the Minister. </w:t>
      </w:r>
    </w:p>
    <w:p w14:paraId="6780627A" w14:textId="72885514" w:rsidR="00697C51" w:rsidRDefault="00812BAE" w:rsidP="00812BAE">
      <w:r>
        <w:t>Th</w:t>
      </w:r>
      <w:r w:rsidR="00C87629">
        <w:t>is</w:t>
      </w:r>
      <w:r>
        <w:t xml:space="preserve"> E</w:t>
      </w:r>
      <w:r w:rsidR="007F196E">
        <w:t>O</w:t>
      </w:r>
      <w:r>
        <w:t xml:space="preserve">I is an opportunity for </w:t>
      </w:r>
      <w:r w:rsidR="00C87629">
        <w:t>eligible applicants</w:t>
      </w:r>
      <w:r w:rsidR="00F513C7">
        <w:t xml:space="preserve"> (Respondents)</w:t>
      </w:r>
      <w:r>
        <w:t xml:space="preserve"> to submit responses outlining their credentials</w:t>
      </w:r>
      <w:r w:rsidR="00587C28">
        <w:t xml:space="preserve"> and </w:t>
      </w:r>
      <w:r w:rsidR="00885759">
        <w:t>proposal</w:t>
      </w:r>
      <w:r w:rsidR="006A789A">
        <w:t xml:space="preserve"> (Responses)</w:t>
      </w:r>
      <w:r w:rsidR="00883196">
        <w:t xml:space="preserve">. </w:t>
      </w:r>
      <w:r w:rsidR="00D50D14">
        <w:t>At CAV’s sole discretion, s</w:t>
      </w:r>
      <w:r w:rsidR="00883196">
        <w:t xml:space="preserve">hortlisted Respondents (Proponents) </w:t>
      </w:r>
      <w:r w:rsidR="00D50D14">
        <w:t>may</w:t>
      </w:r>
      <w:r w:rsidR="00883196">
        <w:t xml:space="preserve"> be invited to </w:t>
      </w:r>
      <w:r w:rsidR="00885759">
        <w:t>formal</w:t>
      </w:r>
      <w:r w:rsidR="00C87629">
        <w:t xml:space="preserve">ly </w:t>
      </w:r>
      <w:r w:rsidR="00F07DE8">
        <w:t>lodge</w:t>
      </w:r>
      <w:r w:rsidR="00C87629">
        <w:t xml:space="preserve"> a</w:t>
      </w:r>
      <w:r w:rsidR="00885759">
        <w:t xml:space="preserve"> VPF </w:t>
      </w:r>
      <w:r w:rsidR="00587C28">
        <w:t>Grant Application</w:t>
      </w:r>
      <w:r w:rsidR="00F07DE8">
        <w:t xml:space="preserve"> for consideration by the Minister</w:t>
      </w:r>
      <w:r w:rsidR="00ED1AFE">
        <w:t>.</w:t>
      </w:r>
    </w:p>
    <w:p w14:paraId="743B24A2" w14:textId="68DFA68F" w:rsidR="00D71FE1" w:rsidRDefault="00527BF8" w:rsidP="00812BAE">
      <w:r>
        <w:t xml:space="preserve">To be </w:t>
      </w:r>
      <w:r w:rsidR="00C87629">
        <w:t>successfully shortlisted</w:t>
      </w:r>
      <w:r>
        <w:t>,</w:t>
      </w:r>
      <w:r w:rsidR="00883196">
        <w:t xml:space="preserve"> </w:t>
      </w:r>
      <w:r w:rsidR="001E5D93">
        <w:t>Respondents</w:t>
      </w:r>
      <w:r w:rsidR="00812BAE">
        <w:t xml:space="preserve"> will </w:t>
      </w:r>
      <w:r>
        <w:t>need</w:t>
      </w:r>
      <w:r w:rsidR="00812BAE">
        <w:t xml:space="preserve"> to </w:t>
      </w:r>
      <w:r w:rsidR="00D50D14">
        <w:t xml:space="preserve">offer a </w:t>
      </w:r>
      <w:r w:rsidR="004E7E71">
        <w:t xml:space="preserve">compliant, </w:t>
      </w:r>
      <w:r w:rsidR="00D50D14">
        <w:t xml:space="preserve">competitive, value-for-money proposal </w:t>
      </w:r>
      <w:r w:rsidR="00AD09FF">
        <w:t>and</w:t>
      </w:r>
      <w:r w:rsidR="00D50D14">
        <w:t xml:space="preserve"> </w:t>
      </w:r>
      <w:r w:rsidR="005A5756">
        <w:t>demonstrate</w:t>
      </w:r>
      <w:r w:rsidR="00812BAE">
        <w:t xml:space="preserve"> their </w:t>
      </w:r>
      <w:r w:rsidR="006A789A">
        <w:t xml:space="preserve">experience and </w:t>
      </w:r>
      <w:r w:rsidR="00812BAE">
        <w:t xml:space="preserve">capacity to deliver </w:t>
      </w:r>
      <w:r w:rsidR="00D875C2">
        <w:t>services</w:t>
      </w:r>
      <w:r w:rsidR="00AD09FF">
        <w:t xml:space="preserve"> within the required timeframe (</w:t>
      </w:r>
      <w:proofErr w:type="gramStart"/>
      <w:r w:rsidR="00AD09FF">
        <w:t>i.e.</w:t>
      </w:r>
      <w:proofErr w:type="gramEnd"/>
      <w:r w:rsidR="00AD09FF">
        <w:t xml:space="preserve"> </w:t>
      </w:r>
      <w:r w:rsidR="00D875C2">
        <w:t xml:space="preserve">commencing in </w:t>
      </w:r>
      <w:r w:rsidR="00BF0BD7">
        <w:t>the 2024 calendar year</w:t>
      </w:r>
      <w:r w:rsidR="00AD09FF">
        <w:t>)</w:t>
      </w:r>
      <w:r w:rsidR="00812BAE">
        <w:t xml:space="preserve">. </w:t>
      </w:r>
    </w:p>
    <w:p w14:paraId="20AB023B" w14:textId="609486E9" w:rsidR="00812BAE" w:rsidRPr="004E4218" w:rsidRDefault="0049790A" w:rsidP="00A860F6">
      <w:pPr>
        <w:spacing w:before="0" w:after="200"/>
        <w:rPr>
          <w:highlight w:val="yellow"/>
        </w:rPr>
      </w:pPr>
      <w:r>
        <w:t>Respondents</w:t>
      </w:r>
      <w:r w:rsidR="005A5756">
        <w:t xml:space="preserve"> will need to establish</w:t>
      </w:r>
      <w:r w:rsidR="00812BAE" w:rsidRPr="00AF480C">
        <w:t>:</w:t>
      </w:r>
    </w:p>
    <w:p w14:paraId="7BADAE44" w14:textId="2AAFEC41" w:rsidR="004D204A" w:rsidRDefault="004D204A" w:rsidP="000234B7">
      <w:pPr>
        <w:pStyle w:val="ListBullet"/>
      </w:pPr>
      <w:r>
        <w:t>Status as a</w:t>
      </w:r>
      <w:r w:rsidR="0049790A">
        <w:t>n</w:t>
      </w:r>
      <w:r>
        <w:t xml:space="preserve"> NFP</w:t>
      </w:r>
    </w:p>
    <w:p w14:paraId="56932F4E" w14:textId="77C27FCC" w:rsidR="000234B7" w:rsidRPr="008B165E" w:rsidRDefault="000234B7" w:rsidP="000234B7">
      <w:pPr>
        <w:pStyle w:val="ListBullet"/>
      </w:pPr>
      <w:r w:rsidRPr="008B165E">
        <w:t xml:space="preserve">Financial stability and capacity. </w:t>
      </w:r>
    </w:p>
    <w:p w14:paraId="678AA365" w14:textId="689F4975" w:rsidR="000234B7" w:rsidRPr="008B165E" w:rsidRDefault="000234B7" w:rsidP="000234B7">
      <w:pPr>
        <w:pStyle w:val="ListBullet"/>
      </w:pPr>
      <w:r w:rsidRPr="008B165E">
        <w:t xml:space="preserve">Significant experience in </w:t>
      </w:r>
      <w:r w:rsidR="00BF0BD7">
        <w:t xml:space="preserve">delivering </w:t>
      </w:r>
      <w:r w:rsidR="00CE57E3">
        <w:t xml:space="preserve">services of a similar type to the </w:t>
      </w:r>
      <w:r w:rsidR="005F6C59">
        <w:t>Program</w:t>
      </w:r>
      <w:r w:rsidR="008F5CC7">
        <w:t xml:space="preserve"> (agencies are not required to demonstrate significant experience in each of the services).</w:t>
      </w:r>
    </w:p>
    <w:p w14:paraId="37DD455E" w14:textId="489F5468" w:rsidR="00812BAE" w:rsidRPr="002F6646" w:rsidRDefault="003F0003" w:rsidP="006B29C1">
      <w:pPr>
        <w:pStyle w:val="Heading3"/>
      </w:pPr>
      <w:r w:rsidRPr="002F6646">
        <w:t>Program</w:t>
      </w:r>
      <w:r w:rsidR="00DB67C9" w:rsidRPr="002F6646">
        <w:t xml:space="preserve"> o</w:t>
      </w:r>
      <w:r w:rsidR="00812BAE" w:rsidRPr="002F6646">
        <w:t>bjectives</w:t>
      </w:r>
    </w:p>
    <w:p w14:paraId="3EBAF36D" w14:textId="0C6AE6CB" w:rsidR="001E5D93" w:rsidRDefault="000142D2" w:rsidP="00812BAE">
      <w:r>
        <w:t xml:space="preserve">The Government </w:t>
      </w:r>
      <w:r w:rsidR="00812BAE" w:rsidRPr="00636786">
        <w:t>recognises</w:t>
      </w:r>
      <w:r w:rsidR="005B7920">
        <w:t xml:space="preserve"> </w:t>
      </w:r>
      <w:r w:rsidR="006469E4">
        <w:t>the importance of</w:t>
      </w:r>
      <w:r w:rsidR="00CE3BB2">
        <w:t xml:space="preserve"> the importance of legal assistance, fina</w:t>
      </w:r>
      <w:r w:rsidR="005D0D53">
        <w:t>ncial information and advice, and advocacy in providing support to renters</w:t>
      </w:r>
      <w:r w:rsidR="00926E08">
        <w:t xml:space="preserve"> and is </w:t>
      </w:r>
      <w:r>
        <w:t xml:space="preserve">committed to </w:t>
      </w:r>
      <w:r w:rsidR="00926E08">
        <w:t>increasing access to these services</w:t>
      </w:r>
      <w:r w:rsidR="0061591F">
        <w:t xml:space="preserve">.  </w:t>
      </w:r>
    </w:p>
    <w:p w14:paraId="251972FE" w14:textId="003E4C41" w:rsidR="00985EB5" w:rsidRDefault="00C67F99" w:rsidP="00812BAE">
      <w:r>
        <w:t>The k</w:t>
      </w:r>
      <w:r w:rsidR="00985EB5">
        <w:t xml:space="preserve">ey </w:t>
      </w:r>
      <w:r>
        <w:t>p</w:t>
      </w:r>
      <w:r w:rsidR="00642795">
        <w:t xml:space="preserve">rogram </w:t>
      </w:r>
      <w:r w:rsidR="00985EB5">
        <w:t>objective</w:t>
      </w:r>
      <w:r>
        <w:t xml:space="preserve"> is to increase the availability of </w:t>
      </w:r>
      <w:r w:rsidR="00240442" w:rsidRPr="00240442">
        <w:t>legal assistance, financial information and advice, and advocacy services</w:t>
      </w:r>
      <w:r w:rsidR="00240442">
        <w:t xml:space="preserve"> for renters experiencing rental stress.</w:t>
      </w:r>
    </w:p>
    <w:p w14:paraId="76CF9697" w14:textId="77777777" w:rsidR="00552348" w:rsidRDefault="00552348" w:rsidP="00DE56C3">
      <w:pPr>
        <w:pStyle w:val="ListBullet"/>
        <w:numPr>
          <w:ilvl w:val="0"/>
          <w:numId w:val="0"/>
        </w:numPr>
      </w:pPr>
    </w:p>
    <w:p w14:paraId="2A85A22A" w14:textId="493227B3" w:rsidR="002749FF" w:rsidRDefault="00552348" w:rsidP="00DE56C3">
      <w:pPr>
        <w:pStyle w:val="ListBullet"/>
        <w:numPr>
          <w:ilvl w:val="0"/>
          <w:numId w:val="0"/>
        </w:numPr>
      </w:pPr>
      <w:r>
        <w:t xml:space="preserve">These objectives support government priorities outlined in </w:t>
      </w:r>
      <w:r w:rsidR="00240442">
        <w:t xml:space="preserve">the </w:t>
      </w:r>
      <w:r w:rsidR="009F2081">
        <w:t xml:space="preserve">Victorian Government’s </w:t>
      </w:r>
      <w:r w:rsidR="00240442" w:rsidRPr="00DE12FD">
        <w:rPr>
          <w:i/>
          <w:iCs/>
        </w:rPr>
        <w:t>Housing Statement</w:t>
      </w:r>
      <w:r w:rsidR="00C72F54" w:rsidRPr="00DE12FD">
        <w:rPr>
          <w:i/>
          <w:iCs/>
        </w:rPr>
        <w:t>: The Decade Ahead 2024 – 2034</w:t>
      </w:r>
      <w:r w:rsidR="00C72F54">
        <w:t>.</w:t>
      </w:r>
    </w:p>
    <w:p w14:paraId="305CF12B" w14:textId="025C6D16" w:rsidR="00FC7685" w:rsidRDefault="00FC7685" w:rsidP="006B29C1">
      <w:pPr>
        <w:pStyle w:val="Heading3"/>
      </w:pPr>
      <w:r>
        <w:t>Potential grant funding available</w:t>
      </w:r>
    </w:p>
    <w:p w14:paraId="1040F2D9" w14:textId="7F44F711" w:rsidR="00F90975" w:rsidRDefault="00F90975" w:rsidP="00F90975">
      <w:r w:rsidRPr="0040771F">
        <w:t>The funding reserved for the Program from the VPF discretionary grants budget is $2 million.</w:t>
      </w:r>
      <w:r>
        <w:t xml:space="preserve"> Actual funding awarded (if any) is subject to the discretion of the Minister and may </w:t>
      </w:r>
      <w:r w:rsidR="006E3492">
        <w:t>vary from</w:t>
      </w:r>
      <w:r>
        <w:t xml:space="preserve"> the reserved amount.</w:t>
      </w:r>
    </w:p>
    <w:p w14:paraId="26B13138" w14:textId="77777777" w:rsidR="00F90975" w:rsidRDefault="00F90975" w:rsidP="00F90975">
      <w:r>
        <w:t xml:space="preserve">CAV is required to manage project cash flows from the funding available in each financial year. Payment arrangements are subject to agreement by CAV and will be negotiated if a grant is awarded. </w:t>
      </w:r>
    </w:p>
    <w:p w14:paraId="68DF992D" w14:textId="214BF91F" w:rsidR="00213C28" w:rsidRDefault="00F90975" w:rsidP="00FC7685">
      <w:r>
        <w:t xml:space="preserve">Competition for the limited funding available is expected to be strong, with the total amount sought exceeding the funding available. All Responses received from eligible Respondents that meet mandatory </w:t>
      </w:r>
      <w:r w:rsidRPr="00BF6AF5">
        <w:t xml:space="preserve">Assessment </w:t>
      </w:r>
      <w:r w:rsidRPr="00DE56C3">
        <w:t xml:space="preserve">Criteria </w:t>
      </w:r>
      <w:r w:rsidRPr="007133F8">
        <w:t xml:space="preserve">(see Table </w:t>
      </w:r>
      <w:r w:rsidR="00083EAD">
        <w:t>5</w:t>
      </w:r>
      <w:r w:rsidRPr="007133F8">
        <w:t xml:space="preserve"> of </w:t>
      </w:r>
      <w:r w:rsidR="00EE6EB7">
        <w:t>Section 4</w:t>
      </w:r>
      <w:r w:rsidRPr="007133F8">
        <w:t>)</w:t>
      </w:r>
      <w:r w:rsidRPr="00BF6AF5">
        <w:t xml:space="preserve"> </w:t>
      </w:r>
      <w:r w:rsidR="006E3492">
        <w:t xml:space="preserve">and </w:t>
      </w:r>
      <w:r w:rsidR="00D12E61">
        <w:t>k</w:t>
      </w:r>
      <w:r w:rsidR="006E3492">
        <w:t xml:space="preserve">ey Program objective </w:t>
      </w:r>
      <w:r w:rsidRPr="00BF6AF5">
        <w:t>will be f</w:t>
      </w:r>
      <w:r>
        <w:t>ully assessed</w:t>
      </w:r>
      <w:r w:rsidR="00E93C66">
        <w:t xml:space="preserve">. </w:t>
      </w:r>
    </w:p>
    <w:p w14:paraId="36A63F1A" w14:textId="77535439" w:rsidR="00CD2682" w:rsidRDefault="00AD62C3" w:rsidP="006B29C1">
      <w:pPr>
        <w:pStyle w:val="Heading3"/>
      </w:pPr>
      <w:r>
        <w:t>Preferred proposal types</w:t>
      </w:r>
    </w:p>
    <w:p w14:paraId="2637890C" w14:textId="77777777" w:rsidR="00F90975" w:rsidRDefault="00F90975" w:rsidP="00F90975">
      <w:r>
        <w:t xml:space="preserve">The following information is intended to provide further guidance to Respondents as to CAV’s preferred proposal types: </w:t>
      </w:r>
    </w:p>
    <w:p w14:paraId="3B9154B8" w14:textId="77777777" w:rsidR="00F90975" w:rsidRPr="00324C79" w:rsidRDefault="00F90975" w:rsidP="00F90975">
      <w:pPr>
        <w:rPr>
          <w:i/>
        </w:rPr>
      </w:pPr>
      <w:r w:rsidRPr="00324C79">
        <w:rPr>
          <w:i/>
        </w:rPr>
        <w:t>Proposals that are likely to be viewed favourably include:</w:t>
      </w:r>
    </w:p>
    <w:p w14:paraId="5470CA45" w14:textId="74EE4A18" w:rsidR="00D879E7" w:rsidRPr="00D02D80" w:rsidRDefault="00F90975" w:rsidP="00F90975">
      <w:pPr>
        <w:pStyle w:val="ListBullet"/>
      </w:pPr>
      <w:r w:rsidRPr="00D02D80">
        <w:t xml:space="preserve">Proposals that increase the </w:t>
      </w:r>
      <w:r w:rsidR="00D879E7" w:rsidRPr="00D02D80">
        <w:t>availability of legal assistance, financial information and advice, and</w:t>
      </w:r>
      <w:r w:rsidR="007A0C15" w:rsidRPr="00D02D80">
        <w:t xml:space="preserve"> </w:t>
      </w:r>
      <w:r w:rsidR="00D879E7" w:rsidRPr="00D02D80">
        <w:t>advocacy services</w:t>
      </w:r>
      <w:r w:rsidR="00DA3FED" w:rsidRPr="00DE12FD">
        <w:t xml:space="preserve"> (</w:t>
      </w:r>
      <w:r w:rsidR="00D02D80" w:rsidRPr="00D02D80">
        <w:t>proposals may include delivery of one, all or a combination of these service</w:t>
      </w:r>
      <w:r w:rsidR="00524887">
        <w:t>s</w:t>
      </w:r>
      <w:r w:rsidR="00D02D80" w:rsidRPr="00D02D80">
        <w:t>)</w:t>
      </w:r>
      <w:r w:rsidR="007A0C15" w:rsidRPr="00D02D80">
        <w:t>.</w:t>
      </w:r>
    </w:p>
    <w:p w14:paraId="366D5F4A" w14:textId="105EE02D" w:rsidR="00D879E7" w:rsidRDefault="0038302B" w:rsidP="00F90975">
      <w:pPr>
        <w:pStyle w:val="ListBullet"/>
      </w:pPr>
      <w:r>
        <w:t xml:space="preserve">Proposals that demonstrate integrated service delivery (or </w:t>
      </w:r>
      <w:r w:rsidR="00AA6156">
        <w:t xml:space="preserve">a </w:t>
      </w:r>
      <w:r>
        <w:t xml:space="preserve">service delivery model) with </w:t>
      </w:r>
      <w:r w:rsidR="008B6382">
        <w:t xml:space="preserve">other </w:t>
      </w:r>
      <w:r w:rsidR="00AA6156">
        <w:t xml:space="preserve">services </w:t>
      </w:r>
      <w:r w:rsidR="007E763F">
        <w:t>or programs</w:t>
      </w:r>
      <w:r w:rsidR="007A0C15">
        <w:t>.</w:t>
      </w:r>
    </w:p>
    <w:p w14:paraId="2725BEFA" w14:textId="610D453F" w:rsidR="00AA6156" w:rsidRDefault="007E763F" w:rsidP="00F90975">
      <w:pPr>
        <w:pStyle w:val="ListBullet"/>
      </w:pPr>
      <w:r>
        <w:t>Proposals that demonstrate an innovative response to rental stress, inc</w:t>
      </w:r>
      <w:r w:rsidR="0049263C">
        <w:t xml:space="preserve">luding through service delivery mechanisms and </w:t>
      </w:r>
      <w:r w:rsidR="00827CE7">
        <w:t>responses to client issues</w:t>
      </w:r>
      <w:r w:rsidR="007A0C15">
        <w:t>.</w:t>
      </w:r>
    </w:p>
    <w:p w14:paraId="70FBA6B1" w14:textId="1A5A1BDF" w:rsidR="00AD223D" w:rsidRDefault="00827CE7" w:rsidP="00F90975">
      <w:pPr>
        <w:pStyle w:val="ListBullet"/>
      </w:pPr>
      <w:r>
        <w:t xml:space="preserve">Proposals that provide </w:t>
      </w:r>
      <w:r w:rsidR="00223891">
        <w:t xml:space="preserve">accessible </w:t>
      </w:r>
      <w:r>
        <w:t>support to high-priority cohorts, including</w:t>
      </w:r>
      <w:r w:rsidR="00223891">
        <w:t xml:space="preserve"> </w:t>
      </w:r>
      <w:r w:rsidR="00CF5FE4">
        <w:t>but</w:t>
      </w:r>
      <w:r w:rsidR="00223891">
        <w:t xml:space="preserve"> not limited to</w:t>
      </w:r>
      <w:r>
        <w:t xml:space="preserve"> family violence victim</w:t>
      </w:r>
      <w:r w:rsidR="00223891">
        <w:t xml:space="preserve"> survivors; Aboriginal and Torres Strait Islander peoples; culturally and linguistically diverse peoples;</w:t>
      </w:r>
      <w:r w:rsidR="00AD223D">
        <w:t xml:space="preserve"> renters over the age of 55 years</w:t>
      </w:r>
      <w:r w:rsidR="007A0C15">
        <w:t>.</w:t>
      </w:r>
    </w:p>
    <w:p w14:paraId="405BBCAD" w14:textId="172A5417" w:rsidR="00827CE7" w:rsidRDefault="00AD223D" w:rsidP="00F90975">
      <w:pPr>
        <w:pStyle w:val="ListBullet"/>
      </w:pPr>
      <w:r>
        <w:t xml:space="preserve">Proposals that </w:t>
      </w:r>
      <w:r w:rsidR="00A84E44">
        <w:t>include service delivery in areas of high need</w:t>
      </w:r>
      <w:r w:rsidR="007A0C15">
        <w:t>.</w:t>
      </w:r>
      <w:r w:rsidR="00CF5FE4">
        <w:t xml:space="preserve"> </w:t>
      </w:r>
    </w:p>
    <w:p w14:paraId="2DF5F573" w14:textId="14B702D6" w:rsidR="00C708EC" w:rsidRDefault="00A84E44" w:rsidP="00DE12FD">
      <w:pPr>
        <w:pStyle w:val="ListBullet"/>
        <w:rPr>
          <w:i/>
        </w:rPr>
      </w:pPr>
      <w:r>
        <w:t xml:space="preserve">Proposals demonstrating an ability to commence service delivery </w:t>
      </w:r>
      <w:r w:rsidR="00C708EC">
        <w:t>rapidly</w:t>
      </w:r>
      <w:r w:rsidR="00652259">
        <w:t>.</w:t>
      </w:r>
    </w:p>
    <w:p w14:paraId="10E4FEF5" w14:textId="77777777" w:rsidR="00C708EC" w:rsidRDefault="00C708EC" w:rsidP="00F90975">
      <w:pPr>
        <w:rPr>
          <w:i/>
        </w:rPr>
      </w:pPr>
    </w:p>
    <w:p w14:paraId="7F1C3C59" w14:textId="08466D8A" w:rsidR="00F90975" w:rsidRPr="00324C79" w:rsidRDefault="00F90975" w:rsidP="00F90975">
      <w:pPr>
        <w:rPr>
          <w:i/>
        </w:rPr>
      </w:pPr>
      <w:r w:rsidRPr="00324C79">
        <w:rPr>
          <w:i/>
        </w:rPr>
        <w:t>Proposals that will not be viewed favourably include:</w:t>
      </w:r>
    </w:p>
    <w:p w14:paraId="79442D52" w14:textId="4A870F59" w:rsidR="00F90975" w:rsidRDefault="00F90975" w:rsidP="00F90975">
      <w:pPr>
        <w:pStyle w:val="ListBullet"/>
      </w:pPr>
      <w:r>
        <w:t>Proposals</w:t>
      </w:r>
      <w:r w:rsidR="001D7D4E">
        <w:t xml:space="preserve"> that do not increase the availability of </w:t>
      </w:r>
      <w:r w:rsidR="00630170" w:rsidRPr="00630170">
        <w:t xml:space="preserve">legal assistance, financial </w:t>
      </w:r>
      <w:proofErr w:type="gramStart"/>
      <w:r w:rsidR="00630170" w:rsidRPr="00630170">
        <w:t>information</w:t>
      </w:r>
      <w:proofErr w:type="gramEnd"/>
      <w:r w:rsidR="00630170" w:rsidRPr="00630170">
        <w:t xml:space="preserve"> and advice, and </w:t>
      </w:r>
      <w:r w:rsidR="002E2072">
        <w:t xml:space="preserve">/ or </w:t>
      </w:r>
      <w:r w:rsidR="00630170" w:rsidRPr="00630170">
        <w:t>advocacy services</w:t>
      </w:r>
      <w:r w:rsidR="007A0C15">
        <w:t>.</w:t>
      </w:r>
    </w:p>
    <w:p w14:paraId="1B9E573D" w14:textId="0EE1302E" w:rsidR="00F90975" w:rsidRDefault="00F90975" w:rsidP="00F90975">
      <w:pPr>
        <w:pStyle w:val="ListBullet"/>
      </w:pPr>
      <w:r>
        <w:t xml:space="preserve">Proposals from </w:t>
      </w:r>
      <w:r w:rsidR="00580A71">
        <w:t xml:space="preserve">NFPs </w:t>
      </w:r>
      <w:r>
        <w:t xml:space="preserve">without significant experience </w:t>
      </w:r>
      <w:r w:rsidR="00580A71">
        <w:t xml:space="preserve">in the delivery of </w:t>
      </w:r>
      <w:r w:rsidR="009E2ADB">
        <w:t xml:space="preserve">some or all </w:t>
      </w:r>
      <w:r w:rsidR="001D7D4E" w:rsidRPr="001D7D4E">
        <w:t>legal assistance, financial information and advice, and</w:t>
      </w:r>
      <w:r w:rsidR="007A0C15">
        <w:t xml:space="preserve"> </w:t>
      </w:r>
      <w:r w:rsidR="001D7D4E" w:rsidRPr="001D7D4E">
        <w:t>advocacy services</w:t>
      </w:r>
      <w:r w:rsidR="007A0C15">
        <w:t>.</w:t>
      </w:r>
    </w:p>
    <w:p w14:paraId="0E64B0F6" w14:textId="6E1F9D39" w:rsidR="0003085B" w:rsidRDefault="00F90975" w:rsidP="00DE12FD">
      <w:pPr>
        <w:pStyle w:val="ListBullet"/>
      </w:pPr>
      <w:r>
        <w:t>Proposals that are conditional on numerous factors beyond the Respondent’s control</w:t>
      </w:r>
      <w:r w:rsidR="007A0C15">
        <w:t>.</w:t>
      </w:r>
    </w:p>
    <w:p w14:paraId="46BFB83A" w14:textId="3EA9010F" w:rsidR="00812BAE" w:rsidRPr="00B85382" w:rsidRDefault="00812BAE" w:rsidP="006B29C1">
      <w:pPr>
        <w:pStyle w:val="Heading1"/>
      </w:pPr>
      <w:bookmarkStart w:id="5" w:name="_Toc523845039"/>
      <w:bookmarkStart w:id="6" w:name="_Toc474401448"/>
      <w:bookmarkStart w:id="7" w:name="_Toc474479177"/>
      <w:bookmarkStart w:id="8" w:name="_Toc474505621"/>
      <w:bookmarkStart w:id="9" w:name="_Toc474401449"/>
      <w:bookmarkStart w:id="10" w:name="_Toc474479178"/>
      <w:bookmarkStart w:id="11" w:name="_Toc474505622"/>
      <w:bookmarkStart w:id="12" w:name="_Toc151041934"/>
      <w:bookmarkEnd w:id="5"/>
      <w:bookmarkEnd w:id="6"/>
      <w:bookmarkEnd w:id="7"/>
      <w:bookmarkEnd w:id="8"/>
      <w:bookmarkEnd w:id="9"/>
      <w:bookmarkEnd w:id="10"/>
      <w:bookmarkEnd w:id="11"/>
      <w:r w:rsidRPr="00A24A29">
        <w:t>I</w:t>
      </w:r>
      <w:r>
        <w:t xml:space="preserve">nformation on the </w:t>
      </w:r>
      <w:r w:rsidR="00B948DC">
        <w:t>EOI</w:t>
      </w:r>
      <w:r w:rsidRPr="00A24A29">
        <w:t xml:space="preserve"> </w:t>
      </w:r>
      <w:r w:rsidR="00564CAD">
        <w:t xml:space="preserve">and Grant application </w:t>
      </w:r>
      <w:r w:rsidRPr="00A24A29">
        <w:t>P</w:t>
      </w:r>
      <w:r>
        <w:t>rocess</w:t>
      </w:r>
      <w:bookmarkEnd w:id="12"/>
    </w:p>
    <w:p w14:paraId="440B5306" w14:textId="35C33744" w:rsidR="00883196" w:rsidRDefault="00DD4C08" w:rsidP="006B29C1">
      <w:pPr>
        <w:pStyle w:val="Heading2"/>
      </w:pPr>
      <w:bookmarkStart w:id="13" w:name="_Toc151041935"/>
      <w:r>
        <w:t xml:space="preserve">A </w:t>
      </w:r>
      <w:r w:rsidR="00564CAD">
        <w:t xml:space="preserve">Two-Stage </w:t>
      </w:r>
      <w:r w:rsidR="00883196">
        <w:t>Process</w:t>
      </w:r>
      <w:bookmarkEnd w:id="13"/>
    </w:p>
    <w:p w14:paraId="017CF1BD" w14:textId="56BA59E3" w:rsidR="00883196" w:rsidRPr="00883196" w:rsidRDefault="00883196" w:rsidP="00883196">
      <w:pPr>
        <w:keepNext/>
      </w:pPr>
      <w:r w:rsidRPr="00883196">
        <w:t xml:space="preserve">The </w:t>
      </w:r>
      <w:r w:rsidR="00F71FDF">
        <w:t>two-stage</w:t>
      </w:r>
      <w:r w:rsidR="00F71FDF" w:rsidRPr="00883196">
        <w:t xml:space="preserve"> </w:t>
      </w:r>
      <w:r w:rsidR="009242A2">
        <w:t xml:space="preserve">EOI and Grant Application </w:t>
      </w:r>
      <w:r w:rsidRPr="00883196">
        <w:t xml:space="preserve">process </w:t>
      </w:r>
      <w:r w:rsidR="009242A2">
        <w:t xml:space="preserve">(the Two Stage Process) </w:t>
      </w:r>
      <w:r w:rsidRPr="00883196">
        <w:t>for the Program will consist of:</w:t>
      </w:r>
    </w:p>
    <w:p w14:paraId="315289FF" w14:textId="77777777" w:rsidR="00883196" w:rsidRPr="00A21B98" w:rsidRDefault="00A21B98" w:rsidP="006B29C1">
      <w:pPr>
        <w:pStyle w:val="ListBullet"/>
      </w:pPr>
      <w:r>
        <w:t>T</w:t>
      </w:r>
      <w:r w:rsidR="00883196" w:rsidRPr="00A21B98">
        <w:t>he EOI stage, which:</w:t>
      </w:r>
    </w:p>
    <w:p w14:paraId="4684C72A" w14:textId="38B84161" w:rsidR="00883196" w:rsidRPr="006B29C1" w:rsidRDefault="00883196" w:rsidP="00DE12FD">
      <w:pPr>
        <w:pStyle w:val="ListBullet2"/>
        <w:ind w:left="1418" w:hanging="425"/>
      </w:pPr>
      <w:r w:rsidRPr="006B29C1">
        <w:t xml:space="preserve">commences with the issue of this </w:t>
      </w:r>
      <w:proofErr w:type="gramStart"/>
      <w:r w:rsidRPr="006B29C1">
        <w:t>EOI;</w:t>
      </w:r>
      <w:proofErr w:type="gramEnd"/>
    </w:p>
    <w:p w14:paraId="6ED97F31" w14:textId="5817870D" w:rsidR="00883196" w:rsidRPr="006B29C1" w:rsidRDefault="00883196" w:rsidP="00DE12FD">
      <w:pPr>
        <w:pStyle w:val="ListBullet2"/>
        <w:ind w:left="1418" w:hanging="425"/>
      </w:pPr>
      <w:r w:rsidRPr="006B29C1">
        <w:t>involves the e</w:t>
      </w:r>
      <w:r w:rsidR="00326ED7" w:rsidRPr="006B29C1">
        <w:t xml:space="preserve">valuation process </w:t>
      </w:r>
      <w:r w:rsidR="00326ED7" w:rsidRPr="00156FE8">
        <w:t>described at S</w:t>
      </w:r>
      <w:r w:rsidRPr="008475F5">
        <w:t>ection </w:t>
      </w:r>
      <w:r w:rsidR="00D16002" w:rsidRPr="00156FE8">
        <w:fldChar w:fldCharType="begin"/>
      </w:r>
      <w:r w:rsidR="00D16002" w:rsidRPr="0043321B">
        <w:instrText xml:space="preserve"> REF _Ref467775508 \r \h </w:instrText>
      </w:r>
      <w:r w:rsidR="006B29C1" w:rsidRPr="0043321B">
        <w:instrText xml:space="preserve"> \* MERGEFORMAT </w:instrText>
      </w:r>
      <w:r w:rsidR="00D16002" w:rsidRPr="00156FE8">
        <w:fldChar w:fldCharType="separate"/>
      </w:r>
      <w:r w:rsidR="00A90E85">
        <w:t>4</w:t>
      </w:r>
      <w:r w:rsidR="00D16002" w:rsidRPr="00156FE8">
        <w:fldChar w:fldCharType="end"/>
      </w:r>
      <w:r w:rsidRPr="006B29C1">
        <w:t xml:space="preserve"> of this EOI, including the potential for interaction with Respondents during evaluation; and</w:t>
      </w:r>
    </w:p>
    <w:p w14:paraId="28F176BC" w14:textId="62C38E6F" w:rsidR="00883196" w:rsidRPr="006B29C1" w:rsidRDefault="00883196" w:rsidP="00DE12FD">
      <w:pPr>
        <w:pStyle w:val="ListBullet2"/>
        <w:ind w:left="1418" w:hanging="425"/>
      </w:pPr>
      <w:r w:rsidRPr="006B29C1">
        <w:t xml:space="preserve">concludes with the </w:t>
      </w:r>
      <w:r w:rsidR="00326ED7" w:rsidRPr="006B29C1">
        <w:t>notification</w:t>
      </w:r>
      <w:r w:rsidRPr="006B29C1">
        <w:t xml:space="preserve"> of Respondents </w:t>
      </w:r>
      <w:r w:rsidR="00326ED7" w:rsidRPr="006B29C1">
        <w:t xml:space="preserve">who submitted shortlisted Responses </w:t>
      </w:r>
      <w:r w:rsidRPr="006B29C1">
        <w:t>(Proponents)</w:t>
      </w:r>
      <w:r w:rsidR="00742A01">
        <w:t>.</w:t>
      </w:r>
    </w:p>
    <w:p w14:paraId="5264CE8E" w14:textId="72A57D83" w:rsidR="00883196" w:rsidRPr="00A21B98" w:rsidRDefault="00A21B98" w:rsidP="006B29C1">
      <w:pPr>
        <w:pStyle w:val="ListBullet"/>
      </w:pPr>
      <w:r>
        <w:t>T</w:t>
      </w:r>
      <w:r w:rsidR="00883196" w:rsidRPr="00A21B98">
        <w:t xml:space="preserve">he </w:t>
      </w:r>
      <w:r w:rsidR="00F71FDF">
        <w:t>Grant Application</w:t>
      </w:r>
      <w:r w:rsidR="00F71FDF" w:rsidRPr="00A21B98">
        <w:t xml:space="preserve"> </w:t>
      </w:r>
      <w:r w:rsidR="00883196" w:rsidRPr="00A21B98">
        <w:t>stage which:</w:t>
      </w:r>
    </w:p>
    <w:p w14:paraId="005509A3" w14:textId="2A14BDDE" w:rsidR="00883196" w:rsidRPr="00583D8E" w:rsidRDefault="00883196" w:rsidP="00DE12FD">
      <w:pPr>
        <w:pStyle w:val="ListBullet2"/>
        <w:ind w:left="1418" w:hanging="425"/>
      </w:pPr>
      <w:r w:rsidRPr="00583D8E">
        <w:t xml:space="preserve">commences </w:t>
      </w:r>
      <w:r w:rsidR="00326ED7" w:rsidRPr="00583D8E">
        <w:t>with</w:t>
      </w:r>
      <w:r w:rsidR="00F71FDF" w:rsidRPr="00583D8E">
        <w:t xml:space="preserve"> CAV </w:t>
      </w:r>
      <w:r w:rsidR="00FF293F" w:rsidRPr="00583D8E">
        <w:t xml:space="preserve">inviting </w:t>
      </w:r>
      <w:r w:rsidR="00326ED7" w:rsidRPr="00583D8E">
        <w:t>Proponents</w:t>
      </w:r>
      <w:r w:rsidR="00F71FDF" w:rsidRPr="00583D8E">
        <w:t xml:space="preserve"> to lodge a </w:t>
      </w:r>
      <w:r w:rsidR="00326ED7" w:rsidRPr="00583D8E">
        <w:t>formal grant application to the VPF (</w:t>
      </w:r>
      <w:r w:rsidR="00F71FDF" w:rsidRPr="00583D8E">
        <w:t>Grant Application</w:t>
      </w:r>
      <w:proofErr w:type="gramStart"/>
      <w:r w:rsidR="00326ED7" w:rsidRPr="00583D8E">
        <w:t>)</w:t>
      </w:r>
      <w:r w:rsidRPr="00583D8E">
        <w:t>;</w:t>
      </w:r>
      <w:proofErr w:type="gramEnd"/>
    </w:p>
    <w:p w14:paraId="595F62D8" w14:textId="33C72FC8" w:rsidR="00883196" w:rsidRPr="00CB2717" w:rsidRDefault="00883196" w:rsidP="00DE12FD">
      <w:pPr>
        <w:pStyle w:val="ListBullet2"/>
        <w:ind w:left="1418" w:hanging="425"/>
      </w:pPr>
      <w:r w:rsidRPr="00CB2717">
        <w:t xml:space="preserve">continues with the </w:t>
      </w:r>
      <w:r w:rsidR="00F71FDF" w:rsidRPr="00CB2717">
        <w:t xml:space="preserve">receipt </w:t>
      </w:r>
      <w:r w:rsidRPr="00CB2717">
        <w:t xml:space="preserve">and evaluation of </w:t>
      </w:r>
      <w:r w:rsidR="00F71FDF" w:rsidRPr="00CB2717">
        <w:t>Grant Applications</w:t>
      </w:r>
      <w:r w:rsidR="005E3D49" w:rsidRPr="00CB2717">
        <w:t>, including consultation</w:t>
      </w:r>
      <w:r w:rsidR="00F500A7" w:rsidRPr="00CB2717">
        <w:t xml:space="preserve"> by CAV</w:t>
      </w:r>
      <w:r w:rsidR="005E3D49" w:rsidRPr="00CB2717">
        <w:t xml:space="preserve"> with </w:t>
      </w:r>
      <w:r w:rsidR="00626252" w:rsidRPr="00CB2717">
        <w:t xml:space="preserve">the </w:t>
      </w:r>
      <w:r w:rsidR="00784C88" w:rsidRPr="00CB2717">
        <w:t>Estate Agents Council</w:t>
      </w:r>
      <w:r w:rsidR="00F500A7" w:rsidRPr="00CB2717">
        <w:t xml:space="preserve"> (EAC)</w:t>
      </w:r>
      <w:r w:rsidR="00CB2717" w:rsidRPr="00DE12FD">
        <w:t xml:space="preserve"> and any other organisations or government departments determined by CAV to be appropriate</w:t>
      </w:r>
      <w:r w:rsidRPr="00CB2717">
        <w:t>; and</w:t>
      </w:r>
    </w:p>
    <w:p w14:paraId="3B5FCDE4" w14:textId="15411D54" w:rsidR="00883196" w:rsidRPr="00583D8E" w:rsidRDefault="00883196" w:rsidP="00DE12FD">
      <w:pPr>
        <w:pStyle w:val="ListBullet2"/>
        <w:ind w:left="1418" w:hanging="425"/>
      </w:pPr>
      <w:r w:rsidRPr="00583D8E">
        <w:t xml:space="preserve">concludes with the </w:t>
      </w:r>
      <w:r w:rsidR="00F71FDF" w:rsidRPr="00583D8E">
        <w:t xml:space="preserve">Minister </w:t>
      </w:r>
      <w:proofErr w:type="gramStart"/>
      <w:r w:rsidR="005E3D49" w:rsidRPr="00583D8E">
        <w:t xml:space="preserve">making a </w:t>
      </w:r>
      <w:r w:rsidR="00422A98" w:rsidRPr="00583D8E">
        <w:t>determination</w:t>
      </w:r>
      <w:proofErr w:type="gramEnd"/>
      <w:r w:rsidR="005E3D49" w:rsidRPr="00583D8E">
        <w:t xml:space="preserve"> on each Grant Application</w:t>
      </w:r>
      <w:r w:rsidR="005D6741" w:rsidRPr="00583D8E">
        <w:t>,</w:t>
      </w:r>
      <w:r w:rsidR="005E3D49" w:rsidRPr="00583D8E">
        <w:t xml:space="preserve"> </w:t>
      </w:r>
      <w:r w:rsidR="00422A98" w:rsidRPr="00583D8E">
        <w:t xml:space="preserve">and the </w:t>
      </w:r>
      <w:r w:rsidRPr="00583D8E">
        <w:t xml:space="preserve">announcement </w:t>
      </w:r>
      <w:r w:rsidR="00422A98" w:rsidRPr="00583D8E">
        <w:t xml:space="preserve">of VPF grants to </w:t>
      </w:r>
      <w:r w:rsidR="00F500A7" w:rsidRPr="00583D8E">
        <w:t>successful</w:t>
      </w:r>
      <w:r w:rsidR="00422A98" w:rsidRPr="00583D8E">
        <w:t xml:space="preserve"> </w:t>
      </w:r>
      <w:r w:rsidRPr="00583D8E">
        <w:t>Proponent(s); and</w:t>
      </w:r>
    </w:p>
    <w:p w14:paraId="656A6863" w14:textId="707EC243" w:rsidR="00883196" w:rsidRPr="00A21B98" w:rsidRDefault="00A21B98" w:rsidP="00DE12FD">
      <w:pPr>
        <w:pStyle w:val="ListBullet"/>
        <w:ind w:left="1418" w:hanging="425"/>
      </w:pPr>
      <w:r>
        <w:t>T</w:t>
      </w:r>
      <w:r w:rsidR="00883196" w:rsidRPr="00A21B98">
        <w:t xml:space="preserve">he completion stage, comprising execution of the </w:t>
      </w:r>
      <w:r w:rsidR="00C60EF9">
        <w:t>Funding Agreement</w:t>
      </w:r>
      <w:r w:rsidR="00883196" w:rsidRPr="00A21B98">
        <w:t xml:space="preserve"> </w:t>
      </w:r>
      <w:r w:rsidR="00C60EF9">
        <w:t>and</w:t>
      </w:r>
      <w:r w:rsidR="00C60EF9" w:rsidRPr="00A21B98">
        <w:t xml:space="preserve"> </w:t>
      </w:r>
      <w:r w:rsidR="00883196" w:rsidRPr="00A21B98">
        <w:t xml:space="preserve">completion of any requirements </w:t>
      </w:r>
      <w:r w:rsidR="00C60EF9" w:rsidRPr="00A21B98">
        <w:t xml:space="preserve">of </w:t>
      </w:r>
      <w:r w:rsidR="00C60EF9">
        <w:t xml:space="preserve">CAV </w:t>
      </w:r>
      <w:r w:rsidR="00883196" w:rsidRPr="00A21B98">
        <w:t xml:space="preserve">for </w:t>
      </w:r>
      <w:r w:rsidR="00C60EF9">
        <w:t>payment of the initial advance</w:t>
      </w:r>
      <w:r w:rsidR="00422A98">
        <w:t>.</w:t>
      </w:r>
    </w:p>
    <w:p w14:paraId="3E337F86" w14:textId="289D2C0E" w:rsidR="00812BAE" w:rsidRPr="00B85382" w:rsidRDefault="00812BAE" w:rsidP="006B29C1">
      <w:pPr>
        <w:pStyle w:val="Heading2"/>
      </w:pPr>
      <w:bookmarkStart w:id="14" w:name="_Toc151041936"/>
      <w:r w:rsidRPr="00B85382">
        <w:t xml:space="preserve">Purpose of the </w:t>
      </w:r>
      <w:r w:rsidR="00B948DC">
        <w:t>EOI</w:t>
      </w:r>
      <w:r w:rsidRPr="00320391">
        <w:t xml:space="preserve"> </w:t>
      </w:r>
      <w:r>
        <w:t>Process</w:t>
      </w:r>
      <w:bookmarkEnd w:id="14"/>
    </w:p>
    <w:p w14:paraId="58AFFE30" w14:textId="0239C43E" w:rsidR="00812BAE" w:rsidRDefault="00812BAE" w:rsidP="00583D8E">
      <w:r>
        <w:t xml:space="preserve">The purpose of the </w:t>
      </w:r>
      <w:r w:rsidR="00B948DC">
        <w:t>EOI</w:t>
      </w:r>
      <w:r>
        <w:t xml:space="preserve"> process is to</w:t>
      </w:r>
      <w:r w:rsidR="00883196">
        <w:t xml:space="preserve"> </w:t>
      </w:r>
      <w:r w:rsidR="00FF293F">
        <w:t xml:space="preserve">assist CAV </w:t>
      </w:r>
      <w:r w:rsidR="00436033">
        <w:t>identify</w:t>
      </w:r>
      <w:r w:rsidR="00FF293F">
        <w:t xml:space="preserve"> current opportunities to fund </w:t>
      </w:r>
      <w:r w:rsidR="006C3DF2">
        <w:t>proposals</w:t>
      </w:r>
      <w:r w:rsidR="00436033">
        <w:t xml:space="preserve"> and to </w:t>
      </w:r>
      <w:r w:rsidR="00883196">
        <w:t xml:space="preserve">select the </w:t>
      </w:r>
      <w:r w:rsidR="00A21B98">
        <w:t>Responde</w:t>
      </w:r>
      <w:r w:rsidR="00883196">
        <w:t xml:space="preserve">nts whom </w:t>
      </w:r>
      <w:r w:rsidR="001B346C">
        <w:t>CAV</w:t>
      </w:r>
      <w:r w:rsidR="00422714">
        <w:t xml:space="preserve">, at its sole discretion, may choose to </w:t>
      </w:r>
      <w:r w:rsidR="001B346C">
        <w:t xml:space="preserve">invite to </w:t>
      </w:r>
      <w:r w:rsidR="00614B62">
        <w:t>make</w:t>
      </w:r>
      <w:r w:rsidR="001B346C">
        <w:t xml:space="preserve"> </w:t>
      </w:r>
      <w:r w:rsidR="00614B62">
        <w:t xml:space="preserve">a </w:t>
      </w:r>
      <w:r w:rsidR="001B346C">
        <w:t>formal Grant Application</w:t>
      </w:r>
      <w:r w:rsidR="00883196">
        <w:t xml:space="preserve">. </w:t>
      </w:r>
      <w:r>
        <w:t xml:space="preserve"> </w:t>
      </w:r>
    </w:p>
    <w:p w14:paraId="72B74E5A" w14:textId="01F15B1E" w:rsidR="00812BAE" w:rsidRDefault="00812BAE" w:rsidP="006B29C1">
      <w:pPr>
        <w:pStyle w:val="Heading2"/>
      </w:pPr>
      <w:bookmarkStart w:id="15" w:name="_Toc151041937"/>
      <w:r>
        <w:t>Who Should Apply</w:t>
      </w:r>
      <w:bookmarkEnd w:id="15"/>
    </w:p>
    <w:p w14:paraId="7D45C781" w14:textId="34D955AA" w:rsidR="00812BAE" w:rsidRDefault="00812BAE" w:rsidP="00812BAE">
      <w:r>
        <w:t xml:space="preserve">This </w:t>
      </w:r>
      <w:r w:rsidR="002911C8">
        <w:t>EOI</w:t>
      </w:r>
      <w:r w:rsidRPr="00320391">
        <w:t xml:space="preserve"> </w:t>
      </w:r>
      <w:r>
        <w:t xml:space="preserve">is </w:t>
      </w:r>
      <w:r w:rsidR="00436033">
        <w:t xml:space="preserve">extended </w:t>
      </w:r>
      <w:r w:rsidR="007F5B9A">
        <w:t xml:space="preserve">to all </w:t>
      </w:r>
      <w:r w:rsidR="006C3DF2">
        <w:t xml:space="preserve">NFPs </w:t>
      </w:r>
      <w:r w:rsidR="00CF1E8E" w:rsidRPr="006C3DF2">
        <w:t xml:space="preserve">with significant experience </w:t>
      </w:r>
      <w:r w:rsidR="006C3DF2" w:rsidRPr="00DE12FD">
        <w:t xml:space="preserve">in the delivery of </w:t>
      </w:r>
      <w:r w:rsidR="006C3DF2" w:rsidRPr="006C3DF2">
        <w:t xml:space="preserve">legal assistance, financial information and advice, and advocacy </w:t>
      </w:r>
      <w:r w:rsidR="00EC2C13">
        <w:t xml:space="preserve">services </w:t>
      </w:r>
      <w:r w:rsidR="00B706C1" w:rsidRPr="006C3DF2">
        <w:t>in Victoria</w:t>
      </w:r>
      <w:r w:rsidR="00087334" w:rsidRPr="006C3DF2">
        <w:t xml:space="preserve"> and that meet mandatory assessment criteria set out in Table </w:t>
      </w:r>
      <w:r w:rsidR="00083EAD">
        <w:t>5</w:t>
      </w:r>
      <w:r w:rsidR="00087334" w:rsidRPr="009C254B">
        <w:t xml:space="preserve"> of </w:t>
      </w:r>
      <w:r w:rsidR="00EE6EB7">
        <w:t>Section 4</w:t>
      </w:r>
      <w:r w:rsidR="00CE144E">
        <w:t xml:space="preserve"> (agencies are not required to demonstrate signi</w:t>
      </w:r>
      <w:r w:rsidR="001A6FA3">
        <w:t xml:space="preserve">ficant experience in </w:t>
      </w:r>
      <w:r w:rsidR="00864A0E">
        <w:t>each of the</w:t>
      </w:r>
      <w:r w:rsidR="001A6FA3">
        <w:t xml:space="preserve"> services)</w:t>
      </w:r>
      <w:r w:rsidR="009C254B">
        <w:t>.</w:t>
      </w:r>
    </w:p>
    <w:p w14:paraId="23446733" w14:textId="101B8F22" w:rsidR="005D1D83" w:rsidRDefault="00F24022" w:rsidP="00812BAE">
      <w:r w:rsidRPr="00F24022">
        <w:t xml:space="preserve">Organisations may elect to partner with another </w:t>
      </w:r>
      <w:proofErr w:type="gramStart"/>
      <w:r w:rsidRPr="00F24022">
        <w:t>organisation,</w:t>
      </w:r>
      <w:proofErr w:type="gramEnd"/>
      <w:r w:rsidRPr="00F24022">
        <w:t xml:space="preserve"> however CAV will only enter one agreement, with the organisation submitting the application.</w:t>
      </w:r>
    </w:p>
    <w:p w14:paraId="67464E56" w14:textId="04C7CC9A" w:rsidR="00ED04D8" w:rsidRDefault="00ED04D8" w:rsidP="006B29C1">
      <w:pPr>
        <w:pStyle w:val="Heading2"/>
      </w:pPr>
      <w:bookmarkStart w:id="16" w:name="_Toc151041938"/>
      <w:r>
        <w:t>Who Should Not Apply</w:t>
      </w:r>
      <w:bookmarkEnd w:id="16"/>
    </w:p>
    <w:p w14:paraId="4164F6BE" w14:textId="10B834AD" w:rsidR="00CF1E8E" w:rsidRDefault="002911C8" w:rsidP="00DE56C3">
      <w:r>
        <w:t xml:space="preserve">The EOI is not </w:t>
      </w:r>
      <w:r w:rsidR="00281F80">
        <w:t>extended</w:t>
      </w:r>
      <w:r>
        <w:t xml:space="preserve"> to:</w:t>
      </w:r>
    </w:p>
    <w:p w14:paraId="3FBB3BEA" w14:textId="4091E0D0" w:rsidR="002911C8" w:rsidRPr="00E90421" w:rsidRDefault="002911C8" w:rsidP="006B29C1">
      <w:pPr>
        <w:pStyle w:val="ListBullet"/>
      </w:pPr>
      <w:r w:rsidRPr="00E90421">
        <w:t>for-profit organisations</w:t>
      </w:r>
    </w:p>
    <w:p w14:paraId="2723B8FB" w14:textId="77777777" w:rsidR="00DD4C08" w:rsidRPr="00E90421" w:rsidRDefault="00DD4C08" w:rsidP="006B29C1">
      <w:pPr>
        <w:pStyle w:val="ListBullet"/>
      </w:pPr>
      <w:r w:rsidRPr="00E90421">
        <w:t xml:space="preserve">state or federal government departments or agencies </w:t>
      </w:r>
    </w:p>
    <w:p w14:paraId="17BF2697" w14:textId="51183DD7" w:rsidR="00F5078F" w:rsidRPr="00E90421" w:rsidRDefault="00F5078F" w:rsidP="006B29C1">
      <w:pPr>
        <w:pStyle w:val="ListBullet"/>
      </w:pPr>
      <w:r w:rsidRPr="00E90421">
        <w:t>churches</w:t>
      </w:r>
      <w:r w:rsidR="00DD4C08" w:rsidRPr="00E90421">
        <w:t xml:space="preserve"> or religious o</w:t>
      </w:r>
      <w:r w:rsidR="00B63FD8" w:rsidRPr="00E90421">
        <w:t xml:space="preserve">rganisations </w:t>
      </w:r>
    </w:p>
    <w:p w14:paraId="74487868" w14:textId="31DB3432" w:rsidR="007C313A" w:rsidRPr="00E90421" w:rsidRDefault="007C313A" w:rsidP="006B29C1">
      <w:pPr>
        <w:pStyle w:val="ListBullet"/>
      </w:pPr>
      <w:r w:rsidRPr="00E90421">
        <w:t>local councils</w:t>
      </w:r>
      <w:r w:rsidR="004548F9">
        <w:t>.</w:t>
      </w:r>
    </w:p>
    <w:p w14:paraId="4F41C7C4" w14:textId="77777777" w:rsidR="004548F9" w:rsidRDefault="004548F9">
      <w:pPr>
        <w:spacing w:before="0" w:after="200"/>
        <w:rPr>
          <w:color w:val="0070C0"/>
          <w:sz w:val="28"/>
          <w:szCs w:val="32"/>
          <w:highlight w:val="yellow"/>
        </w:rPr>
      </w:pPr>
      <w:r>
        <w:rPr>
          <w:highlight w:val="yellow"/>
        </w:rPr>
        <w:br w:type="page"/>
      </w:r>
    </w:p>
    <w:p w14:paraId="7903A6F5" w14:textId="5BBFB6EC" w:rsidR="00812BAE" w:rsidRDefault="00812BAE" w:rsidP="006B29C1">
      <w:pPr>
        <w:pStyle w:val="Heading2"/>
      </w:pPr>
      <w:bookmarkStart w:id="17" w:name="_Toc151041939"/>
      <w:r>
        <w:t>Key Dates</w:t>
      </w:r>
      <w:bookmarkEnd w:id="17"/>
    </w:p>
    <w:p w14:paraId="1C28F207" w14:textId="50894E8D" w:rsidR="00812BAE" w:rsidRDefault="00812BAE" w:rsidP="00812BAE">
      <w:r>
        <w:t>Key</w:t>
      </w:r>
      <w:r w:rsidR="007F5B9A">
        <w:t xml:space="preserve"> proposed</w:t>
      </w:r>
      <w:r>
        <w:t xml:space="preserve"> dates for </w:t>
      </w:r>
      <w:r w:rsidR="00633084">
        <w:t xml:space="preserve">the two-stage process </w:t>
      </w:r>
      <w:r>
        <w:t xml:space="preserve">are indicated below. </w:t>
      </w:r>
    </w:p>
    <w:p w14:paraId="69D9B51B" w14:textId="186E43AC" w:rsidR="00812BAE" w:rsidRDefault="00812BAE" w:rsidP="00812BAE">
      <w:pPr>
        <w:pStyle w:val="Caption"/>
        <w:keepNext/>
      </w:pPr>
      <w:bookmarkStart w:id="18" w:name="_Ref467774837"/>
      <w:r>
        <w:t xml:space="preserve">Table </w:t>
      </w:r>
      <w:r w:rsidR="002460DD">
        <w:t>1</w:t>
      </w:r>
      <w:r>
        <w:t xml:space="preserve"> - Target Dates</w:t>
      </w:r>
      <w:bookmarkEnd w:id="18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4332"/>
      </w:tblGrid>
      <w:tr w:rsidR="00B948DC" w14:paraId="3A7ED3B5" w14:textId="77777777" w:rsidTr="007A79DF">
        <w:trPr>
          <w:cantSplit/>
          <w:tblHeader/>
        </w:trPr>
        <w:tc>
          <w:tcPr>
            <w:tcW w:w="2389" w:type="pct"/>
            <w:shd w:val="clear" w:color="auto" w:fill="D9D9D9"/>
            <w:hideMark/>
          </w:tcPr>
          <w:p w14:paraId="6005C059" w14:textId="77777777" w:rsidR="00B948DC" w:rsidRDefault="00B948DC" w:rsidP="00985EB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Milestone</w:t>
            </w:r>
          </w:p>
        </w:tc>
        <w:tc>
          <w:tcPr>
            <w:tcW w:w="2611" w:type="pct"/>
            <w:shd w:val="clear" w:color="auto" w:fill="D9D9D9"/>
            <w:hideMark/>
          </w:tcPr>
          <w:p w14:paraId="57B0F39E" w14:textId="77777777" w:rsidR="00B948DC" w:rsidRDefault="00B948DC" w:rsidP="00985EB5">
            <w:pPr>
              <w:spacing w:before="40" w:after="40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Date</w:t>
            </w:r>
          </w:p>
        </w:tc>
      </w:tr>
      <w:tr w:rsidR="00B948DC" w14:paraId="54D0C998" w14:textId="77777777" w:rsidTr="007A79DF">
        <w:trPr>
          <w:cantSplit/>
        </w:trPr>
        <w:tc>
          <w:tcPr>
            <w:tcW w:w="2389" w:type="pct"/>
            <w:hideMark/>
          </w:tcPr>
          <w:p w14:paraId="2E8CA265" w14:textId="06C1FD5A" w:rsidR="00B948DC" w:rsidRDefault="00B948DC" w:rsidP="007A79DF">
            <w:pPr>
              <w:spacing w:before="40" w:after="4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Release of EOI </w:t>
            </w:r>
          </w:p>
        </w:tc>
        <w:tc>
          <w:tcPr>
            <w:tcW w:w="2611" w:type="pct"/>
            <w:hideMark/>
          </w:tcPr>
          <w:p w14:paraId="643EB5C9" w14:textId="0494AC1E" w:rsidR="00B948DC" w:rsidRPr="00DE12FD" w:rsidRDefault="006E0B5A" w:rsidP="00A64305">
            <w:pPr>
              <w:spacing w:before="40" w:after="40"/>
              <w:rPr>
                <w:rFonts w:cstheme="minorHAnsi"/>
                <w:iCs/>
                <w:highlight w:val="yellow"/>
              </w:rPr>
            </w:pPr>
            <w:r w:rsidRPr="00DE12FD">
              <w:rPr>
                <w:rFonts w:cstheme="minorHAnsi"/>
                <w:iCs/>
              </w:rPr>
              <w:t>1</w:t>
            </w:r>
            <w:r w:rsidR="00337715" w:rsidRPr="00DE12FD">
              <w:rPr>
                <w:rFonts w:cstheme="minorHAnsi"/>
                <w:iCs/>
              </w:rPr>
              <w:t>7</w:t>
            </w:r>
            <w:r w:rsidRPr="00DE12FD">
              <w:rPr>
                <w:rFonts w:cstheme="minorHAnsi"/>
                <w:iCs/>
              </w:rPr>
              <w:t xml:space="preserve"> November 2023</w:t>
            </w:r>
          </w:p>
        </w:tc>
      </w:tr>
      <w:tr w:rsidR="00B948DC" w14:paraId="3E1662F3" w14:textId="77777777" w:rsidTr="007A79DF">
        <w:trPr>
          <w:cantSplit/>
          <w:trHeight w:val="217"/>
        </w:trPr>
        <w:tc>
          <w:tcPr>
            <w:tcW w:w="2389" w:type="pct"/>
          </w:tcPr>
          <w:p w14:paraId="12F43AF3" w14:textId="7B840078" w:rsidR="00B948DC" w:rsidRDefault="007A79DF" w:rsidP="00266DB1">
            <w:pPr>
              <w:spacing w:before="40" w:after="4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End of </w:t>
            </w:r>
            <w:r w:rsidRPr="002B45C7">
              <w:rPr>
                <w:rFonts w:cstheme="minorHAnsi"/>
                <w:iCs/>
              </w:rPr>
              <w:t>clarification</w:t>
            </w:r>
            <w:r>
              <w:rPr>
                <w:rFonts w:cstheme="minorHAnsi"/>
                <w:iCs/>
              </w:rPr>
              <w:t xml:space="preserve"> period</w:t>
            </w:r>
            <w:r w:rsidR="00B948DC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611" w:type="pct"/>
          </w:tcPr>
          <w:p w14:paraId="3E8637C5" w14:textId="1B7B47E2" w:rsidR="00B948DC" w:rsidRPr="00694944" w:rsidRDefault="002207EE">
            <w:pPr>
              <w:spacing w:before="40" w:after="40"/>
              <w:rPr>
                <w:rFonts w:cstheme="minorHAnsi"/>
                <w:iCs/>
              </w:rPr>
            </w:pPr>
            <w:r w:rsidRPr="00DE12FD">
              <w:rPr>
                <w:rFonts w:cstheme="minorHAnsi"/>
                <w:iCs/>
              </w:rPr>
              <w:t>30 November</w:t>
            </w:r>
            <w:r w:rsidR="009C282C" w:rsidRPr="00DE12FD">
              <w:rPr>
                <w:rFonts w:cstheme="minorHAnsi"/>
                <w:iCs/>
              </w:rPr>
              <w:t xml:space="preserve"> 2023</w:t>
            </w:r>
          </w:p>
        </w:tc>
      </w:tr>
      <w:tr w:rsidR="007A79DF" w14:paraId="5EF1F6D2" w14:textId="77777777" w:rsidTr="007A79DF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389" w:type="pct"/>
          </w:tcPr>
          <w:p w14:paraId="7BDECAB5" w14:textId="415083F7" w:rsidR="007A79DF" w:rsidRDefault="00DC21A4" w:rsidP="00DC21A4">
            <w:r>
              <w:t xml:space="preserve">Response closing </w:t>
            </w:r>
            <w:r w:rsidR="0043321B">
              <w:t xml:space="preserve">time and </w:t>
            </w:r>
            <w:r>
              <w:t>d</w:t>
            </w:r>
            <w:r w:rsidR="007A79DF">
              <w:t>ate</w:t>
            </w:r>
          </w:p>
        </w:tc>
        <w:tc>
          <w:tcPr>
            <w:tcW w:w="2611" w:type="pct"/>
          </w:tcPr>
          <w:p w14:paraId="2D137811" w14:textId="6C7BD04B" w:rsidR="007A79DF" w:rsidRPr="00694944" w:rsidRDefault="00DD2F54" w:rsidP="00F8147F">
            <w:r w:rsidRPr="00DE12FD">
              <w:t xml:space="preserve">4.00pm, </w:t>
            </w:r>
            <w:r w:rsidR="00104FA1" w:rsidRPr="00DE12FD">
              <w:t>8</w:t>
            </w:r>
            <w:r w:rsidR="00ED168D" w:rsidRPr="00DE12FD">
              <w:t xml:space="preserve"> December </w:t>
            </w:r>
            <w:r w:rsidR="00CB2ABF" w:rsidRPr="00DE12FD">
              <w:t>2023</w:t>
            </w:r>
          </w:p>
        </w:tc>
      </w:tr>
      <w:tr w:rsidR="00B948DC" w14:paraId="10083E37" w14:textId="77777777" w:rsidTr="007A79DF">
        <w:trPr>
          <w:cantSplit/>
        </w:trPr>
        <w:tc>
          <w:tcPr>
            <w:tcW w:w="2389" w:type="pct"/>
            <w:hideMark/>
          </w:tcPr>
          <w:p w14:paraId="0396BD8B" w14:textId="04800CC1" w:rsidR="00B948DC" w:rsidRDefault="00DC21A4" w:rsidP="00985EB5">
            <w:pPr>
              <w:spacing w:before="40" w:after="4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Response</w:t>
            </w:r>
            <w:r w:rsidR="00B948DC">
              <w:rPr>
                <w:rFonts w:cstheme="minorHAnsi"/>
                <w:iCs/>
              </w:rPr>
              <w:t xml:space="preserve"> </w:t>
            </w:r>
            <w:r w:rsidR="00633084">
              <w:rPr>
                <w:rFonts w:cstheme="minorHAnsi"/>
                <w:iCs/>
              </w:rPr>
              <w:t>e</w:t>
            </w:r>
            <w:r w:rsidR="00B948DC">
              <w:rPr>
                <w:rFonts w:cstheme="minorHAnsi"/>
                <w:iCs/>
              </w:rPr>
              <w:t>valuation</w:t>
            </w:r>
            <w:r w:rsidR="0076555D">
              <w:rPr>
                <w:rFonts w:cstheme="minorHAnsi"/>
                <w:iCs/>
              </w:rPr>
              <w:t xml:space="preserve"> period</w:t>
            </w:r>
            <w:r w:rsidR="00E939CC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611" w:type="pct"/>
            <w:hideMark/>
          </w:tcPr>
          <w:p w14:paraId="48F23C83" w14:textId="28B0C5E6" w:rsidR="00B948DC" w:rsidRPr="00694944" w:rsidRDefault="003C0248" w:rsidP="00F8147F">
            <w:pPr>
              <w:spacing w:before="40" w:after="40"/>
              <w:rPr>
                <w:rFonts w:cstheme="minorHAnsi"/>
                <w:iCs/>
              </w:rPr>
            </w:pPr>
            <w:r w:rsidRPr="00DE12FD">
              <w:rPr>
                <w:rFonts w:cstheme="minorHAnsi"/>
                <w:iCs/>
              </w:rPr>
              <w:t>1</w:t>
            </w:r>
            <w:r w:rsidR="00FF1888" w:rsidRPr="00DE12FD">
              <w:rPr>
                <w:rFonts w:cstheme="minorHAnsi"/>
                <w:iCs/>
              </w:rPr>
              <w:t>1</w:t>
            </w:r>
            <w:r w:rsidRPr="00DE12FD">
              <w:rPr>
                <w:rFonts w:cstheme="minorHAnsi"/>
                <w:iCs/>
              </w:rPr>
              <w:t xml:space="preserve"> December </w:t>
            </w:r>
            <w:r w:rsidR="0031337E" w:rsidRPr="00DE12FD">
              <w:rPr>
                <w:rFonts w:cstheme="minorHAnsi"/>
                <w:iCs/>
              </w:rPr>
              <w:t xml:space="preserve">– </w:t>
            </w:r>
            <w:r w:rsidRPr="00DE12FD">
              <w:rPr>
                <w:rFonts w:cstheme="minorHAnsi"/>
                <w:iCs/>
              </w:rPr>
              <w:t>1</w:t>
            </w:r>
            <w:r w:rsidR="00F12037" w:rsidRPr="00DE12FD">
              <w:rPr>
                <w:rFonts w:cstheme="minorHAnsi"/>
                <w:iCs/>
              </w:rPr>
              <w:t>8</w:t>
            </w:r>
            <w:r w:rsidRPr="00DE12FD">
              <w:rPr>
                <w:rFonts w:cstheme="minorHAnsi"/>
                <w:iCs/>
              </w:rPr>
              <w:t xml:space="preserve"> December 2023</w:t>
            </w:r>
          </w:p>
        </w:tc>
      </w:tr>
      <w:tr w:rsidR="00B948DC" w14:paraId="102407D0" w14:textId="77777777" w:rsidTr="007A79DF">
        <w:trPr>
          <w:cantSplit/>
        </w:trPr>
        <w:tc>
          <w:tcPr>
            <w:tcW w:w="2389" w:type="pct"/>
          </w:tcPr>
          <w:p w14:paraId="2747888B" w14:textId="62E32B0B" w:rsidR="00B948DC" w:rsidRDefault="00167FCC" w:rsidP="00DC21A4">
            <w:pPr>
              <w:spacing w:before="40" w:after="4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Respondents notified whether their response is shortlisted</w:t>
            </w:r>
            <w:r w:rsidR="006F7A2C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611" w:type="pct"/>
          </w:tcPr>
          <w:p w14:paraId="7E4DF7B0" w14:textId="389A62B7" w:rsidR="00B948DC" w:rsidRPr="00694944" w:rsidRDefault="00133157" w:rsidP="00F8147F">
            <w:pPr>
              <w:spacing w:before="40" w:after="40"/>
              <w:rPr>
                <w:rFonts w:cstheme="minorHAnsi"/>
                <w:iCs/>
              </w:rPr>
            </w:pPr>
            <w:r w:rsidRPr="00DE12FD">
              <w:rPr>
                <w:rFonts w:cstheme="minorHAnsi"/>
                <w:iCs/>
              </w:rPr>
              <w:t>19</w:t>
            </w:r>
            <w:r w:rsidR="00D52B40" w:rsidRPr="00DE12FD">
              <w:rPr>
                <w:rFonts w:cstheme="minorHAnsi"/>
                <w:iCs/>
              </w:rPr>
              <w:t xml:space="preserve"> December 2023</w:t>
            </w:r>
          </w:p>
        </w:tc>
      </w:tr>
      <w:tr w:rsidR="006F7A2C" w14:paraId="31F5895F" w14:textId="77777777" w:rsidTr="007A79DF">
        <w:trPr>
          <w:cantSplit/>
        </w:trPr>
        <w:tc>
          <w:tcPr>
            <w:tcW w:w="2389" w:type="pct"/>
          </w:tcPr>
          <w:p w14:paraId="2F41D57A" w14:textId="7F8E926D" w:rsidR="006F7A2C" w:rsidRDefault="006F7A2C" w:rsidP="00167FCC">
            <w:pPr>
              <w:spacing w:before="40" w:after="4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Invitations to apply for VPF grant</w:t>
            </w:r>
            <w:r w:rsidR="00DC21A4">
              <w:rPr>
                <w:rFonts w:cstheme="minorHAnsi"/>
                <w:iCs/>
              </w:rPr>
              <w:t>s</w:t>
            </w:r>
            <w:r>
              <w:rPr>
                <w:rFonts w:cstheme="minorHAnsi"/>
                <w:iCs/>
              </w:rPr>
              <w:t xml:space="preserve"> </w:t>
            </w:r>
            <w:r w:rsidR="00167FCC">
              <w:rPr>
                <w:rFonts w:cstheme="minorHAnsi"/>
                <w:iCs/>
              </w:rPr>
              <w:t>issued</w:t>
            </w:r>
            <w:r w:rsidR="009F18F4">
              <w:rPr>
                <w:rFonts w:cstheme="minorHAnsi"/>
                <w:iCs/>
              </w:rPr>
              <w:t xml:space="preserve"> for shortlisted Responses</w:t>
            </w:r>
          </w:p>
        </w:tc>
        <w:tc>
          <w:tcPr>
            <w:tcW w:w="2611" w:type="pct"/>
          </w:tcPr>
          <w:p w14:paraId="0BA7730E" w14:textId="15C9D7A1" w:rsidR="006F7A2C" w:rsidRPr="00694944" w:rsidRDefault="00133157" w:rsidP="000105CC">
            <w:pPr>
              <w:spacing w:before="40" w:after="40"/>
              <w:rPr>
                <w:rFonts w:cstheme="minorHAnsi"/>
                <w:iCs/>
              </w:rPr>
            </w:pPr>
            <w:r w:rsidRPr="00DE12FD">
              <w:rPr>
                <w:rFonts w:cstheme="minorHAnsi"/>
                <w:iCs/>
              </w:rPr>
              <w:t>19</w:t>
            </w:r>
            <w:r w:rsidR="003C0248" w:rsidRPr="00DE12FD">
              <w:rPr>
                <w:rFonts w:cstheme="minorHAnsi"/>
                <w:iCs/>
              </w:rPr>
              <w:t xml:space="preserve"> December</w:t>
            </w:r>
            <w:r w:rsidR="0031337E" w:rsidRPr="00DE12FD">
              <w:rPr>
                <w:rFonts w:cstheme="minorHAnsi"/>
                <w:iCs/>
              </w:rPr>
              <w:t xml:space="preserve"> 2023</w:t>
            </w:r>
            <w:r w:rsidR="003C0248" w:rsidRPr="00DE12FD">
              <w:rPr>
                <w:rFonts w:cstheme="minorHAnsi"/>
                <w:iCs/>
              </w:rPr>
              <w:t xml:space="preserve"> </w:t>
            </w:r>
          </w:p>
        </w:tc>
      </w:tr>
      <w:tr w:rsidR="000A28F5" w14:paraId="7C50DACD" w14:textId="77777777" w:rsidTr="007A79DF">
        <w:trPr>
          <w:cantSplit/>
        </w:trPr>
        <w:tc>
          <w:tcPr>
            <w:tcW w:w="2389" w:type="pct"/>
          </w:tcPr>
          <w:p w14:paraId="7AB62F62" w14:textId="1D0EDFF0" w:rsidR="000A28F5" w:rsidDel="00633084" w:rsidRDefault="00DC21A4" w:rsidP="00F36B9D">
            <w:pPr>
              <w:spacing w:before="40" w:after="4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Grant a</w:t>
            </w:r>
            <w:r w:rsidR="000A28F5">
              <w:rPr>
                <w:rFonts w:cstheme="minorHAnsi"/>
                <w:iCs/>
              </w:rPr>
              <w:t>pplication</w:t>
            </w:r>
            <w:r w:rsidR="0043321B">
              <w:rPr>
                <w:rFonts w:cstheme="minorHAnsi"/>
                <w:iCs/>
              </w:rPr>
              <w:t>s required by</w:t>
            </w:r>
          </w:p>
        </w:tc>
        <w:tc>
          <w:tcPr>
            <w:tcW w:w="2611" w:type="pct"/>
          </w:tcPr>
          <w:p w14:paraId="3A44CBF2" w14:textId="05C6B8CA" w:rsidR="000A28F5" w:rsidRPr="00694944" w:rsidDel="000A28F5" w:rsidRDefault="00415933" w:rsidP="000105CC">
            <w:pPr>
              <w:spacing w:before="40" w:after="40"/>
              <w:rPr>
                <w:rFonts w:cstheme="minorHAnsi"/>
                <w:iCs/>
              </w:rPr>
            </w:pPr>
            <w:r w:rsidRPr="00DE12FD">
              <w:rPr>
                <w:rFonts w:cstheme="minorHAnsi"/>
                <w:iCs/>
              </w:rPr>
              <w:t>2</w:t>
            </w:r>
            <w:r w:rsidR="001F7F25" w:rsidRPr="00DE12FD">
              <w:rPr>
                <w:rFonts w:cstheme="minorHAnsi"/>
                <w:iCs/>
              </w:rPr>
              <w:t>5</w:t>
            </w:r>
            <w:r w:rsidR="0031337E" w:rsidRPr="00DE12FD">
              <w:rPr>
                <w:rFonts w:cstheme="minorHAnsi"/>
                <w:iCs/>
              </w:rPr>
              <w:t xml:space="preserve"> January 2024</w:t>
            </w:r>
          </w:p>
        </w:tc>
      </w:tr>
      <w:tr w:rsidR="000A28F5" w14:paraId="0821441E" w14:textId="77777777" w:rsidTr="007A79DF">
        <w:trPr>
          <w:cantSplit/>
        </w:trPr>
        <w:tc>
          <w:tcPr>
            <w:tcW w:w="2389" w:type="pct"/>
          </w:tcPr>
          <w:p w14:paraId="198B2E1A" w14:textId="7B62BCFA" w:rsidR="000A28F5" w:rsidDel="00633084" w:rsidRDefault="00DC21A4" w:rsidP="00740BEC">
            <w:pPr>
              <w:spacing w:before="40" w:after="4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Grant a</w:t>
            </w:r>
            <w:r w:rsidR="000A28F5">
              <w:rPr>
                <w:rFonts w:cstheme="minorHAnsi"/>
                <w:iCs/>
              </w:rPr>
              <w:t>pplication evaluation period</w:t>
            </w:r>
          </w:p>
        </w:tc>
        <w:tc>
          <w:tcPr>
            <w:tcW w:w="2611" w:type="pct"/>
          </w:tcPr>
          <w:p w14:paraId="0B744FAD" w14:textId="55C9E8A1" w:rsidR="000A28F5" w:rsidRPr="00694944" w:rsidDel="000A28F5" w:rsidRDefault="0047140F" w:rsidP="00233FAD">
            <w:pPr>
              <w:spacing w:before="40" w:after="40"/>
              <w:rPr>
                <w:rFonts w:cstheme="minorHAnsi"/>
                <w:iCs/>
              </w:rPr>
            </w:pPr>
            <w:r w:rsidRPr="00DE12FD">
              <w:rPr>
                <w:rFonts w:cstheme="minorHAnsi"/>
                <w:iCs/>
              </w:rPr>
              <w:t>29</w:t>
            </w:r>
            <w:r w:rsidR="00D96EE3" w:rsidRPr="00DE12FD">
              <w:rPr>
                <w:rFonts w:cstheme="minorHAnsi"/>
                <w:iCs/>
              </w:rPr>
              <w:t xml:space="preserve"> January – </w:t>
            </w:r>
            <w:r w:rsidR="00D84300" w:rsidRPr="00DE12FD">
              <w:rPr>
                <w:rFonts w:cstheme="minorHAnsi"/>
                <w:iCs/>
              </w:rPr>
              <w:t>8 March</w:t>
            </w:r>
            <w:r w:rsidRPr="00DE12FD">
              <w:rPr>
                <w:rFonts w:cstheme="minorHAnsi"/>
                <w:iCs/>
              </w:rPr>
              <w:t xml:space="preserve"> </w:t>
            </w:r>
            <w:r w:rsidR="00C21B49" w:rsidRPr="00DE12FD">
              <w:rPr>
                <w:rFonts w:cstheme="minorHAnsi"/>
                <w:iCs/>
              </w:rPr>
              <w:t>2024</w:t>
            </w:r>
          </w:p>
        </w:tc>
      </w:tr>
      <w:tr w:rsidR="000A28F5" w14:paraId="2AA84B42" w14:textId="77777777" w:rsidTr="007A79DF">
        <w:trPr>
          <w:cantSplit/>
        </w:trPr>
        <w:tc>
          <w:tcPr>
            <w:tcW w:w="2389" w:type="pct"/>
          </w:tcPr>
          <w:p w14:paraId="367D5C10" w14:textId="2A3C82A9" w:rsidR="000A28F5" w:rsidRDefault="000A28F5" w:rsidP="006F7A2C">
            <w:pPr>
              <w:spacing w:before="40" w:after="4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Ministerial decisions on applications</w:t>
            </w:r>
            <w:r w:rsidR="00F22CE7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611" w:type="pct"/>
          </w:tcPr>
          <w:p w14:paraId="0241A01E" w14:textId="4A37003F" w:rsidR="000A28F5" w:rsidRPr="00694944" w:rsidRDefault="00337715" w:rsidP="000855C5">
            <w:pPr>
              <w:spacing w:before="40" w:after="40"/>
              <w:rPr>
                <w:rFonts w:cstheme="minorHAnsi"/>
                <w:iCs/>
              </w:rPr>
            </w:pPr>
            <w:r w:rsidRPr="00DE12FD">
              <w:rPr>
                <w:rFonts w:cstheme="minorHAnsi"/>
                <w:iCs/>
              </w:rPr>
              <w:t>March</w:t>
            </w:r>
            <w:r w:rsidR="00D96EE3" w:rsidRPr="00DE12FD">
              <w:rPr>
                <w:rFonts w:cstheme="minorHAnsi"/>
                <w:iCs/>
              </w:rPr>
              <w:t xml:space="preserve"> 2024</w:t>
            </w:r>
          </w:p>
        </w:tc>
      </w:tr>
      <w:tr w:rsidR="00F22CE7" w14:paraId="71FC8732" w14:textId="77777777" w:rsidTr="007A79DF">
        <w:trPr>
          <w:cantSplit/>
        </w:trPr>
        <w:tc>
          <w:tcPr>
            <w:tcW w:w="2389" w:type="pct"/>
          </w:tcPr>
          <w:p w14:paraId="2E5985F0" w14:textId="15F8A9ED" w:rsidR="00F22CE7" w:rsidRDefault="00E653B8">
            <w:pPr>
              <w:spacing w:before="40" w:after="4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Execution of </w:t>
            </w:r>
            <w:r w:rsidR="00DC21A4">
              <w:rPr>
                <w:rFonts w:cstheme="minorHAnsi"/>
                <w:iCs/>
              </w:rPr>
              <w:t>funding a</w:t>
            </w:r>
            <w:r w:rsidR="00C60EF9">
              <w:rPr>
                <w:rFonts w:cstheme="minorHAnsi"/>
                <w:iCs/>
              </w:rPr>
              <w:t>greement</w:t>
            </w:r>
            <w:r w:rsidR="00DC21A4">
              <w:rPr>
                <w:rFonts w:cstheme="minorHAnsi"/>
                <w:iCs/>
              </w:rPr>
              <w:t>s</w:t>
            </w:r>
          </w:p>
        </w:tc>
        <w:tc>
          <w:tcPr>
            <w:tcW w:w="2611" w:type="pct"/>
          </w:tcPr>
          <w:p w14:paraId="3B7426AD" w14:textId="503F23A6" w:rsidR="00F22CE7" w:rsidRPr="00694944" w:rsidRDefault="00D96EE3" w:rsidP="00233FAD">
            <w:pPr>
              <w:spacing w:before="40" w:after="40"/>
              <w:rPr>
                <w:rFonts w:cstheme="minorHAnsi"/>
                <w:iCs/>
              </w:rPr>
            </w:pPr>
            <w:r w:rsidRPr="00DE12FD">
              <w:rPr>
                <w:rFonts w:cstheme="minorHAnsi"/>
                <w:iCs/>
              </w:rPr>
              <w:t>March</w:t>
            </w:r>
            <w:r w:rsidR="00337715" w:rsidRPr="00DE12FD">
              <w:rPr>
                <w:rFonts w:cstheme="minorHAnsi"/>
                <w:iCs/>
              </w:rPr>
              <w:t>/April</w:t>
            </w:r>
            <w:r w:rsidRPr="00DE12FD">
              <w:rPr>
                <w:rFonts w:cstheme="minorHAnsi"/>
                <w:iCs/>
              </w:rPr>
              <w:t xml:space="preserve"> 2024</w:t>
            </w:r>
          </w:p>
        </w:tc>
      </w:tr>
    </w:tbl>
    <w:p w14:paraId="514C6731" w14:textId="21476755" w:rsidR="0066213A" w:rsidRDefault="00740BEC" w:rsidP="0066213A">
      <w:r>
        <w:t>CAV</w:t>
      </w:r>
      <w:r w:rsidR="0066213A">
        <w:t xml:space="preserve"> reserves the right to amend the </w:t>
      </w:r>
      <w:r w:rsidR="00C732CF">
        <w:t>key dates</w:t>
      </w:r>
      <w:r w:rsidR="0066213A">
        <w:t xml:space="preserve">. If </w:t>
      </w:r>
      <w:r>
        <w:t>CAV</w:t>
      </w:r>
      <w:r w:rsidR="0066213A">
        <w:t xml:space="preserve"> decides to change any of the key dates</w:t>
      </w:r>
      <w:r w:rsidR="00C732CF">
        <w:t>,</w:t>
      </w:r>
      <w:r w:rsidR="0066213A">
        <w:t xml:space="preserve"> it will </w:t>
      </w:r>
      <w:r w:rsidR="00762D24">
        <w:t>publish the new dates on the CAV website (</w:t>
      </w:r>
      <w:hyperlink r:id="rId13" w:history="1">
        <w:r w:rsidR="000B759B" w:rsidRPr="00DE12FD">
          <w:rPr>
            <w:rStyle w:val="Hyperlink"/>
          </w:rPr>
          <w:t>www.consumer.vic.gov.au/rentalstresssupport</w:t>
        </w:r>
      </w:hyperlink>
      <w:r w:rsidR="00762D24" w:rsidRPr="00337715">
        <w:t>)</w:t>
      </w:r>
      <w:r w:rsidR="0066213A" w:rsidRPr="00337715">
        <w:t>.</w:t>
      </w:r>
      <w:r w:rsidR="0066213A">
        <w:t xml:space="preserve"> </w:t>
      </w:r>
    </w:p>
    <w:p w14:paraId="7B1F9837" w14:textId="52C5B2A7" w:rsidR="00812BAE" w:rsidRDefault="00A64305" w:rsidP="006B29C1">
      <w:pPr>
        <w:pStyle w:val="Heading2"/>
      </w:pPr>
      <w:bookmarkStart w:id="19" w:name="_Toc151041940"/>
      <w:r>
        <w:t xml:space="preserve">EOI </w:t>
      </w:r>
      <w:r w:rsidR="00145886">
        <w:t>Response</w:t>
      </w:r>
      <w:r w:rsidR="00812BAE">
        <w:t xml:space="preserve"> Process</w:t>
      </w:r>
      <w:bookmarkEnd w:id="19"/>
    </w:p>
    <w:p w14:paraId="061F78E2" w14:textId="29DBBEF7" w:rsidR="00812BAE" w:rsidRDefault="00A64305" w:rsidP="006B29C1">
      <w:pPr>
        <w:pStyle w:val="Heading3"/>
      </w:pPr>
      <w:r>
        <w:t>EOI r</w:t>
      </w:r>
      <w:r w:rsidR="00145886">
        <w:t>esponse</w:t>
      </w:r>
      <w:r w:rsidR="004B5053">
        <w:t xml:space="preserve"> </w:t>
      </w:r>
      <w:r w:rsidR="00117477">
        <w:t>limitations</w:t>
      </w:r>
    </w:p>
    <w:p w14:paraId="5C11FD44" w14:textId="4B53DB0E" w:rsidR="00B0517F" w:rsidRPr="00EF5F7E" w:rsidRDefault="00FE1124" w:rsidP="00FE1124">
      <w:r w:rsidRPr="00EF5F7E">
        <w:t xml:space="preserve">Respondents </w:t>
      </w:r>
      <w:r w:rsidR="00B45423" w:rsidRPr="00EF5F7E">
        <w:t xml:space="preserve">must </w:t>
      </w:r>
      <w:r w:rsidR="00B0517F" w:rsidRPr="00EF5F7E">
        <w:t xml:space="preserve">not </w:t>
      </w:r>
      <w:r w:rsidR="00B45423" w:rsidRPr="00EF5F7E">
        <w:t xml:space="preserve">submit </w:t>
      </w:r>
      <w:r w:rsidR="0076555D" w:rsidRPr="00EF5F7E">
        <w:t xml:space="preserve">more than one </w:t>
      </w:r>
      <w:r w:rsidR="00422714" w:rsidRPr="00EF5F7E">
        <w:t>R</w:t>
      </w:r>
      <w:r w:rsidR="0076555D" w:rsidRPr="00EF5F7E">
        <w:t>esponse to this EOI</w:t>
      </w:r>
      <w:r w:rsidR="00B0517F" w:rsidRPr="00EF5F7E">
        <w:t xml:space="preserve">. </w:t>
      </w:r>
    </w:p>
    <w:p w14:paraId="24D518BA" w14:textId="62C18181" w:rsidR="00117477" w:rsidRDefault="00677227" w:rsidP="006B29C1">
      <w:pPr>
        <w:pStyle w:val="Heading3"/>
      </w:pPr>
      <w:r>
        <w:t>R</w:t>
      </w:r>
      <w:r w:rsidR="00117477">
        <w:t>esponse documentation and submission process</w:t>
      </w:r>
    </w:p>
    <w:p w14:paraId="75CCA073" w14:textId="00632C75" w:rsidR="002423C3" w:rsidRDefault="00775D33" w:rsidP="002423C3">
      <w:r>
        <w:t>To submit a</w:t>
      </w:r>
      <w:r w:rsidR="0076555D">
        <w:t xml:space="preserve"> </w:t>
      </w:r>
      <w:r>
        <w:t>Response</w:t>
      </w:r>
      <w:r w:rsidR="0076555D">
        <w:t xml:space="preserve">, Respondents are required to complete and return </w:t>
      </w:r>
      <w:r w:rsidR="002423C3">
        <w:t xml:space="preserve">one (1) digital copy of the completed, signed and dated </w:t>
      </w:r>
      <w:r w:rsidR="00422714">
        <w:t>Response and Certification</w:t>
      </w:r>
      <w:r>
        <w:t xml:space="preserve"> </w:t>
      </w:r>
      <w:r w:rsidR="00964CD7">
        <w:t>f</w:t>
      </w:r>
      <w:r>
        <w:t>orm</w:t>
      </w:r>
      <w:r w:rsidR="00422714">
        <w:t xml:space="preserve">, </w:t>
      </w:r>
      <w:r w:rsidR="00422714" w:rsidRPr="00156FE8">
        <w:t>in</w:t>
      </w:r>
      <w:r w:rsidR="00964CD7" w:rsidRPr="00156FE8">
        <w:t>cluding</w:t>
      </w:r>
      <w:r w:rsidRPr="008475F5">
        <w:t xml:space="preserve"> </w:t>
      </w:r>
      <w:r w:rsidR="0076555D" w:rsidRPr="00441853">
        <w:t xml:space="preserve">Schedules 1 to </w:t>
      </w:r>
      <w:r w:rsidR="00AF4D1A">
        <w:t>6</w:t>
      </w:r>
      <w:r w:rsidR="0076555D" w:rsidRPr="00156FE8">
        <w:t xml:space="preserve"> (the Returnable Schedules</w:t>
      </w:r>
      <w:r w:rsidR="00964CD7" w:rsidRPr="008475F5">
        <w:t>)</w:t>
      </w:r>
      <w:r w:rsidR="002423C3" w:rsidRPr="00441853">
        <w:t>,</w:t>
      </w:r>
      <w:r w:rsidR="002423C3" w:rsidRPr="002423C3">
        <w:t xml:space="preserve"> </w:t>
      </w:r>
      <w:r w:rsidR="002423C3">
        <w:t>in accordance with the submission requirements set out below. Unsigned copies will not be accepted.</w:t>
      </w:r>
      <w:r w:rsidR="002423C3" w:rsidRPr="002423C3">
        <w:t xml:space="preserve"> </w:t>
      </w:r>
      <w:r w:rsidR="002423C3">
        <w:t xml:space="preserve">A copy of the Response and Certification form can be downloaded from the CAV </w:t>
      </w:r>
      <w:r w:rsidR="002423C3" w:rsidRPr="00337715">
        <w:t xml:space="preserve">website. </w:t>
      </w:r>
      <w:r w:rsidR="000B6A6F" w:rsidRPr="00337715" w:rsidDel="00742F4B">
        <w:fldChar w:fldCharType="begin"/>
      </w:r>
      <w:r w:rsidR="000B6A6F" w:rsidRPr="00337715" w:rsidDel="00742F4B">
        <w:fldChar w:fldCharType="separate"/>
      </w:r>
      <w:r w:rsidR="002423C3" w:rsidRPr="00337715" w:rsidDel="00742F4B">
        <w:rPr>
          <w:rStyle w:val="Hyperlink"/>
        </w:rPr>
        <w:t>www.consumer.vic.gov.au/</w:t>
      </w:r>
      <w:r w:rsidR="00742F4B" w:rsidRPr="00DE12FD">
        <w:rPr>
          <w:rStyle w:val="Hyperlink"/>
        </w:rPr>
        <w:t>rentalstresssupport</w:t>
      </w:r>
      <w:r w:rsidR="000B6A6F" w:rsidRPr="00337715" w:rsidDel="00742F4B">
        <w:rPr>
          <w:rStyle w:val="Hyperlink"/>
        </w:rPr>
        <w:fldChar w:fldCharType="end"/>
      </w:r>
    </w:p>
    <w:p w14:paraId="13C2310A" w14:textId="1442B20A" w:rsidR="00087334" w:rsidRDefault="002423C3" w:rsidP="00B241D8">
      <w:r>
        <w:t>Respondents may also be required to provide additional</w:t>
      </w:r>
      <w:r w:rsidRPr="004263AC">
        <w:t xml:space="preserve"> documentary evidence</w:t>
      </w:r>
      <w:r>
        <w:t xml:space="preserve"> to support their Response if requested</w:t>
      </w:r>
      <w:r w:rsidR="00087334">
        <w:t xml:space="preserve"> by CAV</w:t>
      </w:r>
      <w:r>
        <w:t xml:space="preserve">. </w:t>
      </w:r>
    </w:p>
    <w:p w14:paraId="33CEDD3F" w14:textId="6FB7311B" w:rsidR="00B241D8" w:rsidRDefault="00087334" w:rsidP="00B241D8">
      <w:r>
        <w:t>CAV will acknowledge receipt of Responses by return email.</w:t>
      </w:r>
    </w:p>
    <w:p w14:paraId="72ABF70A" w14:textId="624DF262" w:rsidR="00FB72C9" w:rsidRPr="00B241D8" w:rsidRDefault="00FB72C9" w:rsidP="00B241D8"/>
    <w:p w14:paraId="452D25D9" w14:textId="77777777" w:rsidR="005A3B9F" w:rsidRDefault="005A3B9F">
      <w:pPr>
        <w:spacing w:before="0" w:after="200"/>
        <w:rPr>
          <w:i/>
          <w:iCs/>
          <w:color w:val="1F497D" w:themeColor="text2"/>
          <w:sz w:val="18"/>
          <w:szCs w:val="18"/>
        </w:rPr>
      </w:pPr>
      <w:r>
        <w:br w:type="page"/>
      </w:r>
    </w:p>
    <w:p w14:paraId="3700C0D2" w14:textId="63EE39D2" w:rsidR="00812BAE" w:rsidRDefault="00812BAE" w:rsidP="00812BAE">
      <w:pPr>
        <w:pStyle w:val="Caption"/>
        <w:keepNext/>
      </w:pPr>
      <w:r>
        <w:t xml:space="preserve">Table </w:t>
      </w:r>
      <w:r w:rsidR="002460DD">
        <w:t>2</w:t>
      </w:r>
      <w:r>
        <w:t xml:space="preserve"> </w:t>
      </w:r>
      <w:r w:rsidR="00750966">
        <w:t>–</w:t>
      </w:r>
      <w:r>
        <w:t xml:space="preserve"> </w:t>
      </w:r>
      <w:r w:rsidR="00750966">
        <w:t xml:space="preserve">Response </w:t>
      </w:r>
      <w:r w:rsidRPr="00DB1810">
        <w:t>Submission Requirements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547"/>
        <w:gridCol w:w="5749"/>
      </w:tblGrid>
      <w:tr w:rsidR="00D87155" w14:paraId="1A9341B0" w14:textId="77777777" w:rsidTr="00775D33">
        <w:trPr>
          <w:trHeight w:val="518"/>
        </w:trPr>
        <w:tc>
          <w:tcPr>
            <w:tcW w:w="2547" w:type="dxa"/>
          </w:tcPr>
          <w:p w14:paraId="5A486BB5" w14:textId="5E6E26AC" w:rsidR="00D87155" w:rsidRDefault="00D87155" w:rsidP="00812BAE">
            <w:r>
              <w:t>Email address</w:t>
            </w:r>
            <w:r w:rsidR="003A6114">
              <w:t>ed to</w:t>
            </w:r>
            <w:r>
              <w:t>:</w:t>
            </w:r>
          </w:p>
        </w:tc>
        <w:tc>
          <w:tcPr>
            <w:tcW w:w="5749" w:type="dxa"/>
          </w:tcPr>
          <w:p w14:paraId="2758F3F2" w14:textId="248BED7B" w:rsidR="00D87155" w:rsidRPr="00964CD7" w:rsidRDefault="00476434" w:rsidP="00A64305">
            <w:hyperlink r:id="rId14" w:history="1">
              <w:r w:rsidR="00BA71E6" w:rsidRPr="00964CD7">
                <w:rPr>
                  <w:rStyle w:val="Hyperlink"/>
                  <w:rFonts w:eastAsia="Times New Roman"/>
                  <w:lang w:val="en"/>
                </w:rPr>
                <w:t>vpf.grant.enquiries@justice.vic.gov.au</w:t>
              </w:r>
            </w:hyperlink>
          </w:p>
        </w:tc>
      </w:tr>
      <w:tr w:rsidR="00812BAE" w14:paraId="3B87B87D" w14:textId="77777777" w:rsidTr="00775D33">
        <w:trPr>
          <w:trHeight w:val="518"/>
        </w:trPr>
        <w:tc>
          <w:tcPr>
            <w:tcW w:w="2547" w:type="dxa"/>
          </w:tcPr>
          <w:p w14:paraId="32F1F79B" w14:textId="6688EE21" w:rsidR="00812BAE" w:rsidRDefault="00D87155" w:rsidP="00D87155">
            <w:r>
              <w:t>Email reference</w:t>
            </w:r>
            <w:r w:rsidR="00812BAE">
              <w:t>:</w:t>
            </w:r>
          </w:p>
        </w:tc>
        <w:tc>
          <w:tcPr>
            <w:tcW w:w="5749" w:type="dxa"/>
          </w:tcPr>
          <w:p w14:paraId="07B4BB72" w14:textId="484D85D9" w:rsidR="00812BAE" w:rsidRPr="00337715" w:rsidRDefault="00D87155" w:rsidP="005A3B9F">
            <w:pPr>
              <w:spacing w:before="0" w:after="0"/>
            </w:pPr>
            <w:r w:rsidRPr="00337715">
              <w:t xml:space="preserve">“(Your </w:t>
            </w:r>
            <w:r w:rsidR="007A37E4" w:rsidRPr="00DE12FD">
              <w:t>NFP</w:t>
            </w:r>
            <w:r w:rsidR="007A37E4" w:rsidRPr="00337715">
              <w:t xml:space="preserve">’s </w:t>
            </w:r>
            <w:r w:rsidRPr="00337715">
              <w:t xml:space="preserve">name) – </w:t>
            </w:r>
            <w:r w:rsidR="00964CD7" w:rsidRPr="00337715">
              <w:t>Response</w:t>
            </w:r>
            <w:r w:rsidR="003A6114" w:rsidRPr="00337715">
              <w:t xml:space="preserve"> for</w:t>
            </w:r>
            <w:r w:rsidRPr="00337715">
              <w:t xml:space="preserve"> </w:t>
            </w:r>
            <w:r w:rsidR="007A37E4" w:rsidRPr="00DE12FD">
              <w:t>Rental Stress Support Package 2023-24</w:t>
            </w:r>
            <w:r w:rsidRPr="00337715">
              <w:t>”</w:t>
            </w:r>
          </w:p>
        </w:tc>
      </w:tr>
      <w:tr w:rsidR="003A6114" w14:paraId="4B959AE6" w14:textId="77777777" w:rsidTr="00775D33">
        <w:trPr>
          <w:trHeight w:val="279"/>
        </w:trPr>
        <w:tc>
          <w:tcPr>
            <w:tcW w:w="2547" w:type="dxa"/>
          </w:tcPr>
          <w:p w14:paraId="49F3DEE8" w14:textId="6362D297" w:rsidR="003A6114" w:rsidRDefault="00764495" w:rsidP="00D87155">
            <w:r>
              <w:t>Format of digital copy of Response:</w:t>
            </w:r>
          </w:p>
        </w:tc>
        <w:tc>
          <w:tcPr>
            <w:tcW w:w="5749" w:type="dxa"/>
          </w:tcPr>
          <w:p w14:paraId="2BBB4D6A" w14:textId="3D117FDB" w:rsidR="003A6114" w:rsidRPr="00337715" w:rsidRDefault="003A6114" w:rsidP="00764495">
            <w:r w:rsidRPr="00337715">
              <w:t xml:space="preserve">MS Word or PDF </w:t>
            </w:r>
          </w:p>
        </w:tc>
      </w:tr>
      <w:tr w:rsidR="00812BAE" w14:paraId="62CC74AC" w14:textId="77777777" w:rsidTr="00775D33">
        <w:trPr>
          <w:trHeight w:val="279"/>
        </w:trPr>
        <w:tc>
          <w:tcPr>
            <w:tcW w:w="2547" w:type="dxa"/>
          </w:tcPr>
          <w:p w14:paraId="60BD7677" w14:textId="216AB9D4" w:rsidR="00812BAE" w:rsidRDefault="00764495" w:rsidP="00D87155">
            <w:r>
              <w:t>Emails</w:t>
            </w:r>
            <w:r w:rsidR="00964CD7">
              <w:t xml:space="preserve"> with attached Response</w:t>
            </w:r>
            <w:r>
              <w:t xml:space="preserve"> to be received by CAV no later than</w:t>
            </w:r>
            <w:r w:rsidR="00812BAE">
              <w:t>:</w:t>
            </w:r>
          </w:p>
        </w:tc>
        <w:tc>
          <w:tcPr>
            <w:tcW w:w="5749" w:type="dxa"/>
          </w:tcPr>
          <w:p w14:paraId="5F769203" w14:textId="51C0B370" w:rsidR="00812BAE" w:rsidRPr="00337715" w:rsidRDefault="007A37E4" w:rsidP="005A3B9F">
            <w:r w:rsidRPr="00337715">
              <w:t>4</w:t>
            </w:r>
            <w:r w:rsidR="00441853" w:rsidRPr="00337715">
              <w:t>:</w:t>
            </w:r>
            <w:r w:rsidR="00441853" w:rsidRPr="006C5B16">
              <w:t>00</w:t>
            </w:r>
            <w:r w:rsidR="00BF6AF5" w:rsidRPr="006C5B16">
              <w:t xml:space="preserve">pm, </w:t>
            </w:r>
            <w:r w:rsidR="00BC25E0" w:rsidRPr="00DE12FD">
              <w:t>Friday</w:t>
            </w:r>
            <w:r w:rsidR="006C5B16" w:rsidRPr="00DE12FD">
              <w:t>,</w:t>
            </w:r>
            <w:r w:rsidR="00BC25E0" w:rsidRPr="00DE12FD">
              <w:t xml:space="preserve"> </w:t>
            </w:r>
            <w:r w:rsidR="006C5B16" w:rsidRPr="00DE12FD">
              <w:t xml:space="preserve">8 </w:t>
            </w:r>
            <w:r w:rsidR="00BC25E0" w:rsidRPr="00DE12FD">
              <w:t>December</w:t>
            </w:r>
            <w:r w:rsidR="002423C3" w:rsidRPr="006C5B16">
              <w:t xml:space="preserve"> </w:t>
            </w:r>
            <w:r w:rsidR="00812BAE" w:rsidRPr="006C5B16">
              <w:t>20</w:t>
            </w:r>
            <w:r w:rsidR="00BC25E0" w:rsidRPr="006C5B16">
              <w:t>23</w:t>
            </w:r>
            <w:r w:rsidR="002423C3" w:rsidRPr="00337715">
              <w:t xml:space="preserve"> </w:t>
            </w:r>
          </w:p>
        </w:tc>
      </w:tr>
    </w:tbl>
    <w:p w14:paraId="7BE4F220" w14:textId="6FB6A711" w:rsidR="00812BAE" w:rsidRDefault="00641D0B" w:rsidP="006B29C1">
      <w:pPr>
        <w:pStyle w:val="Heading3"/>
      </w:pPr>
      <w:bookmarkStart w:id="20" w:name="_Ref467775059"/>
      <w:r>
        <w:t>Response</w:t>
      </w:r>
      <w:r w:rsidR="00470030">
        <w:t xml:space="preserve"> </w:t>
      </w:r>
      <w:r>
        <w:t>evaluation</w:t>
      </w:r>
      <w:r w:rsidR="004B5053">
        <w:t xml:space="preserve"> p</w:t>
      </w:r>
      <w:r w:rsidR="00812BAE">
        <w:t>rocess</w:t>
      </w:r>
      <w:bookmarkEnd w:id="20"/>
    </w:p>
    <w:p w14:paraId="6E45CDCD" w14:textId="501EB50C" w:rsidR="00883196" w:rsidRDefault="00812BAE" w:rsidP="00812BAE">
      <w:r>
        <w:t xml:space="preserve">The </w:t>
      </w:r>
      <w:r w:rsidR="00641D0B">
        <w:t>completed and signed Response and Certification form</w:t>
      </w:r>
      <w:r>
        <w:t xml:space="preserve"> </w:t>
      </w:r>
      <w:r w:rsidR="00E937A3">
        <w:t>(</w:t>
      </w:r>
      <w:r>
        <w:t xml:space="preserve">and </w:t>
      </w:r>
      <w:r w:rsidR="00DA4E68">
        <w:t xml:space="preserve">any </w:t>
      </w:r>
      <w:r w:rsidR="00E937A3">
        <w:t>additional</w:t>
      </w:r>
      <w:r w:rsidR="00E23858">
        <w:t xml:space="preserve"> </w:t>
      </w:r>
      <w:r w:rsidR="00DA4E68">
        <w:t xml:space="preserve">supporting </w:t>
      </w:r>
      <w:r>
        <w:t xml:space="preserve">documentation </w:t>
      </w:r>
      <w:r w:rsidR="00E23858">
        <w:t>requested by CAV</w:t>
      </w:r>
      <w:r w:rsidR="00B706C1">
        <w:t>)</w:t>
      </w:r>
      <w:r w:rsidR="00E23858">
        <w:t xml:space="preserve"> </w:t>
      </w:r>
      <w:r>
        <w:t xml:space="preserve">will be the material assessed. </w:t>
      </w:r>
      <w:r w:rsidR="00883196">
        <w:t xml:space="preserve">The </w:t>
      </w:r>
      <w:r w:rsidR="00641D0B">
        <w:t>Response evaluation</w:t>
      </w:r>
      <w:r w:rsidR="00883196">
        <w:t xml:space="preserve"> process will involve three stages, as set out in the table below:</w:t>
      </w:r>
    </w:p>
    <w:p w14:paraId="06F51907" w14:textId="0E8968FA" w:rsidR="00FD5DDF" w:rsidRDefault="00FD5DDF" w:rsidP="00FD5DDF">
      <w:pPr>
        <w:pStyle w:val="Caption"/>
        <w:keepNext/>
      </w:pPr>
      <w:r>
        <w:t xml:space="preserve">Table </w:t>
      </w:r>
      <w:r w:rsidR="002460DD">
        <w:t>3</w:t>
      </w:r>
      <w:r>
        <w:t xml:space="preserve"> – Evaluation Process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039"/>
        <w:gridCol w:w="5441"/>
      </w:tblGrid>
      <w:tr w:rsidR="00883196" w14:paraId="3B824FF1" w14:textId="77777777" w:rsidTr="00DB67C9">
        <w:trPr>
          <w:cantSplit/>
          <w:tblHeader/>
        </w:trPr>
        <w:tc>
          <w:tcPr>
            <w:tcW w:w="492" w:type="pct"/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D639" w14:textId="77777777" w:rsidR="00883196" w:rsidRPr="002368F0" w:rsidRDefault="00883196" w:rsidP="002368F0">
            <w:pPr>
              <w:rPr>
                <w:b/>
                <w:bCs/>
                <w:color w:val="FFFFFF" w:themeColor="background1"/>
              </w:rPr>
            </w:pPr>
            <w:r w:rsidRPr="002368F0">
              <w:rPr>
                <w:b/>
                <w:bCs/>
                <w:color w:val="FFFFFF" w:themeColor="background1"/>
              </w:rPr>
              <w:t>Stage</w:t>
            </w:r>
          </w:p>
        </w:tc>
        <w:tc>
          <w:tcPr>
            <w:tcW w:w="1229" w:type="pct"/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F06C" w14:textId="77777777" w:rsidR="00883196" w:rsidRPr="002368F0" w:rsidRDefault="00883196" w:rsidP="002368F0">
            <w:pPr>
              <w:rPr>
                <w:b/>
                <w:bCs/>
                <w:color w:val="FFFFFF" w:themeColor="background1"/>
              </w:rPr>
            </w:pPr>
            <w:r w:rsidRPr="002368F0">
              <w:rPr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3279" w:type="pct"/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1D0D" w14:textId="77777777" w:rsidR="00883196" w:rsidRPr="002368F0" w:rsidRDefault="00883196" w:rsidP="002368F0">
            <w:pPr>
              <w:rPr>
                <w:b/>
                <w:bCs/>
                <w:color w:val="FFFFFF" w:themeColor="background1"/>
              </w:rPr>
            </w:pPr>
            <w:r w:rsidRPr="002368F0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883196" w14:paraId="20240524" w14:textId="77777777" w:rsidTr="00DB67C9">
        <w:trPr>
          <w:cantSplit/>
        </w:trPr>
        <w:tc>
          <w:tcPr>
            <w:tcW w:w="5000" w:type="pct"/>
            <w:gridSpan w:val="3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B0B0" w14:textId="0D28C0AB" w:rsidR="00883196" w:rsidRDefault="00883196" w:rsidP="002368F0">
            <w:r>
              <w:t xml:space="preserve">Individual evaluation of </w:t>
            </w:r>
            <w:r w:rsidR="00641D0B">
              <w:t>Responses</w:t>
            </w:r>
            <w:r>
              <w:t xml:space="preserve"> </w:t>
            </w:r>
          </w:p>
        </w:tc>
      </w:tr>
      <w:tr w:rsidR="00883196" w14:paraId="05CE17BA" w14:textId="77777777" w:rsidTr="00DB67C9">
        <w:trPr>
          <w:cantSplit/>
        </w:trPr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E835" w14:textId="77777777" w:rsidR="00883196" w:rsidRPr="00A21B98" w:rsidRDefault="00883196" w:rsidP="002368F0">
            <w:r w:rsidRPr="00A21B98">
              <w:t>1</w:t>
            </w:r>
          </w:p>
        </w:tc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0096" w14:textId="3E5AFA86" w:rsidR="00883196" w:rsidRDefault="00883196" w:rsidP="002368F0">
            <w:r>
              <w:t xml:space="preserve">Compliance with </w:t>
            </w:r>
            <w:r w:rsidR="00641D0B">
              <w:t>minimum submission r</w:t>
            </w:r>
            <w:r>
              <w:t>equirements</w:t>
            </w:r>
          </w:p>
        </w:tc>
        <w:tc>
          <w:tcPr>
            <w:tcW w:w="3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5156" w14:textId="22608D7B" w:rsidR="00883196" w:rsidRPr="004D051A" w:rsidRDefault="00883196" w:rsidP="002368F0">
            <w:r>
              <w:t>Compliance checks will be unde</w:t>
            </w:r>
            <w:r w:rsidR="00641D0B">
              <w:t>rtaken to identify whether the R</w:t>
            </w:r>
            <w:r>
              <w:t xml:space="preserve">esponse </w:t>
            </w:r>
            <w:r w:rsidR="00964CD7">
              <w:t xml:space="preserve">is correctly signed and </w:t>
            </w:r>
            <w:r>
              <w:t>align</w:t>
            </w:r>
            <w:r w:rsidR="00641D0B">
              <w:t>s</w:t>
            </w:r>
            <w:r>
              <w:t xml:space="preserve"> with minimum content </w:t>
            </w:r>
            <w:r w:rsidR="00641D0B">
              <w:t xml:space="preserve">and form to be considered </w:t>
            </w:r>
            <w:r>
              <w:t xml:space="preserve">conforming </w:t>
            </w:r>
          </w:p>
        </w:tc>
      </w:tr>
      <w:tr w:rsidR="00883196" w14:paraId="3DC4FF70" w14:textId="77777777" w:rsidTr="00DB67C9">
        <w:trPr>
          <w:cantSplit/>
        </w:trPr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F8FC" w14:textId="77777777" w:rsidR="00883196" w:rsidRPr="00A21B98" w:rsidRDefault="00883196" w:rsidP="002368F0">
            <w:r w:rsidRPr="00A21B98">
              <w:t>2</w:t>
            </w:r>
          </w:p>
        </w:tc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C126" w14:textId="77777777" w:rsidR="00883196" w:rsidRDefault="00883196" w:rsidP="002368F0">
            <w:r>
              <w:t>Pass/fail evaluation</w:t>
            </w:r>
          </w:p>
        </w:tc>
        <w:tc>
          <w:tcPr>
            <w:tcW w:w="3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B456" w14:textId="5E3BDC81" w:rsidR="00883196" w:rsidRPr="00236AE1" w:rsidRDefault="00883196" w:rsidP="002368F0">
            <w:r>
              <w:rPr>
                <w:rFonts w:cs="Arial"/>
              </w:rPr>
              <w:t xml:space="preserve">An evaluation of </w:t>
            </w:r>
            <w:r w:rsidR="00641D0B">
              <w:rPr>
                <w:rFonts w:cs="Arial"/>
              </w:rPr>
              <w:t>Responses</w:t>
            </w:r>
            <w:r>
              <w:rPr>
                <w:rFonts w:cs="Arial"/>
              </w:rPr>
              <w:t xml:space="preserve"> against the </w:t>
            </w:r>
            <w:r w:rsidR="00641D0B">
              <w:rPr>
                <w:rFonts w:cs="Arial"/>
              </w:rPr>
              <w:t xml:space="preserve">mandatory </w:t>
            </w:r>
            <w:r>
              <w:rPr>
                <w:rFonts w:cs="Arial"/>
              </w:rPr>
              <w:t xml:space="preserve">pass/fail </w:t>
            </w:r>
            <w:r w:rsidRPr="00156FE8">
              <w:rPr>
                <w:rFonts w:cs="Arial"/>
              </w:rPr>
              <w:t>Assessment Criteria</w:t>
            </w:r>
            <w:r w:rsidR="00964CD7" w:rsidRPr="00156FE8">
              <w:rPr>
                <w:rFonts w:cs="Arial"/>
              </w:rPr>
              <w:t xml:space="preserve"> in </w:t>
            </w:r>
            <w:r w:rsidR="00EE6EB7">
              <w:rPr>
                <w:rFonts w:cs="Arial"/>
              </w:rPr>
              <w:t>Section 4</w:t>
            </w:r>
            <w:r w:rsidR="00964CD7" w:rsidRPr="00156FE8">
              <w:rPr>
                <w:rFonts w:cs="Arial"/>
              </w:rPr>
              <w:t xml:space="preserve"> of this EOI</w:t>
            </w:r>
          </w:p>
        </w:tc>
      </w:tr>
      <w:tr w:rsidR="00883196" w14:paraId="639A0729" w14:textId="77777777" w:rsidTr="00DB67C9">
        <w:trPr>
          <w:cantSplit/>
        </w:trPr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4E5E" w14:textId="77777777" w:rsidR="00883196" w:rsidRPr="00A21B98" w:rsidRDefault="00883196" w:rsidP="002368F0">
            <w:r w:rsidRPr="00A21B98">
              <w:t>3</w:t>
            </w:r>
          </w:p>
        </w:tc>
        <w:tc>
          <w:tcPr>
            <w:tcW w:w="1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4E75" w14:textId="77777777" w:rsidR="00883196" w:rsidRDefault="00883196" w:rsidP="002368F0">
            <w:r>
              <w:t>Comparative evaluation</w:t>
            </w:r>
          </w:p>
        </w:tc>
        <w:tc>
          <w:tcPr>
            <w:tcW w:w="32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9DF9" w14:textId="398728F0" w:rsidR="00883196" w:rsidRPr="00236AE1" w:rsidRDefault="00883196" w:rsidP="002368F0">
            <w:r>
              <w:rPr>
                <w:rFonts w:cs="Arial"/>
              </w:rPr>
              <w:t xml:space="preserve">An evaluation of </w:t>
            </w:r>
            <w:r w:rsidR="00641D0B">
              <w:rPr>
                <w:rFonts w:cs="Arial"/>
              </w:rPr>
              <w:t>Responses</w:t>
            </w:r>
            <w:r>
              <w:rPr>
                <w:rFonts w:cs="Arial"/>
              </w:rPr>
              <w:t xml:space="preserve"> </w:t>
            </w:r>
            <w:r w:rsidR="00641D0B">
              <w:rPr>
                <w:rFonts w:cs="Arial"/>
              </w:rPr>
              <w:t>that</w:t>
            </w:r>
            <w:r>
              <w:rPr>
                <w:rFonts w:cs="Arial"/>
              </w:rPr>
              <w:t xml:space="preserve"> have passed the pass/fail </w:t>
            </w:r>
            <w:r w:rsidR="00FD5DDF">
              <w:rPr>
                <w:rFonts w:cs="Arial"/>
              </w:rPr>
              <w:t>Assessment</w:t>
            </w:r>
            <w:r>
              <w:rPr>
                <w:rFonts w:cs="Arial"/>
              </w:rPr>
              <w:t xml:space="preserve"> Criteria against </w:t>
            </w:r>
            <w:r w:rsidRPr="00156FE8">
              <w:rPr>
                <w:rFonts w:cs="Arial"/>
              </w:rPr>
              <w:t>the comparative Assessment Criteria</w:t>
            </w:r>
            <w:r w:rsidR="00964CD7" w:rsidRPr="00156FE8">
              <w:rPr>
                <w:rFonts w:cs="Arial"/>
              </w:rPr>
              <w:t xml:space="preserve"> in </w:t>
            </w:r>
            <w:r w:rsidR="00EE6EB7">
              <w:rPr>
                <w:rFonts w:cs="Arial"/>
              </w:rPr>
              <w:t>Section 4</w:t>
            </w:r>
          </w:p>
        </w:tc>
      </w:tr>
    </w:tbl>
    <w:p w14:paraId="2E8FDF5B" w14:textId="24DF1329" w:rsidR="000B271F" w:rsidRDefault="000B271F" w:rsidP="006B29C1">
      <w:pPr>
        <w:pStyle w:val="Heading3"/>
      </w:pPr>
      <w:r>
        <w:t xml:space="preserve">Respondents to be notified of results of </w:t>
      </w:r>
      <w:r w:rsidR="00707D5B">
        <w:t>Response</w:t>
      </w:r>
      <w:r>
        <w:t xml:space="preserve"> evaluation </w:t>
      </w:r>
      <w:proofErr w:type="gramStart"/>
      <w:r>
        <w:t>process</w:t>
      </w:r>
      <w:proofErr w:type="gramEnd"/>
    </w:p>
    <w:p w14:paraId="0AFF53E8" w14:textId="437DE35B" w:rsidR="009F499B" w:rsidRDefault="000B271F" w:rsidP="009F499B">
      <w:r>
        <w:t xml:space="preserve">Following completion of the </w:t>
      </w:r>
      <w:r w:rsidR="00641D0B">
        <w:t>Response</w:t>
      </w:r>
      <w:r>
        <w:t xml:space="preserve"> evaluation process, CAV</w:t>
      </w:r>
      <w:r w:rsidRPr="00091E98">
        <w:t xml:space="preserve"> will notify all Respondents of the outcome of the </w:t>
      </w:r>
      <w:r w:rsidR="00707D5B">
        <w:t>Response evaluation</w:t>
      </w:r>
      <w:r w:rsidRPr="00091E98">
        <w:t xml:space="preserve"> process</w:t>
      </w:r>
      <w:r>
        <w:t xml:space="preserve"> by email</w:t>
      </w:r>
      <w:r w:rsidR="00707D5B">
        <w:t>, including whether</w:t>
      </w:r>
      <w:r w:rsidR="00641D0B">
        <w:t xml:space="preserve"> </w:t>
      </w:r>
      <w:r w:rsidR="00707D5B">
        <w:t>the</w:t>
      </w:r>
      <w:r w:rsidR="00964CD7">
        <w:t>ir</w:t>
      </w:r>
      <w:r w:rsidR="00707D5B">
        <w:t xml:space="preserve"> Response has been</w:t>
      </w:r>
      <w:r w:rsidR="00641D0B">
        <w:t xml:space="preserve"> shortlisted</w:t>
      </w:r>
      <w:r w:rsidR="00707D5B">
        <w:t xml:space="preserve">. </w:t>
      </w:r>
      <w:r w:rsidRPr="00091E98">
        <w:t xml:space="preserve"> </w:t>
      </w:r>
    </w:p>
    <w:p w14:paraId="0B5DEA79" w14:textId="4FE0C332" w:rsidR="00842E7B" w:rsidRDefault="00F36B9D" w:rsidP="006B29C1">
      <w:pPr>
        <w:pStyle w:val="Heading2"/>
      </w:pPr>
      <w:bookmarkStart w:id="21" w:name="_Toc151041941"/>
      <w:r>
        <w:t>Grant Application Process</w:t>
      </w:r>
      <w:bookmarkEnd w:id="21"/>
    </w:p>
    <w:p w14:paraId="5264519F" w14:textId="610E68A6" w:rsidR="00707D5B" w:rsidRDefault="00707D5B" w:rsidP="006B29C1">
      <w:pPr>
        <w:pStyle w:val="Heading3"/>
      </w:pPr>
      <w:r>
        <w:t>Invitations to lodge Grant Applications</w:t>
      </w:r>
    </w:p>
    <w:p w14:paraId="022CE7D4" w14:textId="38CC4E0A" w:rsidR="00457C96" w:rsidRDefault="00707D5B" w:rsidP="00590B5E">
      <w:r>
        <w:t>At CAV’s sole discretion</w:t>
      </w:r>
      <w:r w:rsidR="00050A5F">
        <w:t xml:space="preserve">, </w:t>
      </w:r>
      <w:r>
        <w:t xml:space="preserve">those Respondents with </w:t>
      </w:r>
      <w:r w:rsidR="00964CD7">
        <w:t xml:space="preserve">a </w:t>
      </w:r>
      <w:r>
        <w:t xml:space="preserve">shortlisted </w:t>
      </w:r>
      <w:r w:rsidR="00964CD7">
        <w:t xml:space="preserve">Response </w:t>
      </w:r>
      <w:r>
        <w:t>(Proponents) may be invited to</w:t>
      </w:r>
      <w:r w:rsidR="00842E7B">
        <w:t xml:space="preserve"> submit a </w:t>
      </w:r>
      <w:r w:rsidR="002A40A9">
        <w:t xml:space="preserve">formal </w:t>
      </w:r>
      <w:r w:rsidR="00842E7B">
        <w:t xml:space="preserve">VPF grant application </w:t>
      </w:r>
      <w:r w:rsidR="002A40A9">
        <w:t xml:space="preserve">(Grant Application) </w:t>
      </w:r>
      <w:r w:rsidR="00457C96">
        <w:t>regarding the</w:t>
      </w:r>
      <w:r>
        <w:t xml:space="preserve"> </w:t>
      </w:r>
      <w:r w:rsidR="00C63497">
        <w:t xml:space="preserve">proposal </w:t>
      </w:r>
      <w:r w:rsidR="00050A5F">
        <w:t>for formal evaluation</w:t>
      </w:r>
      <w:r w:rsidR="002A40A9">
        <w:t xml:space="preserve">. Following completion of </w:t>
      </w:r>
      <w:r>
        <w:t xml:space="preserve">the </w:t>
      </w:r>
      <w:r w:rsidR="002A40A9">
        <w:t>evaluation of the</w:t>
      </w:r>
      <w:r w:rsidR="005D43D5">
        <w:t xml:space="preserve"> Grant A</w:t>
      </w:r>
      <w:r w:rsidR="002A40A9">
        <w:t>pplication</w:t>
      </w:r>
      <w:r w:rsidR="00E23858">
        <w:t>,</w:t>
      </w:r>
      <w:r w:rsidR="002A40A9">
        <w:t xml:space="preserve"> </w:t>
      </w:r>
      <w:r>
        <w:t>CAV and the EAC will make independent recommendations to the Minister</w:t>
      </w:r>
      <w:r w:rsidR="00E81A3F">
        <w:t>.</w:t>
      </w:r>
      <w:r w:rsidR="002A40A9">
        <w:t xml:space="preserve"> </w:t>
      </w:r>
    </w:p>
    <w:p w14:paraId="59835D4A" w14:textId="10DAB492" w:rsidR="00842E7B" w:rsidRPr="00842E7B" w:rsidRDefault="002A40A9" w:rsidP="00590B5E">
      <w:r>
        <w:t xml:space="preserve">The awarding of VPF grants is at the sole discretion of the Minister. No representation is made as to the likely success of </w:t>
      </w:r>
      <w:r w:rsidR="00DA4E68">
        <w:t>a</w:t>
      </w:r>
      <w:r>
        <w:t xml:space="preserve"> Grant Application</w:t>
      </w:r>
      <w:r w:rsidR="00E23858">
        <w:t xml:space="preserve"> by CAV inviting its lodgement</w:t>
      </w:r>
      <w:r>
        <w:t>.</w:t>
      </w:r>
      <w:r w:rsidR="00E81A3F">
        <w:t xml:space="preserve"> </w:t>
      </w:r>
    </w:p>
    <w:p w14:paraId="09B42926" w14:textId="0CA8C2C2" w:rsidR="00F36B9D" w:rsidRDefault="00F36B9D" w:rsidP="006B29C1">
      <w:pPr>
        <w:pStyle w:val="Heading3"/>
      </w:pPr>
      <w:r>
        <w:t>Grant Application submission requirements</w:t>
      </w:r>
    </w:p>
    <w:p w14:paraId="5FFB803F" w14:textId="113A647E" w:rsidR="00AA7E4A" w:rsidRDefault="00F36B9D" w:rsidP="00F36B9D">
      <w:r>
        <w:t xml:space="preserve">CAV will </w:t>
      </w:r>
      <w:r w:rsidR="000E6FB7">
        <w:t>supply</w:t>
      </w:r>
      <w:r w:rsidR="00842E7B">
        <w:t xml:space="preserve"> </w:t>
      </w:r>
      <w:r>
        <w:t xml:space="preserve">Proponents </w:t>
      </w:r>
      <w:r w:rsidR="000E6FB7">
        <w:t>with a copy</w:t>
      </w:r>
      <w:r w:rsidR="006D41AF">
        <w:t xml:space="preserve"> of the VPF grant application form</w:t>
      </w:r>
      <w:r w:rsidR="005D43D5">
        <w:t xml:space="preserve"> by email. A completed and signed Grant Application </w:t>
      </w:r>
      <w:r>
        <w:t xml:space="preserve">must be returned to CAV </w:t>
      </w:r>
      <w:r w:rsidR="00750966">
        <w:t>in accordance with the below Grant Application submission requirements</w:t>
      </w:r>
      <w:r>
        <w:t xml:space="preserve">. </w:t>
      </w:r>
    </w:p>
    <w:p w14:paraId="4769A6F4" w14:textId="0FB7A63C" w:rsidR="00750966" w:rsidRDefault="00750966" w:rsidP="00750966">
      <w:pPr>
        <w:pStyle w:val="Caption"/>
        <w:keepNext/>
      </w:pPr>
      <w:r>
        <w:t>Table 4 – Grant Application Submission Requirements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114"/>
        <w:gridCol w:w="5953"/>
      </w:tblGrid>
      <w:tr w:rsidR="00750966" w14:paraId="20575B1B" w14:textId="77777777" w:rsidTr="00DE56C3">
        <w:trPr>
          <w:trHeight w:val="518"/>
        </w:trPr>
        <w:tc>
          <w:tcPr>
            <w:tcW w:w="3114" w:type="dxa"/>
          </w:tcPr>
          <w:p w14:paraId="0FA9299D" w14:textId="77777777" w:rsidR="00750966" w:rsidRDefault="00750966" w:rsidP="002368F0">
            <w:r>
              <w:t>Email addressed to:</w:t>
            </w:r>
          </w:p>
        </w:tc>
        <w:tc>
          <w:tcPr>
            <w:tcW w:w="5953" w:type="dxa"/>
          </w:tcPr>
          <w:p w14:paraId="67AE2F3E" w14:textId="77777777" w:rsidR="00750966" w:rsidRPr="00964CD7" w:rsidRDefault="00476434" w:rsidP="002368F0">
            <w:hyperlink r:id="rId15" w:history="1">
              <w:r w:rsidR="00750966" w:rsidRPr="00964CD7">
                <w:rPr>
                  <w:rStyle w:val="Hyperlink"/>
                  <w:rFonts w:eastAsia="Times New Roman"/>
                  <w:lang w:val="en"/>
                </w:rPr>
                <w:t>vpf.grant.enquiries@justice.vic.gov.au</w:t>
              </w:r>
            </w:hyperlink>
          </w:p>
        </w:tc>
      </w:tr>
      <w:tr w:rsidR="00750966" w14:paraId="3DFA6923" w14:textId="77777777" w:rsidTr="00DE56C3">
        <w:trPr>
          <w:trHeight w:val="518"/>
        </w:trPr>
        <w:tc>
          <w:tcPr>
            <w:tcW w:w="3114" w:type="dxa"/>
          </w:tcPr>
          <w:p w14:paraId="524EDEC5" w14:textId="77777777" w:rsidR="00750966" w:rsidRDefault="00750966" w:rsidP="002368F0">
            <w:r>
              <w:t>Email reference:</w:t>
            </w:r>
          </w:p>
        </w:tc>
        <w:tc>
          <w:tcPr>
            <w:tcW w:w="5953" w:type="dxa"/>
          </w:tcPr>
          <w:p w14:paraId="36C4FBBE" w14:textId="6F3F5FC2" w:rsidR="00750966" w:rsidRDefault="00750966" w:rsidP="002D7FCC">
            <w:r w:rsidRPr="008130C8">
              <w:t xml:space="preserve">“(Your </w:t>
            </w:r>
            <w:r w:rsidR="00433A71" w:rsidRPr="00DE12FD">
              <w:t>NFP</w:t>
            </w:r>
            <w:r w:rsidR="00433A71" w:rsidRPr="008130C8">
              <w:t xml:space="preserve">’s </w:t>
            </w:r>
            <w:r w:rsidRPr="008130C8">
              <w:t xml:space="preserve">name) – VPF </w:t>
            </w:r>
            <w:r w:rsidR="00433A71" w:rsidRPr="00DE12FD">
              <w:t>Rental Stress Support Package</w:t>
            </w:r>
            <w:r w:rsidRPr="008130C8">
              <w:t xml:space="preserve"> Application</w:t>
            </w:r>
            <w:r w:rsidR="00C732CF" w:rsidRPr="008130C8">
              <w:t xml:space="preserve"> </w:t>
            </w:r>
            <w:r w:rsidR="00433A71" w:rsidRPr="00DE12FD">
              <w:t>2023-24</w:t>
            </w:r>
            <w:r w:rsidRPr="008130C8">
              <w:t>”</w:t>
            </w:r>
          </w:p>
        </w:tc>
      </w:tr>
      <w:tr w:rsidR="00750966" w14:paraId="664E0A00" w14:textId="77777777" w:rsidTr="00DE56C3">
        <w:trPr>
          <w:trHeight w:val="279"/>
        </w:trPr>
        <w:tc>
          <w:tcPr>
            <w:tcW w:w="3114" w:type="dxa"/>
          </w:tcPr>
          <w:p w14:paraId="4AA037A2" w14:textId="6590FDFC" w:rsidR="00750966" w:rsidRDefault="00750966" w:rsidP="002368F0">
            <w:r>
              <w:t>Format of digital copy of Grant Application:</w:t>
            </w:r>
          </w:p>
        </w:tc>
        <w:tc>
          <w:tcPr>
            <w:tcW w:w="5953" w:type="dxa"/>
          </w:tcPr>
          <w:p w14:paraId="7F832C79" w14:textId="77777777" w:rsidR="00750966" w:rsidRDefault="00750966" w:rsidP="002368F0">
            <w:r>
              <w:t xml:space="preserve">MS Word or PDF </w:t>
            </w:r>
          </w:p>
        </w:tc>
      </w:tr>
      <w:tr w:rsidR="00750966" w14:paraId="0A6B67A4" w14:textId="77777777" w:rsidTr="00DE56C3">
        <w:trPr>
          <w:trHeight w:val="279"/>
        </w:trPr>
        <w:tc>
          <w:tcPr>
            <w:tcW w:w="3114" w:type="dxa"/>
          </w:tcPr>
          <w:p w14:paraId="5AE29F81" w14:textId="30897EC1" w:rsidR="00750966" w:rsidRDefault="00750966" w:rsidP="002368F0">
            <w:r>
              <w:t xml:space="preserve">Emails with attached Grant Application to be received by CAV </w:t>
            </w:r>
            <w:r w:rsidR="00834E60">
              <w:t>by</w:t>
            </w:r>
            <w:r>
              <w:t>:</w:t>
            </w:r>
          </w:p>
        </w:tc>
        <w:tc>
          <w:tcPr>
            <w:tcW w:w="5953" w:type="dxa"/>
          </w:tcPr>
          <w:p w14:paraId="430DFB38" w14:textId="218C7D05" w:rsidR="00750966" w:rsidRDefault="008E0D0C" w:rsidP="002D7FCC">
            <w:r>
              <w:rPr>
                <w:rFonts w:cstheme="minorHAnsi"/>
                <w:iCs/>
              </w:rPr>
              <w:t xml:space="preserve">4:00pm </w:t>
            </w:r>
            <w:r w:rsidR="00433A71" w:rsidRPr="00337715">
              <w:rPr>
                <w:rFonts w:cstheme="minorHAnsi"/>
                <w:iCs/>
              </w:rPr>
              <w:t>Thursday, 25 January 2024</w:t>
            </w:r>
          </w:p>
        </w:tc>
      </w:tr>
    </w:tbl>
    <w:p w14:paraId="2711A875" w14:textId="083BCA50" w:rsidR="00812BAE" w:rsidRPr="004E4218" w:rsidRDefault="008D256D" w:rsidP="006B29C1">
      <w:pPr>
        <w:pStyle w:val="Heading2"/>
      </w:pPr>
      <w:bookmarkStart w:id="22" w:name="_Toc474479187"/>
      <w:bookmarkStart w:id="23" w:name="_Toc474505631"/>
      <w:bookmarkStart w:id="24" w:name="_Toc474401458"/>
      <w:bookmarkStart w:id="25" w:name="_Toc474479188"/>
      <w:bookmarkStart w:id="26" w:name="_Toc474505632"/>
      <w:bookmarkStart w:id="27" w:name="_Toc474401459"/>
      <w:bookmarkStart w:id="28" w:name="_Toc474479189"/>
      <w:bookmarkStart w:id="29" w:name="_Toc474505633"/>
      <w:bookmarkStart w:id="30" w:name="_Toc474401460"/>
      <w:bookmarkStart w:id="31" w:name="_Toc474479190"/>
      <w:bookmarkStart w:id="32" w:name="_Toc474505634"/>
      <w:bookmarkStart w:id="33" w:name="_Toc474401461"/>
      <w:bookmarkStart w:id="34" w:name="_Toc474479191"/>
      <w:bookmarkStart w:id="35" w:name="_Toc474505635"/>
      <w:bookmarkStart w:id="36" w:name="_Toc151041942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C</w:t>
      </w:r>
      <w:r w:rsidR="00812BAE" w:rsidRPr="004E4218">
        <w:t xml:space="preserve">onditions of </w:t>
      </w:r>
      <w:r>
        <w:t>Participation</w:t>
      </w:r>
      <w:bookmarkEnd w:id="36"/>
      <w:r w:rsidR="00812BAE" w:rsidRPr="004E4218">
        <w:t xml:space="preserve"> </w:t>
      </w:r>
    </w:p>
    <w:p w14:paraId="10417D7F" w14:textId="25A4E2D0" w:rsidR="008D256D" w:rsidRDefault="008D256D" w:rsidP="00A860F6">
      <w:r>
        <w:t xml:space="preserve">The terms and conditions applying to the </w:t>
      </w:r>
      <w:r w:rsidR="00024A39">
        <w:t>Program</w:t>
      </w:r>
      <w:r>
        <w:t xml:space="preserve"> are</w:t>
      </w:r>
      <w:r w:rsidR="00991D50">
        <w:t xml:space="preserve"> contained in this EOI document and</w:t>
      </w:r>
      <w:r>
        <w:t xml:space="preserve"> the accompanying</w:t>
      </w:r>
      <w:r w:rsidR="00991D50">
        <w:t xml:space="preserve"> </w:t>
      </w:r>
      <w:r w:rsidR="00991D50" w:rsidRPr="00991D50">
        <w:rPr>
          <w:i/>
        </w:rPr>
        <w:t>Conditions of Participation</w:t>
      </w:r>
      <w:r>
        <w:t xml:space="preserve"> document. Respondents </w:t>
      </w:r>
      <w:r w:rsidR="00991D50">
        <w:t xml:space="preserve">are required to accept these terms and </w:t>
      </w:r>
      <w:r>
        <w:t>should familiarise themselves with the content</w:t>
      </w:r>
      <w:r w:rsidR="00991D50">
        <w:t>s</w:t>
      </w:r>
      <w:r>
        <w:t xml:space="preserve"> of th</w:t>
      </w:r>
      <w:r w:rsidR="00991D50">
        <w:t>ese</w:t>
      </w:r>
      <w:r>
        <w:t xml:space="preserve"> document</w:t>
      </w:r>
      <w:r w:rsidR="00991D50">
        <w:t>s</w:t>
      </w:r>
      <w:r w:rsidR="00BA0AB7">
        <w:t xml:space="preserve"> prior to submitting a Response</w:t>
      </w:r>
      <w:r>
        <w:t>.</w:t>
      </w:r>
    </w:p>
    <w:p w14:paraId="08CD113D" w14:textId="4DEFC3F6" w:rsidR="00812BAE" w:rsidRDefault="004637C2" w:rsidP="006B29C1">
      <w:pPr>
        <w:pStyle w:val="Heading2"/>
      </w:pPr>
      <w:bookmarkStart w:id="37" w:name="_Toc474401463"/>
      <w:bookmarkStart w:id="38" w:name="_Toc151041943"/>
      <w:bookmarkEnd w:id="37"/>
      <w:r>
        <w:t xml:space="preserve">Registration, </w:t>
      </w:r>
      <w:r w:rsidR="00812BAE">
        <w:t>Enquiries and Feedback</w:t>
      </w:r>
      <w:bookmarkEnd w:id="38"/>
      <w:r w:rsidR="00812BAE">
        <w:t xml:space="preserve"> </w:t>
      </w:r>
    </w:p>
    <w:p w14:paraId="3D5E2895" w14:textId="67CBDF3F" w:rsidR="004637C2" w:rsidRDefault="00136A2E" w:rsidP="00812BAE">
      <w:r>
        <w:t xml:space="preserve">NFPs </w:t>
      </w:r>
      <w:r w:rsidR="004637C2">
        <w:t xml:space="preserve">interested in participating in </w:t>
      </w:r>
      <w:r w:rsidR="00180EA4">
        <w:t xml:space="preserve">the </w:t>
      </w:r>
      <w:r w:rsidR="00B706C1">
        <w:t>Program</w:t>
      </w:r>
      <w:r w:rsidR="004637C2">
        <w:t xml:space="preserve"> are encouraged to register by sending an email with their contact details to the following email addres</w:t>
      </w:r>
      <w:r w:rsidR="00DA4E68">
        <w:t>s</w:t>
      </w:r>
      <w:r w:rsidR="004637C2">
        <w:t xml:space="preserve">: </w:t>
      </w:r>
    </w:p>
    <w:p w14:paraId="350763DB" w14:textId="5A766B10" w:rsidR="00BA71E6" w:rsidRPr="00DE12FD" w:rsidRDefault="00476434" w:rsidP="00BA71E6">
      <w:pPr>
        <w:spacing w:before="0" w:after="0"/>
        <w:ind w:left="720"/>
        <w:rPr>
          <w:rFonts w:eastAsia="Times New Roman"/>
          <w:color w:val="444444"/>
          <w:lang w:val="en"/>
        </w:rPr>
      </w:pPr>
      <w:hyperlink r:id="rId16" w:history="1">
        <w:r w:rsidR="00BA71E6" w:rsidRPr="00DE12FD">
          <w:rPr>
            <w:rStyle w:val="Hyperlink"/>
            <w:rFonts w:eastAsia="Times New Roman"/>
            <w:lang w:val="en"/>
          </w:rPr>
          <w:t>vpf.grant.enquiries@justice.vic.gov.au</w:t>
        </w:r>
      </w:hyperlink>
    </w:p>
    <w:p w14:paraId="765F4958" w14:textId="0BF63223" w:rsidR="00BA71E6" w:rsidRDefault="00BA71E6" w:rsidP="004637C2">
      <w:pPr>
        <w:spacing w:before="0" w:after="0"/>
      </w:pPr>
    </w:p>
    <w:p w14:paraId="55934880" w14:textId="56EDC902" w:rsidR="004637C2" w:rsidRDefault="005A6116" w:rsidP="005A6116">
      <w:pPr>
        <w:spacing w:before="0" w:after="0"/>
      </w:pPr>
      <w:r>
        <w:t xml:space="preserve">with reference: </w:t>
      </w:r>
      <w:r w:rsidR="004637C2" w:rsidRPr="008130C8">
        <w:t xml:space="preserve">“(Your </w:t>
      </w:r>
      <w:r w:rsidR="00136A2E" w:rsidRPr="00DE12FD">
        <w:t>NFP’s</w:t>
      </w:r>
      <w:r w:rsidR="00024A39" w:rsidRPr="008130C8">
        <w:t xml:space="preserve"> </w:t>
      </w:r>
      <w:r w:rsidR="004637C2" w:rsidRPr="008130C8">
        <w:t>name) –</w:t>
      </w:r>
      <w:r w:rsidR="00DA4E68" w:rsidRPr="008130C8">
        <w:t xml:space="preserve"> </w:t>
      </w:r>
      <w:r w:rsidR="004637C2" w:rsidRPr="008130C8">
        <w:t xml:space="preserve">Registration for </w:t>
      </w:r>
      <w:r w:rsidR="00136A2E" w:rsidRPr="008130C8">
        <w:t>Rental</w:t>
      </w:r>
      <w:r w:rsidR="00136A2E">
        <w:t xml:space="preserve"> Stress Support Package 2023-24</w:t>
      </w:r>
      <w:r w:rsidR="004637C2">
        <w:t>”</w:t>
      </w:r>
    </w:p>
    <w:p w14:paraId="6F6A0A8E" w14:textId="7B4528DD" w:rsidR="00AD4015" w:rsidRPr="002B45C7" w:rsidRDefault="006D17AC" w:rsidP="00812BAE">
      <w:r>
        <w:t xml:space="preserve">The </w:t>
      </w:r>
      <w:r w:rsidR="0066213A">
        <w:t>Respondent</w:t>
      </w:r>
      <w:r>
        <w:t>’s nominated representative</w:t>
      </w:r>
      <w:r w:rsidR="00883196" w:rsidRPr="00091E98">
        <w:t xml:space="preserve"> may </w:t>
      </w:r>
      <w:r w:rsidR="00883196" w:rsidRPr="002B45C7">
        <w:t xml:space="preserve">seek clarification in respect of any aspect of this </w:t>
      </w:r>
      <w:r w:rsidR="0066213A" w:rsidRPr="002B45C7">
        <w:t xml:space="preserve">EOI </w:t>
      </w:r>
      <w:r w:rsidR="00883196" w:rsidRPr="002B45C7">
        <w:t xml:space="preserve">by submitting a written request for clarification to </w:t>
      </w:r>
      <w:r w:rsidR="00AD4015" w:rsidRPr="002B45C7">
        <w:t>the Funded Services Branch of</w:t>
      </w:r>
      <w:r w:rsidR="00013845" w:rsidRPr="002B45C7">
        <w:t xml:space="preserve"> Consumer Affairs V</w:t>
      </w:r>
      <w:r w:rsidR="00320C9A" w:rsidRPr="002B45C7">
        <w:t>ictoria</w:t>
      </w:r>
      <w:r w:rsidR="00AD4015" w:rsidRPr="002B45C7">
        <w:t xml:space="preserve"> at the following email address:</w:t>
      </w:r>
    </w:p>
    <w:p w14:paraId="3E1AFB92" w14:textId="6CC1918D" w:rsidR="00812BAE" w:rsidRPr="002B45C7" w:rsidRDefault="00476434" w:rsidP="00590B5E">
      <w:pPr>
        <w:ind w:left="720"/>
      </w:pPr>
      <w:hyperlink r:id="rId17" w:history="1">
        <w:r w:rsidR="00BA71E6" w:rsidRPr="00DE12FD">
          <w:rPr>
            <w:rStyle w:val="Hyperlink"/>
            <w:rFonts w:eastAsia="Times New Roman"/>
            <w:lang w:val="en"/>
          </w:rPr>
          <w:t>vpf.grant.enquiries@justice.vic.gov.au</w:t>
        </w:r>
      </w:hyperlink>
      <w:hyperlink r:id="rId18" w:history="1"/>
    </w:p>
    <w:p w14:paraId="2C31E289" w14:textId="2F111726" w:rsidR="00091E98" w:rsidRPr="00091E98" w:rsidRDefault="00091E98" w:rsidP="00091E98">
      <w:r w:rsidRPr="002B45C7">
        <w:t xml:space="preserve">Clarifications can be submitted up to the </w:t>
      </w:r>
      <w:r w:rsidR="00AD4015" w:rsidRPr="002B45C7">
        <w:t xml:space="preserve">End of </w:t>
      </w:r>
      <w:r w:rsidR="00266DB1" w:rsidRPr="002B45C7">
        <w:t>C</w:t>
      </w:r>
      <w:r w:rsidR="00AD4015" w:rsidRPr="002B45C7">
        <w:t xml:space="preserve">larification </w:t>
      </w:r>
      <w:r w:rsidR="00266DB1" w:rsidRPr="002B45C7">
        <w:t>P</w:t>
      </w:r>
      <w:r w:rsidR="00AD4015" w:rsidRPr="002B45C7">
        <w:t>eriod</w:t>
      </w:r>
      <w:r w:rsidR="00AD4015">
        <w:t xml:space="preserve"> specified</w:t>
      </w:r>
      <w:r w:rsidR="00A21B98">
        <w:t xml:space="preserve"> in </w:t>
      </w:r>
      <w:r w:rsidR="00A21B98">
        <w:fldChar w:fldCharType="begin"/>
      </w:r>
      <w:r w:rsidR="00A21B98">
        <w:instrText xml:space="preserve"> REF _Ref467774837 \h </w:instrText>
      </w:r>
      <w:r w:rsidR="00A21B98">
        <w:fldChar w:fldCharType="separate"/>
      </w:r>
      <w:r w:rsidR="004E7137">
        <w:t>Table 1 - Target Dates</w:t>
      </w:r>
      <w:r w:rsidR="00A21B98">
        <w:fldChar w:fldCharType="end"/>
      </w:r>
      <w:r w:rsidRPr="00091E98">
        <w:t>.</w:t>
      </w:r>
    </w:p>
    <w:p w14:paraId="10CC7B16" w14:textId="296D2AA6" w:rsidR="00091E98" w:rsidRPr="00091E98" w:rsidRDefault="000A4877" w:rsidP="00091E98">
      <w:r>
        <w:t>CAV</w:t>
      </w:r>
      <w:r w:rsidR="00091E98" w:rsidRPr="00091E98">
        <w:t xml:space="preserve"> will have absolute discretion in determining whether to respond to a request for </w:t>
      </w:r>
      <w:r w:rsidR="00091E98" w:rsidRPr="002B45C7">
        <w:t>clarification</w:t>
      </w:r>
      <w:r w:rsidR="00091E98" w:rsidRPr="00091E98">
        <w:t xml:space="preserve">. </w:t>
      </w:r>
      <w:r w:rsidR="008810AC">
        <w:t>Subject to the confidentiality</w:t>
      </w:r>
      <w:r w:rsidR="00182B09">
        <w:t xml:space="preserve"> notification</w:t>
      </w:r>
      <w:r w:rsidR="008810AC">
        <w:t xml:space="preserve"> process below, </w:t>
      </w:r>
      <w:r>
        <w:t>CAV</w:t>
      </w:r>
      <w:r w:rsidR="00091E98" w:rsidRPr="00091E98">
        <w:t xml:space="preserve"> </w:t>
      </w:r>
      <w:r w:rsidR="00242472">
        <w:t>may</w:t>
      </w:r>
      <w:r w:rsidR="008810AC">
        <w:t xml:space="preserve"> provide the information sought to all Respondents</w:t>
      </w:r>
      <w:r w:rsidR="00091E98" w:rsidRPr="00091E98">
        <w:t>.</w:t>
      </w:r>
    </w:p>
    <w:p w14:paraId="0F9AC241" w14:textId="548248B6" w:rsidR="00091E98" w:rsidRPr="00091E98" w:rsidRDefault="00091E98" w:rsidP="00091E98">
      <w:r w:rsidRPr="00091E98">
        <w:t xml:space="preserve">If a </w:t>
      </w:r>
      <w:r w:rsidR="0066213A">
        <w:t>Respondent</w:t>
      </w:r>
      <w:r w:rsidRPr="00091E98">
        <w:t xml:space="preserve"> believes that its request is confidential, it should notify </w:t>
      </w:r>
      <w:r w:rsidR="000A4877">
        <w:t>CAV</w:t>
      </w:r>
      <w:r w:rsidRPr="00091E98">
        <w:t xml:space="preserve"> of this upon submitting the written request. A determination will be made by </w:t>
      </w:r>
      <w:r w:rsidR="000A4877">
        <w:t>CAV</w:t>
      </w:r>
      <w:r w:rsidRPr="00091E98">
        <w:t xml:space="preserve">, in its absolute discretion, as to </w:t>
      </w:r>
      <w:proofErr w:type="gramStart"/>
      <w:r w:rsidRPr="00091E98">
        <w:t>whether or not</w:t>
      </w:r>
      <w:proofErr w:type="gramEnd"/>
      <w:r w:rsidRPr="00091E98">
        <w:t xml:space="preserve"> the enquiry is confidential.</w:t>
      </w:r>
    </w:p>
    <w:p w14:paraId="3F1AE120" w14:textId="252C5020" w:rsidR="00091E98" w:rsidRPr="00091E98" w:rsidRDefault="00091E98" w:rsidP="00091E98">
      <w:r>
        <w:t xml:space="preserve">If </w:t>
      </w:r>
      <w:r w:rsidR="00CB7FB9">
        <w:t>CAV</w:t>
      </w:r>
      <w:r w:rsidRPr="00091E98">
        <w:t xml:space="preserve"> determines the enquiry is: </w:t>
      </w:r>
    </w:p>
    <w:p w14:paraId="053B543B" w14:textId="2B8ABA6D" w:rsidR="00091E98" w:rsidRPr="00091E98" w:rsidRDefault="00091E98" w:rsidP="006B29C1">
      <w:pPr>
        <w:pStyle w:val="ListBullet"/>
      </w:pPr>
      <w:r w:rsidRPr="00091E98">
        <w:t>not confidential, it will advise the</w:t>
      </w:r>
      <w:r>
        <w:t xml:space="preserve"> Respondent</w:t>
      </w:r>
      <w:r w:rsidRPr="00091E98">
        <w:t xml:space="preserve"> of this decision. The </w:t>
      </w:r>
      <w:r>
        <w:t>Respondent</w:t>
      </w:r>
      <w:r w:rsidRPr="00091E98">
        <w:t xml:space="preserve"> may then withdraw the enquiry within two Business Days or proceed with the enquiry as a non-confidential enquiry, in which case </w:t>
      </w:r>
      <w:r w:rsidR="00CB7FB9">
        <w:t>CAV</w:t>
      </w:r>
      <w:r>
        <w:t xml:space="preserve"> will respond to all </w:t>
      </w:r>
      <w:proofErr w:type="gramStart"/>
      <w:r>
        <w:t>Respondents</w:t>
      </w:r>
      <w:r w:rsidRPr="00091E98">
        <w:t>;</w:t>
      </w:r>
      <w:proofErr w:type="gramEnd"/>
      <w:r w:rsidRPr="00091E98">
        <w:t xml:space="preserve"> or</w:t>
      </w:r>
    </w:p>
    <w:p w14:paraId="501B1979" w14:textId="237F0352" w:rsidR="00091E98" w:rsidRPr="00091E98" w:rsidRDefault="00091E98" w:rsidP="006B29C1">
      <w:pPr>
        <w:pStyle w:val="ListBullet"/>
      </w:pPr>
      <w:r w:rsidRPr="00091E98">
        <w:t xml:space="preserve">confidential, the answer to the enquiry (if any) will not be issued by </w:t>
      </w:r>
      <w:r w:rsidR="00CB7FB9">
        <w:t>CAV</w:t>
      </w:r>
      <w:r w:rsidRPr="00091E98">
        <w:t xml:space="preserve"> to other </w:t>
      </w:r>
      <w:r>
        <w:t>Respondents</w:t>
      </w:r>
      <w:r w:rsidRPr="00091E98">
        <w:t>.</w:t>
      </w:r>
    </w:p>
    <w:p w14:paraId="3AAD2015" w14:textId="273DB001" w:rsidR="00091E98" w:rsidRDefault="00091E98" w:rsidP="00091E98">
      <w:r w:rsidRPr="00091E98">
        <w:t>Whether or not an enquiry is co</w:t>
      </w:r>
      <w:r>
        <w:t xml:space="preserve">nfidential or determined by </w:t>
      </w:r>
      <w:r w:rsidR="00CE1CCA">
        <w:t>CAV</w:t>
      </w:r>
      <w:r w:rsidRPr="00091E98">
        <w:t xml:space="preserve"> to be confidential or is otherwise withdrawn by a </w:t>
      </w:r>
      <w:r>
        <w:t>Respondent</w:t>
      </w:r>
      <w:r w:rsidRPr="00091E98">
        <w:t xml:space="preserve">, does not limit or otherwise affect </w:t>
      </w:r>
      <w:r w:rsidR="00CE1CCA">
        <w:t>CAV’s</w:t>
      </w:r>
      <w:r w:rsidRPr="00091E98">
        <w:t xml:space="preserve"> rights under this EOI.</w:t>
      </w:r>
    </w:p>
    <w:p w14:paraId="6A191B94" w14:textId="58E2C193" w:rsidR="00EE6EB7" w:rsidRDefault="0063589F" w:rsidP="00721084">
      <w:r>
        <w:t xml:space="preserve">CAV will supply feedback </w:t>
      </w:r>
      <w:r w:rsidR="004637C2">
        <w:t xml:space="preserve">regarding an unsuccessful </w:t>
      </w:r>
      <w:r w:rsidR="00C63497">
        <w:t xml:space="preserve">Response </w:t>
      </w:r>
      <w:r w:rsidR="00024A39">
        <w:t xml:space="preserve">or </w:t>
      </w:r>
      <w:r w:rsidR="00C63497">
        <w:t xml:space="preserve">Grant </w:t>
      </w:r>
      <w:r w:rsidR="00024A39">
        <w:t xml:space="preserve">Application </w:t>
      </w:r>
      <w:r>
        <w:t xml:space="preserve">upon the request of </w:t>
      </w:r>
      <w:r w:rsidR="004637C2">
        <w:t xml:space="preserve">the </w:t>
      </w:r>
      <w:r>
        <w:t>Resp</w:t>
      </w:r>
      <w:r w:rsidR="004637C2">
        <w:t>ondent</w:t>
      </w:r>
      <w:r>
        <w:t>.</w:t>
      </w:r>
    </w:p>
    <w:p w14:paraId="39A1D8F3" w14:textId="18F67046" w:rsidR="00812BAE" w:rsidRDefault="00812BAE" w:rsidP="00DE12FD">
      <w:pPr>
        <w:pStyle w:val="Heading1"/>
        <w:ind w:left="851" w:hanging="851"/>
      </w:pPr>
      <w:bookmarkStart w:id="39" w:name="_Toc474401465"/>
      <w:bookmarkStart w:id="40" w:name="_Toc474479195"/>
      <w:bookmarkStart w:id="41" w:name="_Toc474505639"/>
      <w:bookmarkStart w:id="42" w:name="_Toc151041944"/>
      <w:bookmarkEnd w:id="39"/>
      <w:bookmarkEnd w:id="40"/>
      <w:bookmarkEnd w:id="41"/>
      <w:r w:rsidRPr="00337715">
        <w:t>Requirements</w:t>
      </w:r>
      <w:bookmarkEnd w:id="42"/>
    </w:p>
    <w:p w14:paraId="1C28C5D6" w14:textId="3B76054F" w:rsidR="006746A5" w:rsidRDefault="006746A5" w:rsidP="00363E57">
      <w:pPr>
        <w:pStyle w:val="Heading2"/>
      </w:pPr>
      <w:bookmarkStart w:id="43" w:name="_Toc151041945"/>
      <w:r>
        <w:t>Summary of Proposed Arrangements</w:t>
      </w:r>
      <w:bookmarkEnd w:id="43"/>
    </w:p>
    <w:p w14:paraId="633A6E91" w14:textId="3DA9B64F" w:rsidR="006746A5" w:rsidRPr="00821316" w:rsidRDefault="006746A5" w:rsidP="00590B5E">
      <w:r>
        <w:t>The following notes form an indicative summary of the commercial and operating arrangements</w:t>
      </w:r>
      <w:r w:rsidR="00867DF9">
        <w:t xml:space="preserve"> for delivery of the Program</w:t>
      </w:r>
      <w:r>
        <w:t>. In the event of an inconsistency or contradiction between this indicative summary and the Funding Agreement, the Funding Agreement shall prevail.</w:t>
      </w:r>
    </w:p>
    <w:p w14:paraId="3C3B3D99" w14:textId="78EBAA06" w:rsidR="00242472" w:rsidRDefault="00242472" w:rsidP="00363E57">
      <w:pPr>
        <w:pStyle w:val="Heading2"/>
      </w:pPr>
      <w:bookmarkStart w:id="44" w:name="_Toc151041946"/>
      <w:r>
        <w:t xml:space="preserve">Government contribution </w:t>
      </w:r>
      <w:proofErr w:type="gramStart"/>
      <w:r>
        <w:t>limited</w:t>
      </w:r>
      <w:bookmarkEnd w:id="44"/>
      <w:proofErr w:type="gramEnd"/>
    </w:p>
    <w:p w14:paraId="6FDD069C" w14:textId="4670D9A2" w:rsidR="00C55E8C" w:rsidRDefault="00697C51" w:rsidP="00590B5E">
      <w:r>
        <w:t>If a VPF grant is approved, t</w:t>
      </w:r>
      <w:r w:rsidR="00C55E8C">
        <w:t xml:space="preserve">he Government’s contribution </w:t>
      </w:r>
      <w:r w:rsidR="00554CB6">
        <w:t xml:space="preserve">to the </w:t>
      </w:r>
      <w:r w:rsidR="003F69F4">
        <w:t xml:space="preserve">Proposal </w:t>
      </w:r>
      <w:r w:rsidR="00C55E8C">
        <w:t xml:space="preserve">is limited to the </w:t>
      </w:r>
      <w:r>
        <w:t>value</w:t>
      </w:r>
      <w:r w:rsidR="007846BF">
        <w:t xml:space="preserve"> of the </w:t>
      </w:r>
      <w:r w:rsidR="00DA4E68">
        <w:t xml:space="preserve">VPF </w:t>
      </w:r>
      <w:r w:rsidR="007846BF">
        <w:t>grant</w:t>
      </w:r>
      <w:r w:rsidR="00DA4E68">
        <w:t xml:space="preserve"> awarded</w:t>
      </w:r>
      <w:r w:rsidR="00C55E8C">
        <w:t xml:space="preserve">. </w:t>
      </w:r>
      <w:r>
        <w:t xml:space="preserve">The Grant Recipient is expected to meet all other costs associated with the </w:t>
      </w:r>
      <w:r w:rsidR="003F69F4">
        <w:t>Proposal.</w:t>
      </w:r>
      <w:r w:rsidR="003F69F4" w:rsidRPr="00443238">
        <w:t xml:space="preserve"> </w:t>
      </w:r>
    </w:p>
    <w:p w14:paraId="383C7FE0" w14:textId="4ECF2598" w:rsidR="005A7CFF" w:rsidRPr="00FE2319" w:rsidRDefault="004B5053" w:rsidP="00363E57">
      <w:pPr>
        <w:pStyle w:val="Heading2"/>
      </w:pPr>
      <w:bookmarkStart w:id="45" w:name="_Toc523845054"/>
      <w:bookmarkStart w:id="46" w:name="_Toc467744714"/>
      <w:bookmarkStart w:id="47" w:name="_Toc467744771"/>
      <w:bookmarkStart w:id="48" w:name="_Toc151041947"/>
      <w:bookmarkEnd w:id="45"/>
      <w:bookmarkEnd w:id="46"/>
      <w:bookmarkEnd w:id="47"/>
      <w:r>
        <w:t xml:space="preserve">Contractual </w:t>
      </w:r>
      <w:r w:rsidR="00B2258A">
        <w:t>terms</w:t>
      </w:r>
      <w:bookmarkEnd w:id="48"/>
    </w:p>
    <w:p w14:paraId="649FB754" w14:textId="769999E9" w:rsidR="001774C8" w:rsidRDefault="00C63497" w:rsidP="001774C8">
      <w:r>
        <w:t>Unless CAV agrees otherwise, the Grant R</w:t>
      </w:r>
      <w:r w:rsidR="001774C8">
        <w:t xml:space="preserve">ecipient must deliver the </w:t>
      </w:r>
      <w:r w:rsidR="001F1F07">
        <w:t>Proposal</w:t>
      </w:r>
      <w:r w:rsidR="001774C8">
        <w:t xml:space="preserve"> as proposed in the Grant Application. The </w:t>
      </w:r>
      <w:r w:rsidR="00772135">
        <w:t>grant recipient</w:t>
      </w:r>
      <w:r w:rsidR="001774C8">
        <w:t xml:space="preserve"> must seek CAV’s </w:t>
      </w:r>
      <w:r>
        <w:t xml:space="preserve">prior </w:t>
      </w:r>
      <w:r w:rsidR="001774C8">
        <w:t>written approval</w:t>
      </w:r>
      <w:r>
        <w:t xml:space="preserve"> </w:t>
      </w:r>
      <w:r w:rsidR="001774C8">
        <w:t xml:space="preserve">for any significant change to the manner </w:t>
      </w:r>
      <w:r>
        <w:t xml:space="preserve">of delivery and timing </w:t>
      </w:r>
      <w:r w:rsidR="001774C8">
        <w:t xml:space="preserve">of the </w:t>
      </w:r>
      <w:r w:rsidR="0065712A">
        <w:t>Proposal</w:t>
      </w:r>
      <w:r w:rsidR="001774C8">
        <w:t xml:space="preserve">.   </w:t>
      </w:r>
    </w:p>
    <w:p w14:paraId="56492B49" w14:textId="189A4989" w:rsidR="006173A5" w:rsidRDefault="00920653" w:rsidP="006173A5">
      <w:r>
        <w:t>The</w:t>
      </w:r>
      <w:r w:rsidR="00FC381A">
        <w:t xml:space="preserve"> grant recipient will be required to enter a</w:t>
      </w:r>
      <w:r w:rsidR="0063589F">
        <w:t xml:space="preserve"> </w:t>
      </w:r>
      <w:r w:rsidR="00C17B71">
        <w:t>F</w:t>
      </w:r>
      <w:r w:rsidR="00B2258A">
        <w:t xml:space="preserve">unding </w:t>
      </w:r>
      <w:r w:rsidR="00C17B71">
        <w:t>A</w:t>
      </w:r>
      <w:r w:rsidR="00B2258A">
        <w:t>greement</w:t>
      </w:r>
      <w:r w:rsidR="00C17B71">
        <w:t xml:space="preserve"> </w:t>
      </w:r>
      <w:r w:rsidR="00FC381A">
        <w:t>with</w:t>
      </w:r>
      <w:r w:rsidR="00867DF9">
        <w:t xml:space="preserve"> CAV </w:t>
      </w:r>
      <w:r w:rsidR="00B2258A">
        <w:t>in the form of the Victorian Common Funding Agreement</w:t>
      </w:r>
      <w:r w:rsidR="00C9622B">
        <w:t xml:space="preserve"> (VCFA)</w:t>
      </w:r>
      <w:r w:rsidR="006173A5">
        <w:t xml:space="preserve">. The standard terms and conditions of the </w:t>
      </w:r>
      <w:r w:rsidR="00C9622B">
        <w:t>VCFA</w:t>
      </w:r>
      <w:r w:rsidR="006173A5">
        <w:t xml:space="preserve"> </w:t>
      </w:r>
      <w:r w:rsidR="006173A5" w:rsidRPr="00233A19">
        <w:t>are not negotiable. A copy of these terms is available for download at the Victorian Common Funding Agre</w:t>
      </w:r>
      <w:r w:rsidR="00E1682F" w:rsidRPr="00233A19">
        <w:t xml:space="preserve">ement page on the </w:t>
      </w:r>
      <w:r w:rsidR="00886E20" w:rsidRPr="00DE12FD">
        <w:t>Victorian Government</w:t>
      </w:r>
      <w:r w:rsidR="00886E20" w:rsidRPr="00233A19">
        <w:t xml:space="preserve"> </w:t>
      </w:r>
      <w:r w:rsidR="00E1682F" w:rsidRPr="00233A19">
        <w:t>website (</w:t>
      </w:r>
      <w:hyperlink r:id="rId19" w:history="1">
        <w:r w:rsidR="00886E20" w:rsidRPr="00233A19">
          <w:rPr>
            <w:rStyle w:val="Hyperlink"/>
          </w:rPr>
          <w:t>https://www.vic.gov.au/victorian-common-funding-agreement</w:t>
        </w:r>
      </w:hyperlink>
      <w:r w:rsidR="00886E20" w:rsidRPr="00DE12FD">
        <w:t>)</w:t>
      </w:r>
    </w:p>
    <w:p w14:paraId="37086A60" w14:textId="68FE0E2F" w:rsidR="00B2258A" w:rsidRPr="001702BA" w:rsidRDefault="006173A5">
      <w:r>
        <w:t>T</w:t>
      </w:r>
      <w:r w:rsidR="00C17B71">
        <w:t xml:space="preserve">he </w:t>
      </w:r>
      <w:r w:rsidR="00443238">
        <w:t xml:space="preserve">VCFA </w:t>
      </w:r>
      <w:r w:rsidR="00C17B71">
        <w:t xml:space="preserve">Schedule details </w:t>
      </w:r>
      <w:r w:rsidR="004B52C5">
        <w:t>are to</w:t>
      </w:r>
      <w:r w:rsidR="00C17B71">
        <w:t xml:space="preserve"> be negotiated</w:t>
      </w:r>
      <w:r>
        <w:t xml:space="preserve"> with reference to</w:t>
      </w:r>
      <w:r w:rsidR="003A7995">
        <w:t xml:space="preserve"> the </w:t>
      </w:r>
      <w:r w:rsidR="00B51FB0">
        <w:t xml:space="preserve">specific </w:t>
      </w:r>
      <w:r w:rsidR="003A7995">
        <w:t>needs of</w:t>
      </w:r>
      <w:r>
        <w:t xml:space="preserve"> the </w:t>
      </w:r>
      <w:r w:rsidR="003C467B" w:rsidRPr="00DE12FD">
        <w:t>Proposal</w:t>
      </w:r>
      <w:r w:rsidRPr="001702BA">
        <w:t xml:space="preserve">, including the payment milestones </w:t>
      </w:r>
      <w:r w:rsidR="003A7995" w:rsidRPr="001702BA">
        <w:t>and timing</w:t>
      </w:r>
      <w:r w:rsidRPr="001702BA">
        <w:t xml:space="preserve">. </w:t>
      </w:r>
      <w:r w:rsidR="003A7995" w:rsidRPr="001702BA">
        <w:t>(</w:t>
      </w:r>
      <w:r w:rsidRPr="001702BA">
        <w:t xml:space="preserve">Subject to </w:t>
      </w:r>
      <w:r w:rsidR="004B52C5" w:rsidRPr="001702BA">
        <w:t xml:space="preserve">CAV’s </w:t>
      </w:r>
      <w:r w:rsidRPr="001702BA">
        <w:t>agreement, an initial advance of up to 40</w:t>
      </w:r>
      <w:r w:rsidR="00023080">
        <w:t xml:space="preserve"> per cent</w:t>
      </w:r>
      <w:r w:rsidRPr="001702BA">
        <w:t xml:space="preserve"> of the grant value </w:t>
      </w:r>
      <w:r w:rsidR="003B5C24" w:rsidRPr="001702BA">
        <w:t>can be</w:t>
      </w:r>
      <w:r w:rsidRPr="001702BA">
        <w:t xml:space="preserve"> made upon exe</w:t>
      </w:r>
      <w:r w:rsidR="004B52C5" w:rsidRPr="001702BA">
        <w:t>cution of the Funding Agreement, with t</w:t>
      </w:r>
      <w:r w:rsidRPr="001702BA">
        <w:t xml:space="preserve">he balance of funding paid upon achievement of </w:t>
      </w:r>
      <w:r w:rsidR="00920653" w:rsidRPr="001702BA">
        <w:t xml:space="preserve">agreed </w:t>
      </w:r>
      <w:r w:rsidRPr="001702BA">
        <w:t xml:space="preserve">milestones and </w:t>
      </w:r>
      <w:r w:rsidR="00BD7D76" w:rsidRPr="001702BA">
        <w:t xml:space="preserve">CAV’s acceptance of progress and </w:t>
      </w:r>
      <w:r w:rsidRPr="001702BA">
        <w:t>acquittal reports.</w:t>
      </w:r>
      <w:r w:rsidR="003A7995" w:rsidRPr="001702BA">
        <w:t>)</w:t>
      </w:r>
      <w:r w:rsidR="004E4144" w:rsidRPr="001702BA">
        <w:t xml:space="preserve"> The Applicant’s grant application will be incorporated in the terms of the funding agreement. </w:t>
      </w:r>
    </w:p>
    <w:p w14:paraId="30506BB6" w14:textId="5769D0AB" w:rsidR="004E4144" w:rsidRPr="001702BA" w:rsidRDefault="00A95304" w:rsidP="00BA0AB7">
      <w:r w:rsidRPr="001702BA">
        <w:t xml:space="preserve">The grant recipient will be required to report on the actual costs of the </w:t>
      </w:r>
      <w:r w:rsidR="003C467B" w:rsidRPr="00DE12FD">
        <w:t>Proposal</w:t>
      </w:r>
      <w:r w:rsidR="003C467B" w:rsidRPr="001702BA">
        <w:t xml:space="preserve"> </w:t>
      </w:r>
      <w:r w:rsidRPr="001702BA">
        <w:t xml:space="preserve">compared to budget and supply information to evidence </w:t>
      </w:r>
      <w:r w:rsidR="00EF766F">
        <w:t>funding</w:t>
      </w:r>
      <w:r w:rsidR="00EF766F" w:rsidRPr="001702BA">
        <w:t xml:space="preserve"> </w:t>
      </w:r>
      <w:r w:rsidRPr="001702BA">
        <w:t>expenditure to CAV’s satisfaction, including</w:t>
      </w:r>
      <w:r w:rsidR="00E30BCF" w:rsidRPr="001702BA">
        <w:t xml:space="preserve"> </w:t>
      </w:r>
      <w:r w:rsidR="00AC5711" w:rsidRPr="001702BA">
        <w:t xml:space="preserve">if requested </w:t>
      </w:r>
      <w:r w:rsidRPr="001702BA">
        <w:t xml:space="preserve">an audited financial statement of project expenditure. </w:t>
      </w:r>
    </w:p>
    <w:p w14:paraId="2C1FD9A6" w14:textId="4EBE957A" w:rsidR="004E3C83" w:rsidRPr="001702BA" w:rsidRDefault="00A95304" w:rsidP="00BA0AB7">
      <w:r w:rsidRPr="001702BA">
        <w:t xml:space="preserve">In the event the </w:t>
      </w:r>
      <w:r w:rsidR="003C467B" w:rsidRPr="00DE12FD">
        <w:t>Proposal</w:t>
      </w:r>
      <w:r w:rsidR="003C467B" w:rsidRPr="001702BA">
        <w:t xml:space="preserve"> </w:t>
      </w:r>
      <w:r w:rsidRPr="001702BA">
        <w:t xml:space="preserve">is </w:t>
      </w:r>
      <w:r w:rsidR="003C467B" w:rsidRPr="00DE12FD">
        <w:t>delivered</w:t>
      </w:r>
      <w:r w:rsidRPr="001702BA">
        <w:t xml:space="preserve"> for less than the approved project budget, CAV </w:t>
      </w:r>
      <w:r w:rsidR="001702BA" w:rsidRPr="00DE12FD">
        <w:t>may</w:t>
      </w:r>
      <w:r w:rsidR="001702BA" w:rsidRPr="001702BA">
        <w:t xml:space="preserve"> </w:t>
      </w:r>
      <w:r w:rsidR="001F2451">
        <w:t>make reasonable adjustments</w:t>
      </w:r>
      <w:r w:rsidR="001702BA" w:rsidRPr="001702BA">
        <w:t xml:space="preserve"> </w:t>
      </w:r>
      <w:r w:rsidR="00DE4229">
        <w:t>to payments</w:t>
      </w:r>
      <w:r w:rsidR="001702BA" w:rsidRPr="001702BA">
        <w:t xml:space="preserve"> </w:t>
      </w:r>
      <w:r w:rsidR="003B516F">
        <w:t>to reflect actual services delivered</w:t>
      </w:r>
      <w:r w:rsidRPr="001702BA">
        <w:t xml:space="preserve">. </w:t>
      </w:r>
    </w:p>
    <w:p w14:paraId="08FEDDD8" w14:textId="0AC67247" w:rsidR="00A95304" w:rsidRPr="00DE12FD" w:rsidRDefault="00452C52" w:rsidP="00A95304">
      <w:pPr>
        <w:rPr>
          <w:rStyle w:val="Hyperlink"/>
          <w:highlight w:val="yellow"/>
        </w:rPr>
      </w:pPr>
      <w:r w:rsidRPr="00DE12FD">
        <w:t xml:space="preserve">If the value of any grant awarded exceeds a </w:t>
      </w:r>
      <w:r w:rsidR="002A296B" w:rsidRPr="001702BA">
        <w:t xml:space="preserve">specific </w:t>
      </w:r>
      <w:r w:rsidRPr="001702BA">
        <w:t xml:space="preserve">value ($1 million for projects in regional areas, </w:t>
      </w:r>
      <w:r w:rsidR="00720A32" w:rsidRPr="001702BA">
        <w:t>and $3 million for projects in m</w:t>
      </w:r>
      <w:r w:rsidRPr="001702BA">
        <w:t xml:space="preserve">etropolitan areas), the Respondent </w:t>
      </w:r>
      <w:r w:rsidR="00720A32" w:rsidRPr="001702BA">
        <w:t>will</w:t>
      </w:r>
      <w:r w:rsidRPr="001702BA">
        <w:t xml:space="preserve"> be required to </w:t>
      </w:r>
      <w:r w:rsidR="002A296B" w:rsidRPr="001702BA">
        <w:t>meet</w:t>
      </w:r>
      <w:r w:rsidRPr="001702BA">
        <w:t xml:space="preserve"> </w:t>
      </w:r>
      <w:r w:rsidR="00940477">
        <w:t>Local First Job</w:t>
      </w:r>
      <w:r w:rsidR="002A296B" w:rsidRPr="001702BA">
        <w:t xml:space="preserve"> </w:t>
      </w:r>
      <w:r w:rsidR="002A296B" w:rsidRPr="002B38D3">
        <w:t>requirements</w:t>
      </w:r>
      <w:r w:rsidRPr="002B38D3">
        <w:t xml:space="preserve">. </w:t>
      </w:r>
      <w:r w:rsidR="0062183A" w:rsidRPr="002B38D3">
        <w:t xml:space="preserve">For more information see </w:t>
      </w:r>
      <w:hyperlink r:id="rId20" w:history="1">
        <w:r w:rsidR="00C45A6D" w:rsidRPr="00B0009F">
          <w:rPr>
            <w:rStyle w:val="Hyperlink"/>
          </w:rPr>
          <w:t>https://localjobsfirst.vic.gov.au/agency-guidance/issue-grants</w:t>
        </w:r>
      </w:hyperlink>
      <w:r w:rsidR="00C45A6D">
        <w:t xml:space="preserve"> </w:t>
      </w:r>
    </w:p>
    <w:p w14:paraId="159925C0" w14:textId="61E31754" w:rsidR="002F2889" w:rsidRDefault="00A95304" w:rsidP="00A04CDF">
      <w:r w:rsidRPr="00656AA8">
        <w:t xml:space="preserve">The </w:t>
      </w:r>
      <w:r w:rsidR="00C63497" w:rsidRPr="00656AA8">
        <w:t>G</w:t>
      </w:r>
      <w:r w:rsidRPr="00656AA8">
        <w:t xml:space="preserve">rant </w:t>
      </w:r>
      <w:r w:rsidR="00C63497" w:rsidRPr="00656AA8">
        <w:t>R</w:t>
      </w:r>
      <w:r w:rsidRPr="00656AA8">
        <w:t>ecipient will be required to acknowledge any financial and other support provided by the Victorian Government. CAV require</w:t>
      </w:r>
      <w:r w:rsidR="006D3074" w:rsidRPr="00656AA8">
        <w:t>s</w:t>
      </w:r>
      <w:r w:rsidRPr="00656AA8">
        <w:t xml:space="preserve"> the right to publicise and report on awarding the funding to the grant recipient.</w:t>
      </w:r>
      <w:bookmarkStart w:id="49" w:name="_Toc523845057"/>
      <w:bookmarkEnd w:id="49"/>
    </w:p>
    <w:p w14:paraId="4BBA52B4" w14:textId="77777777" w:rsidR="00812BAE" w:rsidRPr="00FE2319" w:rsidRDefault="004B5053" w:rsidP="00363E57">
      <w:pPr>
        <w:pStyle w:val="Heading2"/>
      </w:pPr>
      <w:bookmarkStart w:id="50" w:name="_Toc151041948"/>
      <w:r>
        <w:t>Delivery t</w:t>
      </w:r>
      <w:r w:rsidR="00812BAE" w:rsidRPr="00FE2319">
        <w:t>imeframe</w:t>
      </w:r>
      <w:bookmarkEnd w:id="50"/>
    </w:p>
    <w:p w14:paraId="42A8F413" w14:textId="55E50CF8" w:rsidR="00166842" w:rsidRDefault="00A24489" w:rsidP="00812BAE">
      <w:r w:rsidRPr="00A720C2">
        <w:t xml:space="preserve">Unless CAV agrees otherwise, </w:t>
      </w:r>
      <w:r w:rsidR="00105777" w:rsidRPr="00DE12FD">
        <w:t>Proposals</w:t>
      </w:r>
      <w:r w:rsidR="00105777" w:rsidRPr="00A720C2">
        <w:t xml:space="preserve"> </w:t>
      </w:r>
      <w:r w:rsidR="00720A32" w:rsidRPr="00A720C2">
        <w:t>must</w:t>
      </w:r>
      <w:r w:rsidR="00006AA5" w:rsidRPr="00A720C2">
        <w:t xml:space="preserve"> </w:t>
      </w:r>
      <w:r w:rsidR="00105777" w:rsidRPr="00DE12FD">
        <w:t>commence service deliver</w:t>
      </w:r>
      <w:r w:rsidR="00B573EB">
        <w:t>y</w:t>
      </w:r>
      <w:r w:rsidR="00105777" w:rsidRPr="00DE12FD">
        <w:t xml:space="preserve"> in the 2024 calendar year</w:t>
      </w:r>
      <w:r w:rsidR="005A7CFF" w:rsidRPr="00A720C2">
        <w:t xml:space="preserve">. </w:t>
      </w:r>
    </w:p>
    <w:p w14:paraId="5F02D286" w14:textId="7F0CC06C" w:rsidR="00761845" w:rsidRPr="009121D8" w:rsidRDefault="00FD2B32" w:rsidP="00363E57">
      <w:pPr>
        <w:pStyle w:val="Heading2"/>
      </w:pPr>
      <w:bookmarkStart w:id="51" w:name="_Toc467744814"/>
      <w:bookmarkStart w:id="52" w:name="_Toc467744819"/>
      <w:bookmarkStart w:id="53" w:name="_Toc467744820"/>
      <w:bookmarkStart w:id="54" w:name="_Toc467744825"/>
      <w:bookmarkStart w:id="55" w:name="_Toc467744826"/>
      <w:bookmarkStart w:id="56" w:name="_Toc467744829"/>
      <w:bookmarkStart w:id="57" w:name="_Toc467744832"/>
      <w:bookmarkStart w:id="58" w:name="_Toc467744834"/>
      <w:bookmarkStart w:id="59" w:name="_Toc467744835"/>
      <w:bookmarkStart w:id="60" w:name="_Toc467744836"/>
      <w:bookmarkStart w:id="61" w:name="_Toc467744837"/>
      <w:bookmarkStart w:id="62" w:name="_Toc467744840"/>
      <w:bookmarkStart w:id="63" w:name="_Toc467744842"/>
      <w:bookmarkStart w:id="64" w:name="_Toc467744845"/>
      <w:bookmarkStart w:id="65" w:name="_Toc467744846"/>
      <w:bookmarkStart w:id="66" w:name="_Toc467744847"/>
      <w:bookmarkStart w:id="67" w:name="_Toc467744849"/>
      <w:bookmarkStart w:id="68" w:name="_Toc467744850"/>
      <w:bookmarkStart w:id="69" w:name="_Toc467744851"/>
      <w:bookmarkStart w:id="70" w:name="_Toc467744853"/>
      <w:bookmarkStart w:id="71" w:name="_Toc467744854"/>
      <w:bookmarkStart w:id="72" w:name="_Toc467744855"/>
      <w:bookmarkStart w:id="73" w:name="_Toc467744856"/>
      <w:bookmarkStart w:id="74" w:name="_Toc467744858"/>
      <w:bookmarkStart w:id="75" w:name="_Toc467744859"/>
      <w:bookmarkStart w:id="76" w:name="_Toc467744861"/>
      <w:bookmarkStart w:id="77" w:name="_Toc467744862"/>
      <w:bookmarkStart w:id="78" w:name="_Toc467744864"/>
      <w:bookmarkStart w:id="79" w:name="_Toc467744865"/>
      <w:bookmarkStart w:id="80" w:name="_Toc467744867"/>
      <w:bookmarkStart w:id="81" w:name="_Toc467744868"/>
      <w:bookmarkStart w:id="82" w:name="_Toc467744869"/>
      <w:bookmarkStart w:id="83" w:name="_Toc467744871"/>
      <w:bookmarkStart w:id="84" w:name="_Toc467744872"/>
      <w:bookmarkStart w:id="85" w:name="_Toc467744874"/>
      <w:bookmarkStart w:id="86" w:name="_Toc467744876"/>
      <w:bookmarkStart w:id="87" w:name="_Toc467744877"/>
      <w:bookmarkStart w:id="88" w:name="_Toc451229784"/>
      <w:bookmarkStart w:id="89" w:name="_Toc451230326"/>
      <w:bookmarkStart w:id="90" w:name="_Toc451230354"/>
      <w:bookmarkStart w:id="91" w:name="_Toc451230398"/>
      <w:bookmarkStart w:id="92" w:name="_Toc451230514"/>
      <w:bookmarkStart w:id="93" w:name="_Toc451230568"/>
      <w:bookmarkStart w:id="94" w:name="_Toc451230718"/>
      <w:bookmarkStart w:id="95" w:name="_Toc451236449"/>
      <w:bookmarkStart w:id="96" w:name="_Toc451229785"/>
      <w:bookmarkStart w:id="97" w:name="_Toc451230327"/>
      <w:bookmarkStart w:id="98" w:name="_Toc451230355"/>
      <w:bookmarkStart w:id="99" w:name="_Toc451230399"/>
      <w:bookmarkStart w:id="100" w:name="_Toc451230515"/>
      <w:bookmarkStart w:id="101" w:name="_Toc451230569"/>
      <w:bookmarkStart w:id="102" w:name="_Toc451230719"/>
      <w:bookmarkStart w:id="103" w:name="_Toc451236450"/>
      <w:bookmarkStart w:id="104" w:name="_Toc451229790"/>
      <w:bookmarkStart w:id="105" w:name="_Toc451230332"/>
      <w:bookmarkStart w:id="106" w:name="_Toc451230360"/>
      <w:bookmarkStart w:id="107" w:name="_Toc451230404"/>
      <w:bookmarkStart w:id="108" w:name="_Toc451230520"/>
      <w:bookmarkStart w:id="109" w:name="_Toc451230574"/>
      <w:bookmarkStart w:id="110" w:name="_Toc451230724"/>
      <w:bookmarkStart w:id="111" w:name="_Toc451236455"/>
      <w:bookmarkStart w:id="112" w:name="_Toc467744878"/>
      <w:bookmarkStart w:id="113" w:name="_Toc467744879"/>
      <w:bookmarkStart w:id="114" w:name="_Toc467744880"/>
      <w:bookmarkStart w:id="115" w:name="_Toc467744881"/>
      <w:bookmarkStart w:id="116" w:name="_Toc467744882"/>
      <w:bookmarkStart w:id="117" w:name="_Toc467744883"/>
      <w:bookmarkStart w:id="118" w:name="_Toc467744884"/>
      <w:bookmarkStart w:id="119" w:name="_Toc467744887"/>
      <w:bookmarkStart w:id="120" w:name="_Toc467744888"/>
      <w:bookmarkStart w:id="121" w:name="_Toc467744889"/>
      <w:bookmarkStart w:id="122" w:name="_Toc467744904"/>
      <w:bookmarkStart w:id="123" w:name="_Toc467744907"/>
      <w:bookmarkStart w:id="124" w:name="_Toc467744908"/>
      <w:bookmarkStart w:id="125" w:name="_Toc467744911"/>
      <w:bookmarkStart w:id="126" w:name="_Toc467744912"/>
      <w:bookmarkStart w:id="127" w:name="_Toc467744913"/>
      <w:bookmarkStart w:id="128" w:name="_Toc467744918"/>
      <w:bookmarkStart w:id="129" w:name="_Toc467744921"/>
      <w:bookmarkStart w:id="130" w:name="_Toc467744924"/>
      <w:bookmarkStart w:id="131" w:name="_Toc467744926"/>
      <w:bookmarkStart w:id="132" w:name="_Toc467744927"/>
      <w:bookmarkStart w:id="133" w:name="_Toc467744939"/>
      <w:bookmarkStart w:id="134" w:name="_Toc467744940"/>
      <w:bookmarkStart w:id="135" w:name="_Toc467744942"/>
      <w:bookmarkStart w:id="136" w:name="_Toc467744943"/>
      <w:bookmarkStart w:id="137" w:name="_Toc467744946"/>
      <w:bookmarkStart w:id="138" w:name="_Toc467744950"/>
      <w:bookmarkStart w:id="139" w:name="_Toc467744955"/>
      <w:bookmarkStart w:id="140" w:name="_Toc467744958"/>
      <w:bookmarkStart w:id="141" w:name="_Toc467744959"/>
      <w:bookmarkStart w:id="142" w:name="_Toc467744962"/>
      <w:bookmarkStart w:id="143" w:name="_Toc467744963"/>
      <w:bookmarkStart w:id="144" w:name="_Toc467744964"/>
      <w:bookmarkStart w:id="145" w:name="_Toc467744965"/>
      <w:bookmarkStart w:id="146" w:name="_Toc467744966"/>
      <w:bookmarkStart w:id="147" w:name="_Toc467744967"/>
      <w:bookmarkStart w:id="148" w:name="_Toc467744972"/>
      <w:bookmarkStart w:id="149" w:name="_Toc467744974"/>
      <w:bookmarkStart w:id="150" w:name="_Toc467744975"/>
      <w:bookmarkStart w:id="151" w:name="_Toc467744976"/>
      <w:bookmarkStart w:id="152" w:name="_Toc467744977"/>
      <w:bookmarkStart w:id="153" w:name="_Toc467744982"/>
      <w:bookmarkStart w:id="154" w:name="_Toc467744983"/>
      <w:bookmarkStart w:id="155" w:name="_Toc467744991"/>
      <w:bookmarkStart w:id="156" w:name="_Toc467744992"/>
      <w:bookmarkStart w:id="157" w:name="_Toc467745003"/>
      <w:bookmarkStart w:id="158" w:name="_Toc467745005"/>
      <w:bookmarkStart w:id="159" w:name="_Toc467745006"/>
      <w:bookmarkStart w:id="160" w:name="_Toc467745009"/>
      <w:bookmarkStart w:id="161" w:name="_Toc467745012"/>
      <w:bookmarkStart w:id="162" w:name="_Toc467745015"/>
      <w:bookmarkStart w:id="163" w:name="_Toc467745017"/>
      <w:bookmarkStart w:id="164" w:name="_Toc467745018"/>
      <w:bookmarkStart w:id="165" w:name="_Toc467745020"/>
      <w:bookmarkStart w:id="166" w:name="_Toc467745021"/>
      <w:bookmarkStart w:id="167" w:name="_Toc151041949"/>
      <w:bookmarkStart w:id="168" w:name="_Toc69878312"/>
      <w:bookmarkStart w:id="169" w:name="_Toc65388685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9121D8">
        <w:t xml:space="preserve">Other </w:t>
      </w:r>
      <w:r w:rsidR="00460C19" w:rsidRPr="009121D8">
        <w:t xml:space="preserve">responsibilities and </w:t>
      </w:r>
      <w:r w:rsidRPr="009121D8">
        <w:t>r</w:t>
      </w:r>
      <w:r w:rsidR="00761845" w:rsidRPr="009121D8">
        <w:t>isk</w:t>
      </w:r>
      <w:r w:rsidRPr="009121D8">
        <w:t>s</w:t>
      </w:r>
      <w:r w:rsidR="00460C19" w:rsidRPr="009121D8">
        <w:t xml:space="preserve"> </w:t>
      </w:r>
      <w:r w:rsidR="00A34A18" w:rsidRPr="009121D8">
        <w:t xml:space="preserve">to be </w:t>
      </w:r>
      <w:r w:rsidR="00460C19" w:rsidRPr="009121D8">
        <w:t xml:space="preserve">assumed by </w:t>
      </w:r>
      <w:proofErr w:type="gramStart"/>
      <w:r w:rsidR="00460C19" w:rsidRPr="009121D8">
        <w:t>Respondent</w:t>
      </w:r>
      <w:bookmarkEnd w:id="167"/>
      <w:proofErr w:type="gramEnd"/>
    </w:p>
    <w:p w14:paraId="5A7414E1" w14:textId="6427CE53" w:rsidR="00091EC3" w:rsidRDefault="002A49EB" w:rsidP="00DE12FD">
      <w:r w:rsidRPr="001B36DC">
        <w:t xml:space="preserve">The Respondent is expected to </w:t>
      </w:r>
      <w:r w:rsidR="00F30AF2" w:rsidRPr="001B36DC">
        <w:t xml:space="preserve">assume all risks associated with the </w:t>
      </w:r>
      <w:r w:rsidR="00357126">
        <w:t xml:space="preserve">establishment and </w:t>
      </w:r>
      <w:r w:rsidR="00F30AF2" w:rsidRPr="001B36DC">
        <w:t>delivery of services, including those funded through a VPF grant.</w:t>
      </w:r>
    </w:p>
    <w:p w14:paraId="17445A5F" w14:textId="2AD8B9D3" w:rsidR="00473658" w:rsidRPr="00EE6EB7" w:rsidRDefault="00FB18B9" w:rsidP="006B29C1">
      <w:pPr>
        <w:pStyle w:val="Heading1"/>
      </w:pPr>
      <w:bookmarkStart w:id="170" w:name="_Toc467745029"/>
      <w:bookmarkStart w:id="171" w:name="_Toc467745031"/>
      <w:bookmarkStart w:id="172" w:name="_Toc467745032"/>
      <w:bookmarkStart w:id="173" w:name="_Toc467745033"/>
      <w:bookmarkStart w:id="174" w:name="_Toc467745035"/>
      <w:bookmarkStart w:id="175" w:name="_Toc467745036"/>
      <w:bookmarkStart w:id="176" w:name="_Toc467745037"/>
      <w:bookmarkStart w:id="177" w:name="_Toc467745038"/>
      <w:bookmarkStart w:id="178" w:name="_Toc467745039"/>
      <w:bookmarkStart w:id="179" w:name="_Toc467745040"/>
      <w:bookmarkStart w:id="180" w:name="_Toc467745042"/>
      <w:bookmarkStart w:id="181" w:name="_Toc467745043"/>
      <w:bookmarkStart w:id="182" w:name="_Toc467744719"/>
      <w:bookmarkStart w:id="183" w:name="_Ref467775459"/>
      <w:bookmarkStart w:id="184" w:name="_Ref467775467"/>
      <w:bookmarkStart w:id="185" w:name="_Ref467775508"/>
      <w:bookmarkStart w:id="186" w:name="_Toc151041950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Pr="00EE6EB7">
        <w:t xml:space="preserve">Response </w:t>
      </w:r>
      <w:r w:rsidR="004B5053" w:rsidRPr="00EE6EB7">
        <w:t>Assessment</w:t>
      </w:r>
      <w:r w:rsidR="00AE42BC" w:rsidRPr="00EE6EB7">
        <w:t xml:space="preserve"> Criteria</w:t>
      </w:r>
      <w:bookmarkEnd w:id="168"/>
      <w:bookmarkEnd w:id="182"/>
      <w:bookmarkEnd w:id="183"/>
      <w:bookmarkEnd w:id="184"/>
      <w:bookmarkEnd w:id="185"/>
      <w:bookmarkEnd w:id="186"/>
    </w:p>
    <w:p w14:paraId="344BB46C" w14:textId="77777777" w:rsidR="00473658" w:rsidRPr="00EE6EB7" w:rsidRDefault="00C46B1A" w:rsidP="006B29C1">
      <w:pPr>
        <w:pStyle w:val="Heading2"/>
      </w:pPr>
      <w:bookmarkStart w:id="187" w:name="_Toc151041951"/>
      <w:bookmarkStart w:id="188" w:name="_Toc65388687"/>
      <w:bookmarkEnd w:id="169"/>
      <w:r w:rsidRPr="00EE6EB7">
        <w:t>Overview</w:t>
      </w:r>
      <w:bookmarkEnd w:id="187"/>
    </w:p>
    <w:p w14:paraId="003B46A0" w14:textId="40401FE2" w:rsidR="00934235" w:rsidRDefault="001F4E5D" w:rsidP="00934235">
      <w:r>
        <w:t xml:space="preserve">Responses will be assessed against </w:t>
      </w:r>
      <w:r w:rsidR="00A04CDF">
        <w:t>eight</w:t>
      </w:r>
      <w:r w:rsidR="00A04CDF" w:rsidRPr="00BF6AF5">
        <w:t xml:space="preserve"> </w:t>
      </w:r>
      <w:proofErr w:type="gramStart"/>
      <w:r w:rsidR="00FC612A" w:rsidRPr="00BF6AF5">
        <w:t>criterion</w:t>
      </w:r>
      <w:proofErr w:type="gramEnd"/>
      <w:r w:rsidR="00FC612A">
        <w:t xml:space="preserve">. The first </w:t>
      </w:r>
      <w:r w:rsidR="002768BC">
        <w:t>four</w:t>
      </w:r>
      <w:r w:rsidR="00EE4ADD">
        <w:t xml:space="preserve"> in Table </w:t>
      </w:r>
      <w:r w:rsidR="00FD6309">
        <w:t>5</w:t>
      </w:r>
      <w:r w:rsidR="002768BC">
        <w:t xml:space="preserve"> </w:t>
      </w:r>
      <w:r w:rsidR="00FC612A">
        <w:t xml:space="preserve">are mandatory pass/fail whilst </w:t>
      </w:r>
      <w:r w:rsidR="00EE4ADD">
        <w:t>the</w:t>
      </w:r>
      <w:r w:rsidR="00FC612A">
        <w:t xml:space="preserve"> </w:t>
      </w:r>
      <w:r w:rsidR="002768BC">
        <w:t>six</w:t>
      </w:r>
      <w:r w:rsidR="00112774">
        <w:t xml:space="preserve"> </w:t>
      </w:r>
      <w:r w:rsidR="00EE4ADD">
        <w:t xml:space="preserve">in </w:t>
      </w:r>
      <w:r w:rsidR="00EE4ADD" w:rsidRPr="004C3D70">
        <w:t xml:space="preserve">Table </w:t>
      </w:r>
      <w:r w:rsidR="00FD6309">
        <w:t>6</w:t>
      </w:r>
      <w:r w:rsidR="00EE4ADD">
        <w:t xml:space="preserve"> </w:t>
      </w:r>
      <w:r w:rsidR="00FC612A">
        <w:t>are weight</w:t>
      </w:r>
      <w:r>
        <w:t>ed and will be used to compare R</w:t>
      </w:r>
      <w:r w:rsidR="00FC612A">
        <w:t>esponses th</w:t>
      </w:r>
      <w:r>
        <w:t>at</w:t>
      </w:r>
      <w:r w:rsidR="00FC612A">
        <w:t xml:space="preserve"> progress through the mandatory assessment.</w:t>
      </w:r>
    </w:p>
    <w:p w14:paraId="066E44A9" w14:textId="77777777" w:rsidR="00F67B86" w:rsidRDefault="00F67B86" w:rsidP="00F67B86">
      <w:pPr>
        <w:spacing w:before="240" w:line="259" w:lineRule="auto"/>
        <w:rPr>
          <w:rFonts w:ascii="Calibri" w:eastAsia="Calibri" w:hAnsi="Calibri" w:cs="Calibri"/>
          <w:b/>
          <w:sz w:val="24"/>
          <w:szCs w:val="32"/>
          <w:lang w:val="en-US" w:eastAsia="en-US"/>
        </w:rPr>
      </w:pPr>
      <w:r w:rsidRPr="00EC099F">
        <w:rPr>
          <w:rFonts w:ascii="Calibri" w:eastAsia="Calibri" w:hAnsi="Calibri" w:cs="Calibri"/>
          <w:b/>
          <w:sz w:val="24"/>
          <w:szCs w:val="32"/>
          <w:lang w:val="en-US" w:eastAsia="en-US"/>
        </w:rPr>
        <w:t>MANDATORY CRITERIA: PASS / FAIL CRITERION (UNWEIGHTED)</w:t>
      </w:r>
    </w:p>
    <w:p w14:paraId="4F4CCA3B" w14:textId="7713F28C" w:rsidR="00F67B86" w:rsidRDefault="00F67B86" w:rsidP="00F67B86">
      <w:pPr>
        <w:pStyle w:val="Caption"/>
        <w:keepNext/>
      </w:pPr>
      <w:r>
        <w:t xml:space="preserve">Table </w:t>
      </w:r>
      <w:r w:rsidR="004B7BF3">
        <w:t>5</w:t>
      </w:r>
      <w:r>
        <w:t xml:space="preserve"> – Mandatory Criteria</w:t>
      </w:r>
    </w:p>
    <w:tbl>
      <w:tblPr>
        <w:tblW w:w="51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6"/>
        <w:gridCol w:w="1278"/>
        <w:gridCol w:w="1698"/>
      </w:tblGrid>
      <w:tr w:rsidR="00F67B86" w:rsidRPr="00AF480C" w14:paraId="3D164D46" w14:textId="77777777" w:rsidTr="001D1223">
        <w:trPr>
          <w:cantSplit/>
          <w:tblHeader/>
        </w:trPr>
        <w:tc>
          <w:tcPr>
            <w:tcW w:w="1167" w:type="pct"/>
            <w:shd w:val="clear" w:color="auto" w:fill="D9D9D9"/>
          </w:tcPr>
          <w:p w14:paraId="4FF7142C" w14:textId="77777777" w:rsidR="00F67B86" w:rsidRPr="006B29C1" w:rsidRDefault="00F67B86" w:rsidP="001D1223">
            <w:pPr>
              <w:jc w:val="center"/>
              <w:rPr>
                <w:b/>
                <w:bCs/>
                <w:lang w:val="en-NZ" w:eastAsia="en-US"/>
              </w:rPr>
            </w:pPr>
            <w:r w:rsidRPr="006B29C1">
              <w:rPr>
                <w:b/>
                <w:bCs/>
                <w:lang w:val="en-NZ" w:eastAsia="en-US"/>
              </w:rPr>
              <w:t>Criteria</w:t>
            </w:r>
          </w:p>
        </w:tc>
        <w:tc>
          <w:tcPr>
            <w:tcW w:w="2084" w:type="pct"/>
            <w:shd w:val="clear" w:color="auto" w:fill="D9D9D9"/>
          </w:tcPr>
          <w:p w14:paraId="54CDB48C" w14:textId="77777777" w:rsidR="00F67B86" w:rsidRPr="006B29C1" w:rsidRDefault="00F67B86" w:rsidP="001D1223">
            <w:pPr>
              <w:jc w:val="center"/>
              <w:rPr>
                <w:b/>
                <w:bCs/>
                <w:lang w:val="en-NZ" w:eastAsia="en-US"/>
              </w:rPr>
            </w:pPr>
            <w:r w:rsidRPr="006B29C1">
              <w:rPr>
                <w:b/>
                <w:bCs/>
                <w:lang w:val="en-NZ" w:eastAsia="en-US"/>
              </w:rPr>
              <w:t>Description</w:t>
            </w:r>
          </w:p>
        </w:tc>
        <w:tc>
          <w:tcPr>
            <w:tcW w:w="751" w:type="pct"/>
            <w:shd w:val="clear" w:color="auto" w:fill="D9D9D9"/>
          </w:tcPr>
          <w:p w14:paraId="72945385" w14:textId="77777777" w:rsidR="00F67B86" w:rsidRPr="006B29C1" w:rsidRDefault="00F67B86" w:rsidP="001D1223">
            <w:pPr>
              <w:jc w:val="center"/>
              <w:rPr>
                <w:b/>
                <w:bCs/>
                <w:lang w:val="en-NZ" w:eastAsia="en-US"/>
              </w:rPr>
            </w:pPr>
            <w:r w:rsidRPr="006B29C1">
              <w:rPr>
                <w:b/>
                <w:bCs/>
                <w:lang w:val="en-NZ" w:eastAsia="en-US"/>
              </w:rPr>
              <w:t>Weighting</w:t>
            </w:r>
          </w:p>
        </w:tc>
        <w:tc>
          <w:tcPr>
            <w:tcW w:w="998" w:type="pct"/>
            <w:shd w:val="clear" w:color="auto" w:fill="D9D9D9"/>
          </w:tcPr>
          <w:p w14:paraId="3F550E67" w14:textId="77777777" w:rsidR="00F67B86" w:rsidRPr="006B29C1" w:rsidRDefault="00F67B86" w:rsidP="001D1223">
            <w:pPr>
              <w:jc w:val="center"/>
              <w:rPr>
                <w:b/>
                <w:bCs/>
                <w:lang w:val="en-NZ" w:eastAsia="en-US"/>
              </w:rPr>
            </w:pPr>
            <w:r w:rsidRPr="006B29C1">
              <w:rPr>
                <w:b/>
                <w:bCs/>
                <w:lang w:val="en-NZ" w:eastAsia="en-US"/>
              </w:rPr>
              <w:t>Schedule(s)</w:t>
            </w:r>
          </w:p>
        </w:tc>
      </w:tr>
      <w:tr w:rsidR="00F67B86" w:rsidRPr="00AF480C" w14:paraId="7A03E38F" w14:textId="77777777" w:rsidTr="001D1223">
        <w:trPr>
          <w:cantSplit/>
        </w:trPr>
        <w:tc>
          <w:tcPr>
            <w:tcW w:w="1167" w:type="pct"/>
            <w:shd w:val="clear" w:color="auto" w:fill="auto"/>
          </w:tcPr>
          <w:p w14:paraId="1B9F57B0" w14:textId="360A754F" w:rsidR="00F67B86" w:rsidRPr="004E4218" w:rsidRDefault="00F67B86" w:rsidP="001D1223">
            <w:pPr>
              <w:rPr>
                <w:rFonts w:eastAsia="Calibri"/>
                <w:lang w:val="en-NZ" w:eastAsia="en-US"/>
              </w:rPr>
            </w:pPr>
            <w:r w:rsidRPr="004E4218">
              <w:t xml:space="preserve">Organisation </w:t>
            </w:r>
            <w:r>
              <w:t xml:space="preserve">details </w:t>
            </w:r>
          </w:p>
        </w:tc>
        <w:tc>
          <w:tcPr>
            <w:tcW w:w="2084" w:type="pct"/>
            <w:shd w:val="clear" w:color="auto" w:fill="auto"/>
          </w:tcPr>
          <w:p w14:paraId="4AF3CBEF" w14:textId="4507F12C" w:rsidR="00F67B86" w:rsidRPr="002F6646" w:rsidRDefault="00D916C4" w:rsidP="00DE12FD">
            <w:pPr>
              <w:spacing w:after="0"/>
              <w:rPr>
                <w:rFonts w:eastAsia="Calibri"/>
                <w:lang w:val="en-NZ" w:eastAsia="en-US"/>
              </w:rPr>
            </w:pPr>
            <w:r w:rsidRPr="00676378">
              <w:rPr>
                <w:rFonts w:eastAsia="Times New Roman" w:cs="Arial"/>
                <w:color w:val="000000"/>
                <w:lang w:eastAsia="en-AU"/>
              </w:rPr>
              <w:t xml:space="preserve">Respondent is an eligible </w:t>
            </w:r>
            <w:r w:rsidR="00F8335D">
              <w:rPr>
                <w:rFonts w:eastAsia="Times New Roman" w:cs="Arial"/>
                <w:color w:val="000000"/>
                <w:lang w:eastAsia="en-AU"/>
              </w:rPr>
              <w:t>n</w:t>
            </w:r>
            <w:r w:rsidRPr="00DC4B7E">
              <w:rPr>
                <w:rFonts w:eastAsia="Times New Roman" w:cs="Arial"/>
                <w:lang w:eastAsia="en-AU"/>
              </w:rPr>
              <w:t>ot</w:t>
            </w:r>
            <w:r w:rsidR="00F8335D">
              <w:rPr>
                <w:rFonts w:eastAsia="Times New Roman" w:cs="Arial"/>
                <w:lang w:eastAsia="en-AU"/>
              </w:rPr>
              <w:t>-for-profit</w:t>
            </w:r>
            <w:r w:rsidRPr="00DC4B7E">
              <w:rPr>
                <w:rFonts w:eastAsia="Times New Roman" w:cs="Arial"/>
                <w:lang w:eastAsia="en-AU"/>
              </w:rPr>
              <w:t xml:space="preserve"> organisation</w:t>
            </w:r>
          </w:p>
        </w:tc>
        <w:tc>
          <w:tcPr>
            <w:tcW w:w="751" w:type="pct"/>
            <w:vAlign w:val="center"/>
          </w:tcPr>
          <w:p w14:paraId="05E3773B" w14:textId="77777777" w:rsidR="00F67B86" w:rsidRPr="004E4218" w:rsidRDefault="00F67B86" w:rsidP="001D1223">
            <w:pPr>
              <w:jc w:val="center"/>
              <w:rPr>
                <w:rFonts w:eastAsia="Calibri"/>
                <w:lang w:val="en-NZ" w:eastAsia="en-US"/>
              </w:rPr>
            </w:pPr>
            <w:r w:rsidRPr="004E4218">
              <w:t>N/A</w:t>
            </w:r>
          </w:p>
        </w:tc>
        <w:tc>
          <w:tcPr>
            <w:tcW w:w="998" w:type="pct"/>
            <w:vAlign w:val="center"/>
          </w:tcPr>
          <w:p w14:paraId="0261B907" w14:textId="0334FC6E" w:rsidR="00F67B86" w:rsidRPr="004E4218" w:rsidRDefault="00F67B86" w:rsidP="001D1223">
            <w:pPr>
              <w:rPr>
                <w:rFonts w:eastAsia="Calibri"/>
                <w:lang w:val="en-NZ" w:eastAsia="en-US"/>
              </w:rPr>
            </w:pPr>
            <w:r w:rsidRPr="007E1148">
              <w:t>Schedule 1</w:t>
            </w:r>
          </w:p>
        </w:tc>
      </w:tr>
      <w:tr w:rsidR="00F67B86" w:rsidRPr="00AF480C" w14:paraId="69A99FCE" w14:textId="77777777" w:rsidTr="001D1223">
        <w:trPr>
          <w:cantSplit/>
          <w:trHeight w:val="540"/>
        </w:trPr>
        <w:tc>
          <w:tcPr>
            <w:tcW w:w="1167" w:type="pct"/>
            <w:shd w:val="clear" w:color="auto" w:fill="auto"/>
          </w:tcPr>
          <w:p w14:paraId="023DD0A1" w14:textId="22C4C002" w:rsidR="00F67B86" w:rsidRPr="004E4218" w:rsidDel="000F617D" w:rsidRDefault="006C0131" w:rsidP="001D1223">
            <w:r>
              <w:t xml:space="preserve">Proposal </w:t>
            </w:r>
            <w:r w:rsidR="00F67B86">
              <w:t>Details</w:t>
            </w:r>
          </w:p>
        </w:tc>
        <w:tc>
          <w:tcPr>
            <w:tcW w:w="2084" w:type="pct"/>
            <w:shd w:val="clear" w:color="auto" w:fill="auto"/>
          </w:tcPr>
          <w:p w14:paraId="18795548" w14:textId="77777777" w:rsidR="00F67B86" w:rsidRDefault="00F67B86" w:rsidP="001D1223">
            <w:r>
              <w:t>The proposal meets:</w:t>
            </w:r>
          </w:p>
          <w:p w14:paraId="5D58C82B" w14:textId="77777777" w:rsidR="001878D0" w:rsidRDefault="001878D0" w:rsidP="001878D0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p</w:t>
            </w:r>
            <w:r w:rsidRPr="00FA351F">
              <w:rPr>
                <w:rFonts w:eastAsia="Times New Roman" w:cs="Arial"/>
                <w:color w:val="000000"/>
                <w:lang w:eastAsia="en-AU"/>
              </w:rPr>
              <w:t xml:space="preserve">rogram objectives including </w:t>
            </w:r>
            <w:r>
              <w:rPr>
                <w:rFonts w:eastAsia="Times New Roman" w:cs="Arial"/>
                <w:color w:val="000000"/>
                <w:lang w:eastAsia="en-AU"/>
              </w:rPr>
              <w:t>the provision of</w:t>
            </w:r>
            <w:r w:rsidRPr="00FA351F">
              <w:rPr>
                <w:rFonts w:eastAsia="Times New Roman" w:cs="Arial"/>
                <w:color w:val="000000"/>
                <w:lang w:eastAsia="en-AU"/>
              </w:rPr>
              <w:t xml:space="preserve"> legal assistance, information and advice, and</w:t>
            </w:r>
            <w:r>
              <w:rPr>
                <w:rFonts w:eastAsia="Times New Roman" w:cs="Arial"/>
                <w:color w:val="000000"/>
                <w:lang w:eastAsia="en-AU"/>
              </w:rPr>
              <w:t>/or</w:t>
            </w:r>
            <w:r w:rsidRPr="00FA351F">
              <w:rPr>
                <w:rFonts w:eastAsia="Times New Roman" w:cs="Arial"/>
                <w:color w:val="000000"/>
                <w:lang w:eastAsia="en-AU"/>
              </w:rPr>
              <w:t xml:space="preserve"> advocacy services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to prevent homelessness and help renters stay in their </w:t>
            </w:r>
            <w:proofErr w:type="gramStart"/>
            <w:r>
              <w:rPr>
                <w:rFonts w:eastAsia="Times New Roman" w:cs="Arial"/>
                <w:color w:val="000000"/>
                <w:lang w:eastAsia="en-AU"/>
              </w:rPr>
              <w:t>homes</w:t>
            </w:r>
            <w:proofErr w:type="gramEnd"/>
          </w:p>
          <w:p w14:paraId="1C3F37FC" w14:textId="59617B32" w:rsidR="00F67B86" w:rsidRPr="004E4218" w:rsidRDefault="001878D0" w:rsidP="001878D0">
            <w:pPr>
              <w:pStyle w:val="ListParagraph"/>
              <w:numPr>
                <w:ilvl w:val="0"/>
                <w:numId w:val="28"/>
              </w:numPr>
            </w:pPr>
            <w:r>
              <w:rPr>
                <w:rFonts w:eastAsia="Times New Roman" w:cs="Arial"/>
                <w:color w:val="000000"/>
                <w:lang w:eastAsia="en-AU"/>
              </w:rPr>
              <w:t>commencement of service delivery in 2024 (subject to approval)</w:t>
            </w:r>
          </w:p>
        </w:tc>
        <w:tc>
          <w:tcPr>
            <w:tcW w:w="751" w:type="pct"/>
            <w:vAlign w:val="center"/>
          </w:tcPr>
          <w:p w14:paraId="40537B77" w14:textId="77777777" w:rsidR="00F67B86" w:rsidRPr="004E4218" w:rsidRDefault="00F67B86" w:rsidP="001D1223">
            <w:pPr>
              <w:jc w:val="center"/>
            </w:pPr>
            <w:r w:rsidRPr="004E4218">
              <w:t>N/A</w:t>
            </w:r>
          </w:p>
        </w:tc>
        <w:tc>
          <w:tcPr>
            <w:tcW w:w="998" w:type="pct"/>
            <w:vAlign w:val="center"/>
          </w:tcPr>
          <w:p w14:paraId="5DB4518E" w14:textId="36F7F5E1" w:rsidR="00F67B86" w:rsidRPr="004E4218" w:rsidRDefault="00F67B86" w:rsidP="001D1223">
            <w:r>
              <w:t>Schedule 2</w:t>
            </w:r>
          </w:p>
        </w:tc>
      </w:tr>
      <w:tr w:rsidR="00F67B86" w:rsidRPr="00AF480C" w14:paraId="3CEE9012" w14:textId="77777777" w:rsidTr="001D1223">
        <w:trPr>
          <w:cantSplit/>
          <w:trHeight w:val="540"/>
        </w:trPr>
        <w:tc>
          <w:tcPr>
            <w:tcW w:w="1167" w:type="pct"/>
            <w:shd w:val="clear" w:color="auto" w:fill="auto"/>
          </w:tcPr>
          <w:p w14:paraId="2B649F44" w14:textId="77777777" w:rsidR="00F67B86" w:rsidRPr="004E4218" w:rsidRDefault="00F67B86" w:rsidP="001D1223">
            <w:pPr>
              <w:rPr>
                <w:rFonts w:eastAsia="Calibri"/>
                <w:lang w:val="en-NZ" w:eastAsia="en-US"/>
              </w:rPr>
            </w:pPr>
            <w:r>
              <w:t>Stability,</w:t>
            </w:r>
            <w:r w:rsidRPr="004E4218">
              <w:t xml:space="preserve"> </w:t>
            </w:r>
            <w:proofErr w:type="gramStart"/>
            <w:r>
              <w:t>experience</w:t>
            </w:r>
            <w:proofErr w:type="gramEnd"/>
            <w:r>
              <w:t xml:space="preserve"> and capacity</w:t>
            </w:r>
          </w:p>
        </w:tc>
        <w:tc>
          <w:tcPr>
            <w:tcW w:w="2084" w:type="pct"/>
            <w:shd w:val="clear" w:color="auto" w:fill="auto"/>
          </w:tcPr>
          <w:p w14:paraId="4BAF7E35" w14:textId="326895D5" w:rsidR="00F67B86" w:rsidRPr="00324C79" w:rsidRDefault="00F67B86" w:rsidP="00DE12FD">
            <w:r w:rsidRPr="004E4218">
              <w:t>The Respondent demonstrate</w:t>
            </w:r>
            <w:r>
              <w:t>s sufficient</w:t>
            </w:r>
            <w:r w:rsidR="008323A0">
              <w:t xml:space="preserve"> </w:t>
            </w:r>
            <w:r w:rsidR="00A560B9" w:rsidRPr="001E3570">
              <w:rPr>
                <w:rFonts w:eastAsia="Times New Roman" w:cs="Arial"/>
                <w:color w:val="000000"/>
                <w:lang w:eastAsia="en-AU"/>
              </w:rPr>
              <w:t xml:space="preserve">experience in the delivery </w:t>
            </w:r>
            <w:r w:rsidR="008328D4" w:rsidRPr="001E3570">
              <w:rPr>
                <w:rFonts w:eastAsia="Times New Roman" w:cs="Arial"/>
                <w:color w:val="000000"/>
                <w:lang w:eastAsia="en-AU"/>
              </w:rPr>
              <w:t xml:space="preserve">and management </w:t>
            </w:r>
            <w:r w:rsidR="00A560B9" w:rsidRPr="001E3570">
              <w:rPr>
                <w:rFonts w:eastAsia="Times New Roman" w:cs="Arial"/>
                <w:color w:val="000000"/>
                <w:lang w:eastAsia="en-AU"/>
              </w:rPr>
              <w:t xml:space="preserve">of services to the Victorian community, </w:t>
            </w:r>
            <w:r w:rsidR="00C66B87" w:rsidRPr="001E3570">
              <w:rPr>
                <w:rFonts w:eastAsia="Times New Roman" w:cs="Arial"/>
                <w:color w:val="000000"/>
                <w:lang w:eastAsia="en-AU"/>
              </w:rPr>
              <w:t xml:space="preserve">including </w:t>
            </w:r>
            <w:r w:rsidR="00A560B9" w:rsidRPr="001E3570">
              <w:rPr>
                <w:rFonts w:eastAsia="Times New Roman" w:cs="Arial"/>
                <w:color w:val="000000"/>
                <w:lang w:eastAsia="en-AU"/>
              </w:rPr>
              <w:t>financial stability and capacity to deliver and manage the services</w:t>
            </w:r>
            <w:r w:rsidR="00013CCE">
              <w:t>.</w:t>
            </w:r>
          </w:p>
        </w:tc>
        <w:tc>
          <w:tcPr>
            <w:tcW w:w="751" w:type="pct"/>
            <w:vAlign w:val="center"/>
          </w:tcPr>
          <w:p w14:paraId="2689A4BA" w14:textId="77777777" w:rsidR="00F67B86" w:rsidRPr="004E4218" w:rsidRDefault="00F67B86" w:rsidP="001D1223">
            <w:pPr>
              <w:jc w:val="center"/>
              <w:rPr>
                <w:rFonts w:eastAsia="Calibri"/>
                <w:lang w:val="en-NZ" w:eastAsia="en-US"/>
              </w:rPr>
            </w:pPr>
            <w:r w:rsidRPr="004E4218">
              <w:t>N/A</w:t>
            </w:r>
          </w:p>
        </w:tc>
        <w:tc>
          <w:tcPr>
            <w:tcW w:w="998" w:type="pct"/>
            <w:vAlign w:val="center"/>
          </w:tcPr>
          <w:p w14:paraId="09813583" w14:textId="2ECD8862" w:rsidR="00F67B86" w:rsidRPr="004E4218" w:rsidRDefault="00F67B86" w:rsidP="001D1223">
            <w:pPr>
              <w:rPr>
                <w:rFonts w:eastAsia="Calibri"/>
                <w:color w:val="FF0000"/>
                <w:lang w:val="en-NZ" w:eastAsia="en-US"/>
              </w:rPr>
            </w:pPr>
            <w:r w:rsidRPr="004E4218">
              <w:t>Schedule</w:t>
            </w:r>
            <w:r w:rsidR="007E1148">
              <w:t>s</w:t>
            </w:r>
            <w:r w:rsidRPr="004E4218">
              <w:t xml:space="preserve"> </w:t>
            </w:r>
            <w:r>
              <w:t>3</w:t>
            </w:r>
            <w:r w:rsidR="007E1148">
              <w:t xml:space="preserve"> ,4</w:t>
            </w:r>
            <w:r w:rsidRPr="004E4218">
              <w:t xml:space="preserve"> </w:t>
            </w:r>
            <w:r w:rsidR="007E1148">
              <w:t>&amp; 5</w:t>
            </w:r>
          </w:p>
        </w:tc>
      </w:tr>
      <w:tr w:rsidR="00F67B86" w:rsidRPr="00AF480C" w14:paraId="2C96AD4A" w14:textId="77777777" w:rsidTr="001D1223">
        <w:trPr>
          <w:cantSplit/>
          <w:trHeight w:val="540"/>
        </w:trPr>
        <w:tc>
          <w:tcPr>
            <w:tcW w:w="1167" w:type="pct"/>
            <w:shd w:val="clear" w:color="auto" w:fill="auto"/>
          </w:tcPr>
          <w:p w14:paraId="2719E632" w14:textId="77777777" w:rsidR="00F67B86" w:rsidRDefault="00F67B86" w:rsidP="001D1223">
            <w:r>
              <w:t>Accountability</w:t>
            </w:r>
          </w:p>
        </w:tc>
        <w:tc>
          <w:tcPr>
            <w:tcW w:w="2084" w:type="pct"/>
            <w:shd w:val="clear" w:color="auto" w:fill="auto"/>
          </w:tcPr>
          <w:p w14:paraId="2D0A763B" w14:textId="3DCD10D0" w:rsidR="00A359F4" w:rsidRPr="004E4218" w:rsidRDefault="00F67B86" w:rsidP="00DE12FD">
            <w:r>
              <w:t xml:space="preserve">The Respondent </w:t>
            </w:r>
            <w:r w:rsidR="00522747">
              <w:t>offers</w:t>
            </w:r>
            <w:r w:rsidR="00EE4ADD">
              <w:t xml:space="preserve"> </w:t>
            </w:r>
            <w:r>
              <w:t>acceptable mechanisms and processes</w:t>
            </w:r>
            <w:r w:rsidR="002F6D89" w:rsidRPr="00676378">
              <w:rPr>
                <w:rFonts w:eastAsia="Times New Roman" w:cs="Arial"/>
                <w:color w:val="000000"/>
                <w:lang w:eastAsia="en-AU"/>
              </w:rPr>
              <w:t xml:space="preserve"> to</w:t>
            </w:r>
            <w:r w:rsidR="002F6D89"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4F3796">
              <w:rPr>
                <w:rFonts w:eastAsia="Times New Roman" w:cs="Arial"/>
                <w:color w:val="000000"/>
                <w:lang w:eastAsia="en-AU"/>
              </w:rPr>
              <w:t>e</w:t>
            </w:r>
            <w:r w:rsidR="002F6D89" w:rsidRPr="00DC4B7E">
              <w:rPr>
                <w:rFonts w:eastAsia="Times New Roman" w:cs="Arial"/>
                <w:color w:val="000000"/>
                <w:lang w:eastAsia="en-AU"/>
              </w:rPr>
              <w:t xml:space="preserve">nsure the </w:t>
            </w:r>
            <w:r w:rsidR="002F6D89">
              <w:rPr>
                <w:rFonts w:eastAsia="Times New Roman" w:cs="Arial"/>
                <w:color w:val="000000"/>
                <w:lang w:eastAsia="en-AU"/>
              </w:rPr>
              <w:t>services</w:t>
            </w:r>
            <w:r w:rsidR="002F6D89" w:rsidRPr="00DC4B7E">
              <w:rPr>
                <w:rFonts w:eastAsia="Times New Roman" w:cs="Arial"/>
                <w:color w:val="000000"/>
                <w:lang w:eastAsia="en-AU"/>
              </w:rPr>
              <w:t xml:space="preserve"> meet the approved purpose</w:t>
            </w:r>
            <w:r w:rsidRPr="007E1148">
              <w:t>.</w:t>
            </w:r>
          </w:p>
        </w:tc>
        <w:tc>
          <w:tcPr>
            <w:tcW w:w="751" w:type="pct"/>
            <w:vAlign w:val="center"/>
          </w:tcPr>
          <w:p w14:paraId="0566738E" w14:textId="77777777" w:rsidR="00F67B86" w:rsidRPr="004E4218" w:rsidRDefault="00F67B86" w:rsidP="001D1223">
            <w:pPr>
              <w:jc w:val="center"/>
            </w:pPr>
            <w:r>
              <w:t>NA</w:t>
            </w:r>
          </w:p>
        </w:tc>
        <w:tc>
          <w:tcPr>
            <w:tcW w:w="998" w:type="pct"/>
            <w:vAlign w:val="center"/>
          </w:tcPr>
          <w:p w14:paraId="466BB1F4" w14:textId="2BD729F3" w:rsidR="00F67B86" w:rsidRPr="004E4218" w:rsidRDefault="007E1148" w:rsidP="001D1223">
            <w:r>
              <w:t>Schedules 3 &amp; 5</w:t>
            </w:r>
          </w:p>
        </w:tc>
      </w:tr>
    </w:tbl>
    <w:p w14:paraId="2B82CCF2" w14:textId="77777777" w:rsidR="00F67B86" w:rsidRDefault="00F67B86" w:rsidP="00F67B86">
      <w:pPr>
        <w:spacing w:before="0" w:after="200"/>
        <w:rPr>
          <w:b/>
          <w:bCs/>
          <w:lang w:val="en-US" w:eastAsia="en-US"/>
        </w:rPr>
      </w:pPr>
    </w:p>
    <w:p w14:paraId="53FD2A51" w14:textId="77777777" w:rsidR="00F67B86" w:rsidRPr="002368F0" w:rsidRDefault="00F67B86" w:rsidP="00F67B86">
      <w:pPr>
        <w:spacing w:before="360"/>
        <w:rPr>
          <w:b/>
          <w:bCs/>
          <w:lang w:val="en-US" w:eastAsia="en-US"/>
        </w:rPr>
      </w:pPr>
      <w:r w:rsidRPr="002368F0">
        <w:rPr>
          <w:b/>
          <w:bCs/>
          <w:lang w:val="en-US" w:eastAsia="en-US"/>
        </w:rPr>
        <w:t>COMPARATIVE EVALUATION CRITERIA: WEIGHTED</w:t>
      </w:r>
    </w:p>
    <w:p w14:paraId="324D4D6D" w14:textId="7F0AD4A6" w:rsidR="00F67B86" w:rsidRDefault="00F67B86" w:rsidP="00F67B86">
      <w:pPr>
        <w:pStyle w:val="Caption"/>
        <w:keepNext/>
      </w:pPr>
      <w:r>
        <w:t xml:space="preserve">Table </w:t>
      </w:r>
      <w:r w:rsidR="004B7BF3">
        <w:t>6</w:t>
      </w:r>
      <w:r>
        <w:t xml:space="preserve"> – Comparative Criteria</w:t>
      </w:r>
    </w:p>
    <w:tbl>
      <w:tblPr>
        <w:tblW w:w="51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830"/>
        <w:gridCol w:w="1274"/>
        <w:gridCol w:w="1701"/>
      </w:tblGrid>
      <w:tr w:rsidR="00F67B86" w:rsidRPr="00EC099F" w14:paraId="610CDC46" w14:textId="77777777" w:rsidTr="001D1223">
        <w:trPr>
          <w:cantSplit/>
          <w:trHeight w:val="368"/>
          <w:tblHeader/>
        </w:trPr>
        <w:tc>
          <w:tcPr>
            <w:tcW w:w="1000" w:type="pct"/>
            <w:shd w:val="clear" w:color="auto" w:fill="D9D9D9"/>
          </w:tcPr>
          <w:p w14:paraId="5AA02CEE" w14:textId="77777777" w:rsidR="00F67B86" w:rsidRPr="00EC099F" w:rsidRDefault="00F67B86" w:rsidP="001D1223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iCs/>
                <w:sz w:val="22"/>
                <w:szCs w:val="22"/>
                <w:lang w:val="en-NZ" w:eastAsia="en-US"/>
              </w:rPr>
            </w:pPr>
            <w:r w:rsidRPr="00EC099F">
              <w:rPr>
                <w:rFonts w:ascii="Calibri" w:eastAsia="Calibri" w:hAnsi="Calibri" w:cs="Calibri"/>
                <w:b/>
                <w:iCs/>
                <w:sz w:val="22"/>
                <w:szCs w:val="22"/>
                <w:lang w:val="en-NZ" w:eastAsia="en-US"/>
              </w:rPr>
              <w:t>Criteria</w:t>
            </w:r>
          </w:p>
        </w:tc>
        <w:tc>
          <w:tcPr>
            <w:tcW w:w="2251" w:type="pct"/>
            <w:shd w:val="clear" w:color="auto" w:fill="D9D9D9"/>
          </w:tcPr>
          <w:p w14:paraId="4DE89A99" w14:textId="77777777" w:rsidR="00F67B86" w:rsidRPr="00EC099F" w:rsidRDefault="00F67B86" w:rsidP="001D1223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iCs/>
                <w:sz w:val="22"/>
                <w:szCs w:val="22"/>
                <w:lang w:val="en-NZ" w:eastAsia="en-US"/>
              </w:rPr>
            </w:pPr>
            <w:r w:rsidRPr="00EC099F">
              <w:rPr>
                <w:rFonts w:ascii="Calibri" w:eastAsia="Calibri" w:hAnsi="Calibri" w:cs="Calibri"/>
                <w:b/>
                <w:iCs/>
                <w:sz w:val="22"/>
                <w:szCs w:val="22"/>
                <w:lang w:val="en-NZ" w:eastAsia="en-US"/>
              </w:rPr>
              <w:t>Description</w:t>
            </w:r>
          </w:p>
        </w:tc>
        <w:tc>
          <w:tcPr>
            <w:tcW w:w="749" w:type="pct"/>
            <w:shd w:val="clear" w:color="auto" w:fill="D9D9D9"/>
          </w:tcPr>
          <w:p w14:paraId="6F7FCE40" w14:textId="77777777" w:rsidR="00F67B86" w:rsidRPr="00EC099F" w:rsidRDefault="00F67B86" w:rsidP="001D1223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iCs/>
                <w:sz w:val="22"/>
                <w:szCs w:val="22"/>
                <w:lang w:val="en-NZ" w:eastAsia="en-US"/>
              </w:rPr>
            </w:pPr>
            <w:r w:rsidRPr="00CC1B07">
              <w:rPr>
                <w:rFonts w:ascii="Calibri" w:eastAsia="Calibri" w:hAnsi="Calibri" w:cs="Calibri"/>
                <w:b/>
                <w:iCs/>
                <w:sz w:val="22"/>
                <w:szCs w:val="22"/>
                <w:lang w:val="en-NZ" w:eastAsia="en-US"/>
              </w:rPr>
              <w:t>Weighting</w:t>
            </w:r>
          </w:p>
        </w:tc>
        <w:tc>
          <w:tcPr>
            <w:tcW w:w="1000" w:type="pct"/>
            <w:shd w:val="clear" w:color="auto" w:fill="D9D9D9"/>
          </w:tcPr>
          <w:p w14:paraId="151851F5" w14:textId="77777777" w:rsidR="00F67B86" w:rsidRPr="00EC099F" w:rsidRDefault="00F67B86" w:rsidP="001D1223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iCs/>
                <w:sz w:val="22"/>
                <w:szCs w:val="22"/>
                <w:lang w:val="en-NZ" w:eastAsia="en-US"/>
              </w:rPr>
            </w:pPr>
            <w:r w:rsidRPr="00EC099F">
              <w:rPr>
                <w:rFonts w:ascii="Calibri" w:eastAsia="Calibri" w:hAnsi="Calibri" w:cs="Calibri"/>
                <w:b/>
                <w:iCs/>
                <w:sz w:val="22"/>
                <w:szCs w:val="22"/>
                <w:lang w:val="en-NZ" w:eastAsia="en-US"/>
              </w:rPr>
              <w:t>Schedule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NZ" w:eastAsia="en-US"/>
              </w:rPr>
              <w:t>(s)</w:t>
            </w:r>
          </w:p>
        </w:tc>
      </w:tr>
      <w:tr w:rsidR="00F67B86" w:rsidRPr="00EC099F" w14:paraId="421D2C53" w14:textId="77777777" w:rsidTr="001D1223">
        <w:trPr>
          <w:cantSplit/>
          <w:trHeight w:val="976"/>
        </w:trPr>
        <w:tc>
          <w:tcPr>
            <w:tcW w:w="1000" w:type="pct"/>
            <w:shd w:val="clear" w:color="auto" w:fill="auto"/>
          </w:tcPr>
          <w:p w14:paraId="456B5314" w14:textId="77777777" w:rsidR="00F67B86" w:rsidRPr="004E4218" w:rsidRDefault="00F67B86" w:rsidP="001D1223">
            <w:r>
              <w:t>Previous experience, c</w:t>
            </w:r>
            <w:r w:rsidRPr="004E4218">
              <w:t>apability</w:t>
            </w:r>
            <w:r>
              <w:t xml:space="preserve"> and</w:t>
            </w:r>
            <w:r>
              <w:br/>
              <w:t>c</w:t>
            </w:r>
            <w:r w:rsidRPr="004E4218">
              <w:t>apacity</w:t>
            </w:r>
            <w:r>
              <w:t xml:space="preserve"> </w:t>
            </w:r>
          </w:p>
          <w:p w14:paraId="415F0473" w14:textId="77777777" w:rsidR="00F67B86" w:rsidRDefault="00F67B86" w:rsidP="001D1223"/>
        </w:tc>
        <w:tc>
          <w:tcPr>
            <w:tcW w:w="2251" w:type="pct"/>
            <w:shd w:val="clear" w:color="auto" w:fill="auto"/>
          </w:tcPr>
          <w:p w14:paraId="753A95FA" w14:textId="77777777" w:rsidR="00F67B86" w:rsidRDefault="00F67B86" w:rsidP="001D1223">
            <w:r>
              <w:t>The extent the Respondent demonstrates</w:t>
            </w:r>
            <w:r w:rsidDel="00613D38">
              <w:t>:</w:t>
            </w:r>
            <w:r>
              <w:t xml:space="preserve"> </w:t>
            </w:r>
          </w:p>
          <w:p w14:paraId="77BF011E" w14:textId="328DFE1E" w:rsidR="0001419E" w:rsidRPr="00DE12FD" w:rsidRDefault="0001419E" w:rsidP="00DE12FD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lang w:val="en-NZ"/>
              </w:rPr>
            </w:pPr>
            <w:r w:rsidRPr="00DE12FD">
              <w:rPr>
                <w:rFonts w:eastAsia="Calibri"/>
                <w:lang w:val="en-NZ"/>
              </w:rPr>
              <w:t xml:space="preserve">a successful track record of delivering projects or services of a similar (or more complex) type to the proposal; and </w:t>
            </w:r>
            <w:r w:rsidR="006C5AE6">
              <w:rPr>
                <w:rFonts w:eastAsia="Calibri"/>
                <w:lang w:val="en-NZ"/>
              </w:rPr>
              <w:t>/ or</w:t>
            </w:r>
          </w:p>
          <w:p w14:paraId="692E749D" w14:textId="3045DFD3" w:rsidR="00F67B86" w:rsidRPr="00324C79" w:rsidRDefault="0001419E" w:rsidP="00DE12FD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lang w:val="en-NZ"/>
              </w:rPr>
            </w:pPr>
            <w:r w:rsidRPr="00DE12FD">
              <w:rPr>
                <w:rFonts w:eastAsia="Calibri"/>
                <w:lang w:val="en-NZ"/>
              </w:rPr>
              <w:t>skills, capability, and capacity to successfully deliver the proposal</w:t>
            </w:r>
            <w:r w:rsidR="00F67B86" w:rsidRPr="00DE12FD">
              <w:rPr>
                <w:rFonts w:eastAsia="Calibri"/>
                <w:lang w:val="en-NZ"/>
              </w:rPr>
              <w:t>.</w:t>
            </w:r>
          </w:p>
        </w:tc>
        <w:tc>
          <w:tcPr>
            <w:tcW w:w="749" w:type="pct"/>
            <w:vAlign w:val="center"/>
          </w:tcPr>
          <w:p w14:paraId="363C93C9" w14:textId="03A86E15" w:rsidR="00F67B86" w:rsidRDefault="00F031B8" w:rsidP="001D1223">
            <w:pPr>
              <w:jc w:val="center"/>
            </w:pPr>
            <w:r>
              <w:t>2</w:t>
            </w:r>
            <w:r w:rsidR="004E027C">
              <w:t>5</w:t>
            </w:r>
            <w:r w:rsidR="00F67B86">
              <w:t>%</w:t>
            </w:r>
          </w:p>
        </w:tc>
        <w:tc>
          <w:tcPr>
            <w:tcW w:w="1000" w:type="pct"/>
            <w:vAlign w:val="center"/>
          </w:tcPr>
          <w:p w14:paraId="4CFE5D4F" w14:textId="77777777" w:rsidR="00F67B86" w:rsidRPr="004E4218" w:rsidRDefault="00F67B86" w:rsidP="001D1223">
            <w:pPr>
              <w:rPr>
                <w:rFonts w:eastAsia="Calibri"/>
                <w:lang w:val="en-NZ" w:eastAsia="en-US"/>
              </w:rPr>
            </w:pPr>
            <w:r>
              <w:t>Schedules 2-5</w:t>
            </w:r>
          </w:p>
          <w:p w14:paraId="554E90FD" w14:textId="77777777" w:rsidR="00F67B86" w:rsidRDefault="00F67B86" w:rsidP="001D1223">
            <w:r>
              <w:t xml:space="preserve"> </w:t>
            </w:r>
          </w:p>
        </w:tc>
      </w:tr>
      <w:tr w:rsidR="00F67B86" w:rsidRPr="00EC099F" w14:paraId="156DC282" w14:textId="77777777" w:rsidTr="001D1223">
        <w:trPr>
          <w:cantSplit/>
          <w:trHeight w:val="1882"/>
        </w:trPr>
        <w:tc>
          <w:tcPr>
            <w:tcW w:w="1000" w:type="pct"/>
            <w:shd w:val="clear" w:color="auto" w:fill="auto"/>
          </w:tcPr>
          <w:p w14:paraId="743A5400" w14:textId="362BF9BD" w:rsidR="00F67B86" w:rsidRDefault="00BA2368" w:rsidP="001D1223">
            <w:proofErr w:type="gramStart"/>
            <w:r>
              <w:t xml:space="preserve">Accountability, </w:t>
            </w:r>
            <w:r w:rsidR="00F67B86">
              <w:t xml:space="preserve"> preparation</w:t>
            </w:r>
            <w:proofErr w:type="gramEnd"/>
            <w:r w:rsidR="00F67B86">
              <w:t xml:space="preserve"> and risk</w:t>
            </w:r>
          </w:p>
        </w:tc>
        <w:tc>
          <w:tcPr>
            <w:tcW w:w="2251" w:type="pct"/>
            <w:shd w:val="clear" w:color="auto" w:fill="auto"/>
          </w:tcPr>
          <w:p w14:paraId="7CB57AC2" w14:textId="77777777" w:rsidR="00F67B86" w:rsidRPr="005075EE" w:rsidRDefault="00F67B86" w:rsidP="001D1223">
            <w:r>
              <w:t>The extent to which the Respondent demonstrates:</w:t>
            </w:r>
          </w:p>
          <w:p w14:paraId="63F11D56" w14:textId="77777777" w:rsidR="00FA4BE0" w:rsidRPr="00FA4BE0" w:rsidRDefault="00FA4BE0" w:rsidP="00FA4BE0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lang w:val="en-NZ"/>
              </w:rPr>
            </w:pPr>
            <w:r w:rsidRPr="00FA4BE0">
              <w:rPr>
                <w:rFonts w:eastAsia="Calibri"/>
                <w:lang w:val="en-NZ"/>
              </w:rPr>
              <w:t>appropriate accountability processes</w:t>
            </w:r>
          </w:p>
          <w:p w14:paraId="33FF5B10" w14:textId="77777777" w:rsidR="00FA4BE0" w:rsidRPr="00FA4BE0" w:rsidRDefault="00FA4BE0" w:rsidP="00FA4BE0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lang w:val="en-NZ"/>
              </w:rPr>
            </w:pPr>
            <w:r w:rsidRPr="00FA4BE0">
              <w:rPr>
                <w:rFonts w:eastAsia="Calibri"/>
                <w:lang w:val="en-NZ"/>
              </w:rPr>
              <w:t>readiness to commence the services; and</w:t>
            </w:r>
          </w:p>
          <w:p w14:paraId="66554116" w14:textId="7F832CD4" w:rsidR="00FA4BE0" w:rsidRPr="00FA4BE0" w:rsidRDefault="00FA4BE0" w:rsidP="00FA4BE0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lang w:val="en-NZ"/>
              </w:rPr>
            </w:pPr>
            <w:r w:rsidRPr="00FA4BE0">
              <w:rPr>
                <w:rFonts w:eastAsia="Calibri"/>
                <w:lang w:val="en-NZ"/>
              </w:rPr>
              <w:t xml:space="preserve">ability to complete the proposal within the proposed </w:t>
            </w:r>
            <w:proofErr w:type="gramStart"/>
            <w:r w:rsidRPr="00FA4BE0">
              <w:rPr>
                <w:rFonts w:eastAsia="Calibri"/>
                <w:lang w:val="en-NZ"/>
              </w:rPr>
              <w:t>timeframe</w:t>
            </w:r>
            <w:proofErr w:type="gramEnd"/>
          </w:p>
          <w:p w14:paraId="231A7F6D" w14:textId="1090BF4A" w:rsidR="00F67B86" w:rsidRDefault="00FA4BE0" w:rsidP="001D1223">
            <w:pPr>
              <w:pStyle w:val="ListParagraph"/>
              <w:numPr>
                <w:ilvl w:val="0"/>
                <w:numId w:val="33"/>
              </w:numPr>
            </w:pPr>
            <w:r w:rsidRPr="00FA4BE0">
              <w:rPr>
                <w:rFonts w:eastAsia="Calibri"/>
                <w:lang w:val="en-NZ"/>
              </w:rPr>
              <w:t>suitable risk management processes</w:t>
            </w:r>
          </w:p>
        </w:tc>
        <w:tc>
          <w:tcPr>
            <w:tcW w:w="749" w:type="pct"/>
            <w:vAlign w:val="center"/>
          </w:tcPr>
          <w:p w14:paraId="4A9740D4" w14:textId="5CBF98EF" w:rsidR="00F67B86" w:rsidDel="00613D38" w:rsidRDefault="00E77215" w:rsidP="001D1223">
            <w:pPr>
              <w:jc w:val="center"/>
            </w:pPr>
            <w:r>
              <w:t>20</w:t>
            </w:r>
            <w:r w:rsidR="00F67B86">
              <w:t>%</w:t>
            </w:r>
          </w:p>
        </w:tc>
        <w:tc>
          <w:tcPr>
            <w:tcW w:w="1000" w:type="pct"/>
            <w:vAlign w:val="center"/>
          </w:tcPr>
          <w:p w14:paraId="279EE2C1" w14:textId="632EBBD1" w:rsidR="00F67B86" w:rsidRDefault="009A725D" w:rsidP="001D1223">
            <w:r>
              <w:t>Schedules 2 &amp; 5</w:t>
            </w:r>
          </w:p>
        </w:tc>
      </w:tr>
      <w:tr w:rsidR="00F67B86" w:rsidRPr="00EC099F" w14:paraId="10871235" w14:textId="77777777" w:rsidTr="001D1223">
        <w:trPr>
          <w:cantSplit/>
          <w:trHeight w:val="674"/>
        </w:trPr>
        <w:tc>
          <w:tcPr>
            <w:tcW w:w="1000" w:type="pct"/>
            <w:shd w:val="clear" w:color="auto" w:fill="auto"/>
          </w:tcPr>
          <w:p w14:paraId="57024196" w14:textId="77777777" w:rsidR="00F67B86" w:rsidRPr="004E4218" w:rsidRDefault="00F67B86" w:rsidP="001D1223">
            <w:pPr>
              <w:rPr>
                <w:rFonts w:eastAsia="Calibri"/>
                <w:lang w:val="en-NZ" w:eastAsia="en-US"/>
              </w:rPr>
            </w:pPr>
            <w:r w:rsidRPr="004E4218">
              <w:t xml:space="preserve">Value for </w:t>
            </w:r>
            <w:r>
              <w:t>m</w:t>
            </w:r>
            <w:r w:rsidRPr="004E4218">
              <w:t>oney</w:t>
            </w:r>
            <w:r>
              <w:t xml:space="preserve"> – Quantitative </w:t>
            </w:r>
          </w:p>
        </w:tc>
        <w:tc>
          <w:tcPr>
            <w:tcW w:w="2251" w:type="pct"/>
            <w:shd w:val="clear" w:color="auto" w:fill="auto"/>
          </w:tcPr>
          <w:p w14:paraId="0C9B0018" w14:textId="4044CD19" w:rsidR="00F67B86" w:rsidRPr="004E4218" w:rsidRDefault="001716EA" w:rsidP="001D1223">
            <w:pPr>
              <w:rPr>
                <w:lang w:val="en-NZ"/>
              </w:rPr>
            </w:pPr>
            <w:r w:rsidRPr="00676378">
              <w:rPr>
                <w:rFonts w:eastAsia="Times New Roman" w:cs="Arial"/>
                <w:color w:val="000000"/>
                <w:lang w:eastAsia="en-AU"/>
              </w:rPr>
              <w:t xml:space="preserve">The extent the </w:t>
            </w:r>
            <w:r>
              <w:rPr>
                <w:rFonts w:eastAsia="Times New Roman" w:cs="Arial"/>
                <w:color w:val="000000"/>
                <w:lang w:eastAsia="en-AU"/>
              </w:rPr>
              <w:t>proposal</w:t>
            </w:r>
            <w:r w:rsidRPr="00676378">
              <w:rPr>
                <w:rFonts w:eastAsia="Times New Roman" w:cs="Arial"/>
                <w:color w:val="000000"/>
                <w:lang w:eastAsia="en-AU"/>
              </w:rPr>
              <w:t xml:space="preserve"> will deliver quantitative benefits (</w:t>
            </w:r>
            <w:r>
              <w:rPr>
                <w:rFonts w:eastAsia="Times New Roman" w:cs="Arial"/>
                <w:color w:val="000000"/>
                <w:lang w:eastAsia="en-AU"/>
              </w:rPr>
              <w:t>e.g., number of clients supported; number of discrete instances of support provided</w:t>
            </w:r>
            <w:r w:rsidRPr="00676378">
              <w:rPr>
                <w:rFonts w:eastAsia="Times New Roman" w:cs="Arial"/>
                <w:color w:val="000000"/>
                <w:lang w:eastAsia="en-AU"/>
              </w:rPr>
              <w:t>)</w:t>
            </w:r>
          </w:p>
        </w:tc>
        <w:tc>
          <w:tcPr>
            <w:tcW w:w="749" w:type="pct"/>
            <w:vAlign w:val="center"/>
          </w:tcPr>
          <w:p w14:paraId="315F6213" w14:textId="2A7D149F" w:rsidR="00F67B86" w:rsidRPr="004E4218" w:rsidRDefault="004E027C" w:rsidP="001D1223">
            <w:pPr>
              <w:jc w:val="center"/>
              <w:rPr>
                <w:rFonts w:eastAsia="Calibri"/>
                <w:lang w:val="en-NZ" w:eastAsia="en-US"/>
              </w:rPr>
            </w:pPr>
            <w:r>
              <w:t>25</w:t>
            </w:r>
            <w:r w:rsidR="00F67B86">
              <w:t>%</w:t>
            </w:r>
          </w:p>
        </w:tc>
        <w:tc>
          <w:tcPr>
            <w:tcW w:w="1000" w:type="pct"/>
            <w:vAlign w:val="center"/>
          </w:tcPr>
          <w:p w14:paraId="792BD4AF" w14:textId="40CE8778" w:rsidR="002768BC" w:rsidRPr="004E4218" w:rsidRDefault="002768BC" w:rsidP="002768BC">
            <w:pPr>
              <w:rPr>
                <w:rFonts w:eastAsia="Calibri"/>
                <w:lang w:val="en-NZ" w:eastAsia="en-US"/>
              </w:rPr>
            </w:pPr>
            <w:r w:rsidRPr="004E4218">
              <w:t>Schedule</w:t>
            </w:r>
            <w:r w:rsidR="007E1148">
              <w:t>s 2 &amp;</w:t>
            </w:r>
            <w:r w:rsidRPr="004E4218">
              <w:t xml:space="preserve"> </w:t>
            </w:r>
            <w:r>
              <w:t>6</w:t>
            </w:r>
            <w:r w:rsidRPr="004E4218">
              <w:t xml:space="preserve"> </w:t>
            </w:r>
          </w:p>
          <w:p w14:paraId="33424613" w14:textId="77777777" w:rsidR="00F67B86" w:rsidRPr="004E4218" w:rsidRDefault="00F67B86" w:rsidP="001D1223">
            <w:pPr>
              <w:rPr>
                <w:rFonts w:eastAsia="Calibri"/>
                <w:lang w:val="en-NZ" w:eastAsia="en-US"/>
              </w:rPr>
            </w:pPr>
          </w:p>
        </w:tc>
      </w:tr>
      <w:tr w:rsidR="00F67B86" w:rsidRPr="00EC099F" w14:paraId="0826190F" w14:textId="77777777" w:rsidTr="001D1223">
        <w:trPr>
          <w:cantSplit/>
          <w:trHeight w:val="840"/>
        </w:trPr>
        <w:tc>
          <w:tcPr>
            <w:tcW w:w="1000" w:type="pct"/>
            <w:shd w:val="clear" w:color="auto" w:fill="auto"/>
          </w:tcPr>
          <w:p w14:paraId="28D243C9" w14:textId="77777777" w:rsidR="00F67B86" w:rsidRPr="004E4218" w:rsidRDefault="00F67B86" w:rsidP="001D1223">
            <w:r>
              <w:t xml:space="preserve">Value for money – Qualitative </w:t>
            </w:r>
          </w:p>
        </w:tc>
        <w:tc>
          <w:tcPr>
            <w:tcW w:w="2251" w:type="pct"/>
            <w:shd w:val="clear" w:color="auto" w:fill="auto"/>
          </w:tcPr>
          <w:p w14:paraId="257F4944" w14:textId="5518451F" w:rsidR="00F67B86" w:rsidRDefault="005E72EE" w:rsidP="001D1223">
            <w:r w:rsidRPr="00676378">
              <w:rPr>
                <w:rFonts w:eastAsia="Times New Roman" w:cs="Arial"/>
                <w:color w:val="000000"/>
                <w:lang w:eastAsia="en-AU"/>
              </w:rPr>
              <w:t xml:space="preserve">The extent the </w:t>
            </w:r>
            <w:r>
              <w:rPr>
                <w:rFonts w:eastAsia="Times New Roman" w:cs="Arial"/>
                <w:color w:val="000000"/>
                <w:lang w:eastAsia="en-AU"/>
              </w:rPr>
              <w:t>proposal</w:t>
            </w:r>
            <w:r w:rsidRPr="00676378">
              <w:rPr>
                <w:rFonts w:eastAsia="Times New Roman" w:cs="Arial"/>
                <w:color w:val="000000"/>
                <w:lang w:eastAsia="en-AU"/>
              </w:rPr>
              <w:t xml:space="preserve"> will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Pr="00DC4B7E">
              <w:rPr>
                <w:rFonts w:eastAsia="Times New Roman" w:cs="Arial"/>
                <w:color w:val="000000"/>
                <w:lang w:eastAsia="en-AU"/>
              </w:rPr>
              <w:t xml:space="preserve">deliver desired qualitative </w:t>
            </w:r>
            <w:r>
              <w:rPr>
                <w:rFonts w:eastAsia="Times New Roman" w:cs="Arial"/>
                <w:color w:val="000000"/>
                <w:lang w:eastAsia="en-AU"/>
              </w:rPr>
              <w:t>outcomes for renters</w:t>
            </w:r>
            <w:r w:rsidR="009B7346">
              <w:rPr>
                <w:rFonts w:eastAsia="Times New Roman" w:cs="Arial"/>
                <w:color w:val="000000"/>
                <w:lang w:eastAsia="en-AU"/>
              </w:rPr>
              <w:t>;</w:t>
            </w:r>
            <w:r>
              <w:rPr>
                <w:rFonts w:eastAsia="Times New Roman" w:cs="Arial"/>
                <w:color w:val="000000"/>
                <w:lang w:eastAsia="en-AU"/>
              </w:rPr>
              <w:t xml:space="preserve"> </w:t>
            </w:r>
            <w:r w:rsidR="009B7346">
              <w:rPr>
                <w:rFonts w:eastAsia="Times New Roman" w:cs="Arial"/>
                <w:color w:val="000000"/>
                <w:lang w:eastAsia="en-AU"/>
              </w:rPr>
              <w:t xml:space="preserve">integration with other support services; </w:t>
            </w:r>
            <w:r>
              <w:rPr>
                <w:rFonts w:eastAsia="Times New Roman" w:cs="Arial"/>
                <w:color w:val="000000"/>
                <w:lang w:eastAsia="en-AU"/>
              </w:rPr>
              <w:t>and innovative responses (e.g., maintaining safe housing for renters; how clients presenting with multiple issues will be supported; how risk of homelessness will be prevented)</w:t>
            </w:r>
          </w:p>
        </w:tc>
        <w:tc>
          <w:tcPr>
            <w:tcW w:w="749" w:type="pct"/>
            <w:vAlign w:val="center"/>
          </w:tcPr>
          <w:p w14:paraId="1F2A87FA" w14:textId="1F208DDB" w:rsidR="00F67B86" w:rsidRDefault="004E027C" w:rsidP="001D1223">
            <w:pPr>
              <w:jc w:val="center"/>
            </w:pPr>
            <w:r>
              <w:t>30</w:t>
            </w:r>
            <w:r w:rsidR="00F67B86">
              <w:t>%</w:t>
            </w:r>
          </w:p>
        </w:tc>
        <w:tc>
          <w:tcPr>
            <w:tcW w:w="1000" w:type="pct"/>
            <w:vAlign w:val="center"/>
          </w:tcPr>
          <w:p w14:paraId="3FF4121E" w14:textId="7CE0F606" w:rsidR="00522747" w:rsidRPr="004E4218" w:rsidRDefault="00522747" w:rsidP="00522747">
            <w:pPr>
              <w:rPr>
                <w:rFonts w:eastAsia="Calibri"/>
                <w:lang w:val="en-NZ" w:eastAsia="en-US"/>
              </w:rPr>
            </w:pPr>
            <w:r w:rsidRPr="004E4218">
              <w:t>Schedule</w:t>
            </w:r>
            <w:r>
              <w:t>s 2</w:t>
            </w:r>
            <w:r w:rsidR="00C66B87">
              <w:t xml:space="preserve"> &amp; 6</w:t>
            </w:r>
          </w:p>
          <w:p w14:paraId="3DAF463B" w14:textId="77777777" w:rsidR="00F67B86" w:rsidRPr="004E4218" w:rsidRDefault="00F67B86" w:rsidP="001D1223"/>
        </w:tc>
      </w:tr>
      <w:bookmarkEnd w:id="188"/>
    </w:tbl>
    <w:p w14:paraId="5FC9EDBC" w14:textId="0C99C4A9" w:rsidR="003A1D4B" w:rsidRPr="006D2FB9" w:rsidRDefault="003A1D4B" w:rsidP="00A87A8B">
      <w:pPr>
        <w:tabs>
          <w:tab w:val="left" w:pos="1008"/>
        </w:tabs>
      </w:pPr>
    </w:p>
    <w:sectPr w:rsidR="003A1D4B" w:rsidRPr="006D2FB9" w:rsidSect="00302F8F">
      <w:headerReference w:type="default" r:id="rId21"/>
      <w:footerReference w:type="default" r:id="rId22"/>
      <w:headerReference w:type="first" r:id="rId23"/>
      <w:type w:val="continuous"/>
      <w:pgSz w:w="11906" w:h="16838" w:code="9"/>
      <w:pgMar w:top="1440" w:right="1800" w:bottom="1134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C3ED" w14:textId="77777777" w:rsidR="00B67541" w:rsidRDefault="00B67541" w:rsidP="00294CF2">
      <w:pPr>
        <w:spacing w:before="0" w:after="0"/>
      </w:pPr>
      <w:r>
        <w:separator/>
      </w:r>
    </w:p>
  </w:endnote>
  <w:endnote w:type="continuationSeparator" w:id="0">
    <w:p w14:paraId="022821EA" w14:textId="77777777" w:rsidR="00B67541" w:rsidRDefault="00B67541" w:rsidP="00294CF2">
      <w:pPr>
        <w:spacing w:before="0" w:after="0"/>
      </w:pPr>
      <w:r>
        <w:continuationSeparator/>
      </w:r>
    </w:p>
  </w:endnote>
  <w:endnote w:type="continuationNotice" w:id="1">
    <w:p w14:paraId="04F77223" w14:textId="77777777" w:rsidR="00B67541" w:rsidRDefault="00B675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8CE6" w14:textId="16C6F05F" w:rsidR="00BA2368" w:rsidRDefault="00A87A8B" w:rsidP="00A87A8B">
    <w:pPr>
      <w:pStyle w:val="Footer"/>
      <w:tabs>
        <w:tab w:val="clear" w:pos="8640"/>
        <w:tab w:val="right" w:pos="8222"/>
      </w:tabs>
    </w:pPr>
    <w:r>
      <w:tab/>
    </w:r>
    <w:r>
      <w:tab/>
    </w:r>
    <w:r w:rsidR="00BA2368">
      <w:rPr>
        <w:rStyle w:val="PageNumber"/>
      </w:rPr>
      <w:fldChar w:fldCharType="begin"/>
    </w:r>
    <w:r w:rsidR="00BA2368">
      <w:rPr>
        <w:rStyle w:val="PageNumber"/>
      </w:rPr>
      <w:instrText xml:space="preserve"> PAGE </w:instrText>
    </w:r>
    <w:r w:rsidR="00BA2368">
      <w:rPr>
        <w:rStyle w:val="PageNumber"/>
      </w:rPr>
      <w:fldChar w:fldCharType="separate"/>
    </w:r>
    <w:r w:rsidR="00BA2368">
      <w:rPr>
        <w:rStyle w:val="PageNumber"/>
        <w:noProof/>
      </w:rPr>
      <w:t>15</w:t>
    </w:r>
    <w:r w:rsidR="00BA2368">
      <w:rPr>
        <w:rStyle w:val="PageNumber"/>
      </w:rPr>
      <w:fldChar w:fldCharType="end"/>
    </w:r>
    <w:r w:rsidR="00BA2368">
      <w:rPr>
        <w:rStyle w:val="PageNumber"/>
      </w:rPr>
      <w:t xml:space="preserve"> of </w:t>
    </w:r>
    <w:r w:rsidR="00BA2368">
      <w:rPr>
        <w:rStyle w:val="PageNumber"/>
      </w:rPr>
      <w:fldChar w:fldCharType="begin"/>
    </w:r>
    <w:r w:rsidR="00BA2368">
      <w:rPr>
        <w:rStyle w:val="PageNumber"/>
      </w:rPr>
      <w:instrText xml:space="preserve"> NUMPAGES   \* MERGEFORMAT </w:instrText>
    </w:r>
    <w:r w:rsidR="00BA2368">
      <w:rPr>
        <w:rStyle w:val="PageNumber"/>
      </w:rPr>
      <w:fldChar w:fldCharType="separate"/>
    </w:r>
    <w:r w:rsidR="00BA2368">
      <w:rPr>
        <w:rStyle w:val="PageNumber"/>
        <w:noProof/>
      </w:rPr>
      <w:t>15</w:t>
    </w:r>
    <w:r w:rsidR="00BA236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FBDE" w14:textId="77777777" w:rsidR="00B67541" w:rsidRDefault="00B67541" w:rsidP="00294CF2">
      <w:pPr>
        <w:spacing w:before="0" w:after="0"/>
      </w:pPr>
      <w:r>
        <w:separator/>
      </w:r>
    </w:p>
  </w:footnote>
  <w:footnote w:type="continuationSeparator" w:id="0">
    <w:p w14:paraId="2F87A628" w14:textId="77777777" w:rsidR="00B67541" w:rsidRDefault="00B67541" w:rsidP="00294CF2">
      <w:pPr>
        <w:spacing w:before="0" w:after="0"/>
      </w:pPr>
      <w:r>
        <w:continuationSeparator/>
      </w:r>
    </w:p>
  </w:footnote>
  <w:footnote w:type="continuationNotice" w:id="1">
    <w:p w14:paraId="0BF0B4C2" w14:textId="77777777" w:rsidR="00B67541" w:rsidRDefault="00B6754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9207" w14:textId="149E44ED" w:rsidR="00BA2368" w:rsidRPr="00DE12FD" w:rsidRDefault="00BA2368" w:rsidP="00D177A3">
    <w:pPr>
      <w:pStyle w:val="Header"/>
      <w:rPr>
        <w:rFonts w:ascii="Arial" w:hAnsi="Arial" w:cs="Arial"/>
      </w:rPr>
    </w:pPr>
    <w:r w:rsidRPr="00DE12FD">
      <w:rPr>
        <w:rFonts w:ascii="Arial" w:hAnsi="Arial" w:cs="Arial"/>
      </w:rPr>
      <w:t xml:space="preserve">Expression of Interest - </w:t>
    </w:r>
    <w:r w:rsidR="0078374C" w:rsidRPr="00DE12FD">
      <w:rPr>
        <w:rFonts w:ascii="Arial" w:hAnsi="Arial" w:cs="Arial"/>
      </w:rPr>
      <w:t>Rental Stress Support Package 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CA81" w14:textId="3B4B0D87" w:rsidR="00BA2368" w:rsidRDefault="00BA2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7D2128B" wp14:editId="6809547E">
          <wp:simplePos x="0" y="0"/>
          <wp:positionH relativeFrom="column">
            <wp:posOffset>-1174899</wp:posOffset>
          </wp:positionH>
          <wp:positionV relativeFrom="paragraph">
            <wp:posOffset>-460213</wp:posOffset>
          </wp:positionV>
          <wp:extent cx="7591647" cy="10734878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keholder Kit - front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655" cy="10747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16F"/>
    <w:multiLevelType w:val="multilevel"/>
    <w:tmpl w:val="9C865AD2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Bidi" w:hAnsiTheme="minorBidi" w:cstheme="minorBidi" w:hint="default"/>
        <w:b w:val="0"/>
        <w:bCs/>
        <w:i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9F3C4F"/>
    <w:multiLevelType w:val="hybridMultilevel"/>
    <w:tmpl w:val="CC22D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EF7"/>
    <w:multiLevelType w:val="hybridMultilevel"/>
    <w:tmpl w:val="503A1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17011"/>
    <w:multiLevelType w:val="hybridMultilevel"/>
    <w:tmpl w:val="4F0A8E16"/>
    <w:lvl w:ilvl="0" w:tplc="3DC8A61A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836C5302">
      <w:numFmt w:val="bullet"/>
      <w:pStyle w:val="Bullets1"/>
      <w:lvlText w:val="•"/>
      <w:lvlJc w:val="left"/>
      <w:pPr>
        <w:ind w:left="1800" w:hanging="720"/>
      </w:pPr>
      <w:rPr>
        <w:rFonts w:ascii="Verdana" w:eastAsiaTheme="minorEastAsia" w:hAnsi="Verdana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04E"/>
    <w:multiLevelType w:val="hybridMultilevel"/>
    <w:tmpl w:val="19308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5971"/>
    <w:multiLevelType w:val="hybridMultilevel"/>
    <w:tmpl w:val="31A6F37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936CE7"/>
    <w:multiLevelType w:val="hybridMultilevel"/>
    <w:tmpl w:val="6D1AD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00676"/>
    <w:multiLevelType w:val="hybridMultilevel"/>
    <w:tmpl w:val="32569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44F1"/>
    <w:multiLevelType w:val="hybridMultilevel"/>
    <w:tmpl w:val="0FB4B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051E"/>
    <w:multiLevelType w:val="hybridMultilevel"/>
    <w:tmpl w:val="2D56BE56"/>
    <w:lvl w:ilvl="0" w:tplc="F962B70A">
      <w:start w:val="1"/>
      <w:numFmt w:val="decimal"/>
      <w:pStyle w:val="AlisonsNumbers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3B98"/>
    <w:multiLevelType w:val="hybridMultilevel"/>
    <w:tmpl w:val="D6A40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65E9"/>
    <w:multiLevelType w:val="hybridMultilevel"/>
    <w:tmpl w:val="BD2A6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F63E2"/>
    <w:multiLevelType w:val="hybridMultilevel"/>
    <w:tmpl w:val="4D1ED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30848"/>
    <w:multiLevelType w:val="hybridMultilevel"/>
    <w:tmpl w:val="E54C5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70146"/>
    <w:multiLevelType w:val="multilevel"/>
    <w:tmpl w:val="7CFC59C0"/>
    <w:styleLink w:val="Bullets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1389" w:hanging="680"/>
      </w:pPr>
      <w:rPr>
        <w:rFonts w:ascii="Wingdings" w:hAnsi="Wingdings" w:hint="default"/>
        <w:color w:val="FF0000"/>
      </w:rPr>
    </w:lvl>
    <w:lvl w:ilvl="1">
      <w:start w:val="1"/>
      <w:numFmt w:val="none"/>
      <w:pStyle w:val="Bullet2"/>
      <w:lvlText w:val="-"/>
      <w:lvlJc w:val="left"/>
      <w:pPr>
        <w:tabs>
          <w:tab w:val="num" w:pos="0"/>
        </w:tabs>
        <w:ind w:left="1361" w:hanging="681"/>
      </w:pPr>
      <w:rPr>
        <w:rFonts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0"/>
        </w:tabs>
        <w:ind w:left="2041" w:hanging="68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56BFC"/>
    <w:multiLevelType w:val="hybridMultilevel"/>
    <w:tmpl w:val="68BAFE74"/>
    <w:lvl w:ilvl="0" w:tplc="EF2883AA">
      <w:start w:val="1"/>
      <w:numFmt w:val="decimal"/>
      <w:pStyle w:val="headingtable"/>
      <w:lvlText w:val="Table %1 -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D43BF4"/>
    <w:multiLevelType w:val="hybridMultilevel"/>
    <w:tmpl w:val="5A6E8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2363"/>
    <w:multiLevelType w:val="hybridMultilevel"/>
    <w:tmpl w:val="487AC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55B3"/>
    <w:multiLevelType w:val="hybridMultilevel"/>
    <w:tmpl w:val="0E3A4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713"/>
    <w:multiLevelType w:val="hybridMultilevel"/>
    <w:tmpl w:val="C8C00D90"/>
    <w:lvl w:ilvl="0" w:tplc="8BE67AF0">
      <w:start w:val="1"/>
      <w:numFmt w:val="decimal"/>
      <w:pStyle w:val="headingfigure"/>
      <w:lvlText w:val="Figure %1 -"/>
      <w:lvlJc w:val="left"/>
      <w:pPr>
        <w:tabs>
          <w:tab w:val="num" w:pos="1077"/>
        </w:tabs>
        <w:ind w:left="1021" w:hanging="1021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A59D2"/>
    <w:multiLevelType w:val="hybridMultilevel"/>
    <w:tmpl w:val="D1F089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D8136A0"/>
    <w:multiLevelType w:val="hybridMultilevel"/>
    <w:tmpl w:val="91FC0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91FD7"/>
    <w:multiLevelType w:val="hybridMultilevel"/>
    <w:tmpl w:val="687CD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D0CD1"/>
    <w:multiLevelType w:val="hybridMultilevel"/>
    <w:tmpl w:val="9E70D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100B0"/>
    <w:multiLevelType w:val="hybridMultilevel"/>
    <w:tmpl w:val="0232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B08A5"/>
    <w:multiLevelType w:val="hybridMultilevel"/>
    <w:tmpl w:val="91700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8548">
    <w:abstractNumId w:val="9"/>
  </w:num>
  <w:num w:numId="2" w16cid:durableId="1653559709">
    <w:abstractNumId w:val="19"/>
  </w:num>
  <w:num w:numId="3" w16cid:durableId="816727251">
    <w:abstractNumId w:val="15"/>
  </w:num>
  <w:num w:numId="4" w16cid:durableId="1321496311">
    <w:abstractNumId w:val="0"/>
  </w:num>
  <w:num w:numId="5" w16cid:durableId="156306062">
    <w:abstractNumId w:val="3"/>
  </w:num>
  <w:num w:numId="6" w16cid:durableId="324092350">
    <w:abstractNumId w:val="14"/>
  </w:num>
  <w:num w:numId="7" w16cid:durableId="768157813">
    <w:abstractNumId w:val="2"/>
  </w:num>
  <w:num w:numId="8" w16cid:durableId="308676952">
    <w:abstractNumId w:val="20"/>
  </w:num>
  <w:num w:numId="9" w16cid:durableId="974024023">
    <w:abstractNumId w:val="3"/>
  </w:num>
  <w:num w:numId="10" w16cid:durableId="1843621486">
    <w:abstractNumId w:val="24"/>
  </w:num>
  <w:num w:numId="11" w16cid:durableId="387076718">
    <w:abstractNumId w:val="6"/>
  </w:num>
  <w:num w:numId="12" w16cid:durableId="902135563">
    <w:abstractNumId w:val="4"/>
  </w:num>
  <w:num w:numId="13" w16cid:durableId="1283153697">
    <w:abstractNumId w:val="0"/>
  </w:num>
  <w:num w:numId="14" w16cid:durableId="1188718996">
    <w:abstractNumId w:val="23"/>
  </w:num>
  <w:num w:numId="15" w16cid:durableId="1849295696">
    <w:abstractNumId w:val="5"/>
  </w:num>
  <w:num w:numId="16" w16cid:durableId="584605867">
    <w:abstractNumId w:val="3"/>
  </w:num>
  <w:num w:numId="17" w16cid:durableId="793212567">
    <w:abstractNumId w:val="17"/>
  </w:num>
  <w:num w:numId="18" w16cid:durableId="1210531998">
    <w:abstractNumId w:val="12"/>
  </w:num>
  <w:num w:numId="19" w16cid:durableId="1038050753">
    <w:abstractNumId w:val="3"/>
  </w:num>
  <w:num w:numId="20" w16cid:durableId="1436051749">
    <w:abstractNumId w:val="3"/>
  </w:num>
  <w:num w:numId="21" w16cid:durableId="897739504">
    <w:abstractNumId w:val="3"/>
  </w:num>
  <w:num w:numId="22" w16cid:durableId="485322218">
    <w:abstractNumId w:val="3"/>
  </w:num>
  <w:num w:numId="23" w16cid:durableId="1796295046">
    <w:abstractNumId w:val="3"/>
  </w:num>
  <w:num w:numId="24" w16cid:durableId="950942210">
    <w:abstractNumId w:val="3"/>
  </w:num>
  <w:num w:numId="25" w16cid:durableId="30302524">
    <w:abstractNumId w:val="3"/>
  </w:num>
  <w:num w:numId="26" w16cid:durableId="299845893">
    <w:abstractNumId w:val="3"/>
  </w:num>
  <w:num w:numId="27" w16cid:durableId="1549031599">
    <w:abstractNumId w:val="18"/>
  </w:num>
  <w:num w:numId="28" w16cid:durableId="1518425124">
    <w:abstractNumId w:val="7"/>
  </w:num>
  <w:num w:numId="29" w16cid:durableId="1953660916">
    <w:abstractNumId w:val="25"/>
  </w:num>
  <w:num w:numId="30" w16cid:durableId="1143081385">
    <w:abstractNumId w:val="22"/>
  </w:num>
  <w:num w:numId="31" w16cid:durableId="260530539">
    <w:abstractNumId w:val="11"/>
  </w:num>
  <w:num w:numId="32" w16cid:durableId="1441872640">
    <w:abstractNumId w:val="13"/>
  </w:num>
  <w:num w:numId="33" w16cid:durableId="1004670440">
    <w:abstractNumId w:val="21"/>
  </w:num>
  <w:num w:numId="34" w16cid:durableId="1552499365">
    <w:abstractNumId w:val="3"/>
  </w:num>
  <w:num w:numId="35" w16cid:durableId="1553275023">
    <w:abstractNumId w:val="8"/>
  </w:num>
  <w:num w:numId="36" w16cid:durableId="1060790875">
    <w:abstractNumId w:val="1"/>
  </w:num>
  <w:num w:numId="37" w16cid:durableId="884147575">
    <w:abstractNumId w:val="16"/>
  </w:num>
  <w:num w:numId="38" w16cid:durableId="15695359">
    <w:abstractNumId w:val="3"/>
  </w:num>
  <w:num w:numId="39" w16cid:durableId="1417244823">
    <w:abstractNumId w:val="10"/>
  </w:num>
  <w:num w:numId="40" w16cid:durableId="11803881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58"/>
    <w:rsid w:val="0000044F"/>
    <w:rsid w:val="00000F42"/>
    <w:rsid w:val="00001FCF"/>
    <w:rsid w:val="00005C36"/>
    <w:rsid w:val="00005E9D"/>
    <w:rsid w:val="00006AA5"/>
    <w:rsid w:val="000105C3"/>
    <w:rsid w:val="000105CC"/>
    <w:rsid w:val="00012328"/>
    <w:rsid w:val="000125E8"/>
    <w:rsid w:val="00013845"/>
    <w:rsid w:val="00013CCE"/>
    <w:rsid w:val="00014197"/>
    <w:rsid w:val="0001419E"/>
    <w:rsid w:val="000142D2"/>
    <w:rsid w:val="00020066"/>
    <w:rsid w:val="0002006A"/>
    <w:rsid w:val="00023080"/>
    <w:rsid w:val="000234B7"/>
    <w:rsid w:val="00023FC8"/>
    <w:rsid w:val="00024A39"/>
    <w:rsid w:val="00024AE5"/>
    <w:rsid w:val="00025242"/>
    <w:rsid w:val="000255BE"/>
    <w:rsid w:val="00026169"/>
    <w:rsid w:val="0003085B"/>
    <w:rsid w:val="00030E36"/>
    <w:rsid w:val="0003135B"/>
    <w:rsid w:val="000323AE"/>
    <w:rsid w:val="00035047"/>
    <w:rsid w:val="00036275"/>
    <w:rsid w:val="00041D98"/>
    <w:rsid w:val="0004486E"/>
    <w:rsid w:val="00045A40"/>
    <w:rsid w:val="00046AF8"/>
    <w:rsid w:val="00046B73"/>
    <w:rsid w:val="00050A5F"/>
    <w:rsid w:val="00051838"/>
    <w:rsid w:val="00051E1D"/>
    <w:rsid w:val="00052B8D"/>
    <w:rsid w:val="00054929"/>
    <w:rsid w:val="00054F4E"/>
    <w:rsid w:val="00055C06"/>
    <w:rsid w:val="00061888"/>
    <w:rsid w:val="00062B10"/>
    <w:rsid w:val="00064018"/>
    <w:rsid w:val="0006568A"/>
    <w:rsid w:val="0006590D"/>
    <w:rsid w:val="0006635B"/>
    <w:rsid w:val="00066840"/>
    <w:rsid w:val="00070FDD"/>
    <w:rsid w:val="00071AB6"/>
    <w:rsid w:val="0007456D"/>
    <w:rsid w:val="000760CC"/>
    <w:rsid w:val="0008075A"/>
    <w:rsid w:val="00082C42"/>
    <w:rsid w:val="00083EAD"/>
    <w:rsid w:val="00083FFC"/>
    <w:rsid w:val="000855C5"/>
    <w:rsid w:val="00086184"/>
    <w:rsid w:val="000865BA"/>
    <w:rsid w:val="00086DE4"/>
    <w:rsid w:val="00087334"/>
    <w:rsid w:val="00087389"/>
    <w:rsid w:val="000907EE"/>
    <w:rsid w:val="000909F9"/>
    <w:rsid w:val="00091E98"/>
    <w:rsid w:val="00091EC3"/>
    <w:rsid w:val="00095D4A"/>
    <w:rsid w:val="00096770"/>
    <w:rsid w:val="000A0C89"/>
    <w:rsid w:val="000A1449"/>
    <w:rsid w:val="000A28F5"/>
    <w:rsid w:val="000A4877"/>
    <w:rsid w:val="000B271F"/>
    <w:rsid w:val="000B27CD"/>
    <w:rsid w:val="000B2F4B"/>
    <w:rsid w:val="000B4EE6"/>
    <w:rsid w:val="000B5D3C"/>
    <w:rsid w:val="000B6A6F"/>
    <w:rsid w:val="000B72CF"/>
    <w:rsid w:val="000B759B"/>
    <w:rsid w:val="000C0C7C"/>
    <w:rsid w:val="000C1194"/>
    <w:rsid w:val="000C46FE"/>
    <w:rsid w:val="000C5447"/>
    <w:rsid w:val="000C66FE"/>
    <w:rsid w:val="000C68A0"/>
    <w:rsid w:val="000D26EB"/>
    <w:rsid w:val="000D4B91"/>
    <w:rsid w:val="000D5B59"/>
    <w:rsid w:val="000D77F3"/>
    <w:rsid w:val="000D7F8A"/>
    <w:rsid w:val="000E2DE5"/>
    <w:rsid w:val="000E2E26"/>
    <w:rsid w:val="000E2EC8"/>
    <w:rsid w:val="000E6FB7"/>
    <w:rsid w:val="000F1A5C"/>
    <w:rsid w:val="000F4166"/>
    <w:rsid w:val="000F4B66"/>
    <w:rsid w:val="000F50DE"/>
    <w:rsid w:val="000F5329"/>
    <w:rsid w:val="000F5901"/>
    <w:rsid w:val="000F5B80"/>
    <w:rsid w:val="000F617D"/>
    <w:rsid w:val="000F68A7"/>
    <w:rsid w:val="000F79E0"/>
    <w:rsid w:val="000F7A42"/>
    <w:rsid w:val="0010056B"/>
    <w:rsid w:val="00101293"/>
    <w:rsid w:val="00104387"/>
    <w:rsid w:val="00104FA1"/>
    <w:rsid w:val="00105777"/>
    <w:rsid w:val="00106436"/>
    <w:rsid w:val="00106BE3"/>
    <w:rsid w:val="00112774"/>
    <w:rsid w:val="00117477"/>
    <w:rsid w:val="00117BA6"/>
    <w:rsid w:val="00121FBB"/>
    <w:rsid w:val="00123D0A"/>
    <w:rsid w:val="00124894"/>
    <w:rsid w:val="0012692C"/>
    <w:rsid w:val="00126A60"/>
    <w:rsid w:val="001275E2"/>
    <w:rsid w:val="00130BC6"/>
    <w:rsid w:val="00133157"/>
    <w:rsid w:val="001336ED"/>
    <w:rsid w:val="00136A2E"/>
    <w:rsid w:val="001374C4"/>
    <w:rsid w:val="001400E2"/>
    <w:rsid w:val="0014168B"/>
    <w:rsid w:val="00143344"/>
    <w:rsid w:val="00143DEF"/>
    <w:rsid w:val="00145036"/>
    <w:rsid w:val="00145886"/>
    <w:rsid w:val="00146183"/>
    <w:rsid w:val="00146686"/>
    <w:rsid w:val="001467A8"/>
    <w:rsid w:val="00146B7A"/>
    <w:rsid w:val="00146CBE"/>
    <w:rsid w:val="001471E1"/>
    <w:rsid w:val="00150C8B"/>
    <w:rsid w:val="00153D17"/>
    <w:rsid w:val="00154FEF"/>
    <w:rsid w:val="00155AD0"/>
    <w:rsid w:val="00156FE8"/>
    <w:rsid w:val="00157A43"/>
    <w:rsid w:val="0016024C"/>
    <w:rsid w:val="00161993"/>
    <w:rsid w:val="00163088"/>
    <w:rsid w:val="00166842"/>
    <w:rsid w:val="00167FCC"/>
    <w:rsid w:val="001702BA"/>
    <w:rsid w:val="001716EA"/>
    <w:rsid w:val="001774C8"/>
    <w:rsid w:val="00177C87"/>
    <w:rsid w:val="00180E6E"/>
    <w:rsid w:val="00180EA4"/>
    <w:rsid w:val="00182B09"/>
    <w:rsid w:val="00183749"/>
    <w:rsid w:val="00184085"/>
    <w:rsid w:val="00185427"/>
    <w:rsid w:val="00186D11"/>
    <w:rsid w:val="001878D0"/>
    <w:rsid w:val="001947E3"/>
    <w:rsid w:val="00194B42"/>
    <w:rsid w:val="001964DD"/>
    <w:rsid w:val="001964F7"/>
    <w:rsid w:val="00197D0F"/>
    <w:rsid w:val="001A08D1"/>
    <w:rsid w:val="001A13DD"/>
    <w:rsid w:val="001A3290"/>
    <w:rsid w:val="001A4E23"/>
    <w:rsid w:val="001A6FA3"/>
    <w:rsid w:val="001B08AB"/>
    <w:rsid w:val="001B1A6C"/>
    <w:rsid w:val="001B346C"/>
    <w:rsid w:val="001B36DC"/>
    <w:rsid w:val="001B504E"/>
    <w:rsid w:val="001B515D"/>
    <w:rsid w:val="001B565D"/>
    <w:rsid w:val="001B6ACF"/>
    <w:rsid w:val="001B6D15"/>
    <w:rsid w:val="001B7AEC"/>
    <w:rsid w:val="001C358C"/>
    <w:rsid w:val="001C47C0"/>
    <w:rsid w:val="001C4A22"/>
    <w:rsid w:val="001C53E5"/>
    <w:rsid w:val="001D06F8"/>
    <w:rsid w:val="001D1223"/>
    <w:rsid w:val="001D191F"/>
    <w:rsid w:val="001D3CB1"/>
    <w:rsid w:val="001D422B"/>
    <w:rsid w:val="001D52D5"/>
    <w:rsid w:val="001D7D4E"/>
    <w:rsid w:val="001E16C8"/>
    <w:rsid w:val="001E2549"/>
    <w:rsid w:val="001E2E14"/>
    <w:rsid w:val="001E3570"/>
    <w:rsid w:val="001E5D60"/>
    <w:rsid w:val="001E5D93"/>
    <w:rsid w:val="001F162C"/>
    <w:rsid w:val="001F1F07"/>
    <w:rsid w:val="001F2451"/>
    <w:rsid w:val="001F48D7"/>
    <w:rsid w:val="001F4E5D"/>
    <w:rsid w:val="001F7F25"/>
    <w:rsid w:val="002005C4"/>
    <w:rsid w:val="00200D1D"/>
    <w:rsid w:val="00201564"/>
    <w:rsid w:val="00202FAF"/>
    <w:rsid w:val="00203CC4"/>
    <w:rsid w:val="00204A5B"/>
    <w:rsid w:val="00205D22"/>
    <w:rsid w:val="0020668A"/>
    <w:rsid w:val="00207059"/>
    <w:rsid w:val="00207775"/>
    <w:rsid w:val="00207CCA"/>
    <w:rsid w:val="00213C28"/>
    <w:rsid w:val="00213E7B"/>
    <w:rsid w:val="00214E27"/>
    <w:rsid w:val="00215688"/>
    <w:rsid w:val="00215862"/>
    <w:rsid w:val="00215969"/>
    <w:rsid w:val="00215B9E"/>
    <w:rsid w:val="00217944"/>
    <w:rsid w:val="002202E8"/>
    <w:rsid w:val="002207EE"/>
    <w:rsid w:val="00222B2F"/>
    <w:rsid w:val="00223891"/>
    <w:rsid w:val="00227079"/>
    <w:rsid w:val="0022729A"/>
    <w:rsid w:val="002276AB"/>
    <w:rsid w:val="00231365"/>
    <w:rsid w:val="00231B90"/>
    <w:rsid w:val="00231DA9"/>
    <w:rsid w:val="0023235C"/>
    <w:rsid w:val="00233A19"/>
    <w:rsid w:val="00233A1D"/>
    <w:rsid w:val="00233FAD"/>
    <w:rsid w:val="00234EDC"/>
    <w:rsid w:val="002368F0"/>
    <w:rsid w:val="0024010C"/>
    <w:rsid w:val="00240442"/>
    <w:rsid w:val="00240E3C"/>
    <w:rsid w:val="002423C3"/>
    <w:rsid w:val="00242472"/>
    <w:rsid w:val="00243C02"/>
    <w:rsid w:val="00245DC9"/>
    <w:rsid w:val="002460DD"/>
    <w:rsid w:val="00246614"/>
    <w:rsid w:val="00247BCA"/>
    <w:rsid w:val="00247E76"/>
    <w:rsid w:val="00250483"/>
    <w:rsid w:val="00251CBA"/>
    <w:rsid w:val="00254CC1"/>
    <w:rsid w:val="0025509D"/>
    <w:rsid w:val="002602D6"/>
    <w:rsid w:val="00260F9D"/>
    <w:rsid w:val="0026290E"/>
    <w:rsid w:val="00262FDA"/>
    <w:rsid w:val="00263168"/>
    <w:rsid w:val="002662FD"/>
    <w:rsid w:val="00266DB1"/>
    <w:rsid w:val="002711D1"/>
    <w:rsid w:val="00272938"/>
    <w:rsid w:val="002734BA"/>
    <w:rsid w:val="00273EFC"/>
    <w:rsid w:val="002749FF"/>
    <w:rsid w:val="00275E3D"/>
    <w:rsid w:val="00276230"/>
    <w:rsid w:val="002768BC"/>
    <w:rsid w:val="002776CC"/>
    <w:rsid w:val="0028024E"/>
    <w:rsid w:val="00281DC5"/>
    <w:rsid w:val="00281F80"/>
    <w:rsid w:val="00282EDE"/>
    <w:rsid w:val="00283B33"/>
    <w:rsid w:val="00284AF8"/>
    <w:rsid w:val="00285012"/>
    <w:rsid w:val="00285EE3"/>
    <w:rsid w:val="00290C9A"/>
    <w:rsid w:val="002911C8"/>
    <w:rsid w:val="00293171"/>
    <w:rsid w:val="002948FE"/>
    <w:rsid w:val="00294CF2"/>
    <w:rsid w:val="002A296B"/>
    <w:rsid w:val="002A2A07"/>
    <w:rsid w:val="002A3FDE"/>
    <w:rsid w:val="002A40A9"/>
    <w:rsid w:val="002A49EB"/>
    <w:rsid w:val="002A4BE7"/>
    <w:rsid w:val="002A7E93"/>
    <w:rsid w:val="002B06FC"/>
    <w:rsid w:val="002B0A61"/>
    <w:rsid w:val="002B1674"/>
    <w:rsid w:val="002B29E4"/>
    <w:rsid w:val="002B38D3"/>
    <w:rsid w:val="002B45C7"/>
    <w:rsid w:val="002B573C"/>
    <w:rsid w:val="002B7749"/>
    <w:rsid w:val="002C5D71"/>
    <w:rsid w:val="002C686D"/>
    <w:rsid w:val="002D2BA7"/>
    <w:rsid w:val="002D6B19"/>
    <w:rsid w:val="002D7FCC"/>
    <w:rsid w:val="002E0523"/>
    <w:rsid w:val="002E2072"/>
    <w:rsid w:val="002E25D4"/>
    <w:rsid w:val="002E280C"/>
    <w:rsid w:val="002F2889"/>
    <w:rsid w:val="002F3ABF"/>
    <w:rsid w:val="002F446D"/>
    <w:rsid w:val="002F4689"/>
    <w:rsid w:val="002F6646"/>
    <w:rsid w:val="002F6D89"/>
    <w:rsid w:val="002F7A74"/>
    <w:rsid w:val="002F7D5A"/>
    <w:rsid w:val="00300F51"/>
    <w:rsid w:val="00302F8F"/>
    <w:rsid w:val="003058D7"/>
    <w:rsid w:val="00306196"/>
    <w:rsid w:val="003105B5"/>
    <w:rsid w:val="003114F9"/>
    <w:rsid w:val="0031281A"/>
    <w:rsid w:val="00312FD3"/>
    <w:rsid w:val="0031337E"/>
    <w:rsid w:val="00320391"/>
    <w:rsid w:val="00320C9A"/>
    <w:rsid w:val="00320ED8"/>
    <w:rsid w:val="00322526"/>
    <w:rsid w:val="003235E5"/>
    <w:rsid w:val="00324567"/>
    <w:rsid w:val="00324574"/>
    <w:rsid w:val="00324895"/>
    <w:rsid w:val="00324E39"/>
    <w:rsid w:val="003251F8"/>
    <w:rsid w:val="00326ED7"/>
    <w:rsid w:val="00327198"/>
    <w:rsid w:val="00333F9F"/>
    <w:rsid w:val="00336866"/>
    <w:rsid w:val="00336A14"/>
    <w:rsid w:val="003374B9"/>
    <w:rsid w:val="00337715"/>
    <w:rsid w:val="00337CEA"/>
    <w:rsid w:val="00341644"/>
    <w:rsid w:val="00342516"/>
    <w:rsid w:val="003445AF"/>
    <w:rsid w:val="00346F8D"/>
    <w:rsid w:val="0034716E"/>
    <w:rsid w:val="00354C6B"/>
    <w:rsid w:val="00355002"/>
    <w:rsid w:val="00356C25"/>
    <w:rsid w:val="00357126"/>
    <w:rsid w:val="00357C0A"/>
    <w:rsid w:val="00360209"/>
    <w:rsid w:val="003633BE"/>
    <w:rsid w:val="00363E57"/>
    <w:rsid w:val="00370467"/>
    <w:rsid w:val="00371C58"/>
    <w:rsid w:val="003725DE"/>
    <w:rsid w:val="003742C3"/>
    <w:rsid w:val="00375F67"/>
    <w:rsid w:val="00381315"/>
    <w:rsid w:val="0038186A"/>
    <w:rsid w:val="0038302B"/>
    <w:rsid w:val="003833BB"/>
    <w:rsid w:val="0038412E"/>
    <w:rsid w:val="003842C7"/>
    <w:rsid w:val="00385309"/>
    <w:rsid w:val="003854D9"/>
    <w:rsid w:val="003863C6"/>
    <w:rsid w:val="00386F07"/>
    <w:rsid w:val="0038719C"/>
    <w:rsid w:val="00387B0D"/>
    <w:rsid w:val="00392A20"/>
    <w:rsid w:val="00394F81"/>
    <w:rsid w:val="00395B98"/>
    <w:rsid w:val="00396B70"/>
    <w:rsid w:val="00396ED0"/>
    <w:rsid w:val="003A0106"/>
    <w:rsid w:val="003A1D4B"/>
    <w:rsid w:val="003A4CCD"/>
    <w:rsid w:val="003A537F"/>
    <w:rsid w:val="003A6114"/>
    <w:rsid w:val="003A7995"/>
    <w:rsid w:val="003B236D"/>
    <w:rsid w:val="003B378F"/>
    <w:rsid w:val="003B3E38"/>
    <w:rsid w:val="003B42C1"/>
    <w:rsid w:val="003B4606"/>
    <w:rsid w:val="003B516F"/>
    <w:rsid w:val="003B5C24"/>
    <w:rsid w:val="003C0248"/>
    <w:rsid w:val="003C18F4"/>
    <w:rsid w:val="003C450F"/>
    <w:rsid w:val="003C467B"/>
    <w:rsid w:val="003C4952"/>
    <w:rsid w:val="003C593E"/>
    <w:rsid w:val="003C619B"/>
    <w:rsid w:val="003D1101"/>
    <w:rsid w:val="003D184A"/>
    <w:rsid w:val="003D2815"/>
    <w:rsid w:val="003D2EB1"/>
    <w:rsid w:val="003D426D"/>
    <w:rsid w:val="003D4743"/>
    <w:rsid w:val="003D6968"/>
    <w:rsid w:val="003E2832"/>
    <w:rsid w:val="003E3054"/>
    <w:rsid w:val="003E3C36"/>
    <w:rsid w:val="003E4831"/>
    <w:rsid w:val="003E4913"/>
    <w:rsid w:val="003E56AE"/>
    <w:rsid w:val="003E75FF"/>
    <w:rsid w:val="003F0003"/>
    <w:rsid w:val="003F2F09"/>
    <w:rsid w:val="003F3838"/>
    <w:rsid w:val="003F49CE"/>
    <w:rsid w:val="003F631E"/>
    <w:rsid w:val="003F69F4"/>
    <w:rsid w:val="004016E6"/>
    <w:rsid w:val="004027AF"/>
    <w:rsid w:val="00404B79"/>
    <w:rsid w:val="0040771F"/>
    <w:rsid w:val="00411E7F"/>
    <w:rsid w:val="0041572C"/>
    <w:rsid w:val="00415933"/>
    <w:rsid w:val="00421EF3"/>
    <w:rsid w:val="00422714"/>
    <w:rsid w:val="00422A98"/>
    <w:rsid w:val="00423914"/>
    <w:rsid w:val="00424062"/>
    <w:rsid w:val="00425B1C"/>
    <w:rsid w:val="00426025"/>
    <w:rsid w:val="004262E4"/>
    <w:rsid w:val="004263AC"/>
    <w:rsid w:val="00427AB1"/>
    <w:rsid w:val="004317BC"/>
    <w:rsid w:val="0043321B"/>
    <w:rsid w:val="00433615"/>
    <w:rsid w:val="00433A71"/>
    <w:rsid w:val="00434654"/>
    <w:rsid w:val="00435F45"/>
    <w:rsid w:val="00436033"/>
    <w:rsid w:val="004402F1"/>
    <w:rsid w:val="0044080E"/>
    <w:rsid w:val="0044107E"/>
    <w:rsid w:val="00441853"/>
    <w:rsid w:val="004429A2"/>
    <w:rsid w:val="00443238"/>
    <w:rsid w:val="00443DD7"/>
    <w:rsid w:val="00444C0B"/>
    <w:rsid w:val="00445186"/>
    <w:rsid w:val="00452C52"/>
    <w:rsid w:val="0045320A"/>
    <w:rsid w:val="0045420E"/>
    <w:rsid w:val="004548F9"/>
    <w:rsid w:val="00456467"/>
    <w:rsid w:val="00456D62"/>
    <w:rsid w:val="004577FD"/>
    <w:rsid w:val="00457BFC"/>
    <w:rsid w:val="00457C96"/>
    <w:rsid w:val="004605D2"/>
    <w:rsid w:val="00460804"/>
    <w:rsid w:val="00460C19"/>
    <w:rsid w:val="00461576"/>
    <w:rsid w:val="00462564"/>
    <w:rsid w:val="004637C2"/>
    <w:rsid w:val="004641C3"/>
    <w:rsid w:val="00464693"/>
    <w:rsid w:val="00464D16"/>
    <w:rsid w:val="00465912"/>
    <w:rsid w:val="00467C02"/>
    <w:rsid w:val="00467D1B"/>
    <w:rsid w:val="00470030"/>
    <w:rsid w:val="00470198"/>
    <w:rsid w:val="0047140F"/>
    <w:rsid w:val="00471B5B"/>
    <w:rsid w:val="00471FE6"/>
    <w:rsid w:val="00472CC7"/>
    <w:rsid w:val="00473658"/>
    <w:rsid w:val="00474309"/>
    <w:rsid w:val="00476434"/>
    <w:rsid w:val="00477043"/>
    <w:rsid w:val="00480023"/>
    <w:rsid w:val="00481254"/>
    <w:rsid w:val="0048330E"/>
    <w:rsid w:val="00486CC8"/>
    <w:rsid w:val="00491163"/>
    <w:rsid w:val="0049263C"/>
    <w:rsid w:val="004947F7"/>
    <w:rsid w:val="00495095"/>
    <w:rsid w:val="00495853"/>
    <w:rsid w:val="004960F5"/>
    <w:rsid w:val="00497640"/>
    <w:rsid w:val="0049790A"/>
    <w:rsid w:val="004A002D"/>
    <w:rsid w:val="004A0D2E"/>
    <w:rsid w:val="004A1513"/>
    <w:rsid w:val="004A203E"/>
    <w:rsid w:val="004A2541"/>
    <w:rsid w:val="004A583B"/>
    <w:rsid w:val="004B2E23"/>
    <w:rsid w:val="004B320C"/>
    <w:rsid w:val="004B5053"/>
    <w:rsid w:val="004B52C5"/>
    <w:rsid w:val="004B59E1"/>
    <w:rsid w:val="004B7A67"/>
    <w:rsid w:val="004B7BF3"/>
    <w:rsid w:val="004C02D9"/>
    <w:rsid w:val="004C1CAF"/>
    <w:rsid w:val="004C3D70"/>
    <w:rsid w:val="004C4B86"/>
    <w:rsid w:val="004C5CEA"/>
    <w:rsid w:val="004C64D7"/>
    <w:rsid w:val="004D204A"/>
    <w:rsid w:val="004D4349"/>
    <w:rsid w:val="004D43F0"/>
    <w:rsid w:val="004D458C"/>
    <w:rsid w:val="004D591E"/>
    <w:rsid w:val="004E027C"/>
    <w:rsid w:val="004E1AFF"/>
    <w:rsid w:val="004E1E22"/>
    <w:rsid w:val="004E212D"/>
    <w:rsid w:val="004E3C83"/>
    <w:rsid w:val="004E4144"/>
    <w:rsid w:val="004E4218"/>
    <w:rsid w:val="004E7137"/>
    <w:rsid w:val="004E7E71"/>
    <w:rsid w:val="004F2DB2"/>
    <w:rsid w:val="004F3796"/>
    <w:rsid w:val="004F5CC1"/>
    <w:rsid w:val="004F7B67"/>
    <w:rsid w:val="0050162F"/>
    <w:rsid w:val="00501AC8"/>
    <w:rsid w:val="005029FC"/>
    <w:rsid w:val="00503753"/>
    <w:rsid w:val="0050524F"/>
    <w:rsid w:val="005075EE"/>
    <w:rsid w:val="00513AE1"/>
    <w:rsid w:val="005150CF"/>
    <w:rsid w:val="00515A0C"/>
    <w:rsid w:val="0051609C"/>
    <w:rsid w:val="005208CD"/>
    <w:rsid w:val="0052163B"/>
    <w:rsid w:val="00521657"/>
    <w:rsid w:val="00522747"/>
    <w:rsid w:val="0052285A"/>
    <w:rsid w:val="00524887"/>
    <w:rsid w:val="00524B40"/>
    <w:rsid w:val="005278CC"/>
    <w:rsid w:val="00527BF8"/>
    <w:rsid w:val="00531792"/>
    <w:rsid w:val="00532F42"/>
    <w:rsid w:val="00545C17"/>
    <w:rsid w:val="00546923"/>
    <w:rsid w:val="00546CE7"/>
    <w:rsid w:val="00552348"/>
    <w:rsid w:val="005548BB"/>
    <w:rsid w:val="00554CB6"/>
    <w:rsid w:val="005558B0"/>
    <w:rsid w:val="00556279"/>
    <w:rsid w:val="00556CFB"/>
    <w:rsid w:val="005575CA"/>
    <w:rsid w:val="00557BF1"/>
    <w:rsid w:val="00561F03"/>
    <w:rsid w:val="00561F3C"/>
    <w:rsid w:val="00564215"/>
    <w:rsid w:val="00564CAD"/>
    <w:rsid w:val="0056538E"/>
    <w:rsid w:val="00565D5A"/>
    <w:rsid w:val="00566F41"/>
    <w:rsid w:val="005705AF"/>
    <w:rsid w:val="0057098F"/>
    <w:rsid w:val="00570D7A"/>
    <w:rsid w:val="00573F07"/>
    <w:rsid w:val="005740A8"/>
    <w:rsid w:val="005747B1"/>
    <w:rsid w:val="00575C70"/>
    <w:rsid w:val="00576CAD"/>
    <w:rsid w:val="00580A71"/>
    <w:rsid w:val="005813A8"/>
    <w:rsid w:val="00583D8E"/>
    <w:rsid w:val="005866C6"/>
    <w:rsid w:val="00587C28"/>
    <w:rsid w:val="005903A8"/>
    <w:rsid w:val="00590B5E"/>
    <w:rsid w:val="00592217"/>
    <w:rsid w:val="005922E7"/>
    <w:rsid w:val="0059437A"/>
    <w:rsid w:val="00594881"/>
    <w:rsid w:val="00594C82"/>
    <w:rsid w:val="00595FB2"/>
    <w:rsid w:val="005A2B70"/>
    <w:rsid w:val="005A3B9F"/>
    <w:rsid w:val="005A5756"/>
    <w:rsid w:val="005A6116"/>
    <w:rsid w:val="005A77E3"/>
    <w:rsid w:val="005A7CFF"/>
    <w:rsid w:val="005B34AE"/>
    <w:rsid w:val="005B46E5"/>
    <w:rsid w:val="005B4D68"/>
    <w:rsid w:val="005B6BC6"/>
    <w:rsid w:val="005B7920"/>
    <w:rsid w:val="005C1129"/>
    <w:rsid w:val="005C1C60"/>
    <w:rsid w:val="005C612D"/>
    <w:rsid w:val="005D0D53"/>
    <w:rsid w:val="005D1D83"/>
    <w:rsid w:val="005D43D5"/>
    <w:rsid w:val="005D4995"/>
    <w:rsid w:val="005D58AB"/>
    <w:rsid w:val="005D5ADF"/>
    <w:rsid w:val="005D5C87"/>
    <w:rsid w:val="005D6741"/>
    <w:rsid w:val="005D7076"/>
    <w:rsid w:val="005E25F2"/>
    <w:rsid w:val="005E3D49"/>
    <w:rsid w:val="005E6F96"/>
    <w:rsid w:val="005E72EE"/>
    <w:rsid w:val="005F090E"/>
    <w:rsid w:val="005F0A92"/>
    <w:rsid w:val="005F1037"/>
    <w:rsid w:val="005F1764"/>
    <w:rsid w:val="005F1AD9"/>
    <w:rsid w:val="005F1CFA"/>
    <w:rsid w:val="005F230B"/>
    <w:rsid w:val="005F3C57"/>
    <w:rsid w:val="005F406A"/>
    <w:rsid w:val="005F66C0"/>
    <w:rsid w:val="005F6BD8"/>
    <w:rsid w:val="005F6C59"/>
    <w:rsid w:val="005F748A"/>
    <w:rsid w:val="00600A1B"/>
    <w:rsid w:val="006107DE"/>
    <w:rsid w:val="00613D38"/>
    <w:rsid w:val="006145D6"/>
    <w:rsid w:val="00614AF0"/>
    <w:rsid w:val="00614B62"/>
    <w:rsid w:val="00614D42"/>
    <w:rsid w:val="006154EB"/>
    <w:rsid w:val="0061591F"/>
    <w:rsid w:val="006173A5"/>
    <w:rsid w:val="00621255"/>
    <w:rsid w:val="0062183A"/>
    <w:rsid w:val="00623847"/>
    <w:rsid w:val="00626252"/>
    <w:rsid w:val="006276EC"/>
    <w:rsid w:val="00630170"/>
    <w:rsid w:val="00633084"/>
    <w:rsid w:val="0063589F"/>
    <w:rsid w:val="00635C91"/>
    <w:rsid w:val="00636755"/>
    <w:rsid w:val="00641235"/>
    <w:rsid w:val="00641D0B"/>
    <w:rsid w:val="0064224F"/>
    <w:rsid w:val="00642795"/>
    <w:rsid w:val="00643B7D"/>
    <w:rsid w:val="006469E4"/>
    <w:rsid w:val="006479BA"/>
    <w:rsid w:val="00650519"/>
    <w:rsid w:val="00651E17"/>
    <w:rsid w:val="00652222"/>
    <w:rsid w:val="00652259"/>
    <w:rsid w:val="0065349F"/>
    <w:rsid w:val="00653D52"/>
    <w:rsid w:val="00654D2C"/>
    <w:rsid w:val="00655047"/>
    <w:rsid w:val="00655621"/>
    <w:rsid w:val="0065661A"/>
    <w:rsid w:val="00656AA8"/>
    <w:rsid w:val="00656DD2"/>
    <w:rsid w:val="0065712A"/>
    <w:rsid w:val="00657C49"/>
    <w:rsid w:val="00661724"/>
    <w:rsid w:val="0066213A"/>
    <w:rsid w:val="006624A1"/>
    <w:rsid w:val="00663B9A"/>
    <w:rsid w:val="00664AE1"/>
    <w:rsid w:val="00667BDE"/>
    <w:rsid w:val="00667E57"/>
    <w:rsid w:val="00672113"/>
    <w:rsid w:val="00673291"/>
    <w:rsid w:val="006738C3"/>
    <w:rsid w:val="00674018"/>
    <w:rsid w:val="006746A5"/>
    <w:rsid w:val="0067617E"/>
    <w:rsid w:val="00676482"/>
    <w:rsid w:val="00676657"/>
    <w:rsid w:val="00677106"/>
    <w:rsid w:val="00677108"/>
    <w:rsid w:val="00677227"/>
    <w:rsid w:val="00680106"/>
    <w:rsid w:val="00680424"/>
    <w:rsid w:val="00680C03"/>
    <w:rsid w:val="00681123"/>
    <w:rsid w:val="00682854"/>
    <w:rsid w:val="0068347F"/>
    <w:rsid w:val="00684046"/>
    <w:rsid w:val="0068570B"/>
    <w:rsid w:val="006870BA"/>
    <w:rsid w:val="00690F9F"/>
    <w:rsid w:val="00692528"/>
    <w:rsid w:val="0069380C"/>
    <w:rsid w:val="00694944"/>
    <w:rsid w:val="0069513A"/>
    <w:rsid w:val="00695AB8"/>
    <w:rsid w:val="00697237"/>
    <w:rsid w:val="00697C51"/>
    <w:rsid w:val="006A12B1"/>
    <w:rsid w:val="006A1DBF"/>
    <w:rsid w:val="006A4121"/>
    <w:rsid w:val="006A497B"/>
    <w:rsid w:val="006A53C7"/>
    <w:rsid w:val="006A5869"/>
    <w:rsid w:val="006A789A"/>
    <w:rsid w:val="006B0888"/>
    <w:rsid w:val="006B08CB"/>
    <w:rsid w:val="006B176F"/>
    <w:rsid w:val="006B29C1"/>
    <w:rsid w:val="006B59F7"/>
    <w:rsid w:val="006C0131"/>
    <w:rsid w:val="006C111E"/>
    <w:rsid w:val="006C2526"/>
    <w:rsid w:val="006C2CF7"/>
    <w:rsid w:val="006C3456"/>
    <w:rsid w:val="006C3C63"/>
    <w:rsid w:val="006C3DF2"/>
    <w:rsid w:val="006C4D16"/>
    <w:rsid w:val="006C4D1A"/>
    <w:rsid w:val="006C52FB"/>
    <w:rsid w:val="006C5AE6"/>
    <w:rsid w:val="006C5B16"/>
    <w:rsid w:val="006C5FC9"/>
    <w:rsid w:val="006C660A"/>
    <w:rsid w:val="006C6D2E"/>
    <w:rsid w:val="006D0D45"/>
    <w:rsid w:val="006D17AC"/>
    <w:rsid w:val="006D1FFB"/>
    <w:rsid w:val="006D2FB9"/>
    <w:rsid w:val="006D3074"/>
    <w:rsid w:val="006D39E0"/>
    <w:rsid w:val="006D41AF"/>
    <w:rsid w:val="006D428F"/>
    <w:rsid w:val="006D5157"/>
    <w:rsid w:val="006D7790"/>
    <w:rsid w:val="006E0B5A"/>
    <w:rsid w:val="006E1A75"/>
    <w:rsid w:val="006E2D2C"/>
    <w:rsid w:val="006E3492"/>
    <w:rsid w:val="006E3B33"/>
    <w:rsid w:val="006E56BF"/>
    <w:rsid w:val="006E5E41"/>
    <w:rsid w:val="006F2114"/>
    <w:rsid w:val="006F2F68"/>
    <w:rsid w:val="006F3105"/>
    <w:rsid w:val="006F7A2C"/>
    <w:rsid w:val="00700529"/>
    <w:rsid w:val="00700BFB"/>
    <w:rsid w:val="00701A47"/>
    <w:rsid w:val="00702CB3"/>
    <w:rsid w:val="007031D0"/>
    <w:rsid w:val="007074CF"/>
    <w:rsid w:val="00707D5B"/>
    <w:rsid w:val="00707DEC"/>
    <w:rsid w:val="00710301"/>
    <w:rsid w:val="007112B1"/>
    <w:rsid w:val="00711DD2"/>
    <w:rsid w:val="00712B7F"/>
    <w:rsid w:val="007133F8"/>
    <w:rsid w:val="007135C4"/>
    <w:rsid w:val="00713FEF"/>
    <w:rsid w:val="00714A66"/>
    <w:rsid w:val="0071571C"/>
    <w:rsid w:val="00716712"/>
    <w:rsid w:val="00720071"/>
    <w:rsid w:val="00720072"/>
    <w:rsid w:val="007209EF"/>
    <w:rsid w:val="00720A32"/>
    <w:rsid w:val="00721084"/>
    <w:rsid w:val="007232DD"/>
    <w:rsid w:val="00724DD5"/>
    <w:rsid w:val="0072539A"/>
    <w:rsid w:val="007255FB"/>
    <w:rsid w:val="00726C2C"/>
    <w:rsid w:val="00730F09"/>
    <w:rsid w:val="007318C2"/>
    <w:rsid w:val="00733050"/>
    <w:rsid w:val="007353F0"/>
    <w:rsid w:val="00735CBE"/>
    <w:rsid w:val="00737A2D"/>
    <w:rsid w:val="00740BEC"/>
    <w:rsid w:val="00741DC1"/>
    <w:rsid w:val="00742A01"/>
    <w:rsid w:val="00742F4B"/>
    <w:rsid w:val="00745D0B"/>
    <w:rsid w:val="007472F3"/>
    <w:rsid w:val="00747E4C"/>
    <w:rsid w:val="00750091"/>
    <w:rsid w:val="00750289"/>
    <w:rsid w:val="007508DE"/>
    <w:rsid w:val="00750966"/>
    <w:rsid w:val="00751261"/>
    <w:rsid w:val="00753A8C"/>
    <w:rsid w:val="0075460F"/>
    <w:rsid w:val="007613FC"/>
    <w:rsid w:val="007615A2"/>
    <w:rsid w:val="00761845"/>
    <w:rsid w:val="00762D24"/>
    <w:rsid w:val="0076327C"/>
    <w:rsid w:val="00764495"/>
    <w:rsid w:val="0076555D"/>
    <w:rsid w:val="007664B2"/>
    <w:rsid w:val="00766768"/>
    <w:rsid w:val="00766AF9"/>
    <w:rsid w:val="00770421"/>
    <w:rsid w:val="00772135"/>
    <w:rsid w:val="00772F09"/>
    <w:rsid w:val="00775D33"/>
    <w:rsid w:val="0078026F"/>
    <w:rsid w:val="00780549"/>
    <w:rsid w:val="00780B16"/>
    <w:rsid w:val="00780C16"/>
    <w:rsid w:val="00780D5E"/>
    <w:rsid w:val="007829BF"/>
    <w:rsid w:val="0078374C"/>
    <w:rsid w:val="00783D03"/>
    <w:rsid w:val="007840EE"/>
    <w:rsid w:val="007846BF"/>
    <w:rsid w:val="00784C88"/>
    <w:rsid w:val="00785315"/>
    <w:rsid w:val="007908AE"/>
    <w:rsid w:val="00791354"/>
    <w:rsid w:val="0079188F"/>
    <w:rsid w:val="00793BF7"/>
    <w:rsid w:val="00795B52"/>
    <w:rsid w:val="00796957"/>
    <w:rsid w:val="00797515"/>
    <w:rsid w:val="007A0C15"/>
    <w:rsid w:val="007A0F4B"/>
    <w:rsid w:val="007A1B20"/>
    <w:rsid w:val="007A265A"/>
    <w:rsid w:val="007A26F1"/>
    <w:rsid w:val="007A32D9"/>
    <w:rsid w:val="007A37E4"/>
    <w:rsid w:val="007A4D0E"/>
    <w:rsid w:val="007A79DF"/>
    <w:rsid w:val="007B06D8"/>
    <w:rsid w:val="007B16DF"/>
    <w:rsid w:val="007B3A0F"/>
    <w:rsid w:val="007B3C79"/>
    <w:rsid w:val="007B68F7"/>
    <w:rsid w:val="007C0B1A"/>
    <w:rsid w:val="007C1639"/>
    <w:rsid w:val="007C16D2"/>
    <w:rsid w:val="007C1D74"/>
    <w:rsid w:val="007C2E90"/>
    <w:rsid w:val="007C30B7"/>
    <w:rsid w:val="007C313A"/>
    <w:rsid w:val="007C3C90"/>
    <w:rsid w:val="007C3F07"/>
    <w:rsid w:val="007C5018"/>
    <w:rsid w:val="007C65B2"/>
    <w:rsid w:val="007D143C"/>
    <w:rsid w:val="007D5B06"/>
    <w:rsid w:val="007D64B9"/>
    <w:rsid w:val="007E03E0"/>
    <w:rsid w:val="007E08B8"/>
    <w:rsid w:val="007E09C1"/>
    <w:rsid w:val="007E1148"/>
    <w:rsid w:val="007E20AF"/>
    <w:rsid w:val="007E4C6C"/>
    <w:rsid w:val="007E6B46"/>
    <w:rsid w:val="007E763F"/>
    <w:rsid w:val="007F0FE7"/>
    <w:rsid w:val="007F1293"/>
    <w:rsid w:val="007F196E"/>
    <w:rsid w:val="007F2473"/>
    <w:rsid w:val="007F4685"/>
    <w:rsid w:val="007F5B9A"/>
    <w:rsid w:val="007F6988"/>
    <w:rsid w:val="007F6DE9"/>
    <w:rsid w:val="00802AE0"/>
    <w:rsid w:val="00803B3E"/>
    <w:rsid w:val="0080484E"/>
    <w:rsid w:val="008076CD"/>
    <w:rsid w:val="008107C4"/>
    <w:rsid w:val="008111C9"/>
    <w:rsid w:val="00811200"/>
    <w:rsid w:val="00812390"/>
    <w:rsid w:val="00812BAE"/>
    <w:rsid w:val="008130C8"/>
    <w:rsid w:val="008163C7"/>
    <w:rsid w:val="00816716"/>
    <w:rsid w:val="008173EA"/>
    <w:rsid w:val="00821316"/>
    <w:rsid w:val="00821DD0"/>
    <w:rsid w:val="008228FD"/>
    <w:rsid w:val="00825783"/>
    <w:rsid w:val="00825DFE"/>
    <w:rsid w:val="00827CE7"/>
    <w:rsid w:val="00830280"/>
    <w:rsid w:val="0083069C"/>
    <w:rsid w:val="008323A0"/>
    <w:rsid w:val="008328D4"/>
    <w:rsid w:val="008347F0"/>
    <w:rsid w:val="00834E60"/>
    <w:rsid w:val="00835DBB"/>
    <w:rsid w:val="00836586"/>
    <w:rsid w:val="0083671F"/>
    <w:rsid w:val="00836D47"/>
    <w:rsid w:val="00837E38"/>
    <w:rsid w:val="008414FC"/>
    <w:rsid w:val="00842E7B"/>
    <w:rsid w:val="00843B21"/>
    <w:rsid w:val="00844B5D"/>
    <w:rsid w:val="008475F5"/>
    <w:rsid w:val="00847D1A"/>
    <w:rsid w:val="00851623"/>
    <w:rsid w:val="00851DE6"/>
    <w:rsid w:val="00852426"/>
    <w:rsid w:val="00853C0F"/>
    <w:rsid w:val="00855A86"/>
    <w:rsid w:val="0085652E"/>
    <w:rsid w:val="00861008"/>
    <w:rsid w:val="008623F1"/>
    <w:rsid w:val="00863DDC"/>
    <w:rsid w:val="00864A0E"/>
    <w:rsid w:val="0086767E"/>
    <w:rsid w:val="00867DF9"/>
    <w:rsid w:val="00877423"/>
    <w:rsid w:val="008810AC"/>
    <w:rsid w:val="008814C8"/>
    <w:rsid w:val="00883196"/>
    <w:rsid w:val="00883991"/>
    <w:rsid w:val="008840AA"/>
    <w:rsid w:val="00885759"/>
    <w:rsid w:val="00885E30"/>
    <w:rsid w:val="00886E20"/>
    <w:rsid w:val="0088721E"/>
    <w:rsid w:val="00891CBC"/>
    <w:rsid w:val="00892068"/>
    <w:rsid w:val="008931FC"/>
    <w:rsid w:val="008946B5"/>
    <w:rsid w:val="008966FA"/>
    <w:rsid w:val="008A1C5C"/>
    <w:rsid w:val="008A4B2A"/>
    <w:rsid w:val="008A51A1"/>
    <w:rsid w:val="008A60DE"/>
    <w:rsid w:val="008A752B"/>
    <w:rsid w:val="008B0434"/>
    <w:rsid w:val="008B3B16"/>
    <w:rsid w:val="008B6382"/>
    <w:rsid w:val="008B746D"/>
    <w:rsid w:val="008C0327"/>
    <w:rsid w:val="008C125E"/>
    <w:rsid w:val="008C22C3"/>
    <w:rsid w:val="008C3A28"/>
    <w:rsid w:val="008C6374"/>
    <w:rsid w:val="008D256D"/>
    <w:rsid w:val="008D34E9"/>
    <w:rsid w:val="008D5C09"/>
    <w:rsid w:val="008E074A"/>
    <w:rsid w:val="008E0D0C"/>
    <w:rsid w:val="008E1CD3"/>
    <w:rsid w:val="008E385C"/>
    <w:rsid w:val="008E4709"/>
    <w:rsid w:val="008E6C30"/>
    <w:rsid w:val="008E72CB"/>
    <w:rsid w:val="008F046B"/>
    <w:rsid w:val="008F083C"/>
    <w:rsid w:val="008F3BE3"/>
    <w:rsid w:val="008F5CC7"/>
    <w:rsid w:val="00903383"/>
    <w:rsid w:val="00906616"/>
    <w:rsid w:val="00907F40"/>
    <w:rsid w:val="00910E78"/>
    <w:rsid w:val="00911B3C"/>
    <w:rsid w:val="009121D8"/>
    <w:rsid w:val="009122AE"/>
    <w:rsid w:val="00914A24"/>
    <w:rsid w:val="00914A43"/>
    <w:rsid w:val="00916A9C"/>
    <w:rsid w:val="009171F9"/>
    <w:rsid w:val="00920653"/>
    <w:rsid w:val="00921D69"/>
    <w:rsid w:val="009229E0"/>
    <w:rsid w:val="009242A2"/>
    <w:rsid w:val="00924584"/>
    <w:rsid w:val="0092588B"/>
    <w:rsid w:val="00926A7B"/>
    <w:rsid w:val="00926ACF"/>
    <w:rsid w:val="00926E08"/>
    <w:rsid w:val="009279BC"/>
    <w:rsid w:val="0093006F"/>
    <w:rsid w:val="00934235"/>
    <w:rsid w:val="009362F0"/>
    <w:rsid w:val="00936D90"/>
    <w:rsid w:val="00940477"/>
    <w:rsid w:val="00941134"/>
    <w:rsid w:val="00943713"/>
    <w:rsid w:val="009441AF"/>
    <w:rsid w:val="00944D23"/>
    <w:rsid w:val="009452C7"/>
    <w:rsid w:val="009468E2"/>
    <w:rsid w:val="0096030A"/>
    <w:rsid w:val="0096389E"/>
    <w:rsid w:val="00964CD7"/>
    <w:rsid w:val="00965E1D"/>
    <w:rsid w:val="009717CD"/>
    <w:rsid w:val="00972418"/>
    <w:rsid w:val="00973DF8"/>
    <w:rsid w:val="00974DBF"/>
    <w:rsid w:val="00975F5E"/>
    <w:rsid w:val="009771B7"/>
    <w:rsid w:val="00977A61"/>
    <w:rsid w:val="009800B2"/>
    <w:rsid w:val="00981BA3"/>
    <w:rsid w:val="00984858"/>
    <w:rsid w:val="00985EB5"/>
    <w:rsid w:val="009864C7"/>
    <w:rsid w:val="00991131"/>
    <w:rsid w:val="00991D50"/>
    <w:rsid w:val="0099350A"/>
    <w:rsid w:val="00994523"/>
    <w:rsid w:val="0099666F"/>
    <w:rsid w:val="00996D75"/>
    <w:rsid w:val="009A0993"/>
    <w:rsid w:val="009A1BFF"/>
    <w:rsid w:val="009A418A"/>
    <w:rsid w:val="009A6B14"/>
    <w:rsid w:val="009A725D"/>
    <w:rsid w:val="009B126E"/>
    <w:rsid w:val="009B3636"/>
    <w:rsid w:val="009B7346"/>
    <w:rsid w:val="009C0AE1"/>
    <w:rsid w:val="009C2096"/>
    <w:rsid w:val="009C254B"/>
    <w:rsid w:val="009C282C"/>
    <w:rsid w:val="009C2B69"/>
    <w:rsid w:val="009C3E2A"/>
    <w:rsid w:val="009C60BE"/>
    <w:rsid w:val="009C73BE"/>
    <w:rsid w:val="009C7A77"/>
    <w:rsid w:val="009C7B2C"/>
    <w:rsid w:val="009D6168"/>
    <w:rsid w:val="009E03AC"/>
    <w:rsid w:val="009E03F9"/>
    <w:rsid w:val="009E0D11"/>
    <w:rsid w:val="009E2ADB"/>
    <w:rsid w:val="009E2FCB"/>
    <w:rsid w:val="009E3AF5"/>
    <w:rsid w:val="009E4327"/>
    <w:rsid w:val="009E7A98"/>
    <w:rsid w:val="009F03AD"/>
    <w:rsid w:val="009F0E68"/>
    <w:rsid w:val="009F0FFA"/>
    <w:rsid w:val="009F18F4"/>
    <w:rsid w:val="009F2081"/>
    <w:rsid w:val="009F3102"/>
    <w:rsid w:val="009F499B"/>
    <w:rsid w:val="009F5615"/>
    <w:rsid w:val="00A01594"/>
    <w:rsid w:val="00A0167E"/>
    <w:rsid w:val="00A01E3B"/>
    <w:rsid w:val="00A04171"/>
    <w:rsid w:val="00A04CDF"/>
    <w:rsid w:val="00A10077"/>
    <w:rsid w:val="00A1166E"/>
    <w:rsid w:val="00A14C4A"/>
    <w:rsid w:val="00A17C31"/>
    <w:rsid w:val="00A17EDD"/>
    <w:rsid w:val="00A21514"/>
    <w:rsid w:val="00A21B98"/>
    <w:rsid w:val="00A2277E"/>
    <w:rsid w:val="00A229A9"/>
    <w:rsid w:val="00A22DAA"/>
    <w:rsid w:val="00A24489"/>
    <w:rsid w:val="00A24A29"/>
    <w:rsid w:val="00A31488"/>
    <w:rsid w:val="00A328C0"/>
    <w:rsid w:val="00A32CF9"/>
    <w:rsid w:val="00A331A6"/>
    <w:rsid w:val="00A337B0"/>
    <w:rsid w:val="00A34A18"/>
    <w:rsid w:val="00A34B9D"/>
    <w:rsid w:val="00A35749"/>
    <w:rsid w:val="00A359F4"/>
    <w:rsid w:val="00A366AC"/>
    <w:rsid w:val="00A3705E"/>
    <w:rsid w:val="00A377E4"/>
    <w:rsid w:val="00A40DF3"/>
    <w:rsid w:val="00A41E68"/>
    <w:rsid w:val="00A42221"/>
    <w:rsid w:val="00A47527"/>
    <w:rsid w:val="00A527BA"/>
    <w:rsid w:val="00A52C21"/>
    <w:rsid w:val="00A53DF2"/>
    <w:rsid w:val="00A55642"/>
    <w:rsid w:val="00A560B9"/>
    <w:rsid w:val="00A5639F"/>
    <w:rsid w:val="00A64305"/>
    <w:rsid w:val="00A66121"/>
    <w:rsid w:val="00A673CC"/>
    <w:rsid w:val="00A720C2"/>
    <w:rsid w:val="00A73F24"/>
    <w:rsid w:val="00A74878"/>
    <w:rsid w:val="00A76104"/>
    <w:rsid w:val="00A76495"/>
    <w:rsid w:val="00A7714F"/>
    <w:rsid w:val="00A81C44"/>
    <w:rsid w:val="00A83762"/>
    <w:rsid w:val="00A847F0"/>
    <w:rsid w:val="00A84E44"/>
    <w:rsid w:val="00A85906"/>
    <w:rsid w:val="00A860F6"/>
    <w:rsid w:val="00A86F3E"/>
    <w:rsid w:val="00A875D6"/>
    <w:rsid w:val="00A8798A"/>
    <w:rsid w:val="00A87A8B"/>
    <w:rsid w:val="00A902B7"/>
    <w:rsid w:val="00A9045A"/>
    <w:rsid w:val="00A9097C"/>
    <w:rsid w:val="00A90E85"/>
    <w:rsid w:val="00A926AE"/>
    <w:rsid w:val="00A92C86"/>
    <w:rsid w:val="00A940C6"/>
    <w:rsid w:val="00A95304"/>
    <w:rsid w:val="00A96758"/>
    <w:rsid w:val="00AA32ED"/>
    <w:rsid w:val="00AA52D9"/>
    <w:rsid w:val="00AA6156"/>
    <w:rsid w:val="00AA7799"/>
    <w:rsid w:val="00AA7E4A"/>
    <w:rsid w:val="00AA7EA9"/>
    <w:rsid w:val="00AB0072"/>
    <w:rsid w:val="00AB0E97"/>
    <w:rsid w:val="00AB1096"/>
    <w:rsid w:val="00AB1C7B"/>
    <w:rsid w:val="00AB2B5D"/>
    <w:rsid w:val="00AB4EEC"/>
    <w:rsid w:val="00AB7131"/>
    <w:rsid w:val="00AB7175"/>
    <w:rsid w:val="00AB7B87"/>
    <w:rsid w:val="00AC219A"/>
    <w:rsid w:val="00AC2661"/>
    <w:rsid w:val="00AC399A"/>
    <w:rsid w:val="00AC50C3"/>
    <w:rsid w:val="00AC5711"/>
    <w:rsid w:val="00AC6BEE"/>
    <w:rsid w:val="00AD0949"/>
    <w:rsid w:val="00AD09FF"/>
    <w:rsid w:val="00AD223D"/>
    <w:rsid w:val="00AD3D94"/>
    <w:rsid w:val="00AD4015"/>
    <w:rsid w:val="00AD5DBD"/>
    <w:rsid w:val="00AD62C3"/>
    <w:rsid w:val="00AD62FF"/>
    <w:rsid w:val="00AD6ED3"/>
    <w:rsid w:val="00AD7A45"/>
    <w:rsid w:val="00AE01F2"/>
    <w:rsid w:val="00AE15FA"/>
    <w:rsid w:val="00AE199F"/>
    <w:rsid w:val="00AE2339"/>
    <w:rsid w:val="00AE42BC"/>
    <w:rsid w:val="00AE442E"/>
    <w:rsid w:val="00AE4ED1"/>
    <w:rsid w:val="00AE5ABA"/>
    <w:rsid w:val="00AE5DAC"/>
    <w:rsid w:val="00AE6103"/>
    <w:rsid w:val="00AE7DF2"/>
    <w:rsid w:val="00AF14CF"/>
    <w:rsid w:val="00AF1E5F"/>
    <w:rsid w:val="00AF35DE"/>
    <w:rsid w:val="00AF3BEA"/>
    <w:rsid w:val="00AF480C"/>
    <w:rsid w:val="00AF4D1A"/>
    <w:rsid w:val="00AF5C2F"/>
    <w:rsid w:val="00AF7AFF"/>
    <w:rsid w:val="00B00E16"/>
    <w:rsid w:val="00B01D72"/>
    <w:rsid w:val="00B0517F"/>
    <w:rsid w:val="00B05F42"/>
    <w:rsid w:val="00B061AC"/>
    <w:rsid w:val="00B063FB"/>
    <w:rsid w:val="00B12070"/>
    <w:rsid w:val="00B13869"/>
    <w:rsid w:val="00B152D0"/>
    <w:rsid w:val="00B16520"/>
    <w:rsid w:val="00B215A5"/>
    <w:rsid w:val="00B21657"/>
    <w:rsid w:val="00B2258A"/>
    <w:rsid w:val="00B23201"/>
    <w:rsid w:val="00B237D1"/>
    <w:rsid w:val="00B241D8"/>
    <w:rsid w:val="00B24D0C"/>
    <w:rsid w:val="00B27ACE"/>
    <w:rsid w:val="00B314B6"/>
    <w:rsid w:val="00B319AE"/>
    <w:rsid w:val="00B3323A"/>
    <w:rsid w:val="00B3462D"/>
    <w:rsid w:val="00B35234"/>
    <w:rsid w:val="00B41D67"/>
    <w:rsid w:val="00B42418"/>
    <w:rsid w:val="00B4445C"/>
    <w:rsid w:val="00B44AE7"/>
    <w:rsid w:val="00B453D9"/>
    <w:rsid w:val="00B45423"/>
    <w:rsid w:val="00B45489"/>
    <w:rsid w:val="00B45C54"/>
    <w:rsid w:val="00B469C5"/>
    <w:rsid w:val="00B471A0"/>
    <w:rsid w:val="00B505F7"/>
    <w:rsid w:val="00B50CD0"/>
    <w:rsid w:val="00B51671"/>
    <w:rsid w:val="00B51FB0"/>
    <w:rsid w:val="00B522BA"/>
    <w:rsid w:val="00B54CC9"/>
    <w:rsid w:val="00B5504F"/>
    <w:rsid w:val="00B55995"/>
    <w:rsid w:val="00B55A9B"/>
    <w:rsid w:val="00B55C58"/>
    <w:rsid w:val="00B55F6F"/>
    <w:rsid w:val="00B573EB"/>
    <w:rsid w:val="00B60B26"/>
    <w:rsid w:val="00B63977"/>
    <w:rsid w:val="00B63FD8"/>
    <w:rsid w:val="00B64A93"/>
    <w:rsid w:val="00B653A5"/>
    <w:rsid w:val="00B65C42"/>
    <w:rsid w:val="00B67541"/>
    <w:rsid w:val="00B67EA5"/>
    <w:rsid w:val="00B706C1"/>
    <w:rsid w:val="00B70A4B"/>
    <w:rsid w:val="00B7223A"/>
    <w:rsid w:val="00B72AE5"/>
    <w:rsid w:val="00B72BB6"/>
    <w:rsid w:val="00B72EE9"/>
    <w:rsid w:val="00B734A6"/>
    <w:rsid w:val="00B776C0"/>
    <w:rsid w:val="00B77BB7"/>
    <w:rsid w:val="00B813B0"/>
    <w:rsid w:val="00B84719"/>
    <w:rsid w:val="00B85032"/>
    <w:rsid w:val="00B85BD3"/>
    <w:rsid w:val="00B8651F"/>
    <w:rsid w:val="00B8696A"/>
    <w:rsid w:val="00B92290"/>
    <w:rsid w:val="00B92555"/>
    <w:rsid w:val="00B948BB"/>
    <w:rsid w:val="00B948DC"/>
    <w:rsid w:val="00B95F38"/>
    <w:rsid w:val="00B95FA7"/>
    <w:rsid w:val="00B97AF7"/>
    <w:rsid w:val="00BA0AB7"/>
    <w:rsid w:val="00BA1006"/>
    <w:rsid w:val="00BA2368"/>
    <w:rsid w:val="00BA367A"/>
    <w:rsid w:val="00BA4609"/>
    <w:rsid w:val="00BA55B1"/>
    <w:rsid w:val="00BA563F"/>
    <w:rsid w:val="00BA5D76"/>
    <w:rsid w:val="00BA71E6"/>
    <w:rsid w:val="00BB0D91"/>
    <w:rsid w:val="00BB4E0E"/>
    <w:rsid w:val="00BB5C5F"/>
    <w:rsid w:val="00BB6A04"/>
    <w:rsid w:val="00BB6C16"/>
    <w:rsid w:val="00BB6F36"/>
    <w:rsid w:val="00BC0DF5"/>
    <w:rsid w:val="00BC16CF"/>
    <w:rsid w:val="00BC25E0"/>
    <w:rsid w:val="00BC2E5E"/>
    <w:rsid w:val="00BC336C"/>
    <w:rsid w:val="00BC6DC6"/>
    <w:rsid w:val="00BD1119"/>
    <w:rsid w:val="00BD23B8"/>
    <w:rsid w:val="00BD3004"/>
    <w:rsid w:val="00BD3AA2"/>
    <w:rsid w:val="00BD3D1B"/>
    <w:rsid w:val="00BD4F2B"/>
    <w:rsid w:val="00BD697B"/>
    <w:rsid w:val="00BD7D76"/>
    <w:rsid w:val="00BE1004"/>
    <w:rsid w:val="00BE709C"/>
    <w:rsid w:val="00BF0BD7"/>
    <w:rsid w:val="00BF0F09"/>
    <w:rsid w:val="00BF1C05"/>
    <w:rsid w:val="00BF1CA6"/>
    <w:rsid w:val="00BF3E15"/>
    <w:rsid w:val="00BF3E69"/>
    <w:rsid w:val="00BF402F"/>
    <w:rsid w:val="00BF4EC0"/>
    <w:rsid w:val="00BF59A9"/>
    <w:rsid w:val="00BF6AF5"/>
    <w:rsid w:val="00BF7075"/>
    <w:rsid w:val="00BF7A15"/>
    <w:rsid w:val="00BF7F76"/>
    <w:rsid w:val="00C020CB"/>
    <w:rsid w:val="00C02417"/>
    <w:rsid w:val="00C0247C"/>
    <w:rsid w:val="00C03540"/>
    <w:rsid w:val="00C044E9"/>
    <w:rsid w:val="00C07599"/>
    <w:rsid w:val="00C107BB"/>
    <w:rsid w:val="00C123F5"/>
    <w:rsid w:val="00C13757"/>
    <w:rsid w:val="00C1419E"/>
    <w:rsid w:val="00C14615"/>
    <w:rsid w:val="00C1732D"/>
    <w:rsid w:val="00C17B71"/>
    <w:rsid w:val="00C20818"/>
    <w:rsid w:val="00C216D5"/>
    <w:rsid w:val="00C21B49"/>
    <w:rsid w:val="00C23E09"/>
    <w:rsid w:val="00C27A2D"/>
    <w:rsid w:val="00C30291"/>
    <w:rsid w:val="00C31F82"/>
    <w:rsid w:val="00C32481"/>
    <w:rsid w:val="00C33CDB"/>
    <w:rsid w:val="00C41020"/>
    <w:rsid w:val="00C42EED"/>
    <w:rsid w:val="00C42FAF"/>
    <w:rsid w:val="00C45A6D"/>
    <w:rsid w:val="00C4680C"/>
    <w:rsid w:val="00C46B1A"/>
    <w:rsid w:val="00C53735"/>
    <w:rsid w:val="00C53C45"/>
    <w:rsid w:val="00C55E8C"/>
    <w:rsid w:val="00C57F22"/>
    <w:rsid w:val="00C603FC"/>
    <w:rsid w:val="00C60EF9"/>
    <w:rsid w:val="00C63497"/>
    <w:rsid w:val="00C636AD"/>
    <w:rsid w:val="00C65898"/>
    <w:rsid w:val="00C666FE"/>
    <w:rsid w:val="00C66B87"/>
    <w:rsid w:val="00C67F99"/>
    <w:rsid w:val="00C705CC"/>
    <w:rsid w:val="00C708EC"/>
    <w:rsid w:val="00C71AD4"/>
    <w:rsid w:val="00C72F54"/>
    <w:rsid w:val="00C732CF"/>
    <w:rsid w:val="00C8131A"/>
    <w:rsid w:val="00C820BB"/>
    <w:rsid w:val="00C82C77"/>
    <w:rsid w:val="00C838E2"/>
    <w:rsid w:val="00C849CD"/>
    <w:rsid w:val="00C86D94"/>
    <w:rsid w:val="00C86E6C"/>
    <w:rsid w:val="00C87629"/>
    <w:rsid w:val="00C901CF"/>
    <w:rsid w:val="00C91F0B"/>
    <w:rsid w:val="00C94215"/>
    <w:rsid w:val="00C9622B"/>
    <w:rsid w:val="00C97598"/>
    <w:rsid w:val="00CA4B5D"/>
    <w:rsid w:val="00CA67D5"/>
    <w:rsid w:val="00CA69A6"/>
    <w:rsid w:val="00CB0A50"/>
    <w:rsid w:val="00CB2717"/>
    <w:rsid w:val="00CB2ABF"/>
    <w:rsid w:val="00CB3ABC"/>
    <w:rsid w:val="00CB40B2"/>
    <w:rsid w:val="00CB50C5"/>
    <w:rsid w:val="00CB6449"/>
    <w:rsid w:val="00CB7FB9"/>
    <w:rsid w:val="00CC1B07"/>
    <w:rsid w:val="00CC2043"/>
    <w:rsid w:val="00CC5B45"/>
    <w:rsid w:val="00CC6824"/>
    <w:rsid w:val="00CD2682"/>
    <w:rsid w:val="00CD3FF8"/>
    <w:rsid w:val="00CD4C4A"/>
    <w:rsid w:val="00CD5CC1"/>
    <w:rsid w:val="00CD663A"/>
    <w:rsid w:val="00CD6735"/>
    <w:rsid w:val="00CD7ADE"/>
    <w:rsid w:val="00CE0324"/>
    <w:rsid w:val="00CE071E"/>
    <w:rsid w:val="00CE144E"/>
    <w:rsid w:val="00CE1CCA"/>
    <w:rsid w:val="00CE3BB2"/>
    <w:rsid w:val="00CE57E3"/>
    <w:rsid w:val="00CE671A"/>
    <w:rsid w:val="00CF0A0C"/>
    <w:rsid w:val="00CF1E8E"/>
    <w:rsid w:val="00CF3B7F"/>
    <w:rsid w:val="00CF5FE4"/>
    <w:rsid w:val="00D00463"/>
    <w:rsid w:val="00D012D1"/>
    <w:rsid w:val="00D023B3"/>
    <w:rsid w:val="00D02D80"/>
    <w:rsid w:val="00D03F1C"/>
    <w:rsid w:val="00D0606D"/>
    <w:rsid w:val="00D07383"/>
    <w:rsid w:val="00D12E61"/>
    <w:rsid w:val="00D16002"/>
    <w:rsid w:val="00D16935"/>
    <w:rsid w:val="00D177A3"/>
    <w:rsid w:val="00D248CC"/>
    <w:rsid w:val="00D250DA"/>
    <w:rsid w:val="00D26947"/>
    <w:rsid w:val="00D300CF"/>
    <w:rsid w:val="00D304B3"/>
    <w:rsid w:val="00D3094E"/>
    <w:rsid w:val="00D32BF2"/>
    <w:rsid w:val="00D3332D"/>
    <w:rsid w:val="00D34EA4"/>
    <w:rsid w:val="00D37190"/>
    <w:rsid w:val="00D375BF"/>
    <w:rsid w:val="00D40347"/>
    <w:rsid w:val="00D42AEB"/>
    <w:rsid w:val="00D44CBB"/>
    <w:rsid w:val="00D47463"/>
    <w:rsid w:val="00D50D14"/>
    <w:rsid w:val="00D52B40"/>
    <w:rsid w:val="00D5389E"/>
    <w:rsid w:val="00D545FC"/>
    <w:rsid w:val="00D56844"/>
    <w:rsid w:val="00D57172"/>
    <w:rsid w:val="00D57C84"/>
    <w:rsid w:val="00D63C08"/>
    <w:rsid w:val="00D7028D"/>
    <w:rsid w:val="00D71FE1"/>
    <w:rsid w:val="00D732E8"/>
    <w:rsid w:val="00D74925"/>
    <w:rsid w:val="00D7560C"/>
    <w:rsid w:val="00D77282"/>
    <w:rsid w:val="00D801CF"/>
    <w:rsid w:val="00D808CA"/>
    <w:rsid w:val="00D83397"/>
    <w:rsid w:val="00D84300"/>
    <w:rsid w:val="00D8565B"/>
    <w:rsid w:val="00D87155"/>
    <w:rsid w:val="00D87184"/>
    <w:rsid w:val="00D875C2"/>
    <w:rsid w:val="00D879E7"/>
    <w:rsid w:val="00D879F8"/>
    <w:rsid w:val="00D916C4"/>
    <w:rsid w:val="00D93190"/>
    <w:rsid w:val="00D94A24"/>
    <w:rsid w:val="00D94A87"/>
    <w:rsid w:val="00D9629F"/>
    <w:rsid w:val="00D96EE3"/>
    <w:rsid w:val="00DA043A"/>
    <w:rsid w:val="00DA055D"/>
    <w:rsid w:val="00DA278C"/>
    <w:rsid w:val="00DA2D05"/>
    <w:rsid w:val="00DA3FED"/>
    <w:rsid w:val="00DA4E68"/>
    <w:rsid w:val="00DA536D"/>
    <w:rsid w:val="00DA6A6B"/>
    <w:rsid w:val="00DB0C9D"/>
    <w:rsid w:val="00DB1810"/>
    <w:rsid w:val="00DB1DC9"/>
    <w:rsid w:val="00DB6237"/>
    <w:rsid w:val="00DB67C9"/>
    <w:rsid w:val="00DB7454"/>
    <w:rsid w:val="00DC21A4"/>
    <w:rsid w:val="00DC2F2A"/>
    <w:rsid w:val="00DC4A1E"/>
    <w:rsid w:val="00DC537C"/>
    <w:rsid w:val="00DD2F54"/>
    <w:rsid w:val="00DD4C08"/>
    <w:rsid w:val="00DD716D"/>
    <w:rsid w:val="00DE12FD"/>
    <w:rsid w:val="00DE2421"/>
    <w:rsid w:val="00DE4229"/>
    <w:rsid w:val="00DE4BD5"/>
    <w:rsid w:val="00DE56C3"/>
    <w:rsid w:val="00DF60F3"/>
    <w:rsid w:val="00DF6BF6"/>
    <w:rsid w:val="00DF6CE2"/>
    <w:rsid w:val="00DF79F3"/>
    <w:rsid w:val="00E0077B"/>
    <w:rsid w:val="00E033CF"/>
    <w:rsid w:val="00E05802"/>
    <w:rsid w:val="00E05BF6"/>
    <w:rsid w:val="00E1328C"/>
    <w:rsid w:val="00E14917"/>
    <w:rsid w:val="00E15326"/>
    <w:rsid w:val="00E1682F"/>
    <w:rsid w:val="00E17E5D"/>
    <w:rsid w:val="00E21339"/>
    <w:rsid w:val="00E21F39"/>
    <w:rsid w:val="00E22B70"/>
    <w:rsid w:val="00E23262"/>
    <w:rsid w:val="00E235C4"/>
    <w:rsid w:val="00E23858"/>
    <w:rsid w:val="00E2418F"/>
    <w:rsid w:val="00E26EB2"/>
    <w:rsid w:val="00E27ED1"/>
    <w:rsid w:val="00E30BCF"/>
    <w:rsid w:val="00E35A54"/>
    <w:rsid w:val="00E35B7D"/>
    <w:rsid w:val="00E37579"/>
    <w:rsid w:val="00E37626"/>
    <w:rsid w:val="00E403CA"/>
    <w:rsid w:val="00E449AC"/>
    <w:rsid w:val="00E4539E"/>
    <w:rsid w:val="00E5108A"/>
    <w:rsid w:val="00E51EF5"/>
    <w:rsid w:val="00E52D77"/>
    <w:rsid w:val="00E53448"/>
    <w:rsid w:val="00E54148"/>
    <w:rsid w:val="00E544C4"/>
    <w:rsid w:val="00E604DB"/>
    <w:rsid w:val="00E6247B"/>
    <w:rsid w:val="00E62B58"/>
    <w:rsid w:val="00E62C7F"/>
    <w:rsid w:val="00E63088"/>
    <w:rsid w:val="00E643D1"/>
    <w:rsid w:val="00E653B8"/>
    <w:rsid w:val="00E66191"/>
    <w:rsid w:val="00E6695E"/>
    <w:rsid w:val="00E67220"/>
    <w:rsid w:val="00E7009E"/>
    <w:rsid w:val="00E70116"/>
    <w:rsid w:val="00E701F0"/>
    <w:rsid w:val="00E77215"/>
    <w:rsid w:val="00E77464"/>
    <w:rsid w:val="00E819EE"/>
    <w:rsid w:val="00E81A3F"/>
    <w:rsid w:val="00E81F6F"/>
    <w:rsid w:val="00E820AA"/>
    <w:rsid w:val="00E821E8"/>
    <w:rsid w:val="00E831C2"/>
    <w:rsid w:val="00E8499A"/>
    <w:rsid w:val="00E84C41"/>
    <w:rsid w:val="00E84FD5"/>
    <w:rsid w:val="00E90421"/>
    <w:rsid w:val="00E916A3"/>
    <w:rsid w:val="00E92CDA"/>
    <w:rsid w:val="00E937A3"/>
    <w:rsid w:val="00E939CC"/>
    <w:rsid w:val="00E93C66"/>
    <w:rsid w:val="00E94934"/>
    <w:rsid w:val="00E9699F"/>
    <w:rsid w:val="00E9727A"/>
    <w:rsid w:val="00EA0A38"/>
    <w:rsid w:val="00EA30EA"/>
    <w:rsid w:val="00EA4D1D"/>
    <w:rsid w:val="00EA6C2E"/>
    <w:rsid w:val="00EB032C"/>
    <w:rsid w:val="00EB3FE4"/>
    <w:rsid w:val="00EB5EB3"/>
    <w:rsid w:val="00EB6805"/>
    <w:rsid w:val="00EB6DA4"/>
    <w:rsid w:val="00EC08B9"/>
    <w:rsid w:val="00EC099F"/>
    <w:rsid w:val="00EC1CB9"/>
    <w:rsid w:val="00EC2C13"/>
    <w:rsid w:val="00EC5CAF"/>
    <w:rsid w:val="00EC5EF1"/>
    <w:rsid w:val="00EC6BE3"/>
    <w:rsid w:val="00ED04D8"/>
    <w:rsid w:val="00ED168D"/>
    <w:rsid w:val="00ED1AFE"/>
    <w:rsid w:val="00ED4EED"/>
    <w:rsid w:val="00EE0EED"/>
    <w:rsid w:val="00EE35A0"/>
    <w:rsid w:val="00EE4775"/>
    <w:rsid w:val="00EE4ADD"/>
    <w:rsid w:val="00EE5D48"/>
    <w:rsid w:val="00EE608B"/>
    <w:rsid w:val="00EE6BDE"/>
    <w:rsid w:val="00EE6EB7"/>
    <w:rsid w:val="00EE7339"/>
    <w:rsid w:val="00EE7FEE"/>
    <w:rsid w:val="00EF052D"/>
    <w:rsid w:val="00EF0AED"/>
    <w:rsid w:val="00EF1B38"/>
    <w:rsid w:val="00EF3513"/>
    <w:rsid w:val="00EF5A4E"/>
    <w:rsid w:val="00EF5F7E"/>
    <w:rsid w:val="00EF66AD"/>
    <w:rsid w:val="00EF766F"/>
    <w:rsid w:val="00F03095"/>
    <w:rsid w:val="00F031B8"/>
    <w:rsid w:val="00F052B4"/>
    <w:rsid w:val="00F06A1C"/>
    <w:rsid w:val="00F07DE8"/>
    <w:rsid w:val="00F11637"/>
    <w:rsid w:val="00F12037"/>
    <w:rsid w:val="00F15C96"/>
    <w:rsid w:val="00F16A71"/>
    <w:rsid w:val="00F20177"/>
    <w:rsid w:val="00F21C60"/>
    <w:rsid w:val="00F21ECB"/>
    <w:rsid w:val="00F22765"/>
    <w:rsid w:val="00F22CE7"/>
    <w:rsid w:val="00F23B64"/>
    <w:rsid w:val="00F24022"/>
    <w:rsid w:val="00F300F0"/>
    <w:rsid w:val="00F30AF2"/>
    <w:rsid w:val="00F3119D"/>
    <w:rsid w:val="00F313AB"/>
    <w:rsid w:val="00F325B3"/>
    <w:rsid w:val="00F34F87"/>
    <w:rsid w:val="00F353DB"/>
    <w:rsid w:val="00F36B9D"/>
    <w:rsid w:val="00F40BAF"/>
    <w:rsid w:val="00F43A14"/>
    <w:rsid w:val="00F44F65"/>
    <w:rsid w:val="00F45D9E"/>
    <w:rsid w:val="00F500A7"/>
    <w:rsid w:val="00F5078F"/>
    <w:rsid w:val="00F513C7"/>
    <w:rsid w:val="00F51DB7"/>
    <w:rsid w:val="00F6185C"/>
    <w:rsid w:val="00F633A5"/>
    <w:rsid w:val="00F63A04"/>
    <w:rsid w:val="00F67B86"/>
    <w:rsid w:val="00F67EED"/>
    <w:rsid w:val="00F67F2A"/>
    <w:rsid w:val="00F7022B"/>
    <w:rsid w:val="00F71FDF"/>
    <w:rsid w:val="00F72895"/>
    <w:rsid w:val="00F72928"/>
    <w:rsid w:val="00F75918"/>
    <w:rsid w:val="00F76B94"/>
    <w:rsid w:val="00F800B1"/>
    <w:rsid w:val="00F8147F"/>
    <w:rsid w:val="00F81BC4"/>
    <w:rsid w:val="00F8335D"/>
    <w:rsid w:val="00F83425"/>
    <w:rsid w:val="00F83F9D"/>
    <w:rsid w:val="00F85AEE"/>
    <w:rsid w:val="00F85BA8"/>
    <w:rsid w:val="00F90550"/>
    <w:rsid w:val="00F90975"/>
    <w:rsid w:val="00F93989"/>
    <w:rsid w:val="00F93A1D"/>
    <w:rsid w:val="00F9486E"/>
    <w:rsid w:val="00F95C31"/>
    <w:rsid w:val="00F95C77"/>
    <w:rsid w:val="00F97A1C"/>
    <w:rsid w:val="00FA4BE0"/>
    <w:rsid w:val="00FA5B16"/>
    <w:rsid w:val="00FA6D8A"/>
    <w:rsid w:val="00FB07A6"/>
    <w:rsid w:val="00FB0FC7"/>
    <w:rsid w:val="00FB18B9"/>
    <w:rsid w:val="00FB439E"/>
    <w:rsid w:val="00FB56F4"/>
    <w:rsid w:val="00FB5C10"/>
    <w:rsid w:val="00FB72C9"/>
    <w:rsid w:val="00FB7A67"/>
    <w:rsid w:val="00FC02D1"/>
    <w:rsid w:val="00FC0F21"/>
    <w:rsid w:val="00FC2727"/>
    <w:rsid w:val="00FC381A"/>
    <w:rsid w:val="00FC53F3"/>
    <w:rsid w:val="00FC5E03"/>
    <w:rsid w:val="00FC612A"/>
    <w:rsid w:val="00FC7341"/>
    <w:rsid w:val="00FC7685"/>
    <w:rsid w:val="00FD2545"/>
    <w:rsid w:val="00FD2B32"/>
    <w:rsid w:val="00FD37F3"/>
    <w:rsid w:val="00FD551E"/>
    <w:rsid w:val="00FD5DDF"/>
    <w:rsid w:val="00FD6309"/>
    <w:rsid w:val="00FD677D"/>
    <w:rsid w:val="00FE0FC0"/>
    <w:rsid w:val="00FE1124"/>
    <w:rsid w:val="00FE2319"/>
    <w:rsid w:val="00FE3560"/>
    <w:rsid w:val="00FE38DD"/>
    <w:rsid w:val="00FE598D"/>
    <w:rsid w:val="00FE650F"/>
    <w:rsid w:val="00FF0CBD"/>
    <w:rsid w:val="00FF1888"/>
    <w:rsid w:val="00FF1BA7"/>
    <w:rsid w:val="00FF293F"/>
    <w:rsid w:val="00FF3109"/>
    <w:rsid w:val="00FF3241"/>
    <w:rsid w:val="00FF37B3"/>
    <w:rsid w:val="00FF40D8"/>
    <w:rsid w:val="00FF530D"/>
    <w:rsid w:val="00FF70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38178A"/>
  <w15:docId w15:val="{45C67720-50F1-41FA-8F3F-4595097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C1"/>
    <w:pPr>
      <w:spacing w:before="120" w:after="120"/>
    </w:pPr>
    <w:rPr>
      <w:rFonts w:ascii="Arial" w:hAnsi="Arial" w:cs="Times New Roman"/>
    </w:rPr>
  </w:style>
  <w:style w:type="paragraph" w:styleId="Heading1">
    <w:name w:val="heading 1"/>
    <w:next w:val="Normal"/>
    <w:link w:val="Heading1Char"/>
    <w:qFormat/>
    <w:rsid w:val="006B29C1"/>
    <w:pPr>
      <w:keepNext/>
      <w:pageBreakBefore/>
      <w:numPr>
        <w:numId w:val="4"/>
      </w:numPr>
      <w:outlineLvl w:val="0"/>
    </w:pPr>
    <w:rPr>
      <w:rFonts w:ascii="Arial" w:hAnsi="Arial" w:cs="Times New Roman"/>
      <w:b/>
      <w:bCs/>
      <w:color w:val="0070C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B29C1"/>
    <w:pPr>
      <w:keepNext/>
      <w:numPr>
        <w:ilvl w:val="1"/>
        <w:numId w:val="4"/>
      </w:numPr>
      <w:tabs>
        <w:tab w:val="clear" w:pos="576"/>
      </w:tabs>
      <w:spacing w:before="240"/>
      <w:ind w:left="851" w:hanging="851"/>
      <w:outlineLvl w:val="1"/>
    </w:pPr>
    <w:rPr>
      <w:color w:val="0070C0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6B29C1"/>
    <w:pPr>
      <w:keepNext/>
      <w:numPr>
        <w:ilvl w:val="2"/>
        <w:numId w:val="4"/>
      </w:numPr>
      <w:spacing w:before="360"/>
      <w:outlineLvl w:val="2"/>
    </w:pPr>
    <w:rPr>
      <w:bCs/>
      <w:color w:val="0070C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able">
    <w:name w:val="heading table"/>
    <w:basedOn w:val="Normal"/>
    <w:next w:val="Normal"/>
    <w:rsid w:val="00BD4F2B"/>
    <w:pPr>
      <w:keepNext/>
      <w:numPr>
        <w:numId w:val="3"/>
      </w:numPr>
      <w:spacing w:after="60"/>
    </w:pPr>
    <w:rPr>
      <w:b/>
    </w:rPr>
  </w:style>
  <w:style w:type="paragraph" w:customStyle="1" w:styleId="Tableheadingrow">
    <w:name w:val="Table heading row"/>
    <w:basedOn w:val="Normal"/>
    <w:qFormat/>
    <w:rsid w:val="00CA69A6"/>
    <w:pPr>
      <w:shd w:val="clear" w:color="auto" w:fill="E6E6E6"/>
      <w:jc w:val="center"/>
    </w:pPr>
    <w:rPr>
      <w:rFonts w:eastAsia="Times New Roman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126A60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lang w:val="en-US" w:eastAsia="en-US"/>
    </w:rPr>
  </w:style>
  <w:style w:type="paragraph" w:customStyle="1" w:styleId="AlisonsNumbers">
    <w:name w:val="Alison's Numbers"/>
    <w:basedOn w:val="Normal"/>
    <w:rsid w:val="00BD4F2B"/>
    <w:pPr>
      <w:numPr>
        <w:numId w:val="1"/>
      </w:numPr>
      <w:spacing w:after="60"/>
    </w:pPr>
  </w:style>
  <w:style w:type="character" w:customStyle="1" w:styleId="Alisonsstyle">
    <w:name w:val="Alison's style"/>
    <w:basedOn w:val="DefaultParagraphFont"/>
    <w:rsid w:val="00BD4F2B"/>
    <w:rPr>
      <w:rFonts w:ascii="Verdana" w:hAnsi="Verdana"/>
      <w:sz w:val="20"/>
    </w:rPr>
  </w:style>
  <w:style w:type="paragraph" w:styleId="Footer">
    <w:name w:val="footer"/>
    <w:link w:val="FooterChar"/>
    <w:uiPriority w:val="99"/>
    <w:unhideWhenUsed/>
    <w:rsid w:val="00EC08B9"/>
    <w:pPr>
      <w:tabs>
        <w:tab w:val="center" w:pos="4320"/>
        <w:tab w:val="right" w:pos="8640"/>
      </w:tabs>
      <w:spacing w:after="0"/>
    </w:pPr>
    <w:rPr>
      <w:rFonts w:ascii="Arial" w:hAnsi="Arial" w:cs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C08B9"/>
    <w:rPr>
      <w:rFonts w:ascii="Arial" w:hAnsi="Arial" w:cs="Times New Roman"/>
      <w:sz w:val="18"/>
    </w:rPr>
  </w:style>
  <w:style w:type="paragraph" w:styleId="Header">
    <w:name w:val="header"/>
    <w:link w:val="HeaderChar"/>
    <w:uiPriority w:val="99"/>
    <w:unhideWhenUsed/>
    <w:rsid w:val="00294CF2"/>
    <w:pPr>
      <w:tabs>
        <w:tab w:val="center" w:pos="4320"/>
        <w:tab w:val="right" w:pos="8640"/>
      </w:tabs>
      <w:spacing w:after="0"/>
    </w:pPr>
    <w:rPr>
      <w:rFonts w:ascii="Verdana" w:hAnsi="Verdana" w:cs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94CF2"/>
    <w:rPr>
      <w:rFonts w:ascii="Verdana" w:hAnsi="Verdana" w:cs="Times New Roman"/>
      <w:sz w:val="18"/>
    </w:rPr>
  </w:style>
  <w:style w:type="paragraph" w:customStyle="1" w:styleId="headingfigure">
    <w:name w:val="heading figure"/>
    <w:basedOn w:val="Normal"/>
    <w:next w:val="Normal"/>
    <w:rsid w:val="00BD4F2B"/>
    <w:pPr>
      <w:keepNext/>
      <w:numPr>
        <w:numId w:val="2"/>
      </w:numPr>
      <w:spacing w:after="60"/>
    </w:pPr>
    <w:rPr>
      <w:b/>
    </w:rPr>
  </w:style>
  <w:style w:type="paragraph" w:customStyle="1" w:styleId="Headingwithoutnumber">
    <w:name w:val="Heading without number"/>
    <w:basedOn w:val="Heading1"/>
    <w:qFormat/>
    <w:rsid w:val="00BD4F2B"/>
    <w:pPr>
      <w:numPr>
        <w:numId w:val="0"/>
      </w:numPr>
    </w:pPr>
  </w:style>
  <w:style w:type="paragraph" w:styleId="ListBullet">
    <w:name w:val="List Bullet"/>
    <w:basedOn w:val="Bullets1"/>
    <w:uiPriority w:val="99"/>
    <w:unhideWhenUsed/>
    <w:rsid w:val="006B29C1"/>
    <w:pPr>
      <w:numPr>
        <w:ilvl w:val="0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D4F2B"/>
  </w:style>
  <w:style w:type="table" w:styleId="TableGrid">
    <w:name w:val="Table Grid"/>
    <w:aliases w:val="ICB Table"/>
    <w:basedOn w:val="TableNormal"/>
    <w:uiPriority w:val="39"/>
    <w:rsid w:val="00BD4F2B"/>
    <w:pPr>
      <w:spacing w:after="0"/>
    </w:pPr>
    <w:rPr>
      <w:rFonts w:ascii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47365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73658"/>
    <w:rPr>
      <w:rFonts w:ascii="Times New Roman" w:eastAsia="Times New Roman" w:hAnsi="Times New Roman" w:cs="Times New Roman"/>
      <w:lang w:eastAsia="en-US"/>
    </w:rPr>
  </w:style>
  <w:style w:type="paragraph" w:styleId="TOC1">
    <w:name w:val="toc 1"/>
    <w:basedOn w:val="Normal"/>
    <w:next w:val="Normal"/>
    <w:autoRedefine/>
    <w:uiPriority w:val="39"/>
    <w:rsid w:val="00676482"/>
    <w:pPr>
      <w:widowControl w:val="0"/>
      <w:tabs>
        <w:tab w:val="left" w:pos="567"/>
        <w:tab w:val="right" w:leader="dot" w:pos="9180"/>
      </w:tabs>
      <w:ind w:left="601" w:right="-108" w:hanging="601"/>
    </w:pPr>
    <w:rPr>
      <w:rFonts w:eastAsia="Times New Roman"/>
      <w:b/>
      <w:noProof/>
      <w:szCs w:val="22"/>
      <w:lang w:eastAsia="en-US"/>
    </w:rPr>
  </w:style>
  <w:style w:type="paragraph" w:styleId="TOC2">
    <w:name w:val="toc 2"/>
    <w:next w:val="Normal"/>
    <w:uiPriority w:val="39"/>
    <w:rsid w:val="00583D8E"/>
    <w:pPr>
      <w:tabs>
        <w:tab w:val="left" w:pos="567"/>
        <w:tab w:val="right" w:leader="dot" w:pos="9180"/>
      </w:tabs>
      <w:spacing w:after="0"/>
      <w:ind w:left="601" w:right="-108" w:hanging="601"/>
      <w:contextualSpacing/>
    </w:pPr>
    <w:rPr>
      <w:rFonts w:ascii="Arial" w:eastAsia="Times New Roman" w:hAnsi="Arial" w:cs="Times New Roman"/>
      <w:noProof/>
      <w:szCs w:val="24"/>
      <w:lang w:eastAsia="en-US"/>
    </w:rPr>
  </w:style>
  <w:style w:type="character" w:styleId="Hyperlink">
    <w:name w:val="Hyperlink"/>
    <w:uiPriority w:val="99"/>
    <w:rsid w:val="00473658"/>
    <w:rPr>
      <w:color w:val="0000FF"/>
      <w:u w:val="single"/>
    </w:rPr>
  </w:style>
  <w:style w:type="paragraph" w:styleId="Title">
    <w:name w:val="Title"/>
    <w:basedOn w:val="Heading1"/>
    <w:next w:val="Heading1"/>
    <w:link w:val="TitleChar"/>
    <w:qFormat/>
    <w:rsid w:val="00CF3B7F"/>
    <w:pPr>
      <w:widowControl w:val="0"/>
      <w:numPr>
        <w:numId w:val="0"/>
      </w:numPr>
    </w:pPr>
    <w:rPr>
      <w:rFonts w:eastAsia="Times New Roman"/>
      <w:color w:val="auto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F3B7F"/>
    <w:rPr>
      <w:rFonts w:ascii="Arial" w:eastAsia="Times New Roman" w:hAnsi="Arial" w:cs="Times New Roman"/>
      <w:b/>
      <w:bCs/>
      <w:kern w:val="32"/>
      <w:sz w:val="32"/>
      <w:szCs w:val="24"/>
      <w:lang w:eastAsia="en-US"/>
    </w:rPr>
  </w:style>
  <w:style w:type="paragraph" w:customStyle="1" w:styleId="Bullets1">
    <w:name w:val="Bullets 1"/>
    <w:qFormat/>
    <w:rsid w:val="00583D8E"/>
    <w:pPr>
      <w:numPr>
        <w:ilvl w:val="1"/>
        <w:numId w:val="5"/>
      </w:numPr>
      <w:spacing w:after="60"/>
    </w:pPr>
    <w:rPr>
      <w:rFonts w:ascii="Arial" w:eastAsia="Times New Roman" w:hAnsi="Arial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3FC"/>
  </w:style>
  <w:style w:type="character" w:customStyle="1" w:styleId="CommentTextChar">
    <w:name w:val="Comment Text Char"/>
    <w:basedOn w:val="DefaultParagraphFont"/>
    <w:link w:val="CommentText"/>
    <w:uiPriority w:val="99"/>
    <w:rsid w:val="007613FC"/>
    <w:rPr>
      <w:rFonts w:ascii="Verdana" w:hAnsi="Verdan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FC"/>
    <w:rPr>
      <w:rFonts w:ascii="Verdana" w:hAnsi="Verdana" w:cs="Times New Roman"/>
      <w:b/>
      <w:bCs/>
    </w:rPr>
  </w:style>
  <w:style w:type="paragraph" w:styleId="ListParagraph">
    <w:name w:val="List Paragraph"/>
    <w:basedOn w:val="Normal"/>
    <w:uiPriority w:val="34"/>
    <w:qFormat/>
    <w:rsid w:val="00106BE3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53C45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B18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5B6BC6"/>
    <w:pPr>
      <w:spacing w:after="0"/>
    </w:pPr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rsid w:val="006B29C1"/>
    <w:rPr>
      <w:rFonts w:ascii="Arial" w:hAnsi="Arial" w:cs="Times New Roman"/>
      <w:b/>
      <w:bCs/>
      <w:color w:val="0070C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B29C1"/>
    <w:rPr>
      <w:rFonts w:ascii="Arial" w:hAnsi="Arial" w:cs="Times New Roman"/>
      <w:color w:val="0070C0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6B29C1"/>
    <w:rPr>
      <w:rFonts w:ascii="Arial" w:hAnsi="Arial" w:cs="Times New Roman"/>
      <w:bCs/>
      <w:color w:val="0070C0"/>
      <w:sz w:val="24"/>
      <w:szCs w:val="32"/>
    </w:rPr>
  </w:style>
  <w:style w:type="paragraph" w:customStyle="1" w:styleId="Bullet1">
    <w:name w:val="Bullet 1"/>
    <w:basedOn w:val="Normal"/>
    <w:link w:val="Bullet1Char"/>
    <w:uiPriority w:val="2"/>
    <w:qFormat/>
    <w:rsid w:val="00812BAE"/>
    <w:pPr>
      <w:numPr>
        <w:numId w:val="6"/>
      </w:numPr>
      <w:spacing w:before="0" w:line="240" w:lineRule="atLeast"/>
    </w:pPr>
    <w:rPr>
      <w:rFonts w:eastAsia="Times New Roman" w:cs="Angsana New"/>
      <w:szCs w:val="22"/>
      <w:lang w:eastAsia="zh-CN" w:bidi="th-TH"/>
    </w:rPr>
  </w:style>
  <w:style w:type="paragraph" w:customStyle="1" w:styleId="Bullet2">
    <w:name w:val="Bullet 2"/>
    <w:basedOn w:val="Normal"/>
    <w:uiPriority w:val="2"/>
    <w:qFormat/>
    <w:rsid w:val="00812BAE"/>
    <w:pPr>
      <w:numPr>
        <w:ilvl w:val="1"/>
        <w:numId w:val="6"/>
      </w:numPr>
      <w:spacing w:before="0" w:line="240" w:lineRule="atLeast"/>
    </w:pPr>
    <w:rPr>
      <w:rFonts w:eastAsia="Times New Roman" w:cs="Angsana New"/>
      <w:szCs w:val="22"/>
      <w:lang w:eastAsia="zh-CN" w:bidi="th-TH"/>
    </w:rPr>
  </w:style>
  <w:style w:type="paragraph" w:customStyle="1" w:styleId="Bullet3">
    <w:name w:val="Bullet 3"/>
    <w:basedOn w:val="Normal"/>
    <w:uiPriority w:val="2"/>
    <w:qFormat/>
    <w:rsid w:val="00812BAE"/>
    <w:pPr>
      <w:numPr>
        <w:ilvl w:val="2"/>
        <w:numId w:val="6"/>
      </w:numPr>
      <w:spacing w:before="0" w:line="240" w:lineRule="atLeast"/>
    </w:pPr>
    <w:rPr>
      <w:rFonts w:eastAsia="Times New Roman" w:cs="Angsana New"/>
      <w:szCs w:val="22"/>
      <w:lang w:eastAsia="zh-CN" w:bidi="th-TH"/>
    </w:rPr>
  </w:style>
  <w:style w:type="numbering" w:customStyle="1" w:styleId="Bullets">
    <w:name w:val="Bullets"/>
    <w:rsid w:val="00812BAE"/>
    <w:pPr>
      <w:numPr>
        <w:numId w:val="6"/>
      </w:numPr>
    </w:pPr>
  </w:style>
  <w:style w:type="character" w:customStyle="1" w:styleId="Bullet1Char">
    <w:name w:val="Bullet 1 Char"/>
    <w:basedOn w:val="DefaultParagraphFont"/>
    <w:link w:val="Bullet1"/>
    <w:uiPriority w:val="2"/>
    <w:rsid w:val="00812BAE"/>
    <w:rPr>
      <w:rFonts w:ascii="Arial" w:eastAsia="Times New Roman" w:hAnsi="Arial" w:cs="Angsana New"/>
      <w:szCs w:val="22"/>
      <w:lang w:eastAsia="zh-CN" w:bidi="th-TH"/>
    </w:rPr>
  </w:style>
  <w:style w:type="paragraph" w:customStyle="1" w:styleId="METableHeading1">
    <w:name w:val="ME Table Heading 1"/>
    <w:basedOn w:val="Normal"/>
    <w:qFormat/>
    <w:rsid w:val="00C46B1A"/>
    <w:pPr>
      <w:spacing w:before="0" w:line="240" w:lineRule="atLeast"/>
    </w:pPr>
    <w:rPr>
      <w:rFonts w:eastAsiaTheme="minorHAnsi" w:cs="Arial"/>
      <w:b/>
      <w:bCs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6213A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26A60"/>
    <w:pPr>
      <w:tabs>
        <w:tab w:val="left" w:leader="dot" w:pos="567"/>
        <w:tab w:val="left" w:pos="9180"/>
      </w:tabs>
      <w:spacing w:after="100"/>
      <w:ind w:left="400"/>
    </w:pPr>
  </w:style>
  <w:style w:type="paragraph" w:customStyle="1" w:styleId="Heading1-notinTOC">
    <w:name w:val="Heading 1 - not in TOC"/>
    <w:basedOn w:val="Heading1"/>
    <w:next w:val="Heading1"/>
    <w:qFormat/>
    <w:rsid w:val="00CF3B7F"/>
    <w:pPr>
      <w:numPr>
        <w:numId w:val="0"/>
      </w:numPr>
    </w:pPr>
    <w:rPr>
      <w:color w:val="auto"/>
    </w:rPr>
  </w:style>
  <w:style w:type="paragraph" w:styleId="ListBullet2">
    <w:name w:val="List Bullet 2"/>
    <w:basedOn w:val="Bullets1"/>
    <w:uiPriority w:val="99"/>
    <w:unhideWhenUsed/>
    <w:rsid w:val="006B29C1"/>
  </w:style>
  <w:style w:type="paragraph" w:styleId="BodyText">
    <w:name w:val="Body Text"/>
    <w:link w:val="BodyTextChar"/>
    <w:unhideWhenUsed/>
    <w:rsid w:val="00552348"/>
    <w:pPr>
      <w:suppressAutoHyphens/>
      <w:spacing w:before="200" w:line="288" w:lineRule="auto"/>
    </w:pPr>
    <w:rPr>
      <w:rFonts w:ascii="Arial" w:eastAsia="Times New Roman" w:hAnsi="Arial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552348"/>
    <w:rPr>
      <w:rFonts w:ascii="Arial" w:eastAsia="Times New Roman" w:hAnsi="Arial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80C03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8839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mer.vic.gov.au/vpfhousinground" TargetMode="External"/><Relationship Id="rId18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grants" TargetMode="External"/><Relationship Id="rId17" Type="http://schemas.openxmlformats.org/officeDocument/2006/relationships/hyperlink" Target="mailto:vpf.grant.enquiries@justice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pf.grant.enquiries@justice.vic.gov.au" TargetMode="External"/><Relationship Id="rId20" Type="http://schemas.openxmlformats.org/officeDocument/2006/relationships/hyperlink" Target="https://localjobsfirst.vic.gov.au/agency-guidance/issue-gra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rentalstresssuppor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vpf.grant.enquiries@justice.vic.gov.au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victorian-common-funding-agree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pf.grant.enquiries@justice.vic.gov.au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AF1CEDF05C144B22736302A05CA23" ma:contentTypeVersion="13" ma:contentTypeDescription="Create a new document." ma:contentTypeScope="" ma:versionID="16ee6fc89dd8ba838cb2b39faf4cc09d">
  <xsd:schema xmlns:xsd="http://www.w3.org/2001/XMLSchema" xmlns:xs="http://www.w3.org/2001/XMLSchema" xmlns:p="http://schemas.microsoft.com/office/2006/metadata/properties" xmlns:ns2="97ed7861-5a5c-46b3-8fd8-36382c42c787" xmlns:ns3="2e102adb-6bc9-42d3-acd6-4c955dee0e66" targetNamespace="http://schemas.microsoft.com/office/2006/metadata/properties" ma:root="true" ma:fieldsID="4b48c555192521391cfeee9b2c0309ca" ns2:_="" ns3:_="">
    <xsd:import namespace="97ed7861-5a5c-46b3-8fd8-36382c42c787"/>
    <xsd:import namespace="2e102adb-6bc9-42d3-acd6-4c955dee0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7861-5a5c-46b3-8fd8-36382c42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02adb-6bc9-42d3-acd6-4c955dee0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fba3f0-04c4-468c-9359-30c975f7aab3}" ma:internalName="TaxCatchAll" ma:showField="CatchAllData" ma:web="2e102adb-6bc9-42d3-acd6-4c955dee0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02adb-6bc9-42d3-acd6-4c955dee0e66" xsi:nil="true"/>
    <lcf76f155ced4ddcb4097134ff3c332f xmlns="97ed7861-5a5c-46b3-8fd8-36382c42c787">
      <Terms xmlns="http://schemas.microsoft.com/office/infopath/2007/PartnerControls"/>
    </lcf76f155ced4ddcb4097134ff3c332f>
    <SharedWithUsers xmlns="2e102adb-6bc9-42d3-acd6-4c955dee0e66">
      <UserInfo>
        <DisplayName>Jamie A Leonard (DGS)</DisplayName>
        <AccountId>134</AccountId>
        <AccountType/>
      </UserInfo>
      <UserInfo>
        <DisplayName>Joseph S Walker (DGS)</DisplayName>
        <AccountId>12</AccountId>
        <AccountType/>
      </UserInfo>
      <UserInfo>
        <DisplayName>Melissah K Broadbent (DGS)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A9BCFB-4427-45F8-9577-6A17ED6E4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482B8-EF88-4ECF-9E26-17B46A2FF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d7861-5a5c-46b3-8fd8-36382c42c787"/>
    <ds:schemaRef ds:uri="2e102adb-6bc9-42d3-acd6-4c955dee0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0E4A-42F9-41B0-AE6C-312500053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D4936-CAE8-4AFC-AAD6-F2789ED2D41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7ed7861-5a5c-46b3-8fd8-36382c42c787"/>
    <ds:schemaRef ds:uri="2e102adb-6bc9-42d3-acd6-4c955dee0e6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3555</Words>
  <Characters>20269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expressions of interest - VPF housing funding round 2018-19</vt:lpstr>
    </vt:vector>
  </TitlesOfParts>
  <Company>Department of Justice and Regulation</Company>
  <LinksUpToDate>false</LinksUpToDate>
  <CharactersWithSpaces>23777</CharactersWithSpaces>
  <SharedDoc>false</SharedDoc>
  <HLinks>
    <vt:vector size="66" baseType="variant">
      <vt:variant>
        <vt:i4>2752549</vt:i4>
      </vt:variant>
      <vt:variant>
        <vt:i4>108</vt:i4>
      </vt:variant>
      <vt:variant>
        <vt:i4>0</vt:i4>
      </vt:variant>
      <vt:variant>
        <vt:i4>5</vt:i4>
      </vt:variant>
      <vt:variant>
        <vt:lpwstr>https://localjobsfirst.vic.gov.au/agency-guidance/issue-grants</vt:lpwstr>
      </vt:variant>
      <vt:variant>
        <vt:lpwstr/>
      </vt:variant>
      <vt:variant>
        <vt:i4>5832784</vt:i4>
      </vt:variant>
      <vt:variant>
        <vt:i4>105</vt:i4>
      </vt:variant>
      <vt:variant>
        <vt:i4>0</vt:i4>
      </vt:variant>
      <vt:variant>
        <vt:i4>5</vt:i4>
      </vt:variant>
      <vt:variant>
        <vt:lpwstr>https://www.vic.gov.au/victorian-common-funding-agreement</vt:lpwstr>
      </vt:variant>
      <vt:variant>
        <vt:lpwstr/>
      </vt:variant>
      <vt:variant>
        <vt:i4>6422640</vt:i4>
      </vt:variant>
      <vt:variant>
        <vt:i4>99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1507360</vt:i4>
      </vt:variant>
      <vt:variant>
        <vt:i4>96</vt:i4>
      </vt:variant>
      <vt:variant>
        <vt:i4>0</vt:i4>
      </vt:variant>
      <vt:variant>
        <vt:i4>5</vt:i4>
      </vt:variant>
      <vt:variant>
        <vt:lpwstr>mailto:vpf.grant.enquiries@justice.vic.gov.au</vt:lpwstr>
      </vt:variant>
      <vt:variant>
        <vt:lpwstr/>
      </vt:variant>
      <vt:variant>
        <vt:i4>1507360</vt:i4>
      </vt:variant>
      <vt:variant>
        <vt:i4>93</vt:i4>
      </vt:variant>
      <vt:variant>
        <vt:i4>0</vt:i4>
      </vt:variant>
      <vt:variant>
        <vt:i4>5</vt:i4>
      </vt:variant>
      <vt:variant>
        <vt:lpwstr>mailto:vpf.grant.enquiries@justice.vic.gov.au</vt:lpwstr>
      </vt:variant>
      <vt:variant>
        <vt:lpwstr/>
      </vt:variant>
      <vt:variant>
        <vt:i4>1507360</vt:i4>
      </vt:variant>
      <vt:variant>
        <vt:i4>90</vt:i4>
      </vt:variant>
      <vt:variant>
        <vt:i4>0</vt:i4>
      </vt:variant>
      <vt:variant>
        <vt:i4>5</vt:i4>
      </vt:variant>
      <vt:variant>
        <vt:lpwstr>mailto:vpf.grant.enquiries@justice.vic.gov.au</vt:lpwstr>
      </vt:variant>
      <vt:variant>
        <vt:lpwstr/>
      </vt:variant>
      <vt:variant>
        <vt:i4>1507360</vt:i4>
      </vt:variant>
      <vt:variant>
        <vt:i4>87</vt:i4>
      </vt:variant>
      <vt:variant>
        <vt:i4>0</vt:i4>
      </vt:variant>
      <vt:variant>
        <vt:i4>5</vt:i4>
      </vt:variant>
      <vt:variant>
        <vt:lpwstr>mailto:vpf.grant.enquiries@justice.vic.gov.au</vt:lpwstr>
      </vt:variant>
      <vt:variant>
        <vt:lpwstr/>
      </vt:variant>
      <vt:variant>
        <vt:i4>6946939</vt:i4>
      </vt:variant>
      <vt:variant>
        <vt:i4>84</vt:i4>
      </vt:variant>
      <vt:variant>
        <vt:i4>0</vt:i4>
      </vt:variant>
      <vt:variant>
        <vt:i4>5</vt:i4>
      </vt:variant>
      <vt:variant>
        <vt:lpwstr>http://www.consumer.vic.gov.au/vpfhousinground</vt:lpwstr>
      </vt:variant>
      <vt:variant>
        <vt:lpwstr/>
      </vt:variant>
      <vt:variant>
        <vt:i4>6946939</vt:i4>
      </vt:variant>
      <vt:variant>
        <vt:i4>81</vt:i4>
      </vt:variant>
      <vt:variant>
        <vt:i4>0</vt:i4>
      </vt:variant>
      <vt:variant>
        <vt:i4>5</vt:i4>
      </vt:variant>
      <vt:variant>
        <vt:lpwstr>http://www.consumer.vic.gov.au/vpfhousinground</vt:lpwstr>
      </vt:variant>
      <vt:variant>
        <vt:lpwstr/>
      </vt:variant>
      <vt:variant>
        <vt:i4>1638405</vt:i4>
      </vt:variant>
      <vt:variant>
        <vt:i4>75</vt:i4>
      </vt:variant>
      <vt:variant>
        <vt:i4>0</vt:i4>
      </vt:variant>
      <vt:variant>
        <vt:i4>5</vt:i4>
      </vt:variant>
      <vt:variant>
        <vt:lpwstr>http://www.consumer.vic.gov.au/grants</vt:lpwstr>
      </vt:variant>
      <vt:variant>
        <vt:lpwstr/>
      </vt:variant>
      <vt:variant>
        <vt:i4>8126577</vt:i4>
      </vt:variant>
      <vt:variant>
        <vt:i4>72</vt:i4>
      </vt:variant>
      <vt:variant>
        <vt:i4>0</vt:i4>
      </vt:variant>
      <vt:variant>
        <vt:i4>5</vt:i4>
      </vt:variant>
      <vt:variant>
        <vt:lpwstr>http://www.consumer.vic.gov.au/rentalstresssupport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expressions of interest - VPF housing funding round 2018-19</dc:title>
  <dc:subject>Funded services and grants</dc:subject>
  <dc:creator>Consumer Affairs Victoria</dc:creator>
  <cp:keywords/>
  <dc:description/>
  <cp:lastModifiedBy>David M Darragh (DGS)</cp:lastModifiedBy>
  <cp:revision>2</cp:revision>
  <cp:lastPrinted>2017-02-16T03:59:00Z</cp:lastPrinted>
  <dcterms:created xsi:type="dcterms:W3CDTF">2023-11-16T05:43:00Z</dcterms:created>
  <dcterms:modified xsi:type="dcterms:W3CDTF">2023-11-16T05:43:00Z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TRIMID</vt:lpwstr>
  </property>
  <property fmtid="{D5CDD505-2E9C-101B-9397-08002B2CF9AE}" pid="3" name="TRIM_DateDue">
    <vt:lpwstr>TRIM_DateDue</vt:lpwstr>
  </property>
  <property fmtid="{D5CDD505-2E9C-101B-9397-08002B2CF9AE}" pid="4" name="TRIM_Author">
    <vt:lpwstr>TRIM_Author</vt:lpwstr>
  </property>
  <property fmtid="{D5CDD505-2E9C-101B-9397-08002B2CF9AE}" pid="5" name="TRIM_Container">
    <vt:lpwstr>TRIM_Container</vt:lpwstr>
  </property>
  <property fmtid="{D5CDD505-2E9C-101B-9397-08002B2CF9AE}" pid="6" name="TRIM_Creator">
    <vt:lpwstr>TRIM_Creator</vt:lpwstr>
  </property>
  <property fmtid="{D5CDD505-2E9C-101B-9397-08002B2CF9AE}" pid="7" name="TRIM_DateRegistered">
    <vt:lpwstr>TRIM_DateRegistered</vt:lpwstr>
  </property>
  <property fmtid="{D5CDD505-2E9C-101B-9397-08002B2CF9AE}" pid="8" name="TRIM_OwnerLocation">
    <vt:lpwstr>TRIM_OwnerLocation</vt:lpwstr>
  </property>
  <property fmtid="{D5CDD505-2E9C-101B-9397-08002B2CF9AE}" pid="9" name="TRIM_ResponsibleOfficer">
    <vt:lpwstr>TRIM_ResponsibleOfficer</vt:lpwstr>
  </property>
  <property fmtid="{D5CDD505-2E9C-101B-9397-08002B2CF9AE}" pid="10" name="TRIM_Title">
    <vt:lpwstr>TRIM_Title</vt:lpwstr>
  </property>
  <property fmtid="{D5CDD505-2E9C-101B-9397-08002B2CF9AE}" pid="11" name="ContentTypeId">
    <vt:lpwstr>0x010100354AF1CEDF05C144B22736302A05CA23</vt:lpwstr>
  </property>
  <property fmtid="{D5CDD505-2E9C-101B-9397-08002B2CF9AE}" pid="12" name="MediaServiceImageTags">
    <vt:lpwstr/>
  </property>
</Properties>
</file>