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3941" w14:textId="77777777" w:rsidR="002B7D91" w:rsidRPr="00963C78" w:rsidRDefault="002B7D91" w:rsidP="00813532">
      <w:pPr>
        <w:pStyle w:val="Heading1-NotinTOC"/>
        <w:spacing w:before="1440" w:after="0"/>
        <w:rPr>
          <w:rFonts w:eastAsia="Calibri"/>
          <w:b/>
          <w:bCs/>
          <w:color w:val="FFFFFF"/>
          <w:sz w:val="34"/>
          <w:szCs w:val="30"/>
        </w:rPr>
      </w:pPr>
      <w:r w:rsidRPr="00963C78">
        <w:rPr>
          <w:rFonts w:eastAsia="Calibri"/>
          <w:b/>
          <w:bCs/>
          <w:color w:val="FFFFFF"/>
          <w:sz w:val="34"/>
          <w:szCs w:val="30"/>
        </w:rPr>
        <w:t xml:space="preserve">Victorian Property Fund Grants Program </w:t>
      </w:r>
    </w:p>
    <w:p w14:paraId="7C074BB3" w14:textId="33CCCBEE" w:rsidR="002B7D91" w:rsidRPr="00813532" w:rsidRDefault="008C7685" w:rsidP="00813532">
      <w:pPr>
        <w:pStyle w:val="Heading1-NotinTOC"/>
        <w:spacing w:before="0" w:after="0"/>
        <w:rPr>
          <w:rFonts w:eastAsia="Calibri"/>
          <w:b/>
          <w:bCs/>
          <w:color w:val="FFFFFF"/>
          <w:sz w:val="34"/>
          <w:szCs w:val="30"/>
        </w:rPr>
      </w:pPr>
      <w:r>
        <w:rPr>
          <w:rFonts w:eastAsia="Calibri"/>
          <w:b/>
          <w:bCs/>
          <w:color w:val="FFFFFF"/>
          <w:sz w:val="34"/>
          <w:szCs w:val="30"/>
        </w:rPr>
        <w:t>Rental Stress Support Package 2023-24</w:t>
      </w:r>
    </w:p>
    <w:p w14:paraId="3EF0111B" w14:textId="26E9AE84" w:rsidR="007B0196" w:rsidRPr="00813532" w:rsidRDefault="007B0196" w:rsidP="003A68B2">
      <w:pPr>
        <w:pStyle w:val="Heading1-NotinTOC"/>
        <w:spacing w:before="240" w:after="240"/>
        <w:rPr>
          <w:rFonts w:eastAsia="Calibri"/>
          <w:b/>
          <w:bCs/>
          <w:color w:val="FFFFFF"/>
          <w:sz w:val="56"/>
          <w:szCs w:val="52"/>
          <w:lang w:eastAsia="ja-JP"/>
        </w:rPr>
      </w:pPr>
      <w:r w:rsidRPr="00813532">
        <w:rPr>
          <w:rFonts w:eastAsia="Calibri"/>
          <w:b/>
          <w:bCs/>
          <w:color w:val="FFFFFF"/>
          <w:sz w:val="56"/>
          <w:szCs w:val="52"/>
          <w:lang w:eastAsia="ja-JP"/>
        </w:rPr>
        <w:t xml:space="preserve">Conditions of </w:t>
      </w:r>
      <w:r w:rsidR="0003639B" w:rsidRPr="00813532">
        <w:rPr>
          <w:rFonts w:eastAsia="Calibri"/>
          <w:b/>
          <w:bCs/>
          <w:color w:val="FFFFFF"/>
          <w:sz w:val="56"/>
          <w:szCs w:val="52"/>
          <w:lang w:eastAsia="ja-JP"/>
        </w:rPr>
        <w:t>Participation</w:t>
      </w:r>
      <w:r w:rsidR="00894618" w:rsidRPr="00813532">
        <w:rPr>
          <w:rFonts w:eastAsia="Calibri"/>
          <w:b/>
          <w:bCs/>
          <w:color w:val="FFFFFF"/>
          <w:sz w:val="56"/>
          <w:szCs w:val="52"/>
          <w:lang w:eastAsia="ja-JP"/>
        </w:rPr>
        <w:t xml:space="preserve"> </w:t>
      </w:r>
    </w:p>
    <w:p w14:paraId="101C3E08" w14:textId="7E3AE4F2" w:rsidR="007B0196" w:rsidRPr="00813532" w:rsidRDefault="008C7685" w:rsidP="00813532">
      <w:pPr>
        <w:pStyle w:val="Heading1-NotinTOC"/>
        <w:rPr>
          <w:rFonts w:eastAsia="Calibri"/>
          <w:color w:val="FFFFFF"/>
          <w:sz w:val="24"/>
          <w:szCs w:val="20"/>
          <w:lang w:eastAsia="ja-JP"/>
        </w:rPr>
        <w:sectPr w:rsidR="007B0196" w:rsidRPr="00813532" w:rsidSect="00797F74">
          <w:footerReference w:type="default" r:id="rId11"/>
          <w:headerReference w:type="first" r:id="rId12"/>
          <w:pgSz w:w="11906" w:h="16838" w:code="9"/>
          <w:pgMar w:top="426" w:right="1440" w:bottom="1440" w:left="1440" w:header="708" w:footer="708" w:gutter="0"/>
          <w:cols w:space="708"/>
          <w:titlePg/>
          <w:docGrid w:linePitch="360"/>
        </w:sectPr>
      </w:pPr>
      <w:r>
        <w:rPr>
          <w:rFonts w:eastAsia="Calibri"/>
          <w:color w:val="FFFFFF"/>
          <w:sz w:val="24"/>
          <w:szCs w:val="20"/>
          <w:lang w:eastAsia="ja-JP"/>
        </w:rPr>
        <w:t>17 November 2023</w:t>
      </w:r>
    </w:p>
    <w:p w14:paraId="26847DB1" w14:textId="77777777" w:rsidR="00813532" w:rsidRDefault="00813532">
      <w:pPr>
        <w:pStyle w:val="TOCHeading"/>
      </w:pPr>
      <w:r>
        <w:t>Table of Contents</w:t>
      </w:r>
    </w:p>
    <w:p w14:paraId="0430553F" w14:textId="3EF65348" w:rsidR="000056AD" w:rsidRDefault="0081353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0778664" w:history="1">
        <w:r w:rsidR="000056AD" w:rsidRPr="001534CE">
          <w:rPr>
            <w:rStyle w:val="Hyperlink"/>
            <w:noProof/>
          </w:rPr>
          <w:t>1.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General Conditions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_Toc150778664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3</w:t>
        </w:r>
        <w:r w:rsidR="000056AD">
          <w:rPr>
            <w:noProof/>
            <w:webHidden/>
          </w:rPr>
          <w:fldChar w:fldCharType="end"/>
        </w:r>
      </w:hyperlink>
    </w:p>
    <w:p w14:paraId="4D42F268" w14:textId="5F4344C4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65" w:history="1">
        <w:r w:rsidR="000056AD" w:rsidRPr="001534CE">
          <w:rPr>
            <w:rStyle w:val="Hyperlink"/>
            <w:noProof/>
          </w:rPr>
          <w:t>2.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Lodgement of Responses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_Toc150778665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5</w:t>
        </w:r>
        <w:r w:rsidR="000056AD">
          <w:rPr>
            <w:noProof/>
            <w:webHidden/>
          </w:rPr>
          <w:fldChar w:fldCharType="end"/>
        </w:r>
      </w:hyperlink>
    </w:p>
    <w:p w14:paraId="1C5A532E" w14:textId="6C0661E8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66" w:history="1">
        <w:r w:rsidR="000056AD" w:rsidRPr="001534CE">
          <w:rPr>
            <w:rStyle w:val="Hyperlink"/>
            <w:noProof/>
          </w:rPr>
          <w:t>3.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Late Responses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_Toc150778666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5</w:t>
        </w:r>
        <w:r w:rsidR="000056AD">
          <w:rPr>
            <w:noProof/>
            <w:webHidden/>
          </w:rPr>
          <w:fldChar w:fldCharType="end"/>
        </w:r>
      </w:hyperlink>
    </w:p>
    <w:p w14:paraId="5035C58E" w14:textId="438243C7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67" w:history="1">
        <w:r w:rsidR="000056AD" w:rsidRPr="001534CE">
          <w:rPr>
            <w:rStyle w:val="Hyperlink"/>
            <w:noProof/>
          </w:rPr>
          <w:t>4.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Errors in a Response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_Toc150778667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5</w:t>
        </w:r>
        <w:r w:rsidR="000056AD">
          <w:rPr>
            <w:noProof/>
            <w:webHidden/>
          </w:rPr>
          <w:fldChar w:fldCharType="end"/>
        </w:r>
      </w:hyperlink>
    </w:p>
    <w:p w14:paraId="39E8BB1E" w14:textId="742BD6E7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68" w:history="1">
        <w:r w:rsidR="000056AD" w:rsidRPr="001534CE">
          <w:rPr>
            <w:rStyle w:val="Hyperlink"/>
            <w:noProof/>
          </w:rPr>
          <w:t>5.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Requests for Further Information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_Toc150778668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5</w:t>
        </w:r>
        <w:r w:rsidR="000056AD">
          <w:rPr>
            <w:noProof/>
            <w:webHidden/>
          </w:rPr>
          <w:fldChar w:fldCharType="end"/>
        </w:r>
      </w:hyperlink>
    </w:p>
    <w:p w14:paraId="305F4245" w14:textId="056F8386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69" w:history="1">
        <w:r w:rsidR="000056AD" w:rsidRPr="001534CE">
          <w:rPr>
            <w:rStyle w:val="Hyperlink"/>
            <w:noProof/>
          </w:rPr>
          <w:t>6.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Reservations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_Toc150778669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6</w:t>
        </w:r>
        <w:r w:rsidR="000056AD">
          <w:rPr>
            <w:noProof/>
            <w:webHidden/>
          </w:rPr>
          <w:fldChar w:fldCharType="end"/>
        </w:r>
      </w:hyperlink>
    </w:p>
    <w:p w14:paraId="517E18C6" w14:textId="4841136F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70" w:history="1">
        <w:r w:rsidR="000056AD" w:rsidRPr="001534CE">
          <w:rPr>
            <w:rStyle w:val="Hyperlink"/>
            <w:noProof/>
          </w:rPr>
          <w:t>7.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Conflicts of Interest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_Toc150778670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6</w:t>
        </w:r>
        <w:r w:rsidR="000056AD">
          <w:rPr>
            <w:noProof/>
            <w:webHidden/>
          </w:rPr>
          <w:fldChar w:fldCharType="end"/>
        </w:r>
      </w:hyperlink>
    </w:p>
    <w:p w14:paraId="6D89373F" w14:textId="33087E98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71" w:history="1">
        <w:r w:rsidR="000056AD" w:rsidRPr="001534CE">
          <w:rPr>
            <w:rStyle w:val="Hyperlink"/>
            <w:noProof/>
          </w:rPr>
          <w:t>8.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Ownership and Intellectual Property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_Toc150778671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6</w:t>
        </w:r>
        <w:r w:rsidR="000056AD">
          <w:rPr>
            <w:noProof/>
            <w:webHidden/>
          </w:rPr>
          <w:fldChar w:fldCharType="end"/>
        </w:r>
      </w:hyperlink>
    </w:p>
    <w:p w14:paraId="44196B7D" w14:textId="34E34044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72" w:history="1">
        <w:r w:rsidR="000056AD" w:rsidRPr="001534CE">
          <w:rPr>
            <w:rStyle w:val="Hyperlink"/>
            <w:noProof/>
          </w:rPr>
          <w:t>9.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Confidentiality and Disclosure of Response contents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_Toc150778672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6</w:t>
        </w:r>
        <w:r w:rsidR="000056AD">
          <w:rPr>
            <w:noProof/>
            <w:webHidden/>
          </w:rPr>
          <w:fldChar w:fldCharType="end"/>
        </w:r>
      </w:hyperlink>
    </w:p>
    <w:p w14:paraId="1E3D8124" w14:textId="7D9B7A13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73" w:history="1">
        <w:r w:rsidR="000056AD" w:rsidRPr="001534CE">
          <w:rPr>
            <w:rStyle w:val="Hyperlink"/>
            <w:noProof/>
          </w:rPr>
          <w:t>10.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Lobbying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_Toc150778673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7</w:t>
        </w:r>
        <w:r w:rsidR="000056AD">
          <w:rPr>
            <w:noProof/>
            <w:webHidden/>
          </w:rPr>
          <w:fldChar w:fldCharType="end"/>
        </w:r>
      </w:hyperlink>
    </w:p>
    <w:p w14:paraId="388FF6AE" w14:textId="01B25248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74" w:history="1">
        <w:r w:rsidR="000056AD" w:rsidRPr="001534CE">
          <w:rPr>
            <w:rStyle w:val="Hyperlink"/>
            <w:noProof/>
          </w:rPr>
          <w:t>11.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Anti-competitive conduct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_Toc150778674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7</w:t>
        </w:r>
        <w:r w:rsidR="000056AD">
          <w:rPr>
            <w:noProof/>
            <w:webHidden/>
          </w:rPr>
          <w:fldChar w:fldCharType="end"/>
        </w:r>
      </w:hyperlink>
    </w:p>
    <w:p w14:paraId="05F73852" w14:textId="2C538EC0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75" w:history="1">
        <w:r w:rsidR="000056AD" w:rsidRPr="001534CE">
          <w:rPr>
            <w:rStyle w:val="Hyperlink"/>
            <w:noProof/>
          </w:rPr>
          <w:t>12.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Respondent Warranties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_Toc150778675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7</w:t>
        </w:r>
        <w:r w:rsidR="000056AD">
          <w:rPr>
            <w:noProof/>
            <w:webHidden/>
          </w:rPr>
          <w:fldChar w:fldCharType="end"/>
        </w:r>
      </w:hyperlink>
    </w:p>
    <w:p w14:paraId="783863B9" w14:textId="5290A70F" w:rsidR="000056AD" w:rsidRDefault="003D490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778676" w:history="1">
        <w:r w:rsidR="000056AD" w:rsidRPr="001534CE">
          <w:rPr>
            <w:rStyle w:val="Hyperlink"/>
            <w:noProof/>
          </w:rPr>
          <w:t>13.</w:t>
        </w:r>
        <w:r w:rsidR="000056A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056AD" w:rsidRPr="001534CE">
          <w:rPr>
            <w:rStyle w:val="Hyperlink"/>
            <w:noProof/>
          </w:rPr>
          <w:t>Complaints</w:t>
        </w:r>
        <w:r w:rsidR="000056AD">
          <w:rPr>
            <w:noProof/>
            <w:webHidden/>
          </w:rPr>
          <w:tab/>
        </w:r>
        <w:r w:rsidR="000056AD">
          <w:rPr>
            <w:noProof/>
            <w:webHidden/>
          </w:rPr>
          <w:fldChar w:fldCharType="begin"/>
        </w:r>
        <w:r w:rsidR="000056AD">
          <w:rPr>
            <w:noProof/>
            <w:webHidden/>
          </w:rPr>
          <w:instrText xml:space="preserve"> PAGEREF _Toc150778676 \h </w:instrText>
        </w:r>
        <w:r w:rsidR="000056AD">
          <w:rPr>
            <w:noProof/>
            <w:webHidden/>
          </w:rPr>
        </w:r>
        <w:r w:rsidR="000056AD">
          <w:rPr>
            <w:noProof/>
            <w:webHidden/>
          </w:rPr>
          <w:fldChar w:fldCharType="separate"/>
        </w:r>
        <w:r w:rsidR="000056AD">
          <w:rPr>
            <w:noProof/>
            <w:webHidden/>
          </w:rPr>
          <w:t>8</w:t>
        </w:r>
        <w:r w:rsidR="000056AD">
          <w:rPr>
            <w:noProof/>
            <w:webHidden/>
          </w:rPr>
          <w:fldChar w:fldCharType="end"/>
        </w:r>
      </w:hyperlink>
    </w:p>
    <w:p w14:paraId="5A22B97A" w14:textId="77777777" w:rsidR="002D365B" w:rsidRPr="002202E8" w:rsidRDefault="00813532" w:rsidP="00BF44FD">
      <w:pPr>
        <w:ind w:left="0"/>
      </w:pPr>
      <w:r>
        <w:fldChar w:fldCharType="end"/>
      </w:r>
    </w:p>
    <w:p w14:paraId="01326793" w14:textId="77777777" w:rsidR="00C84991" w:rsidRDefault="00C84991">
      <w:pPr>
        <w:overflowPunct/>
        <w:autoSpaceDE/>
        <w:autoSpaceDN/>
        <w:adjustRightInd/>
        <w:spacing w:before="0" w:after="0"/>
        <w:ind w:left="0"/>
        <w:textAlignment w:val="auto"/>
        <w:rPr>
          <w:b/>
          <w:sz w:val="40"/>
        </w:rPr>
      </w:pPr>
      <w:bookmarkStart w:id="0" w:name="_Toc426364436"/>
      <w:bookmarkStart w:id="1" w:name="_Toc475364619"/>
      <w:r>
        <w:br w:type="page"/>
      </w:r>
    </w:p>
    <w:p w14:paraId="05BC153F" w14:textId="77777777" w:rsidR="001540AF" w:rsidRPr="00D71AD2" w:rsidRDefault="001540AF" w:rsidP="00813532">
      <w:pPr>
        <w:pStyle w:val="Heading-1"/>
        <w:pBdr>
          <w:bottom w:val="none" w:sz="0" w:space="0" w:color="auto"/>
        </w:pBdr>
      </w:pPr>
      <w:r w:rsidRPr="00D71AD2">
        <w:t xml:space="preserve">Conditions of </w:t>
      </w:r>
      <w:r w:rsidR="0003639B">
        <w:t>Participation</w:t>
      </w:r>
      <w:bookmarkEnd w:id="0"/>
      <w:bookmarkEnd w:id="1"/>
    </w:p>
    <w:p w14:paraId="1B87D720" w14:textId="77777777" w:rsidR="001540AF" w:rsidRPr="00813532" w:rsidRDefault="001540AF" w:rsidP="00813532">
      <w:pPr>
        <w:pStyle w:val="Heading2"/>
      </w:pPr>
      <w:bookmarkStart w:id="2" w:name="_Toc26173117"/>
      <w:bookmarkStart w:id="3" w:name="_Toc475364620"/>
      <w:bookmarkStart w:id="4" w:name="_Toc475461683"/>
      <w:bookmarkStart w:id="5" w:name="_Toc150778664"/>
      <w:r w:rsidRPr="00813532">
        <w:t>General Conditions</w:t>
      </w:r>
      <w:bookmarkEnd w:id="2"/>
      <w:bookmarkEnd w:id="3"/>
      <w:bookmarkEnd w:id="4"/>
      <w:bookmarkEnd w:id="5"/>
    </w:p>
    <w:p w14:paraId="45549F4E" w14:textId="2D0F9B8F" w:rsidR="009B2768" w:rsidRPr="009B2768" w:rsidRDefault="001540AF" w:rsidP="00813532">
      <w:pPr>
        <w:pStyle w:val="ListNumber2"/>
      </w:pPr>
      <w:r w:rsidRPr="009B2768">
        <w:t xml:space="preserve">Organisations wishing to </w:t>
      </w:r>
      <w:r w:rsidR="001B5387" w:rsidRPr="009B2768">
        <w:t xml:space="preserve">participate in </w:t>
      </w:r>
      <w:r w:rsidR="001B5387" w:rsidRPr="0089613C">
        <w:t xml:space="preserve">the </w:t>
      </w:r>
      <w:r w:rsidR="0089613C" w:rsidRPr="00963C78">
        <w:t>Rental Stress Support Package 2023-24</w:t>
      </w:r>
      <w:r w:rsidR="00301B8E" w:rsidRPr="009B2768">
        <w:t xml:space="preserve"> </w:t>
      </w:r>
      <w:r w:rsidR="001B5387" w:rsidRPr="009B2768">
        <w:t>Expression of Interest process (the EOI Process)</w:t>
      </w:r>
      <w:r w:rsidR="00301B8E" w:rsidRPr="009B2768">
        <w:t xml:space="preserve"> </w:t>
      </w:r>
      <w:r w:rsidRPr="009B2768">
        <w:t>should submit their</w:t>
      </w:r>
      <w:r w:rsidR="001B5387" w:rsidRPr="009B2768">
        <w:t xml:space="preserve"> r</w:t>
      </w:r>
      <w:r w:rsidR="0003639B" w:rsidRPr="009B2768">
        <w:t>esponse</w:t>
      </w:r>
      <w:r w:rsidR="001B5387" w:rsidRPr="009B2768">
        <w:t xml:space="preserve"> to the Expression of Interest</w:t>
      </w:r>
      <w:r w:rsidR="00A17B0B" w:rsidRPr="009B2768">
        <w:t xml:space="preserve"> </w:t>
      </w:r>
      <w:r w:rsidR="00E20626" w:rsidRPr="009B2768">
        <w:t>(Response)</w:t>
      </w:r>
      <w:r w:rsidR="005431B6" w:rsidRPr="009B2768">
        <w:t xml:space="preserve"> </w:t>
      </w:r>
      <w:r w:rsidRPr="009B2768">
        <w:t xml:space="preserve">in accordance with </w:t>
      </w:r>
      <w:r w:rsidR="001B5387" w:rsidRPr="009B2768">
        <w:t>the</w:t>
      </w:r>
      <w:r w:rsidRPr="009B2768">
        <w:t xml:space="preserve"> requirements set out in </w:t>
      </w:r>
      <w:r w:rsidR="001B5387" w:rsidRPr="009B2768">
        <w:t xml:space="preserve">the for Expression of Interest </w:t>
      </w:r>
      <w:r w:rsidR="007355B0" w:rsidRPr="009B2768">
        <w:t xml:space="preserve">(EOI), </w:t>
      </w:r>
      <w:r w:rsidRPr="009B2768">
        <w:t>this</w:t>
      </w:r>
      <w:r w:rsidR="00CC7B97" w:rsidRPr="009B2768">
        <w:t xml:space="preserve"> Conditions of Participation</w:t>
      </w:r>
      <w:r w:rsidRPr="009B2768">
        <w:t xml:space="preserve"> </w:t>
      </w:r>
      <w:r w:rsidR="00B702DD" w:rsidRPr="009B2768">
        <w:t>document</w:t>
      </w:r>
      <w:r w:rsidR="007355B0" w:rsidRPr="009B2768">
        <w:t xml:space="preserve">, and </w:t>
      </w:r>
      <w:r w:rsidR="00691B45" w:rsidRPr="009B2768">
        <w:t>the Response and Certification f</w:t>
      </w:r>
      <w:r w:rsidR="007355B0" w:rsidRPr="009B2768">
        <w:t>orm (together, the EOI Documents)</w:t>
      </w:r>
      <w:r w:rsidR="00DB1206" w:rsidRPr="009B2768">
        <w:t xml:space="preserve">. </w:t>
      </w:r>
      <w:bookmarkStart w:id="6" w:name="_Toc400356957"/>
      <w:r w:rsidR="0003639B" w:rsidRPr="009B2768">
        <w:t>Respondent</w:t>
      </w:r>
      <w:r w:rsidR="00DB1206" w:rsidRPr="009B2768">
        <w:t>s</w:t>
      </w:r>
      <w:r w:rsidRPr="009B2768">
        <w:t xml:space="preserve"> are deemed to have</w:t>
      </w:r>
      <w:bookmarkEnd w:id="6"/>
      <w:r w:rsidRPr="009B2768">
        <w:t>:</w:t>
      </w:r>
      <w:bookmarkStart w:id="7" w:name="_Toc400356958"/>
    </w:p>
    <w:p w14:paraId="5A70421F" w14:textId="4ACF8F98" w:rsidR="001540AF" w:rsidRPr="009B2768" w:rsidRDefault="00AE049C" w:rsidP="00813532">
      <w:pPr>
        <w:pStyle w:val="ListNumber3"/>
      </w:pPr>
      <w:r w:rsidRPr="009B2768">
        <w:t xml:space="preserve">Examined </w:t>
      </w:r>
      <w:r w:rsidR="001B5387" w:rsidRPr="009B2768">
        <w:t xml:space="preserve">the EOI </w:t>
      </w:r>
      <w:r w:rsidR="007355B0" w:rsidRPr="009B2768">
        <w:t>Documents</w:t>
      </w:r>
      <w:r w:rsidR="001B5387" w:rsidRPr="009B2768">
        <w:t xml:space="preserve"> </w:t>
      </w:r>
      <w:r w:rsidR="001540AF" w:rsidRPr="009B2768">
        <w:t xml:space="preserve">and </w:t>
      </w:r>
      <w:r w:rsidR="001B5387" w:rsidRPr="009B2768">
        <w:t xml:space="preserve">any </w:t>
      </w:r>
      <w:r w:rsidR="001540AF" w:rsidRPr="009B2768">
        <w:t xml:space="preserve">other information made available by </w:t>
      </w:r>
      <w:r w:rsidR="00301B8E" w:rsidRPr="009B2768">
        <w:t xml:space="preserve">Consumer Affairs Victoria (CAV) </w:t>
      </w:r>
      <w:r w:rsidR="001540AF" w:rsidRPr="009B2768">
        <w:t xml:space="preserve">to the </w:t>
      </w:r>
      <w:r w:rsidR="0003639B" w:rsidRPr="009B2768">
        <w:t>Respondent</w:t>
      </w:r>
      <w:r w:rsidR="001540AF" w:rsidRPr="009B2768">
        <w:t xml:space="preserve"> for the purpose of </w:t>
      </w:r>
      <w:r w:rsidR="00301B8E" w:rsidRPr="009B2768">
        <w:t>r</w:t>
      </w:r>
      <w:r w:rsidR="00DB1206" w:rsidRPr="009B2768">
        <w:t>esponding</w:t>
      </w:r>
      <w:bookmarkEnd w:id="7"/>
      <w:r w:rsidR="002C5DA2" w:rsidRPr="009B2768">
        <w:t>.</w:t>
      </w:r>
    </w:p>
    <w:p w14:paraId="1FA58C0F" w14:textId="77777777" w:rsidR="0003639B" w:rsidRPr="009B2768" w:rsidRDefault="00AE049C" w:rsidP="00813532">
      <w:pPr>
        <w:pStyle w:val="ListNumber3"/>
      </w:pPr>
      <w:bookmarkStart w:id="8" w:name="_Toc400356960"/>
      <w:r w:rsidRPr="009B2768">
        <w:t xml:space="preserve">Satisfied </w:t>
      </w:r>
      <w:r w:rsidR="001540AF" w:rsidRPr="009B2768">
        <w:t xml:space="preserve">themselves as to the correctness and sufficiency of their </w:t>
      </w:r>
      <w:r w:rsidR="0003639B" w:rsidRPr="009B2768">
        <w:t>Response.</w:t>
      </w:r>
    </w:p>
    <w:p w14:paraId="2CFAEB66" w14:textId="77777777" w:rsidR="009B2768" w:rsidRPr="00813532" w:rsidRDefault="00416DC7" w:rsidP="00813532">
      <w:pPr>
        <w:pStyle w:val="ListNumber2"/>
      </w:pPr>
      <w:r w:rsidRPr="00813532">
        <w:t>It is the responsibility of all Respondents to:</w:t>
      </w:r>
      <w:r w:rsidR="009B2768" w:rsidRPr="00813532">
        <w:t xml:space="preserve"> </w:t>
      </w:r>
    </w:p>
    <w:p w14:paraId="31257AA0" w14:textId="52C996F7" w:rsidR="00416DC7" w:rsidRPr="00E249E2" w:rsidRDefault="00416DC7" w:rsidP="00813532">
      <w:pPr>
        <w:pStyle w:val="ListNumber3"/>
      </w:pPr>
      <w:r w:rsidRPr="00E249E2">
        <w:t>understan</w:t>
      </w:r>
      <w:r w:rsidR="00CC7B97" w:rsidRPr="00972652">
        <w:t xml:space="preserve">d the requirements of the EOI </w:t>
      </w:r>
      <w:r w:rsidR="007355B0">
        <w:t>Documents</w:t>
      </w:r>
      <w:r w:rsidR="000B50B9">
        <w:t xml:space="preserve"> and </w:t>
      </w:r>
      <w:r w:rsidRPr="00E249E2">
        <w:t xml:space="preserve">any </w:t>
      </w:r>
      <w:r w:rsidR="007355B0">
        <w:t xml:space="preserve">other </w:t>
      </w:r>
      <w:r w:rsidRPr="00E249E2">
        <w:t xml:space="preserve">reference documentation or other information in relation to the </w:t>
      </w:r>
      <w:proofErr w:type="gramStart"/>
      <w:r w:rsidRPr="00E249E2">
        <w:t>EOI;</w:t>
      </w:r>
      <w:proofErr w:type="gramEnd"/>
    </w:p>
    <w:p w14:paraId="05DE2C69" w14:textId="1AB15F3E" w:rsidR="00416DC7" w:rsidRPr="00E249E2" w:rsidRDefault="00416DC7" w:rsidP="00813532">
      <w:pPr>
        <w:pStyle w:val="ListNumber3"/>
      </w:pPr>
      <w:r w:rsidRPr="00E249E2">
        <w:t xml:space="preserve">ensure that their Response addresses all the information requested in the </w:t>
      </w:r>
      <w:r w:rsidR="007355B0">
        <w:t>EOI Documents</w:t>
      </w:r>
      <w:r w:rsidRPr="00E249E2">
        <w:t xml:space="preserve">, is presented in the required format, </w:t>
      </w:r>
      <w:r w:rsidR="00691B45">
        <w:t>substantially</w:t>
      </w:r>
      <w:r w:rsidR="001B5387">
        <w:t xml:space="preserve"> </w:t>
      </w:r>
      <w:r w:rsidRPr="00E249E2">
        <w:t xml:space="preserve">conforms with page or word limits (if specified), and is accurate and </w:t>
      </w:r>
      <w:proofErr w:type="gramStart"/>
      <w:r w:rsidRPr="00E249E2">
        <w:t>complete;</w:t>
      </w:r>
      <w:proofErr w:type="gramEnd"/>
    </w:p>
    <w:p w14:paraId="375A7B48" w14:textId="77777777" w:rsidR="00416DC7" w:rsidRPr="00E249E2" w:rsidRDefault="00416DC7" w:rsidP="00813532">
      <w:pPr>
        <w:pStyle w:val="ListNumber3"/>
      </w:pPr>
      <w:r w:rsidRPr="00E249E2">
        <w:t xml:space="preserve">make their own enquiries and assess all risks regarding the EOI </w:t>
      </w:r>
      <w:proofErr w:type="gramStart"/>
      <w:r w:rsidRPr="00E249E2">
        <w:t>Process;</w:t>
      </w:r>
      <w:proofErr w:type="gramEnd"/>
    </w:p>
    <w:p w14:paraId="25384968" w14:textId="7143088E" w:rsidR="00416DC7" w:rsidRPr="00E249E2" w:rsidRDefault="00416DC7" w:rsidP="00813532">
      <w:pPr>
        <w:pStyle w:val="ListNumber3"/>
      </w:pPr>
      <w:r w:rsidRPr="00E249E2">
        <w:t xml:space="preserve">ensure that they comply with all applicable laws with regard to preparing their Response and participating in the EOI Process (including Chapter 2 of the </w:t>
      </w:r>
      <w:r w:rsidRPr="005A26EC">
        <w:rPr>
          <w:i/>
        </w:rPr>
        <w:t xml:space="preserve">Australian Consumer Law and </w:t>
      </w:r>
      <w:proofErr w:type="gramStart"/>
      <w:r w:rsidRPr="005A26EC">
        <w:rPr>
          <w:i/>
        </w:rPr>
        <w:t>Fair Trading</w:t>
      </w:r>
      <w:proofErr w:type="gramEnd"/>
      <w:r w:rsidRPr="005A26EC">
        <w:rPr>
          <w:i/>
        </w:rPr>
        <w:t xml:space="preserve"> Act 2012 (Vic)</w:t>
      </w:r>
      <w:r w:rsidRPr="005A26EC">
        <w:t>);</w:t>
      </w:r>
    </w:p>
    <w:p w14:paraId="7B64E2DC" w14:textId="77777777" w:rsidR="00416DC7" w:rsidRPr="00E249E2" w:rsidRDefault="00416DC7" w:rsidP="00813532">
      <w:pPr>
        <w:pStyle w:val="ListNumber3"/>
      </w:pPr>
      <w:r w:rsidRPr="00E249E2">
        <w:t xml:space="preserve">meet all costs and expenses related to the preparation and lodgement of its Response, any subsequent negotiation, and any future process connected with or relating to the EOI </w:t>
      </w:r>
      <w:proofErr w:type="gramStart"/>
      <w:r w:rsidRPr="00E249E2">
        <w:t>Process;</w:t>
      </w:r>
      <w:proofErr w:type="gramEnd"/>
    </w:p>
    <w:p w14:paraId="68600815" w14:textId="77777777" w:rsidR="00416DC7" w:rsidRPr="00E249E2" w:rsidRDefault="00416DC7" w:rsidP="00813532">
      <w:pPr>
        <w:pStyle w:val="ListNumber3"/>
      </w:pPr>
      <w:r w:rsidRPr="00E249E2">
        <w:t xml:space="preserve">ensure that </w:t>
      </w:r>
      <w:r w:rsidR="00CC7B97">
        <w:t xml:space="preserve">their </w:t>
      </w:r>
      <w:r w:rsidR="00CC7B97" w:rsidRPr="00972652">
        <w:t>Response</w:t>
      </w:r>
      <w:r w:rsidRPr="00E249E2">
        <w:t xml:space="preserve"> remain</w:t>
      </w:r>
      <w:r w:rsidR="00CC7B97">
        <w:t>s</w:t>
      </w:r>
      <w:r w:rsidRPr="00E249E2">
        <w:t xml:space="preserve"> valid for a minimum of 120 days from the </w:t>
      </w:r>
      <w:r w:rsidR="00AC5889">
        <w:t>Response</w:t>
      </w:r>
      <w:r w:rsidR="007355B0">
        <w:t xml:space="preserve"> </w:t>
      </w:r>
      <w:r w:rsidRPr="00E249E2">
        <w:t xml:space="preserve">Closing </w:t>
      </w:r>
      <w:r w:rsidR="007355B0">
        <w:t>Date</w:t>
      </w:r>
      <w:r w:rsidRPr="00E249E2">
        <w:t>; and</w:t>
      </w:r>
    </w:p>
    <w:p w14:paraId="4722F8B4" w14:textId="77777777" w:rsidR="00416DC7" w:rsidRPr="00E249E2" w:rsidRDefault="00416DC7" w:rsidP="00813532">
      <w:pPr>
        <w:pStyle w:val="ListNumber3"/>
      </w:pPr>
      <w:r w:rsidRPr="00E249E2">
        <w:t>provide additional information in a timely manner as requested by CAV.</w:t>
      </w:r>
    </w:p>
    <w:bookmarkEnd w:id="8"/>
    <w:p w14:paraId="23ABDA86" w14:textId="77777777" w:rsidR="00AE049C" w:rsidRPr="00E249E2" w:rsidRDefault="00C57D4A" w:rsidP="00813532">
      <w:pPr>
        <w:pStyle w:val="ListNumber2"/>
      </w:pPr>
      <w:r>
        <w:t xml:space="preserve">Response </w:t>
      </w:r>
      <w:r w:rsidR="00AE049C" w:rsidRPr="00E249E2">
        <w:t>Evaluation Process</w:t>
      </w:r>
    </w:p>
    <w:p w14:paraId="12EB04F3" w14:textId="0D3593DE" w:rsidR="00574C25" w:rsidRPr="00574C25" w:rsidRDefault="00574C25" w:rsidP="00813532">
      <w:pPr>
        <w:pStyle w:val="ListNumber3"/>
      </w:pPr>
      <w:r w:rsidRPr="00574C25">
        <w:t xml:space="preserve">CAV will evaluate Responses </w:t>
      </w:r>
      <w:r w:rsidR="007355B0">
        <w:t>with reference to</w:t>
      </w:r>
      <w:r w:rsidRPr="00574C25">
        <w:t xml:space="preserve"> the </w:t>
      </w:r>
      <w:r>
        <w:t>assessment</w:t>
      </w:r>
      <w:r w:rsidRPr="00574C25">
        <w:t xml:space="preserve"> criteria stipulated at </w:t>
      </w:r>
      <w:r w:rsidR="00BE2025">
        <w:t>Section 4</w:t>
      </w:r>
      <w:r>
        <w:t xml:space="preserve"> of the EOI</w:t>
      </w:r>
      <w:r w:rsidRPr="00574C25">
        <w:t xml:space="preserve">. </w:t>
      </w:r>
      <w:proofErr w:type="gramStart"/>
      <w:r w:rsidRPr="00574C25">
        <w:t>In the event that</w:t>
      </w:r>
      <w:proofErr w:type="gramEnd"/>
      <w:r w:rsidRPr="00574C25">
        <w:t xml:space="preserve"> one or more of the evaluation criteria are subjective, then CAV reserves the right to exercise discretion.</w:t>
      </w:r>
    </w:p>
    <w:p w14:paraId="5D298F94" w14:textId="5B76693D" w:rsidR="00574C25" w:rsidRPr="00574C25" w:rsidRDefault="007355B0" w:rsidP="00813532">
      <w:pPr>
        <w:pStyle w:val="ListNumber3"/>
      </w:pPr>
      <w:r>
        <w:t>Responses that</w:t>
      </w:r>
      <w:r w:rsidR="00574C25" w:rsidRPr="00574C25">
        <w:t xml:space="preserve"> do not meet mandatory </w:t>
      </w:r>
      <w:r>
        <w:t xml:space="preserve">criteria </w:t>
      </w:r>
      <w:r w:rsidR="00574C25" w:rsidRPr="00574C25">
        <w:t xml:space="preserve">listed in </w:t>
      </w:r>
      <w:r w:rsidR="007E6C5F" w:rsidRPr="006A071C">
        <w:t>Section</w:t>
      </w:r>
      <w:r w:rsidR="00574C25" w:rsidRPr="006A071C">
        <w:t xml:space="preserve"> </w:t>
      </w:r>
      <w:r w:rsidR="006A071C" w:rsidRPr="006A071C">
        <w:t>3</w:t>
      </w:r>
      <w:r w:rsidR="00574C25" w:rsidRPr="00574C25">
        <w:t xml:space="preserve"> will be considered non-compliant and not evaluated further. </w:t>
      </w:r>
    </w:p>
    <w:p w14:paraId="1E760E8A" w14:textId="77777777" w:rsidR="00574C25" w:rsidRPr="00574C25" w:rsidRDefault="00574C25" w:rsidP="00813532">
      <w:pPr>
        <w:pStyle w:val="ListNumber3"/>
      </w:pPr>
      <w:r w:rsidRPr="00574C25">
        <w:t xml:space="preserve">For the purposes of </w:t>
      </w:r>
      <w:r>
        <w:t>assessing value for money criterion</w:t>
      </w:r>
      <w:r w:rsidRPr="00574C25">
        <w:t>, ‘value for money’ is a measurement of financial and non-financial factors, including:</w:t>
      </w:r>
    </w:p>
    <w:p w14:paraId="30FC8435" w14:textId="3E6C6299" w:rsidR="00D53293" w:rsidRDefault="00F06394" w:rsidP="00963C78">
      <w:pPr>
        <w:pStyle w:val="ListBullet"/>
        <w:numPr>
          <w:ilvl w:val="0"/>
          <w:numId w:val="0"/>
        </w:numPr>
        <w:ind w:left="2345" w:hanging="360"/>
      </w:pPr>
      <w:r>
        <w:t>T</w:t>
      </w:r>
      <w:r w:rsidR="00B77038">
        <w:t xml:space="preserve">he extent the proposal will deliver quantitative </w:t>
      </w:r>
      <w:r>
        <w:t>benefits</w:t>
      </w:r>
      <w:r w:rsidR="00E96C02">
        <w:t>,</w:t>
      </w:r>
      <w:r w:rsidR="00A04413">
        <w:t xml:space="preserve"> such as </w:t>
      </w:r>
      <w:r w:rsidR="00787201">
        <w:t>client numbers</w:t>
      </w:r>
      <w:r w:rsidR="00467136">
        <w:t xml:space="preserve"> or projected client numbers, </w:t>
      </w:r>
      <w:proofErr w:type="spellStart"/>
      <w:proofErr w:type="gramStart"/>
      <w:r w:rsidR="00467136">
        <w:t>and</w:t>
      </w:r>
      <w:r w:rsidR="00262AA9">
        <w:t>;</w:t>
      </w:r>
      <w:r w:rsidR="00E364B6">
        <w:t>The</w:t>
      </w:r>
      <w:proofErr w:type="spellEnd"/>
      <w:proofErr w:type="gramEnd"/>
      <w:r w:rsidR="00E364B6">
        <w:t xml:space="preserve"> extent the proposal will deliver desired qualitative outcomes for renters</w:t>
      </w:r>
      <w:r w:rsidR="00467136">
        <w:t xml:space="preserve">, such as </w:t>
      </w:r>
      <w:r w:rsidR="002F30FA">
        <w:t xml:space="preserve">integration with </w:t>
      </w:r>
      <w:r w:rsidR="007F6857">
        <w:t>other support services</w:t>
      </w:r>
      <w:r w:rsidR="00E82533">
        <w:t xml:space="preserve">, </w:t>
      </w:r>
      <w:r w:rsidR="008843EB">
        <w:t xml:space="preserve">locality factors, </w:t>
      </w:r>
      <w:r w:rsidR="00A77D78">
        <w:t>performance standards</w:t>
      </w:r>
      <w:r w:rsidR="00976436">
        <w:t xml:space="preserve"> and risks</w:t>
      </w:r>
      <w:r w:rsidR="004204E5">
        <w:t xml:space="preserve"> profile.</w:t>
      </w:r>
    </w:p>
    <w:p w14:paraId="6755F613" w14:textId="6B29CBED" w:rsidR="00574C25" w:rsidRPr="00813532" w:rsidRDefault="00574C25" w:rsidP="00963C78">
      <w:pPr>
        <w:pStyle w:val="ListBullet"/>
        <w:numPr>
          <w:ilvl w:val="0"/>
          <w:numId w:val="0"/>
        </w:numPr>
        <w:ind w:left="360"/>
      </w:pPr>
    </w:p>
    <w:p w14:paraId="681192EF" w14:textId="77777777" w:rsidR="00574C25" w:rsidRPr="00574C25" w:rsidRDefault="007355B0" w:rsidP="00813532">
      <w:pPr>
        <w:pStyle w:val="ListNumber3"/>
      </w:pPr>
      <w:r>
        <w:t>CAV</w:t>
      </w:r>
      <w:r w:rsidR="00574C25" w:rsidRPr="00574C25">
        <w:t xml:space="preserve"> may, but is not bound to, short-list, select as successful, or accept the Response offering the lowest price (if applicable).</w:t>
      </w:r>
    </w:p>
    <w:p w14:paraId="053EC97F" w14:textId="77777777" w:rsidR="00AE049C" w:rsidRDefault="00AE049C" w:rsidP="00813532">
      <w:pPr>
        <w:pStyle w:val="ListNumber3"/>
      </w:pPr>
      <w:r w:rsidRPr="00D71AD2">
        <w:t xml:space="preserve">Clarification of </w:t>
      </w:r>
      <w:r w:rsidR="0003639B">
        <w:t>Responses</w:t>
      </w:r>
      <w:r w:rsidRPr="00D71AD2">
        <w:t xml:space="preserve">: Where, in the opinion of </w:t>
      </w:r>
      <w:r w:rsidR="005431B6">
        <w:t>CAV</w:t>
      </w:r>
      <w:r w:rsidRPr="00D71AD2">
        <w:t>, a</w:t>
      </w:r>
      <w:r w:rsidR="0003639B">
        <w:t xml:space="preserve"> Response </w:t>
      </w:r>
      <w:r w:rsidRPr="00D71AD2">
        <w:t xml:space="preserve">is unclear, </w:t>
      </w:r>
      <w:r w:rsidR="00427C4D">
        <w:t>CAV</w:t>
      </w:r>
      <w:r w:rsidRPr="00D71AD2">
        <w:t xml:space="preserve"> may seek clarification from the </w:t>
      </w:r>
      <w:r w:rsidR="0003639B">
        <w:t>Respondent</w:t>
      </w:r>
      <w:r w:rsidRPr="00D71AD2">
        <w:t xml:space="preserve">. Failure to </w:t>
      </w:r>
      <w:r w:rsidR="00CF4524">
        <w:t>clarify the Response to</w:t>
      </w:r>
      <w:r w:rsidRPr="00D71AD2">
        <w:t xml:space="preserve"> the satisfaction of </w:t>
      </w:r>
      <w:r w:rsidR="00427C4D">
        <w:t>CAV</w:t>
      </w:r>
      <w:r w:rsidRPr="00D71AD2">
        <w:t xml:space="preserve"> may </w:t>
      </w:r>
      <w:r w:rsidR="00AC5889">
        <w:t>result in the Response being rejected</w:t>
      </w:r>
      <w:r w:rsidRPr="00D71AD2">
        <w:t>.</w:t>
      </w:r>
    </w:p>
    <w:p w14:paraId="54C4CB7A" w14:textId="77777777" w:rsidR="00D7524F" w:rsidRDefault="008A639A" w:rsidP="00813532">
      <w:pPr>
        <w:pStyle w:val="ListNumber3"/>
      </w:pPr>
      <w:r w:rsidRPr="00D71AD2">
        <w:t xml:space="preserve">Acceptance: </w:t>
      </w:r>
      <w:r w:rsidR="00D7524F" w:rsidRPr="00D71AD2">
        <w:t>Non</w:t>
      </w:r>
      <w:r w:rsidR="00FE4F1A">
        <w:t>-</w:t>
      </w:r>
      <w:r w:rsidR="00D7524F" w:rsidRPr="00D71AD2">
        <w:t xml:space="preserve">complying </w:t>
      </w:r>
      <w:r w:rsidR="00CF4524">
        <w:t>Responses</w:t>
      </w:r>
      <w:r w:rsidR="00CF4524" w:rsidRPr="00D71AD2">
        <w:t xml:space="preserve"> </w:t>
      </w:r>
      <w:r w:rsidR="00D7524F" w:rsidRPr="00D71AD2">
        <w:t xml:space="preserve">may be rejected. </w:t>
      </w:r>
      <w:r w:rsidR="00427C4D">
        <w:t>CAV</w:t>
      </w:r>
      <w:r w:rsidR="00D7524F" w:rsidRPr="00D71AD2">
        <w:t xml:space="preserve"> </w:t>
      </w:r>
      <w:r w:rsidR="00C81723" w:rsidRPr="00D71AD2">
        <w:t xml:space="preserve">is not obliged </w:t>
      </w:r>
      <w:r w:rsidR="00D7524F" w:rsidRPr="00D71AD2">
        <w:t xml:space="preserve">and </w:t>
      </w:r>
      <w:r w:rsidR="005450EE" w:rsidRPr="00D71AD2">
        <w:t>reserves the right not to</w:t>
      </w:r>
      <w:r w:rsidR="00D7524F" w:rsidRPr="00D71AD2">
        <w:t xml:space="preserve"> accept any </w:t>
      </w:r>
      <w:r w:rsidR="00DB1206">
        <w:t>Response</w:t>
      </w:r>
      <w:r w:rsidR="00D7524F" w:rsidRPr="00D71AD2">
        <w:t>.</w:t>
      </w:r>
    </w:p>
    <w:p w14:paraId="1CBEE5F5" w14:textId="77777777" w:rsidR="00660301" w:rsidRPr="00660301" w:rsidRDefault="00660301" w:rsidP="00813532">
      <w:pPr>
        <w:pStyle w:val="ListNumber3"/>
      </w:pPr>
      <w:r w:rsidRPr="00660301">
        <w:t>CAV may in its absolute discretion:</w:t>
      </w:r>
    </w:p>
    <w:p w14:paraId="6288AB4A" w14:textId="77777777" w:rsidR="00660301" w:rsidRDefault="00660301" w:rsidP="00813532">
      <w:pPr>
        <w:pStyle w:val="ListBullet"/>
      </w:pPr>
      <w:r w:rsidRPr="00972652">
        <w:t xml:space="preserve">reject a Response that </w:t>
      </w:r>
      <w:r w:rsidR="004E15D6">
        <w:t xml:space="preserve">is not duly signed, </w:t>
      </w:r>
      <w:r w:rsidRPr="00972652">
        <w:t>does not include all the information requested</w:t>
      </w:r>
      <w:r w:rsidR="004E15D6">
        <w:t>,</w:t>
      </w:r>
      <w:r w:rsidRPr="00972652">
        <w:t xml:space="preserve"> or is not in the format </w:t>
      </w:r>
      <w:proofErr w:type="gramStart"/>
      <w:r w:rsidRPr="00972652">
        <w:t>required;</w:t>
      </w:r>
      <w:proofErr w:type="gramEnd"/>
    </w:p>
    <w:p w14:paraId="30201412" w14:textId="77777777" w:rsidR="00660301" w:rsidRPr="00972652" w:rsidRDefault="00660301" w:rsidP="00813532">
      <w:pPr>
        <w:pStyle w:val="ListBullet"/>
      </w:pPr>
      <w:r w:rsidRPr="00972652">
        <w:t xml:space="preserve">after concluding a preliminary evaluation, reject any Response that in its opinion is </w:t>
      </w:r>
      <w:proofErr w:type="gramStart"/>
      <w:r w:rsidRPr="00972652">
        <w:t>unacceptable;</w:t>
      </w:r>
      <w:proofErr w:type="gramEnd"/>
    </w:p>
    <w:p w14:paraId="59AEB660" w14:textId="77777777" w:rsidR="00660301" w:rsidRPr="00972652" w:rsidRDefault="00660301" w:rsidP="00813532">
      <w:pPr>
        <w:pStyle w:val="ListBullet"/>
      </w:pPr>
      <w:r w:rsidRPr="00972652">
        <w:t xml:space="preserve">disregard any content in a Response that is illegible without any obligation whatsoever to seek clarification from the </w:t>
      </w:r>
      <w:proofErr w:type="gramStart"/>
      <w:r>
        <w:t>Respondent</w:t>
      </w:r>
      <w:r w:rsidRPr="00972652">
        <w:t>;</w:t>
      </w:r>
      <w:proofErr w:type="gramEnd"/>
    </w:p>
    <w:p w14:paraId="1E9777CA" w14:textId="77777777" w:rsidR="00EB427C" w:rsidRPr="00972652" w:rsidRDefault="00EB427C" w:rsidP="00EB427C">
      <w:pPr>
        <w:pStyle w:val="ListBullet"/>
      </w:pPr>
      <w:r>
        <w:t xml:space="preserve">request clarification of a Response, or the amendment and resubmission of a Response considered </w:t>
      </w:r>
      <w:proofErr w:type="gramStart"/>
      <w:r>
        <w:t>unclear;</w:t>
      </w:r>
      <w:proofErr w:type="gramEnd"/>
    </w:p>
    <w:p w14:paraId="33DB3DFA" w14:textId="77777777" w:rsidR="00660301" w:rsidRPr="00972652" w:rsidRDefault="00660301" w:rsidP="00813532">
      <w:pPr>
        <w:pStyle w:val="ListBullet"/>
      </w:pPr>
      <w:r w:rsidRPr="00972652">
        <w:t xml:space="preserve">disqualify an incomplete Response or evaluate it solely on the information contained within the </w:t>
      </w:r>
      <w:proofErr w:type="gramStart"/>
      <w:r w:rsidRPr="00972652">
        <w:t>Response;</w:t>
      </w:r>
      <w:proofErr w:type="gramEnd"/>
    </w:p>
    <w:p w14:paraId="7CE55F22" w14:textId="77777777" w:rsidR="00660301" w:rsidRPr="00972652" w:rsidRDefault="00660301" w:rsidP="00813532">
      <w:pPr>
        <w:pStyle w:val="ListBullet"/>
      </w:pPr>
      <w:r w:rsidRPr="00972652">
        <w:t xml:space="preserve">alter the structure and/or the timing of the EOI or the EOI </w:t>
      </w:r>
      <w:proofErr w:type="gramStart"/>
      <w:r w:rsidRPr="00972652">
        <w:t>Process;</w:t>
      </w:r>
      <w:proofErr w:type="gramEnd"/>
    </w:p>
    <w:p w14:paraId="067F87DA" w14:textId="77777777" w:rsidR="00660301" w:rsidRDefault="00660301" w:rsidP="00813532">
      <w:pPr>
        <w:pStyle w:val="ListBullet"/>
      </w:pPr>
      <w:r w:rsidRPr="007E6C5F">
        <w:t>vary or extend any time or date specified in the EOI for any or all Respondents.</w:t>
      </w:r>
    </w:p>
    <w:p w14:paraId="658B6A45" w14:textId="77777777" w:rsidR="00CC7B97" w:rsidRDefault="00CC7B97" w:rsidP="00813532">
      <w:pPr>
        <w:pStyle w:val="ListNumber3"/>
      </w:pPr>
      <w:r w:rsidRPr="00427C4D">
        <w:t xml:space="preserve">Notification: All Respondents </w:t>
      </w:r>
      <w:r>
        <w:t>will</w:t>
      </w:r>
      <w:r w:rsidRPr="00427C4D">
        <w:t xml:space="preserve"> be advised in writing of the outcome of the evaluation </w:t>
      </w:r>
      <w:r>
        <w:t xml:space="preserve">of their </w:t>
      </w:r>
      <w:r w:rsidRPr="00427C4D">
        <w:t>Response.</w:t>
      </w:r>
    </w:p>
    <w:p w14:paraId="3078BC1F" w14:textId="77777777" w:rsidR="00574C25" w:rsidRPr="006029EA" w:rsidRDefault="00574C25" w:rsidP="00813532">
      <w:pPr>
        <w:pStyle w:val="ListNumber3"/>
      </w:pPr>
      <w:r w:rsidRPr="00574C25">
        <w:t>A Response will not be deemed to be unsuccessful until such time as the Respondent is formally notified of that fact by CAV</w:t>
      </w:r>
      <w:r w:rsidR="00EB427C">
        <w:t xml:space="preserve"> in writing</w:t>
      </w:r>
      <w:r w:rsidRPr="00574C25">
        <w:t>.</w:t>
      </w:r>
    </w:p>
    <w:p w14:paraId="22D5D00C" w14:textId="71DB2808" w:rsidR="00B34664" w:rsidRPr="00E249E2" w:rsidRDefault="0003639B" w:rsidP="00813532">
      <w:pPr>
        <w:pStyle w:val="ListNumber2"/>
      </w:pPr>
      <w:r w:rsidRPr="00E249E2">
        <w:t>Expression of Interest</w:t>
      </w:r>
    </w:p>
    <w:p w14:paraId="7F9B2D94" w14:textId="0B464EB3" w:rsidR="00B34664" w:rsidRPr="00D71AD2" w:rsidRDefault="00AE049C" w:rsidP="00813532">
      <w:pPr>
        <w:pStyle w:val="ListNumber3"/>
      </w:pPr>
      <w:r w:rsidRPr="00D71AD2">
        <w:t xml:space="preserve">Status: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EOI</w:t>
      </w:r>
      <w:r w:rsidR="00B34664" w:rsidRPr="00D71AD2">
        <w:t xml:space="preserve"> is not an offer.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EO</w:t>
      </w:r>
      <w:r w:rsidR="00DB1206">
        <w:t>I</w:t>
      </w:r>
      <w:r w:rsidR="00B34664" w:rsidRPr="00D71AD2">
        <w:t xml:space="preserve"> is an invitation </w:t>
      </w:r>
      <w:r w:rsidR="00CC7B97">
        <w:t>to Respondents</w:t>
      </w:r>
      <w:r w:rsidR="00427C4D">
        <w:t xml:space="preserve"> </w:t>
      </w:r>
      <w:r w:rsidR="00B34664" w:rsidRPr="00D71AD2">
        <w:t>to submit a</w:t>
      </w:r>
      <w:r w:rsidR="00EB427C">
        <w:t xml:space="preserve"> Response to the</w:t>
      </w:r>
      <w:r w:rsidR="00B34664" w:rsidRPr="00D71AD2">
        <w:t xml:space="preserve"> </w:t>
      </w:r>
      <w:r w:rsidR="0003639B">
        <w:t xml:space="preserve">Expression of Interest </w:t>
      </w:r>
      <w:r w:rsidR="00B34664" w:rsidRPr="00D71AD2">
        <w:t xml:space="preserve">for the provision of the </w:t>
      </w:r>
      <w:r w:rsidR="00716AC2">
        <w:t>s</w:t>
      </w:r>
      <w:r w:rsidR="00CC7B97">
        <w:t>ervices</w:t>
      </w:r>
      <w:r w:rsidR="00716AC2">
        <w:t xml:space="preserve"> or activity</w:t>
      </w:r>
      <w:r w:rsidR="00CC7B97">
        <w:t xml:space="preserve"> described </w:t>
      </w:r>
      <w:r w:rsidR="00B34664" w:rsidRPr="00D71AD2">
        <w:t xml:space="preserve">in </w:t>
      </w:r>
      <w:r w:rsidR="00CC7B97" w:rsidRPr="00D71AD2">
        <w:t>th</w:t>
      </w:r>
      <w:r w:rsidR="00CC7B97">
        <w:t>e</w:t>
      </w:r>
      <w:r w:rsidR="00CC7B97" w:rsidRPr="00D71AD2">
        <w:t xml:space="preserve"> </w:t>
      </w:r>
      <w:r w:rsidR="0003639B">
        <w:t>EOI</w:t>
      </w:r>
      <w:r w:rsidR="00B34664" w:rsidRPr="00D71AD2">
        <w:t>.</w:t>
      </w:r>
    </w:p>
    <w:p w14:paraId="7F308311" w14:textId="2345E113" w:rsidR="00B34664" w:rsidRPr="00D71AD2" w:rsidRDefault="00AE049C" w:rsidP="00813532">
      <w:pPr>
        <w:pStyle w:val="ListNumber3"/>
      </w:pPr>
      <w:r w:rsidRPr="00D71AD2">
        <w:t xml:space="preserve">Accuracy: </w:t>
      </w:r>
      <w:r w:rsidR="00B34664" w:rsidRPr="00D71AD2">
        <w:t xml:space="preserve">While all due care has been taken in connection with the preparation of </w:t>
      </w:r>
      <w:r w:rsidR="004E15D6">
        <w:t>the</w:t>
      </w:r>
      <w:r w:rsidR="004E15D6" w:rsidRPr="00D71AD2">
        <w:t xml:space="preserve"> </w:t>
      </w:r>
      <w:r w:rsidR="0003639B">
        <w:t>EOI</w:t>
      </w:r>
      <w:r w:rsidR="004E15D6">
        <w:t xml:space="preserve"> Documents</w:t>
      </w:r>
      <w:r w:rsidR="00B34664" w:rsidRPr="00D71AD2">
        <w:t xml:space="preserve">, </w:t>
      </w:r>
      <w:r w:rsidR="00427C4D">
        <w:t>CAV</w:t>
      </w:r>
      <w:r w:rsidR="00B34664" w:rsidRPr="00D71AD2">
        <w:t xml:space="preserve"> does not warrant the accuracy of the</w:t>
      </w:r>
      <w:r w:rsidR="004E15D6">
        <w:t>ir</w:t>
      </w:r>
      <w:r w:rsidR="00B34664" w:rsidRPr="00D71AD2">
        <w:t xml:space="preserve"> content and will not be liable for any</w:t>
      </w:r>
      <w:r w:rsidR="004E15D6">
        <w:t xml:space="preserve"> error or</w:t>
      </w:r>
      <w:r w:rsidR="00B34664" w:rsidRPr="00D71AD2">
        <w:t xml:space="preserve"> omission.</w:t>
      </w:r>
    </w:p>
    <w:p w14:paraId="03213092" w14:textId="6B80267D" w:rsidR="00B34664" w:rsidRPr="00D71AD2" w:rsidRDefault="00AE049C" w:rsidP="00813532">
      <w:pPr>
        <w:pStyle w:val="ListNumber3"/>
      </w:pPr>
      <w:r w:rsidRPr="00D71AD2">
        <w:t xml:space="preserve">Additions and amendments: </w:t>
      </w:r>
      <w:r w:rsidR="00427C4D">
        <w:t>CAV</w:t>
      </w:r>
      <w:r w:rsidR="00B34664" w:rsidRPr="00D71AD2">
        <w:t xml:space="preserve"> </w:t>
      </w:r>
      <w:proofErr w:type="gramStart"/>
      <w:r w:rsidR="00B34664" w:rsidRPr="00D71AD2">
        <w:t>reserves</w:t>
      </w:r>
      <w:proofErr w:type="gramEnd"/>
      <w:r w:rsidR="00B34664" w:rsidRPr="00D71AD2">
        <w:t xml:space="preserve"> the right to change any information in</w:t>
      </w:r>
      <w:r w:rsidR="009B52AC" w:rsidRPr="00D71AD2">
        <w:t xml:space="preserve">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EOI</w:t>
      </w:r>
      <w:r w:rsidR="004E15D6">
        <w:t xml:space="preserve"> Documents</w:t>
      </w:r>
      <w:r w:rsidR="00B34664" w:rsidRPr="00D71AD2">
        <w:t>,</w:t>
      </w:r>
      <w:r w:rsidR="009B52AC" w:rsidRPr="00D71AD2">
        <w:t xml:space="preserve"> including the conditions of </w:t>
      </w:r>
      <w:r w:rsidR="00427C4D">
        <w:t>participation</w:t>
      </w:r>
      <w:r w:rsidR="00427C4D" w:rsidRPr="00D71AD2">
        <w:t xml:space="preserve"> </w:t>
      </w:r>
      <w:r w:rsidR="0003639B">
        <w:t>and the response evaluation</w:t>
      </w:r>
      <w:r w:rsidR="009B52AC" w:rsidRPr="00D71AD2">
        <w:t xml:space="preserve"> process,</w:t>
      </w:r>
      <w:r w:rsidR="00B34664" w:rsidRPr="00D71AD2">
        <w:t xml:space="preserve"> or to issue addenda to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EOI</w:t>
      </w:r>
      <w:r w:rsidR="004E15D6">
        <w:t xml:space="preserve"> Documents</w:t>
      </w:r>
      <w:r w:rsidR="0003639B">
        <w:t>.</w:t>
      </w:r>
    </w:p>
    <w:p w14:paraId="2B50FB3A" w14:textId="2E516E7D" w:rsidR="00B34664" w:rsidRPr="00D71AD2" w:rsidRDefault="00B34664" w:rsidP="00813532">
      <w:pPr>
        <w:pStyle w:val="ListNumber3"/>
      </w:pPr>
      <w:r w:rsidRPr="00D71AD2">
        <w:t>Representations</w:t>
      </w:r>
      <w:r w:rsidR="00AE049C" w:rsidRPr="00D71AD2">
        <w:t xml:space="preserve">: </w:t>
      </w:r>
      <w:r w:rsidR="00276A00" w:rsidRPr="00D71AD2">
        <w:t xml:space="preserve">Verbal </w:t>
      </w:r>
      <w:r w:rsidR="0056648A" w:rsidRPr="00D71AD2">
        <w:t xml:space="preserve">explanations, </w:t>
      </w:r>
      <w:r w:rsidR="00276A00" w:rsidRPr="00D71AD2">
        <w:t>representations or instructions given to</w:t>
      </w:r>
      <w:r w:rsidR="00427C4D">
        <w:t xml:space="preserve"> the</w:t>
      </w:r>
      <w:r w:rsidR="00276A00" w:rsidRPr="00D71AD2">
        <w:t xml:space="preserve"> </w:t>
      </w:r>
      <w:r w:rsidR="0003639B">
        <w:t>Respondent</w:t>
      </w:r>
      <w:r w:rsidR="00276A00" w:rsidRPr="00D71AD2">
        <w:t xml:space="preserve"> </w:t>
      </w:r>
      <w:r w:rsidR="007901EA">
        <w:t xml:space="preserve">shall not bind </w:t>
      </w:r>
      <w:r w:rsidR="00427C4D">
        <w:t>CAV</w:t>
      </w:r>
      <w:r w:rsidR="007901EA">
        <w:t xml:space="preserve">. </w:t>
      </w:r>
      <w:r w:rsidRPr="00D71AD2">
        <w:t xml:space="preserve">No </w:t>
      </w:r>
      <w:r w:rsidR="0056648A" w:rsidRPr="00D71AD2">
        <w:t xml:space="preserve">explanation, </w:t>
      </w:r>
      <w:r w:rsidRPr="00D71AD2">
        <w:t xml:space="preserve">representation </w:t>
      </w:r>
      <w:r w:rsidR="0056648A" w:rsidRPr="00D71AD2">
        <w:t xml:space="preserve">or instruction </w:t>
      </w:r>
      <w:r w:rsidRPr="00D71AD2">
        <w:t xml:space="preserve">made by or on behalf of </w:t>
      </w:r>
      <w:r w:rsidR="00427C4D">
        <w:t>CAV</w:t>
      </w:r>
      <w:r w:rsidRPr="00D71AD2">
        <w:t xml:space="preserve"> in relation to the </w:t>
      </w:r>
      <w:r w:rsidR="0003639B">
        <w:t>EOI</w:t>
      </w:r>
      <w:r w:rsidR="0046349A">
        <w:t xml:space="preserve"> Process</w:t>
      </w:r>
      <w:r w:rsidRPr="00D71AD2">
        <w:t xml:space="preserve"> (or its subject matter) will be binding on </w:t>
      </w:r>
      <w:r w:rsidR="00427C4D">
        <w:t>CAV</w:t>
      </w:r>
      <w:r w:rsidRPr="00D71AD2">
        <w:t xml:space="preserve"> unless</w:t>
      </w:r>
      <w:r w:rsidR="00276A00" w:rsidRPr="00D71AD2">
        <w:t xml:space="preserve"> that </w:t>
      </w:r>
      <w:r w:rsidR="0056648A" w:rsidRPr="00D71AD2">
        <w:t xml:space="preserve">explanation, representation or instruction is expressly set out in </w:t>
      </w:r>
      <w:r w:rsidR="0046349A" w:rsidRPr="00D71AD2">
        <w:t>th</w:t>
      </w:r>
      <w:r w:rsidR="0046349A">
        <w:t>e</w:t>
      </w:r>
      <w:r w:rsidR="0046349A" w:rsidRPr="00D71AD2">
        <w:t xml:space="preserve"> </w:t>
      </w:r>
      <w:r w:rsidR="0003639B">
        <w:t>EOI</w:t>
      </w:r>
      <w:r w:rsidR="0046349A">
        <w:t xml:space="preserve"> Documents</w:t>
      </w:r>
      <w:r w:rsidR="0056648A" w:rsidRPr="00D71AD2">
        <w:t xml:space="preserve"> or confirmed in writing by </w:t>
      </w:r>
      <w:r w:rsidR="00427C4D">
        <w:t>CAV</w:t>
      </w:r>
      <w:r w:rsidRPr="00D71AD2">
        <w:t>.</w:t>
      </w:r>
    </w:p>
    <w:p w14:paraId="5CC29DAA" w14:textId="77777777" w:rsidR="001540AF" w:rsidRPr="00E249E2" w:rsidRDefault="00C57D4A" w:rsidP="00813532">
      <w:pPr>
        <w:pStyle w:val="ListNumber2"/>
      </w:pPr>
      <w:r>
        <w:t xml:space="preserve">Assistance to </w:t>
      </w:r>
      <w:r w:rsidR="001540AF" w:rsidRPr="00E249E2">
        <w:t>Assess</w:t>
      </w:r>
      <w:r w:rsidR="00574C25">
        <w:t xml:space="preserve"> Responses</w:t>
      </w:r>
    </w:p>
    <w:p w14:paraId="31275914" w14:textId="2BA3E2BE" w:rsidR="001540AF" w:rsidRPr="00DD60D0" w:rsidRDefault="00427C4D" w:rsidP="00813532">
      <w:pPr>
        <w:pStyle w:val="ListNumber3"/>
      </w:pPr>
      <w:r>
        <w:t>CAV</w:t>
      </w:r>
      <w:r w:rsidR="001540AF" w:rsidRPr="00DD60D0">
        <w:t xml:space="preserve"> reserves the right to </w:t>
      </w:r>
      <w:r w:rsidR="00AA3979">
        <w:t xml:space="preserve">engage </w:t>
      </w:r>
      <w:r w:rsidR="00EB427C">
        <w:t>representative</w:t>
      </w:r>
      <w:r w:rsidR="00AA3979">
        <w:t>s of other Victorian government departments or</w:t>
      </w:r>
      <w:r w:rsidR="00EB427C">
        <w:t xml:space="preserve"> </w:t>
      </w:r>
      <w:r w:rsidR="001540AF" w:rsidRPr="00DD60D0">
        <w:t>third</w:t>
      </w:r>
      <w:r w:rsidR="00D855F6">
        <w:t>-</w:t>
      </w:r>
      <w:r w:rsidR="001540AF" w:rsidRPr="00DD60D0">
        <w:t xml:space="preserve">party </w:t>
      </w:r>
      <w:r w:rsidR="00C57D4A">
        <w:t>consultant</w:t>
      </w:r>
      <w:r w:rsidR="00AA3979">
        <w:t>s</w:t>
      </w:r>
      <w:r w:rsidR="00C57D4A">
        <w:t xml:space="preserve"> or contractor</w:t>
      </w:r>
      <w:r w:rsidR="00AA3979">
        <w:t>s</w:t>
      </w:r>
      <w:r w:rsidR="00C57D4A">
        <w:t xml:space="preserve"> </w:t>
      </w:r>
      <w:r w:rsidR="001540AF" w:rsidRPr="00DD60D0">
        <w:t xml:space="preserve">to </w:t>
      </w:r>
      <w:r w:rsidR="00AA3979">
        <w:t>assist CAV assess</w:t>
      </w:r>
      <w:r w:rsidR="00E05A7D">
        <w:t xml:space="preserve"> Responses</w:t>
      </w:r>
      <w:r w:rsidR="003210B3">
        <w:t xml:space="preserve"> and formal grant applications</w:t>
      </w:r>
      <w:r w:rsidR="001540AF" w:rsidRPr="00DD60D0">
        <w:t>.</w:t>
      </w:r>
    </w:p>
    <w:p w14:paraId="4D911155" w14:textId="77777777" w:rsidR="001540AF" w:rsidRPr="00E249E2" w:rsidRDefault="001540AF" w:rsidP="00813532">
      <w:pPr>
        <w:pStyle w:val="ListNumber2"/>
      </w:pPr>
      <w:r w:rsidRPr="00E249E2">
        <w:t>Format of Response</w:t>
      </w:r>
    </w:p>
    <w:p w14:paraId="6F61D90E" w14:textId="77F9394B" w:rsidR="006D4B87" w:rsidRDefault="00DD60D0" w:rsidP="00963C78">
      <w:pPr>
        <w:pStyle w:val="ListNumber3"/>
      </w:pPr>
      <w:r w:rsidRPr="00DD60D0">
        <w:t xml:space="preserve">The </w:t>
      </w:r>
      <w:r w:rsidR="000B50B9">
        <w:t>R</w:t>
      </w:r>
      <w:r w:rsidR="00574C25">
        <w:t xml:space="preserve">espondent must </w:t>
      </w:r>
      <w:r w:rsidR="00972652">
        <w:t xml:space="preserve">prepare their Response by completing </w:t>
      </w:r>
      <w:r w:rsidR="00574C25">
        <w:t xml:space="preserve">the </w:t>
      </w:r>
      <w:r w:rsidR="00AC5889">
        <w:t>Response and Certification f</w:t>
      </w:r>
      <w:r w:rsidR="00C57D4A">
        <w:t>orm, including</w:t>
      </w:r>
      <w:r w:rsidR="00972652">
        <w:t xml:space="preserve"> providing the information requested</w:t>
      </w:r>
      <w:r w:rsidR="00C57D4A" w:rsidRPr="00C57D4A">
        <w:t xml:space="preserve"> </w:t>
      </w:r>
      <w:r w:rsidR="00C57D4A">
        <w:t xml:space="preserve">in </w:t>
      </w:r>
      <w:r w:rsidR="00C57D4A" w:rsidRPr="00DB0D94">
        <w:t xml:space="preserve">Schedules 1 to </w:t>
      </w:r>
      <w:r w:rsidR="00A70C46">
        <w:t>6</w:t>
      </w:r>
      <w:r w:rsidR="001540AF" w:rsidRPr="00DD60D0">
        <w:t xml:space="preserve">. </w:t>
      </w:r>
    </w:p>
    <w:p w14:paraId="17D0EC45" w14:textId="77777777" w:rsidR="001540AF" w:rsidRPr="00E249E2" w:rsidRDefault="001540AF" w:rsidP="00813532">
      <w:pPr>
        <w:pStyle w:val="ListNumber2"/>
      </w:pPr>
      <w:r w:rsidRPr="00E249E2">
        <w:t>Legal Entity</w:t>
      </w:r>
    </w:p>
    <w:p w14:paraId="4504C20C" w14:textId="77777777" w:rsidR="001540AF" w:rsidRPr="00D71AD2" w:rsidRDefault="00DB1206" w:rsidP="00813532">
      <w:pPr>
        <w:pStyle w:val="ListNumber3"/>
      </w:pPr>
      <w:r>
        <w:t xml:space="preserve">The </w:t>
      </w:r>
      <w:r w:rsidR="0003639B">
        <w:t>Respondent</w:t>
      </w:r>
      <w:r w:rsidR="001540AF" w:rsidRPr="00D71AD2">
        <w:t xml:space="preserve"> must provide </w:t>
      </w:r>
      <w:r w:rsidR="007B0F77">
        <w:t>evidence of</w:t>
      </w:r>
      <w:r w:rsidR="001540AF" w:rsidRPr="00D71AD2">
        <w:t xml:space="preserve"> </w:t>
      </w:r>
      <w:r w:rsidR="00E72751">
        <w:t>its</w:t>
      </w:r>
      <w:r w:rsidR="00E72751" w:rsidRPr="00D71AD2">
        <w:t xml:space="preserve"> </w:t>
      </w:r>
      <w:r w:rsidR="001540AF" w:rsidRPr="00D71AD2">
        <w:t xml:space="preserve">legal status. </w:t>
      </w:r>
      <w:r w:rsidR="00427C4D">
        <w:t>CAV</w:t>
      </w:r>
      <w:r w:rsidR="003538F3" w:rsidRPr="00D71AD2">
        <w:t xml:space="preserve"> can only </w:t>
      </w:r>
      <w:proofErr w:type="gramStart"/>
      <w:r w:rsidR="003538F3" w:rsidRPr="00D71AD2">
        <w:t>enter into</w:t>
      </w:r>
      <w:proofErr w:type="gramEnd"/>
      <w:r w:rsidR="003538F3" w:rsidRPr="00D71AD2">
        <w:t xml:space="preserve"> a legal agreement/contract with an organi</w:t>
      </w:r>
      <w:r w:rsidR="00E72751">
        <w:t>s</w:t>
      </w:r>
      <w:r w:rsidR="003538F3" w:rsidRPr="00D71AD2">
        <w:t>atio</w:t>
      </w:r>
      <w:r w:rsidR="0038039C">
        <w:t>n</w:t>
      </w:r>
      <w:r w:rsidR="003538F3" w:rsidRPr="00D71AD2">
        <w:t xml:space="preserve"> with legal capacity establishe</w:t>
      </w:r>
      <w:r w:rsidR="00E05A7D">
        <w:t>d</w:t>
      </w:r>
      <w:r w:rsidR="003538F3" w:rsidRPr="00D71AD2">
        <w:t xml:space="preserve"> under</w:t>
      </w:r>
      <w:r w:rsidR="001540AF" w:rsidRPr="00D71AD2">
        <w:t>:</w:t>
      </w:r>
    </w:p>
    <w:p w14:paraId="62951BED" w14:textId="77777777" w:rsidR="003538F3" w:rsidRPr="00813532" w:rsidRDefault="003538F3" w:rsidP="00813532">
      <w:pPr>
        <w:pStyle w:val="ListBullet"/>
      </w:pPr>
      <w:r w:rsidRPr="00813532">
        <w:t>The Associations Incorporation Reform Act 2012 (Vic</w:t>
      </w:r>
      <w:proofErr w:type="gramStart"/>
      <w:r w:rsidRPr="00813532">
        <w:t>);</w:t>
      </w:r>
      <w:proofErr w:type="gramEnd"/>
    </w:p>
    <w:p w14:paraId="0D5D3D93" w14:textId="77777777" w:rsidR="003538F3" w:rsidRPr="00813532" w:rsidRDefault="003538F3" w:rsidP="00813532">
      <w:pPr>
        <w:pStyle w:val="ListBullet"/>
      </w:pPr>
      <w:r w:rsidRPr="00813532">
        <w:t>The Co-operatives National Law (Victoria</w:t>
      </w:r>
      <w:proofErr w:type="gramStart"/>
      <w:r w:rsidRPr="00813532">
        <w:t>);</w:t>
      </w:r>
      <w:proofErr w:type="gramEnd"/>
    </w:p>
    <w:p w14:paraId="4D0FE826" w14:textId="77777777" w:rsidR="003538F3" w:rsidRPr="00813532" w:rsidRDefault="003538F3" w:rsidP="00813532">
      <w:pPr>
        <w:pStyle w:val="ListBullet"/>
      </w:pPr>
      <w:r w:rsidRPr="00813532">
        <w:t>The Corporations Act 2001 (</w:t>
      </w:r>
      <w:proofErr w:type="spellStart"/>
      <w:r w:rsidRPr="00813532">
        <w:t>Cth</w:t>
      </w:r>
      <w:proofErr w:type="spellEnd"/>
      <w:proofErr w:type="gramStart"/>
      <w:r w:rsidRPr="00813532">
        <w:t>);</w:t>
      </w:r>
      <w:proofErr w:type="gramEnd"/>
    </w:p>
    <w:p w14:paraId="7649D909" w14:textId="77777777" w:rsidR="003538F3" w:rsidRPr="00813532" w:rsidRDefault="003538F3" w:rsidP="00813532">
      <w:pPr>
        <w:pStyle w:val="ListBullet"/>
      </w:pPr>
      <w:r w:rsidRPr="00813532">
        <w:t>The Health Services Act 1988 (Vic</w:t>
      </w:r>
      <w:proofErr w:type="gramStart"/>
      <w:r w:rsidRPr="00813532">
        <w:t>);</w:t>
      </w:r>
      <w:proofErr w:type="gramEnd"/>
    </w:p>
    <w:p w14:paraId="0A18294E" w14:textId="77777777" w:rsidR="003538F3" w:rsidRPr="00D71AD2" w:rsidRDefault="003538F3" w:rsidP="00813532">
      <w:pPr>
        <w:pStyle w:val="ListBullet"/>
      </w:pPr>
      <w:r w:rsidRPr="00813532">
        <w:t>The Trustee Act 1958 (Vic);</w:t>
      </w:r>
      <w:r w:rsidRPr="00D71AD2">
        <w:t xml:space="preserve"> or</w:t>
      </w:r>
    </w:p>
    <w:p w14:paraId="5BF552B3" w14:textId="77777777" w:rsidR="003538F3" w:rsidRPr="00D71AD2" w:rsidRDefault="003538F3" w:rsidP="00813532">
      <w:pPr>
        <w:pStyle w:val="ListBullet"/>
      </w:pPr>
      <w:r w:rsidRPr="00D71AD2">
        <w:t>An individual Act of Parliament.</w:t>
      </w:r>
    </w:p>
    <w:p w14:paraId="6D729429" w14:textId="77777777" w:rsidR="001540AF" w:rsidRPr="00D71AD2" w:rsidRDefault="00C57D4A" w:rsidP="00813532">
      <w:pPr>
        <w:pStyle w:val="ListNumber3"/>
      </w:pPr>
      <w:r>
        <w:t xml:space="preserve">Respondents </w:t>
      </w:r>
      <w:r w:rsidR="00076737">
        <w:t>are expected to</w:t>
      </w:r>
      <w:r w:rsidR="001540AF" w:rsidRPr="00D71AD2">
        <w:t xml:space="preserve"> </w:t>
      </w:r>
      <w:r>
        <w:t>be registered for GST and hold</w:t>
      </w:r>
      <w:r w:rsidRPr="00D71AD2">
        <w:t xml:space="preserve"> </w:t>
      </w:r>
      <w:r w:rsidR="001540AF" w:rsidRPr="00D71AD2">
        <w:t>an Australian Business Number (ABN</w:t>
      </w:r>
      <w:r>
        <w:t>)</w:t>
      </w:r>
      <w:r w:rsidR="001540AF" w:rsidRPr="00D71AD2">
        <w:t>.</w:t>
      </w:r>
    </w:p>
    <w:p w14:paraId="5FAAE1C1" w14:textId="77777777" w:rsidR="001540AF" w:rsidRPr="00D71AD2" w:rsidRDefault="00C57D4A" w:rsidP="00813532">
      <w:pPr>
        <w:pStyle w:val="Heading2"/>
      </w:pPr>
      <w:r>
        <w:t xml:space="preserve"> </w:t>
      </w:r>
      <w:bookmarkStart w:id="9" w:name="_Toc474852893"/>
      <w:bookmarkStart w:id="10" w:name="_Toc474852894"/>
      <w:bookmarkStart w:id="11" w:name="_Toc474852897"/>
      <w:bookmarkStart w:id="12" w:name="_Toc363031661"/>
      <w:bookmarkStart w:id="13" w:name="_Toc363275516"/>
      <w:bookmarkStart w:id="14" w:name="_Toc363283095"/>
      <w:bookmarkStart w:id="15" w:name="_Toc363283256"/>
      <w:bookmarkStart w:id="16" w:name="_Toc363283763"/>
      <w:bookmarkStart w:id="17" w:name="_Toc365871634"/>
      <w:bookmarkStart w:id="18" w:name="_Toc365871958"/>
      <w:bookmarkStart w:id="19" w:name="_Toc365873146"/>
      <w:bookmarkStart w:id="20" w:name="_Toc400356940"/>
      <w:bookmarkStart w:id="21" w:name="_Toc400935812"/>
      <w:bookmarkStart w:id="22" w:name="_Toc400936101"/>
      <w:bookmarkStart w:id="23" w:name="_Toc400936375"/>
      <w:bookmarkStart w:id="24" w:name="_Toc400936441"/>
      <w:bookmarkStart w:id="25" w:name="_Toc400936584"/>
      <w:bookmarkStart w:id="26" w:name="_Toc26173118"/>
      <w:bookmarkStart w:id="27" w:name="_Toc475364621"/>
      <w:bookmarkStart w:id="28" w:name="_Toc475461684"/>
      <w:bookmarkStart w:id="29" w:name="_Toc150778665"/>
      <w:bookmarkEnd w:id="9"/>
      <w:bookmarkEnd w:id="10"/>
      <w:bookmarkEnd w:id="11"/>
      <w:r w:rsidR="001540AF" w:rsidRPr="00D71AD2">
        <w:t xml:space="preserve">Lodgement of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03639B">
        <w:t>Responses</w:t>
      </w:r>
      <w:bookmarkEnd w:id="27"/>
      <w:bookmarkEnd w:id="28"/>
      <w:bookmarkEnd w:id="29"/>
      <w:r w:rsidR="00945E26" w:rsidRPr="00D71AD2">
        <w:t xml:space="preserve"> </w:t>
      </w:r>
    </w:p>
    <w:p w14:paraId="39A38281" w14:textId="2F17EA82" w:rsidR="009B2BC3" w:rsidRPr="00FC3078" w:rsidRDefault="00C57D4A" w:rsidP="00813532">
      <w:pPr>
        <w:pStyle w:val="ListNumber2"/>
      </w:pPr>
      <w:r>
        <w:t>T</w:t>
      </w:r>
      <w:r w:rsidR="00DB1206">
        <w:t xml:space="preserve">he </w:t>
      </w:r>
      <w:r w:rsidR="0003639B">
        <w:t>Respondent</w:t>
      </w:r>
      <w:r w:rsidR="009B2BC3" w:rsidRPr="00D71AD2">
        <w:t xml:space="preserve"> must </w:t>
      </w:r>
      <w:r w:rsidR="00A11316" w:rsidRPr="00D71AD2">
        <w:t xml:space="preserve">lodge </w:t>
      </w:r>
      <w:r w:rsidR="009B2BC3" w:rsidRPr="00D71AD2">
        <w:t xml:space="preserve">their </w:t>
      </w:r>
      <w:r w:rsidR="0003639B">
        <w:t>Response</w:t>
      </w:r>
      <w:r w:rsidR="009B2BC3" w:rsidRPr="00D71AD2">
        <w:t xml:space="preserve"> electronically via </w:t>
      </w:r>
      <w:r w:rsidR="00C23293">
        <w:t>email</w:t>
      </w:r>
      <w:r w:rsidR="009B2BC3" w:rsidRPr="00D71AD2">
        <w:t xml:space="preserve"> </w:t>
      </w:r>
      <w:r w:rsidR="00A06884">
        <w:t xml:space="preserve">in accordance with the </w:t>
      </w:r>
      <w:r w:rsidR="005F516A">
        <w:t xml:space="preserve">response </w:t>
      </w:r>
      <w:r w:rsidR="00A06884">
        <w:t>submission requirements set out in</w:t>
      </w:r>
      <w:r w:rsidR="009B2BC3" w:rsidRPr="00D71AD2">
        <w:t xml:space="preserve"> the </w:t>
      </w:r>
      <w:r w:rsidR="0003639B">
        <w:t>EOI</w:t>
      </w:r>
      <w:r w:rsidR="00DA58EA" w:rsidRPr="00D71AD2">
        <w:t>.</w:t>
      </w:r>
    </w:p>
    <w:p w14:paraId="50D25D16" w14:textId="77777777" w:rsidR="008D10AC" w:rsidRDefault="008D10AC">
      <w:pPr>
        <w:pStyle w:val="ListNumber2"/>
      </w:pPr>
      <w:r>
        <w:t>It is the Respondent’s responsibility to adhere to all response and application submission instructions, including submission times and dates specified in the Documents.</w:t>
      </w:r>
    </w:p>
    <w:p w14:paraId="314A071C" w14:textId="77777777" w:rsidR="001540AF" w:rsidRPr="00E249E2" w:rsidRDefault="00591C0C" w:rsidP="00813532">
      <w:pPr>
        <w:pStyle w:val="ListNumber2"/>
      </w:pPr>
      <w:r w:rsidRPr="00E249E2">
        <w:t xml:space="preserve">CAV </w:t>
      </w:r>
      <w:r w:rsidR="001540AF" w:rsidRPr="00E249E2">
        <w:rPr>
          <w:color w:val="000000"/>
        </w:rPr>
        <w:t>officers</w:t>
      </w:r>
      <w:r w:rsidR="001540AF" w:rsidRPr="00E249E2">
        <w:t xml:space="preserve"> cannot accept responsibility for lodging </w:t>
      </w:r>
      <w:r w:rsidR="0003639B" w:rsidRPr="00E249E2">
        <w:t>Response</w:t>
      </w:r>
      <w:r w:rsidR="001540AF" w:rsidRPr="00E249E2">
        <w:t>s on behalf of</w:t>
      </w:r>
      <w:r w:rsidRPr="00E249E2">
        <w:t xml:space="preserve"> the</w:t>
      </w:r>
      <w:r w:rsidR="001540AF" w:rsidRPr="00E249E2">
        <w:t xml:space="preserve"> </w:t>
      </w:r>
      <w:r w:rsidR="0003639B" w:rsidRPr="00E249E2">
        <w:t>Respondent</w:t>
      </w:r>
      <w:r w:rsidR="001540AF" w:rsidRPr="00E249E2">
        <w:t>.</w:t>
      </w:r>
    </w:p>
    <w:p w14:paraId="7FFF8925" w14:textId="77777777" w:rsidR="001540AF" w:rsidRPr="00D71AD2" w:rsidRDefault="0003639B" w:rsidP="00813532">
      <w:pPr>
        <w:pStyle w:val="ListNumber2"/>
      </w:pPr>
      <w:r>
        <w:t>Response</w:t>
      </w:r>
      <w:r w:rsidR="001540AF" w:rsidRPr="00D71AD2">
        <w:t xml:space="preserve">s must be signed and dated by an authorised </w:t>
      </w:r>
      <w:r w:rsidR="00591C0C">
        <w:t>representative</w:t>
      </w:r>
      <w:r w:rsidR="00591C0C" w:rsidRPr="00D71AD2">
        <w:t xml:space="preserve"> </w:t>
      </w:r>
      <w:r w:rsidR="001540AF" w:rsidRPr="00D71AD2">
        <w:t xml:space="preserve">of the </w:t>
      </w:r>
      <w:r>
        <w:t>Respondent</w:t>
      </w:r>
      <w:r w:rsidR="001540AF" w:rsidRPr="00D71AD2">
        <w:t>.</w:t>
      </w:r>
    </w:p>
    <w:p w14:paraId="093D57B1" w14:textId="77777777" w:rsidR="001540AF" w:rsidRPr="00D71AD2" w:rsidRDefault="00591C0C" w:rsidP="00813532">
      <w:pPr>
        <w:pStyle w:val="ListNumber2"/>
      </w:pPr>
      <w:r>
        <w:t>CAV will acknowledge receipt of Responses by email to the Respondent’s representative.</w:t>
      </w:r>
      <w:r w:rsidR="00D855F6">
        <w:t xml:space="preserve"> </w:t>
      </w:r>
    </w:p>
    <w:p w14:paraId="1159CF89" w14:textId="77777777" w:rsidR="00720E6F" w:rsidRPr="00D71AD2" w:rsidRDefault="00720E6F" w:rsidP="00813532">
      <w:pPr>
        <w:pStyle w:val="Heading2"/>
      </w:pPr>
      <w:bookmarkStart w:id="30" w:name="_Toc475364622"/>
      <w:bookmarkStart w:id="31" w:name="_Toc475461685"/>
      <w:bookmarkStart w:id="32" w:name="_Toc150778666"/>
      <w:r w:rsidRPr="00D71AD2">
        <w:t xml:space="preserve">Late </w:t>
      </w:r>
      <w:r w:rsidR="0003639B">
        <w:t>Response</w:t>
      </w:r>
      <w:r w:rsidRPr="00D71AD2">
        <w:t>s</w:t>
      </w:r>
      <w:bookmarkEnd w:id="30"/>
      <w:bookmarkEnd w:id="31"/>
      <w:bookmarkEnd w:id="32"/>
    </w:p>
    <w:p w14:paraId="3D7B7105" w14:textId="7748D7A0" w:rsidR="00420ABC" w:rsidRPr="00D71AD2" w:rsidRDefault="00A06884" w:rsidP="00813532">
      <w:pPr>
        <w:pStyle w:val="ListNumber2"/>
      </w:pPr>
      <w:r>
        <w:t xml:space="preserve">Emailed </w:t>
      </w:r>
      <w:r w:rsidR="0003639B">
        <w:t>Response</w:t>
      </w:r>
      <w:r w:rsidR="00420ABC" w:rsidRPr="00D71AD2">
        <w:t xml:space="preserve">s must be </w:t>
      </w:r>
      <w:r w:rsidR="00873026">
        <w:t>received by CAV</w:t>
      </w:r>
      <w:r w:rsidR="00873026" w:rsidRPr="00D71AD2">
        <w:t xml:space="preserve"> </w:t>
      </w:r>
      <w:r w:rsidR="00420ABC" w:rsidRPr="00D71AD2">
        <w:t>by</w:t>
      </w:r>
      <w:r>
        <w:t xml:space="preserve"> no later than</w:t>
      </w:r>
      <w:r w:rsidR="00420ABC" w:rsidRPr="00D71AD2">
        <w:t xml:space="preserve"> </w:t>
      </w:r>
      <w:r w:rsidR="006C0969">
        <w:t>4</w:t>
      </w:r>
      <w:r>
        <w:t xml:space="preserve">pm on </w:t>
      </w:r>
      <w:r w:rsidR="00420ABC" w:rsidRPr="00D71AD2">
        <w:t xml:space="preserve">the </w:t>
      </w:r>
      <w:r w:rsidR="00691B45">
        <w:t xml:space="preserve">Response </w:t>
      </w:r>
      <w:r w:rsidR="005F516A">
        <w:t>c</w:t>
      </w:r>
      <w:r w:rsidR="00420ABC" w:rsidRPr="00D71AD2">
        <w:t xml:space="preserve">losing </w:t>
      </w:r>
      <w:r w:rsidR="005F516A">
        <w:t>d</w:t>
      </w:r>
      <w:r w:rsidR="00691B45">
        <w:t>ate</w:t>
      </w:r>
      <w:r w:rsidR="005F516A">
        <w:t xml:space="preserve"> as specified in the EOI (Response Closing Time)</w:t>
      </w:r>
      <w:r w:rsidR="00420ABC" w:rsidRPr="00D71AD2">
        <w:t xml:space="preserve">. </w:t>
      </w:r>
      <w:r w:rsidR="005F516A">
        <w:t>The time to lodge responses</w:t>
      </w:r>
      <w:r w:rsidR="00420ABC" w:rsidRPr="00D71AD2">
        <w:t xml:space="preserve"> may be extended by </w:t>
      </w:r>
      <w:r w:rsidR="00427C4D">
        <w:t>CAV</w:t>
      </w:r>
      <w:r w:rsidR="00420ABC" w:rsidRPr="00D71AD2">
        <w:t xml:space="preserve"> in its absolute discretion</w:t>
      </w:r>
      <w:r w:rsidR="00FF43F8">
        <w:t>.</w:t>
      </w:r>
    </w:p>
    <w:p w14:paraId="43AB93C6" w14:textId="77777777" w:rsidR="005F516A" w:rsidRPr="00D71AD2" w:rsidRDefault="005F516A" w:rsidP="00813532">
      <w:pPr>
        <w:pStyle w:val="ListNumber2"/>
      </w:pPr>
      <w:r w:rsidRPr="00D71AD2">
        <w:t xml:space="preserve">The determination of </w:t>
      </w:r>
      <w:r>
        <w:t>CAV</w:t>
      </w:r>
      <w:r w:rsidRPr="00D71AD2">
        <w:t xml:space="preserve"> as to the actual time that a</w:t>
      </w:r>
      <w:r>
        <w:t xml:space="preserve"> Response </w:t>
      </w:r>
      <w:r w:rsidRPr="00D71AD2">
        <w:t xml:space="preserve">is </w:t>
      </w:r>
      <w:r>
        <w:t>received</w:t>
      </w:r>
      <w:r w:rsidRPr="00D71AD2">
        <w:t xml:space="preserve"> is final.  All </w:t>
      </w:r>
      <w:r>
        <w:t>late Response</w:t>
      </w:r>
      <w:r w:rsidRPr="00D71AD2">
        <w:t xml:space="preserve">s will be recorded by </w:t>
      </w:r>
      <w:r>
        <w:t>CAV</w:t>
      </w:r>
      <w:r w:rsidRPr="00D71AD2">
        <w:t>.</w:t>
      </w:r>
      <w:r>
        <w:t xml:space="preserve"> CAV will notify any Respondent whose Response is received late.</w:t>
      </w:r>
      <w:r w:rsidRPr="00D71AD2">
        <w:t xml:space="preserve"> </w:t>
      </w:r>
    </w:p>
    <w:p w14:paraId="2850ED4C" w14:textId="4085043E" w:rsidR="00EF24F0" w:rsidRDefault="005F516A" w:rsidP="00813532">
      <w:pPr>
        <w:pStyle w:val="ListNumber2"/>
      </w:pPr>
      <w:r>
        <w:t xml:space="preserve">Subject to CAV’s sole discretion, </w:t>
      </w:r>
      <w:r w:rsidR="0003639B">
        <w:t>Response</w:t>
      </w:r>
      <w:r w:rsidR="00420ABC" w:rsidRPr="00D71AD2">
        <w:t xml:space="preserve">s lodged </w:t>
      </w:r>
      <w:r w:rsidR="00691B45">
        <w:t>late or</w:t>
      </w:r>
      <w:r w:rsidR="00420ABC" w:rsidRPr="00D71AD2">
        <w:t xml:space="preserve"> in a manner that is contrary to </w:t>
      </w:r>
      <w:r>
        <w:t>the submission requirements</w:t>
      </w:r>
      <w:r w:rsidR="00420ABC" w:rsidRPr="00D71AD2">
        <w:t xml:space="preserve"> specified in </w:t>
      </w:r>
      <w:r w:rsidR="009C1114">
        <w:t>the EOI</w:t>
      </w:r>
      <w:r w:rsidR="00420ABC" w:rsidRPr="00D71AD2">
        <w:t xml:space="preserve"> </w:t>
      </w:r>
      <w:r w:rsidR="00691B45">
        <w:t>will not be considered</w:t>
      </w:r>
      <w:r w:rsidR="00EF24F0">
        <w:t xml:space="preserve"> unless:</w:t>
      </w:r>
    </w:p>
    <w:p w14:paraId="43AC3255" w14:textId="77777777" w:rsidR="008D10AC" w:rsidRDefault="00420ABC" w:rsidP="008D10AC">
      <w:pPr>
        <w:pStyle w:val="ListNumber3"/>
      </w:pPr>
      <w:r w:rsidRPr="00E249E2">
        <w:t xml:space="preserve"> </w:t>
      </w:r>
      <w:r w:rsidR="008D10AC" w:rsidRPr="008D10AC">
        <w:t xml:space="preserve">the </w:t>
      </w:r>
      <w:r w:rsidR="008D10AC">
        <w:t>Respondent</w:t>
      </w:r>
      <w:r w:rsidR="008D10AC" w:rsidRPr="008D10AC">
        <w:t xml:space="preserve"> can clearly document to the satisfaction of CAV that an event of exceptional circumstances caused the </w:t>
      </w:r>
      <w:r w:rsidR="008D10AC">
        <w:t>Response</w:t>
      </w:r>
      <w:r w:rsidR="008D10AC" w:rsidRPr="008D10AC">
        <w:t xml:space="preserve"> to be lodged late; and</w:t>
      </w:r>
    </w:p>
    <w:p w14:paraId="4013C9C9" w14:textId="77777777" w:rsidR="00420ABC" w:rsidRPr="00D71AD2" w:rsidRDefault="00EF24F0" w:rsidP="00813532">
      <w:pPr>
        <w:pStyle w:val="ListNumber3"/>
      </w:pPr>
      <w:r w:rsidRPr="00972652">
        <w:t xml:space="preserve">CAV is satisfied that accepting a late submission would not compromise the integrity of the </w:t>
      </w:r>
      <w:r w:rsidR="009C1114">
        <w:t>EOI Process</w:t>
      </w:r>
      <w:r w:rsidRPr="00972652">
        <w:t>.</w:t>
      </w:r>
    </w:p>
    <w:p w14:paraId="5230F4DE" w14:textId="77777777" w:rsidR="000B491A" w:rsidRDefault="000B491A" w:rsidP="00813532">
      <w:pPr>
        <w:pStyle w:val="Heading2"/>
      </w:pPr>
      <w:bookmarkStart w:id="33" w:name="_Toc475364623"/>
      <w:bookmarkStart w:id="34" w:name="_Toc475461686"/>
      <w:bookmarkStart w:id="35" w:name="_Toc150778667"/>
      <w:r w:rsidRPr="00E249E2">
        <w:t>Errors in a Response</w:t>
      </w:r>
      <w:bookmarkEnd w:id="33"/>
      <w:bookmarkEnd w:id="34"/>
      <w:bookmarkEnd w:id="35"/>
    </w:p>
    <w:p w14:paraId="3B2EC21D" w14:textId="77777777" w:rsidR="000B491A" w:rsidRPr="000B491A" w:rsidRDefault="000B491A" w:rsidP="00813532">
      <w:pPr>
        <w:pStyle w:val="ListNumber2"/>
      </w:pPr>
      <w:r w:rsidRPr="000B491A">
        <w:t>If a Respondent identifies an error in their Response (excluding clerical errors which would have no bearing on the evaluation), they must promptly notify CAV.</w:t>
      </w:r>
    </w:p>
    <w:p w14:paraId="0BD9A7BB" w14:textId="77777777" w:rsidR="00420ABC" w:rsidRPr="00D71AD2" w:rsidRDefault="000B491A" w:rsidP="00813532">
      <w:pPr>
        <w:pStyle w:val="ListNumber2"/>
      </w:pPr>
      <w:r w:rsidRPr="000B491A">
        <w:t xml:space="preserve">CAV may permit a Respondent to correct an unintentional error in their Response where that error becomes known or apparent after the </w:t>
      </w:r>
      <w:r w:rsidR="005F516A">
        <w:t xml:space="preserve">Response </w:t>
      </w:r>
      <w:r w:rsidRPr="000B491A">
        <w:t xml:space="preserve">Closing </w:t>
      </w:r>
      <w:proofErr w:type="gramStart"/>
      <w:r w:rsidRPr="000B491A">
        <w:t>Time, but</w:t>
      </w:r>
      <w:proofErr w:type="gramEnd"/>
      <w:r w:rsidRPr="000B491A">
        <w:t xml:space="preserve"> </w:t>
      </w:r>
      <w:r w:rsidR="009C1114">
        <w:t>may refuse to permit a</w:t>
      </w:r>
      <w:r w:rsidRPr="000B491A">
        <w:t xml:space="preserve"> correction if CAV reasonably considers that the correction would materially alter the Response.</w:t>
      </w:r>
    </w:p>
    <w:p w14:paraId="38047891" w14:textId="77777777" w:rsidR="001540AF" w:rsidRPr="00D71AD2" w:rsidRDefault="001540AF" w:rsidP="00813532">
      <w:pPr>
        <w:pStyle w:val="Heading2"/>
      </w:pPr>
      <w:bookmarkStart w:id="36" w:name="_Toc26173119"/>
      <w:bookmarkStart w:id="37" w:name="_Toc475364624"/>
      <w:bookmarkStart w:id="38" w:name="_Toc475461687"/>
      <w:bookmarkStart w:id="39" w:name="_Toc150778668"/>
      <w:bookmarkStart w:id="40" w:name="_Toc363031662"/>
      <w:bookmarkStart w:id="41" w:name="_Toc363275517"/>
      <w:bookmarkStart w:id="42" w:name="_Toc363283096"/>
      <w:bookmarkStart w:id="43" w:name="_Toc363283257"/>
      <w:bookmarkStart w:id="44" w:name="_Toc363283764"/>
      <w:bookmarkStart w:id="45" w:name="_Toc365871635"/>
      <w:bookmarkStart w:id="46" w:name="_Toc365871959"/>
      <w:bookmarkStart w:id="47" w:name="_Toc365873147"/>
      <w:bookmarkStart w:id="48" w:name="_Toc400356941"/>
      <w:bookmarkStart w:id="49" w:name="_Toc400935813"/>
      <w:bookmarkStart w:id="50" w:name="_Toc400936102"/>
      <w:bookmarkStart w:id="51" w:name="_Toc400936376"/>
      <w:bookmarkStart w:id="52" w:name="_Toc400936442"/>
      <w:bookmarkStart w:id="53" w:name="_Toc400936585"/>
      <w:r w:rsidRPr="00D71AD2">
        <w:t>Requests for Further Information</w:t>
      </w:r>
      <w:bookmarkEnd w:id="36"/>
      <w:bookmarkEnd w:id="37"/>
      <w:bookmarkEnd w:id="38"/>
      <w:bookmarkEnd w:id="39"/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1E921F08" w14:textId="77777777" w:rsidR="001540AF" w:rsidRPr="00D71AD2" w:rsidRDefault="001540AF" w:rsidP="00813532">
      <w:pPr>
        <w:pStyle w:val="ListNumber2"/>
      </w:pPr>
      <w:r w:rsidRPr="00D71AD2">
        <w:t>Clarification Processes</w:t>
      </w:r>
    </w:p>
    <w:p w14:paraId="66BD2CE7" w14:textId="4A00A6C0" w:rsidR="00BB7E8B" w:rsidRDefault="001540AF" w:rsidP="00813532">
      <w:pPr>
        <w:pStyle w:val="ListNumber3"/>
      </w:pPr>
      <w:r w:rsidRPr="00D71AD2">
        <w:t xml:space="preserve">Prospective </w:t>
      </w:r>
      <w:r w:rsidR="0003639B">
        <w:t>Respondent</w:t>
      </w:r>
      <w:r w:rsidR="00416DC7">
        <w:t>s</w:t>
      </w:r>
      <w:r w:rsidRPr="00D71AD2">
        <w:t xml:space="preserve"> may </w:t>
      </w:r>
      <w:r w:rsidR="0003639B">
        <w:t>request clarification</w:t>
      </w:r>
      <w:r w:rsidR="00DB1206">
        <w:t>s</w:t>
      </w:r>
      <w:r w:rsidR="0003639B">
        <w:t xml:space="preserve"> </w:t>
      </w:r>
      <w:r w:rsidR="00BB7E8B">
        <w:t xml:space="preserve">regarding the EOI Process up to the End of Clarification Period </w:t>
      </w:r>
      <w:r w:rsidR="0003639B">
        <w:t xml:space="preserve">as set out in the EOI. </w:t>
      </w:r>
    </w:p>
    <w:p w14:paraId="02708033" w14:textId="77777777" w:rsidR="001540AF" w:rsidRPr="00D71AD2" w:rsidRDefault="001540AF" w:rsidP="00813532">
      <w:pPr>
        <w:pStyle w:val="ListNumber3"/>
      </w:pPr>
      <w:r w:rsidRPr="00D71AD2">
        <w:t xml:space="preserve">Oral explanations or instructions given to prospective </w:t>
      </w:r>
      <w:r w:rsidR="0003639B">
        <w:t>Respondent</w:t>
      </w:r>
      <w:r w:rsidR="00416DC7">
        <w:t>s</w:t>
      </w:r>
      <w:r w:rsidRPr="00D71AD2">
        <w:t xml:space="preserve"> shall not bind </w:t>
      </w:r>
      <w:r w:rsidR="00427C4D">
        <w:t>CAV</w:t>
      </w:r>
      <w:r w:rsidRPr="00D71AD2">
        <w:t>.</w:t>
      </w:r>
    </w:p>
    <w:p w14:paraId="30F2D5AE" w14:textId="77777777" w:rsidR="001540AF" w:rsidRPr="00D71AD2" w:rsidRDefault="001540AF" w:rsidP="00813532">
      <w:pPr>
        <w:pStyle w:val="ListNumber2"/>
      </w:pPr>
      <w:bookmarkStart w:id="54" w:name="_Toc363031665"/>
      <w:bookmarkStart w:id="55" w:name="_Toc363275520"/>
      <w:bookmarkStart w:id="56" w:name="_Toc363283099"/>
      <w:bookmarkStart w:id="57" w:name="_Toc363283260"/>
      <w:bookmarkStart w:id="58" w:name="_Toc363283767"/>
      <w:bookmarkStart w:id="59" w:name="_Toc365871638"/>
      <w:bookmarkStart w:id="60" w:name="_Toc365871962"/>
      <w:bookmarkStart w:id="61" w:name="_Toc365873150"/>
      <w:bookmarkStart w:id="62" w:name="_Toc400356944"/>
      <w:bookmarkStart w:id="63" w:name="_Toc400935816"/>
      <w:bookmarkStart w:id="64" w:name="_Toc400936105"/>
      <w:bookmarkStart w:id="65" w:name="_Toc400936379"/>
      <w:bookmarkStart w:id="66" w:name="_Toc400936445"/>
      <w:bookmarkStart w:id="67" w:name="_Toc400936588"/>
      <w:r w:rsidRPr="00D71AD2">
        <w:t>Additional Information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D71AD2">
        <w:t xml:space="preserve"> Required by </w:t>
      </w:r>
      <w:r w:rsidR="00427C4D">
        <w:t>CAV</w:t>
      </w:r>
    </w:p>
    <w:p w14:paraId="6EFC540B" w14:textId="77777777" w:rsidR="001540AF" w:rsidRPr="00D71AD2" w:rsidRDefault="00BB7E8B" w:rsidP="00813532">
      <w:pPr>
        <w:pStyle w:val="ListNumber3"/>
      </w:pPr>
      <w:r>
        <w:rPr>
          <w:color w:val="000000"/>
        </w:rPr>
        <w:t>If requested</w:t>
      </w:r>
      <w:r w:rsidR="006C63E1">
        <w:rPr>
          <w:color w:val="000000"/>
        </w:rPr>
        <w:t xml:space="preserve"> by CAV</w:t>
      </w:r>
      <w:r>
        <w:rPr>
          <w:color w:val="000000"/>
        </w:rPr>
        <w:t>, the Respondent</w:t>
      </w:r>
      <w:r w:rsidRPr="00D71AD2">
        <w:rPr>
          <w:color w:val="000000"/>
        </w:rPr>
        <w:t xml:space="preserve"> </w:t>
      </w:r>
      <w:r w:rsidR="00827AD3">
        <w:rPr>
          <w:color w:val="000000"/>
        </w:rPr>
        <w:t>will supply</w:t>
      </w:r>
      <w:r>
        <w:rPr>
          <w:color w:val="000000"/>
        </w:rPr>
        <w:t xml:space="preserve"> </w:t>
      </w:r>
      <w:r w:rsidR="006C63E1">
        <w:rPr>
          <w:color w:val="000000"/>
        </w:rPr>
        <w:t xml:space="preserve">any </w:t>
      </w:r>
      <w:r w:rsidR="001540AF" w:rsidRPr="00D71AD2">
        <w:t>additional information</w:t>
      </w:r>
      <w:r>
        <w:t xml:space="preserve"> </w:t>
      </w:r>
      <w:r w:rsidR="00827AD3">
        <w:t xml:space="preserve">reasonably required </w:t>
      </w:r>
      <w:r w:rsidR="006C63E1">
        <w:t xml:space="preserve">to </w:t>
      </w:r>
      <w:r w:rsidR="00827AD3">
        <w:t xml:space="preserve">supplement the </w:t>
      </w:r>
      <w:r w:rsidR="0003639B">
        <w:t>Response</w:t>
      </w:r>
      <w:r>
        <w:t xml:space="preserve">. </w:t>
      </w:r>
      <w:r w:rsidR="00827AD3">
        <w:t xml:space="preserve">CAV may seek </w:t>
      </w:r>
      <w:r w:rsidR="001540AF" w:rsidRPr="00D71AD2">
        <w:t xml:space="preserve">written information and/or interviews to obtain such additional information at no cost to </w:t>
      </w:r>
      <w:r w:rsidR="00427C4D">
        <w:t>CAV</w:t>
      </w:r>
      <w:r w:rsidR="001540AF" w:rsidRPr="00D71AD2">
        <w:t>.</w:t>
      </w:r>
    </w:p>
    <w:p w14:paraId="6131270D" w14:textId="77777777" w:rsidR="000840DF" w:rsidRPr="00D71AD2" w:rsidRDefault="00427C4D" w:rsidP="00813532">
      <w:pPr>
        <w:pStyle w:val="ListNumber3"/>
        <w:rPr>
          <w:color w:val="000000"/>
        </w:rPr>
      </w:pPr>
      <w:r w:rsidRPr="00E249E2">
        <w:t>CAV</w:t>
      </w:r>
      <w:r w:rsidR="00081D1C" w:rsidRPr="00E249E2">
        <w:t xml:space="preserve"> may invite some or all </w:t>
      </w:r>
      <w:r w:rsidR="0003639B" w:rsidRPr="00E249E2">
        <w:t>Respondents</w:t>
      </w:r>
      <w:r w:rsidR="00081D1C" w:rsidRPr="00E249E2">
        <w:t xml:space="preserve"> to give a presentation to </w:t>
      </w:r>
      <w:r w:rsidRPr="00E249E2">
        <w:t>CAV</w:t>
      </w:r>
      <w:r w:rsidR="00081D1C" w:rsidRPr="00E249E2">
        <w:t xml:space="preserve"> in relation to their </w:t>
      </w:r>
      <w:r w:rsidR="0003639B" w:rsidRPr="00E249E2">
        <w:t>Response</w:t>
      </w:r>
      <w:r w:rsidR="00081D1C" w:rsidRPr="00E249E2">
        <w:t xml:space="preserve">s. </w:t>
      </w:r>
      <w:r w:rsidRPr="00E249E2">
        <w:t>CAV</w:t>
      </w:r>
      <w:r w:rsidR="00081D1C" w:rsidRPr="00E249E2">
        <w:t xml:space="preserve"> is under no obligation to invite any presentations from </w:t>
      </w:r>
      <w:r w:rsidR="00DB1206" w:rsidRPr="00E249E2">
        <w:t xml:space="preserve">the </w:t>
      </w:r>
      <w:r w:rsidR="0003639B" w:rsidRPr="00E249E2">
        <w:t>Respondent</w:t>
      </w:r>
      <w:r w:rsidR="00081D1C" w:rsidRPr="00E249E2">
        <w:t>.</w:t>
      </w:r>
      <w:r w:rsidR="000840DF" w:rsidRPr="00E249E2">
        <w:t xml:space="preserve"> </w:t>
      </w:r>
    </w:p>
    <w:p w14:paraId="777D2276" w14:textId="77777777" w:rsidR="002D1AF0" w:rsidRDefault="00427C4D" w:rsidP="00963C78">
      <w:pPr>
        <w:pStyle w:val="ListNumber3"/>
      </w:pPr>
      <w:r w:rsidRPr="00E249E2">
        <w:t>CAV</w:t>
      </w:r>
      <w:r w:rsidR="00081D1C" w:rsidRPr="00E249E2">
        <w:t xml:space="preserve"> may </w:t>
      </w:r>
      <w:r w:rsidR="000840DF">
        <w:t xml:space="preserve">also </w:t>
      </w:r>
      <w:r w:rsidR="00081D1C" w:rsidRPr="00E249E2">
        <w:t xml:space="preserve">request some or all </w:t>
      </w:r>
      <w:r w:rsidR="0003639B" w:rsidRPr="00E249E2">
        <w:t>Respondent</w:t>
      </w:r>
      <w:r w:rsidR="000840DF">
        <w:t>s</w:t>
      </w:r>
      <w:r w:rsidR="00081D1C" w:rsidRPr="00E249E2">
        <w:t xml:space="preserve"> to</w:t>
      </w:r>
      <w:r w:rsidR="002D1AF0">
        <w:t>:</w:t>
      </w:r>
    </w:p>
    <w:p w14:paraId="0F9CBCCB" w14:textId="77777777" w:rsidR="009661C6" w:rsidRDefault="00081D1C" w:rsidP="009661C6">
      <w:pPr>
        <w:pStyle w:val="ListNumber3"/>
        <w:numPr>
          <w:ilvl w:val="4"/>
          <w:numId w:val="1"/>
        </w:numPr>
        <w:ind w:left="2268"/>
      </w:pPr>
      <w:r w:rsidRPr="00D71AD2" w:rsidDel="00AD1670">
        <w:t xml:space="preserve">conduct a site </w:t>
      </w:r>
      <w:proofErr w:type="gramStart"/>
      <w:r w:rsidRPr="00D71AD2" w:rsidDel="00AD1670">
        <w:t>visit;</w:t>
      </w:r>
      <w:proofErr w:type="gramEnd"/>
      <w:r w:rsidR="009661C6">
        <w:t xml:space="preserve"> </w:t>
      </w:r>
    </w:p>
    <w:p w14:paraId="329FA2FA" w14:textId="77777777" w:rsidR="009661C6" w:rsidRDefault="00081D1C" w:rsidP="009661C6">
      <w:pPr>
        <w:pStyle w:val="ListNumber3"/>
        <w:numPr>
          <w:ilvl w:val="4"/>
          <w:numId w:val="1"/>
        </w:numPr>
        <w:ind w:left="2268"/>
      </w:pPr>
      <w:r w:rsidRPr="00D71AD2">
        <w:t>provide references; and/or</w:t>
      </w:r>
      <w:r w:rsidR="009661C6">
        <w:t xml:space="preserve"> </w:t>
      </w:r>
    </w:p>
    <w:p w14:paraId="563B420A" w14:textId="10A55AF8" w:rsidR="00081D1C" w:rsidRPr="00D71AD2" w:rsidRDefault="00081D1C" w:rsidP="009661C6">
      <w:pPr>
        <w:pStyle w:val="ListNumber3"/>
        <w:numPr>
          <w:ilvl w:val="4"/>
          <w:numId w:val="1"/>
        </w:numPr>
        <w:ind w:left="2268"/>
      </w:pPr>
      <w:r w:rsidRPr="00D71AD2">
        <w:t>make themselves available for panel interviews.</w:t>
      </w:r>
    </w:p>
    <w:p w14:paraId="3A615785" w14:textId="77777777" w:rsidR="001540AF" w:rsidRPr="00D71AD2" w:rsidRDefault="001540AF" w:rsidP="00813532">
      <w:pPr>
        <w:pStyle w:val="Heading2"/>
      </w:pPr>
      <w:bookmarkStart w:id="68" w:name="_Toc474852904"/>
      <w:bookmarkStart w:id="69" w:name="_Toc26173120"/>
      <w:bookmarkStart w:id="70" w:name="_Toc475364625"/>
      <w:bookmarkStart w:id="71" w:name="_Toc475461688"/>
      <w:bookmarkStart w:id="72" w:name="_Toc150778669"/>
      <w:bookmarkEnd w:id="68"/>
      <w:r w:rsidRPr="00D71AD2">
        <w:t>Reservations</w:t>
      </w:r>
      <w:bookmarkEnd w:id="69"/>
      <w:bookmarkEnd w:id="70"/>
      <w:bookmarkEnd w:id="71"/>
      <w:bookmarkEnd w:id="72"/>
    </w:p>
    <w:p w14:paraId="436753A5" w14:textId="77777777" w:rsidR="001540AF" w:rsidRPr="00D71AD2" w:rsidRDefault="001540AF" w:rsidP="00813532">
      <w:pPr>
        <w:pStyle w:val="ListNumber2"/>
      </w:pPr>
      <w:r w:rsidRPr="00D71AD2">
        <w:t xml:space="preserve">Withdrawal </w:t>
      </w:r>
      <w:r w:rsidR="00823B0B" w:rsidRPr="00D71AD2">
        <w:t xml:space="preserve">from </w:t>
      </w:r>
      <w:r w:rsidRPr="00D71AD2">
        <w:t>Process</w:t>
      </w:r>
    </w:p>
    <w:p w14:paraId="6E00C1F9" w14:textId="77777777" w:rsidR="001540AF" w:rsidRPr="00E249E2" w:rsidRDefault="008F678E" w:rsidP="00813532">
      <w:pPr>
        <w:pStyle w:val="ListNumber3"/>
      </w:pPr>
      <w:r w:rsidRPr="00E249E2">
        <w:t>A Respondent who wishes to withdraw a previously submitted Response must immediately notify CAV. Upon receipt of such notification, CAV will cease to consider the Response.</w:t>
      </w:r>
      <w:r w:rsidR="00FA4FBA" w:rsidRPr="00E249E2">
        <w:tab/>
      </w:r>
    </w:p>
    <w:p w14:paraId="2E1E4FEA" w14:textId="77777777" w:rsidR="00227AAE" w:rsidRPr="00D71AD2" w:rsidRDefault="004023FC" w:rsidP="00813532">
      <w:pPr>
        <w:pStyle w:val="ListNumber2"/>
      </w:pPr>
      <w:r>
        <w:t>CAV</w:t>
      </w:r>
      <w:r w:rsidRPr="00D71AD2">
        <w:t xml:space="preserve">’s </w:t>
      </w:r>
      <w:r w:rsidR="00227AAE" w:rsidRPr="00D71AD2">
        <w:t>rights</w:t>
      </w:r>
    </w:p>
    <w:p w14:paraId="5BEC918F" w14:textId="77777777" w:rsidR="00227AAE" w:rsidRPr="00D71AD2" w:rsidRDefault="00227AAE" w:rsidP="00813532">
      <w:pPr>
        <w:pStyle w:val="ListNumber3"/>
      </w:pPr>
      <w:r w:rsidRPr="00D71AD2">
        <w:t xml:space="preserve">Notwithstanding anything else in this </w:t>
      </w:r>
      <w:r w:rsidR="00B702DD" w:rsidRPr="00D71AD2">
        <w:t>document</w:t>
      </w:r>
      <w:r w:rsidRPr="00D71AD2">
        <w:t xml:space="preserve">, and without limiting its rights at law or otherwise, </w:t>
      </w:r>
      <w:r w:rsidR="00427C4D">
        <w:t>CAV</w:t>
      </w:r>
      <w:r w:rsidRPr="00D71AD2">
        <w:t xml:space="preserve"> reserves the right, </w:t>
      </w:r>
      <w:r w:rsidR="00AA6A0A" w:rsidRPr="00D71AD2">
        <w:t>at</w:t>
      </w:r>
      <w:r w:rsidRPr="00D71AD2">
        <w:t xml:space="preserve"> its absolute discretion at any time, to:</w:t>
      </w:r>
    </w:p>
    <w:p w14:paraId="1D98F4B7" w14:textId="77777777" w:rsidR="00227AAE" w:rsidRPr="00D71AD2" w:rsidRDefault="00227AAE" w:rsidP="00813532">
      <w:pPr>
        <w:pStyle w:val="ListBullet"/>
      </w:pPr>
      <w:r w:rsidRPr="00D71AD2">
        <w:t xml:space="preserve">cease to proceed with, or suspend the </w:t>
      </w:r>
      <w:r w:rsidR="0003639B">
        <w:t xml:space="preserve">EOI </w:t>
      </w:r>
      <w:proofErr w:type="gramStart"/>
      <w:r w:rsidR="00325D18">
        <w:t>P</w:t>
      </w:r>
      <w:r w:rsidR="004050DA" w:rsidRPr="00D71AD2">
        <w:t>rocess</w:t>
      </w:r>
      <w:r w:rsidRPr="00D71AD2">
        <w:t>;</w:t>
      </w:r>
      <w:proofErr w:type="gramEnd"/>
    </w:p>
    <w:p w14:paraId="0FF0DB30" w14:textId="77777777" w:rsidR="00227AAE" w:rsidRPr="00D71AD2" w:rsidRDefault="00227AAE" w:rsidP="00813532">
      <w:pPr>
        <w:pStyle w:val="ListBullet"/>
      </w:pPr>
      <w:r w:rsidRPr="00D71AD2">
        <w:t>alter the structure</w:t>
      </w:r>
      <w:r w:rsidR="00276A00" w:rsidRPr="00D71AD2">
        <w:t xml:space="preserve">, including the conditions of </w:t>
      </w:r>
      <w:r w:rsidR="0003639B">
        <w:t xml:space="preserve">participation </w:t>
      </w:r>
      <w:r w:rsidR="00325D18">
        <w:t>of</w:t>
      </w:r>
      <w:r w:rsidR="00A55DE7" w:rsidRPr="00D71AD2">
        <w:t xml:space="preserve"> </w:t>
      </w:r>
      <w:r w:rsidR="00276A00" w:rsidRPr="00D71AD2">
        <w:t xml:space="preserve">the </w:t>
      </w:r>
      <w:r w:rsidR="0003639B">
        <w:t>EOI</w:t>
      </w:r>
      <w:r w:rsidR="00276A00" w:rsidRPr="00D71AD2">
        <w:t xml:space="preserve"> </w:t>
      </w:r>
      <w:proofErr w:type="gramStart"/>
      <w:r w:rsidR="00325D18">
        <w:t>P</w:t>
      </w:r>
      <w:r w:rsidR="00276A00" w:rsidRPr="00D71AD2">
        <w:t>rocess</w:t>
      </w:r>
      <w:r w:rsidR="0003639B">
        <w:t>;</w:t>
      </w:r>
      <w:proofErr w:type="gramEnd"/>
    </w:p>
    <w:p w14:paraId="26157796" w14:textId="34B7021A" w:rsidR="0068434B" w:rsidRPr="00D71AD2" w:rsidRDefault="0068434B" w:rsidP="00813532">
      <w:pPr>
        <w:pStyle w:val="ListBullet"/>
      </w:pPr>
      <w:r w:rsidRPr="00D71AD2">
        <w:t xml:space="preserve">vary or extend any time or date specified in </w:t>
      </w:r>
      <w:r w:rsidR="004023FC" w:rsidRPr="00D71AD2">
        <w:t>th</w:t>
      </w:r>
      <w:r w:rsidR="004023FC">
        <w:t>e</w:t>
      </w:r>
      <w:r w:rsidR="004023FC" w:rsidRPr="00D71AD2">
        <w:t xml:space="preserve"> </w:t>
      </w:r>
      <w:proofErr w:type="gramStart"/>
      <w:r w:rsidR="0003639B">
        <w:t>EOI</w:t>
      </w:r>
      <w:r w:rsidRPr="00D71AD2">
        <w:t>;</w:t>
      </w:r>
      <w:proofErr w:type="gramEnd"/>
    </w:p>
    <w:p w14:paraId="20998358" w14:textId="77777777" w:rsidR="00227AAE" w:rsidRPr="00D71AD2" w:rsidRDefault="00227AAE" w:rsidP="00813532">
      <w:pPr>
        <w:pStyle w:val="ListBullet"/>
      </w:pPr>
      <w:r w:rsidRPr="00D71AD2">
        <w:t xml:space="preserve">terminate the participation of any </w:t>
      </w:r>
      <w:r w:rsidR="0003639B">
        <w:t xml:space="preserve">Respondent </w:t>
      </w:r>
      <w:r w:rsidRPr="00D71AD2">
        <w:t xml:space="preserve">or any other person in the </w:t>
      </w:r>
      <w:r w:rsidR="0003639B">
        <w:t>EOI</w:t>
      </w:r>
      <w:r w:rsidRPr="00D71AD2">
        <w:t xml:space="preserve"> </w:t>
      </w:r>
      <w:proofErr w:type="gramStart"/>
      <w:r w:rsidR="00325D18">
        <w:t>P</w:t>
      </w:r>
      <w:r w:rsidR="004050DA" w:rsidRPr="00D71AD2">
        <w:t>rocess</w:t>
      </w:r>
      <w:r w:rsidRPr="00D71AD2">
        <w:t>;</w:t>
      </w:r>
      <w:proofErr w:type="gramEnd"/>
    </w:p>
    <w:p w14:paraId="3C50963E" w14:textId="77777777" w:rsidR="00716AC2" w:rsidRPr="00D71AD2" w:rsidRDefault="00227AAE" w:rsidP="002F75AE">
      <w:pPr>
        <w:pStyle w:val="ListBullet"/>
      </w:pPr>
      <w:r w:rsidRPr="00D71AD2">
        <w:t xml:space="preserve">require additional information or clarification from any </w:t>
      </w:r>
      <w:r w:rsidR="0003639B">
        <w:t>Respondent</w:t>
      </w:r>
      <w:r w:rsidRPr="00D71AD2">
        <w:t xml:space="preserve"> or any other person or provide additional information or </w:t>
      </w:r>
      <w:proofErr w:type="gramStart"/>
      <w:r w:rsidRPr="00D71AD2">
        <w:t>clarification;</w:t>
      </w:r>
      <w:proofErr w:type="gramEnd"/>
    </w:p>
    <w:p w14:paraId="7AA0A91A" w14:textId="77777777" w:rsidR="00227AAE" w:rsidRPr="00D71AD2" w:rsidRDefault="00227AAE" w:rsidP="00813532">
      <w:pPr>
        <w:pStyle w:val="ListBullet"/>
      </w:pPr>
      <w:r w:rsidRPr="00D71AD2">
        <w:t xml:space="preserve">negotiate with one or more </w:t>
      </w:r>
      <w:r w:rsidR="0003639B">
        <w:t>Respondent</w:t>
      </w:r>
      <w:r w:rsidR="004023FC">
        <w:t>s</w:t>
      </w:r>
      <w:r w:rsidRPr="00D71AD2">
        <w:t xml:space="preserve"> </w:t>
      </w:r>
      <w:r w:rsidR="0068434B" w:rsidRPr="00D71AD2">
        <w:t xml:space="preserve">in relation to some and not all of the scope of activity described </w:t>
      </w:r>
      <w:r w:rsidRPr="00D71AD2">
        <w:t xml:space="preserve">and allow any </w:t>
      </w:r>
      <w:r w:rsidR="004023FC">
        <w:t>Respondent</w:t>
      </w:r>
      <w:r w:rsidR="004023FC" w:rsidRPr="00D71AD2">
        <w:t xml:space="preserve"> </w:t>
      </w:r>
      <w:r w:rsidRPr="00D71AD2">
        <w:t xml:space="preserve">to alter its </w:t>
      </w:r>
      <w:proofErr w:type="gramStart"/>
      <w:r w:rsidR="0003639B">
        <w:t>Response</w:t>
      </w:r>
      <w:r w:rsidRPr="00D71AD2">
        <w:t>;</w:t>
      </w:r>
      <w:proofErr w:type="gramEnd"/>
    </w:p>
    <w:p w14:paraId="00844FD2" w14:textId="77777777" w:rsidR="0068434B" w:rsidRPr="00D71AD2" w:rsidRDefault="0068434B" w:rsidP="00813532">
      <w:pPr>
        <w:pStyle w:val="ListBullet"/>
      </w:pPr>
      <w:r w:rsidRPr="00D71AD2">
        <w:t xml:space="preserve">accept </w:t>
      </w:r>
      <w:r w:rsidR="0003639B">
        <w:t>Response</w:t>
      </w:r>
      <w:r w:rsidRPr="00D71AD2">
        <w:t xml:space="preserve">s in relation to some and not all of the scope of activity </w:t>
      </w:r>
      <w:proofErr w:type="gramStart"/>
      <w:r w:rsidRPr="00D71AD2">
        <w:t>described;</w:t>
      </w:r>
      <w:proofErr w:type="gramEnd"/>
    </w:p>
    <w:p w14:paraId="6EF6EB0D" w14:textId="77777777" w:rsidR="0068434B" w:rsidRPr="00D71AD2" w:rsidRDefault="004023FC" w:rsidP="00813532">
      <w:pPr>
        <w:pStyle w:val="ListBullet"/>
      </w:pPr>
      <w:r>
        <w:t>invite</w:t>
      </w:r>
      <w:r w:rsidRPr="00D71AD2">
        <w:t xml:space="preserve"> </w:t>
      </w:r>
      <w:r w:rsidR="0068434B" w:rsidRPr="00D71AD2">
        <w:t>one, more than one</w:t>
      </w:r>
      <w:r>
        <w:t>,</w:t>
      </w:r>
      <w:r w:rsidR="0068434B" w:rsidRPr="00D71AD2">
        <w:t xml:space="preserve"> or no organisation</w:t>
      </w:r>
      <w:r>
        <w:t>s</w:t>
      </w:r>
      <w:r w:rsidR="009C048D">
        <w:t xml:space="preserve"> to</w:t>
      </w:r>
      <w:r w:rsidR="0068434B" w:rsidRPr="00D71AD2">
        <w:t xml:space="preserve"> </w:t>
      </w:r>
      <w:r>
        <w:t xml:space="preserve">formally apply for a VPF Grant Application </w:t>
      </w:r>
      <w:r w:rsidR="0068434B" w:rsidRPr="00D71AD2">
        <w:t xml:space="preserve">on the basis of the </w:t>
      </w:r>
      <w:r w:rsidR="0003639B">
        <w:t>Response</w:t>
      </w:r>
      <w:r>
        <w:t>s</w:t>
      </w:r>
      <w:r w:rsidR="0003639B">
        <w:t xml:space="preserve"> </w:t>
      </w:r>
      <w:proofErr w:type="gramStart"/>
      <w:r w:rsidR="0068434B" w:rsidRPr="00D71AD2">
        <w:t>received;</w:t>
      </w:r>
      <w:proofErr w:type="gramEnd"/>
    </w:p>
    <w:p w14:paraId="11A441AB" w14:textId="6BD87696" w:rsidR="00227AAE" w:rsidRPr="00D71AD2" w:rsidRDefault="00227AAE" w:rsidP="00813532">
      <w:pPr>
        <w:pStyle w:val="ListBullet"/>
      </w:pPr>
      <w:r w:rsidRPr="00D71AD2">
        <w:t xml:space="preserve">reject any </w:t>
      </w:r>
      <w:r w:rsidR="0003639B">
        <w:t>Response</w:t>
      </w:r>
      <w:r w:rsidRPr="00D71AD2">
        <w:t xml:space="preserve"> that does not comply with the requirements of th</w:t>
      </w:r>
      <w:r w:rsidR="00325D18">
        <w:t>e</w:t>
      </w:r>
      <w:r w:rsidRPr="00D71AD2">
        <w:t xml:space="preserve"> </w:t>
      </w:r>
      <w:r w:rsidR="0003639B">
        <w:t>EOI</w:t>
      </w:r>
      <w:r w:rsidR="00325D18">
        <w:t xml:space="preserve"> Documents</w:t>
      </w:r>
      <w:r w:rsidRPr="00D71AD2">
        <w:t>; or</w:t>
      </w:r>
    </w:p>
    <w:p w14:paraId="65780A5F" w14:textId="77777777" w:rsidR="00227AAE" w:rsidRPr="00D71AD2" w:rsidRDefault="00227AAE" w:rsidP="00813532">
      <w:pPr>
        <w:pStyle w:val="ListBullet"/>
      </w:pPr>
      <w:r w:rsidRPr="00D71AD2">
        <w:t xml:space="preserve">consider and accept or reject any alternative </w:t>
      </w:r>
      <w:r w:rsidR="0003639B">
        <w:t>Response</w:t>
      </w:r>
      <w:r w:rsidR="007C73D2" w:rsidRPr="00D71AD2">
        <w:t>s</w:t>
      </w:r>
      <w:r w:rsidRPr="00D71AD2">
        <w:t>.</w:t>
      </w:r>
    </w:p>
    <w:p w14:paraId="4932C2C4" w14:textId="77777777" w:rsidR="001540AF" w:rsidRPr="00D71AD2" w:rsidRDefault="001540AF" w:rsidP="00813532">
      <w:pPr>
        <w:pStyle w:val="Heading2"/>
      </w:pPr>
      <w:bookmarkStart w:id="73" w:name="_Toc363275536"/>
      <w:bookmarkStart w:id="74" w:name="_Toc363283115"/>
      <w:bookmarkStart w:id="75" w:name="_Toc363283276"/>
      <w:bookmarkStart w:id="76" w:name="_Toc363283783"/>
      <w:bookmarkStart w:id="77" w:name="_Toc365871654"/>
      <w:bookmarkStart w:id="78" w:name="_Toc365871978"/>
      <w:bookmarkStart w:id="79" w:name="_Toc365873166"/>
      <w:bookmarkStart w:id="80" w:name="_Toc400356974"/>
      <w:bookmarkStart w:id="81" w:name="_Toc400935840"/>
      <w:bookmarkStart w:id="82" w:name="_Toc400936129"/>
      <w:bookmarkStart w:id="83" w:name="_Toc400936403"/>
      <w:bookmarkStart w:id="84" w:name="_Toc400936469"/>
      <w:bookmarkStart w:id="85" w:name="_Toc400936612"/>
      <w:bookmarkStart w:id="86" w:name="_Toc26173121"/>
      <w:bookmarkStart w:id="87" w:name="_Toc475364626"/>
      <w:bookmarkStart w:id="88" w:name="_Toc475461689"/>
      <w:bookmarkStart w:id="89" w:name="_Toc150778670"/>
      <w:r w:rsidRPr="00D71AD2">
        <w:t>Conflicts of Interest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3B66B464" w14:textId="77777777" w:rsidR="001540AF" w:rsidRPr="00D71AD2" w:rsidRDefault="001540AF" w:rsidP="00813532">
      <w:pPr>
        <w:pStyle w:val="ListNumber2"/>
      </w:pPr>
      <w:r w:rsidRPr="00D71AD2">
        <w:t>Declaration</w:t>
      </w:r>
    </w:p>
    <w:p w14:paraId="6E233C56" w14:textId="77777777" w:rsidR="001540AF" w:rsidRPr="009B2768" w:rsidRDefault="0003639B" w:rsidP="00813532">
      <w:pPr>
        <w:pStyle w:val="ListNumber3"/>
      </w:pPr>
      <w:r w:rsidRPr="009B2768">
        <w:t>Respondent</w:t>
      </w:r>
      <w:r w:rsidR="00DB1206" w:rsidRPr="009B2768">
        <w:t>s</w:t>
      </w:r>
      <w:r w:rsidR="001540AF" w:rsidRPr="009B2768">
        <w:t xml:space="preserve"> must declare </w:t>
      </w:r>
      <w:r w:rsidR="0015184F" w:rsidRPr="009B2768">
        <w:t xml:space="preserve">in writing </w:t>
      </w:r>
      <w:r w:rsidR="001540AF" w:rsidRPr="009B2768">
        <w:t xml:space="preserve">to </w:t>
      </w:r>
      <w:r w:rsidR="00427C4D" w:rsidRPr="009B2768">
        <w:t>CAV</w:t>
      </w:r>
      <w:r w:rsidR="001540AF" w:rsidRPr="009B2768">
        <w:t xml:space="preserve"> any matter or issue which is, may be perceived to be</w:t>
      </w:r>
      <w:r w:rsidR="00077DED" w:rsidRPr="009B2768">
        <w:t>,</w:t>
      </w:r>
      <w:r w:rsidR="001540AF" w:rsidRPr="009B2768">
        <w:t xml:space="preserve"> or may lead to, a conflict of interest regarding their </w:t>
      </w:r>
      <w:r w:rsidRPr="009B2768">
        <w:t>Response</w:t>
      </w:r>
      <w:r w:rsidR="001540AF" w:rsidRPr="009B2768">
        <w:t xml:space="preserve"> or participation in </w:t>
      </w:r>
      <w:r w:rsidR="00325D18" w:rsidRPr="009B2768">
        <w:t>the EOI Process</w:t>
      </w:r>
      <w:r w:rsidR="001540AF" w:rsidRPr="009B2768">
        <w:t xml:space="preserve">. </w:t>
      </w:r>
    </w:p>
    <w:p w14:paraId="58CEB18B" w14:textId="77777777" w:rsidR="001540AF" w:rsidRPr="00D71AD2" w:rsidRDefault="00EC3ACD" w:rsidP="00813532">
      <w:pPr>
        <w:pStyle w:val="Heading2"/>
      </w:pPr>
      <w:bookmarkStart w:id="90" w:name="_Toc475364627"/>
      <w:bookmarkStart w:id="91" w:name="_Toc475461690"/>
      <w:bookmarkStart w:id="92" w:name="_Toc150778671"/>
      <w:r>
        <w:t>Ownership and</w:t>
      </w:r>
      <w:r w:rsidR="001540AF" w:rsidRPr="00D71AD2">
        <w:t xml:space="preserve"> Intellectual Property</w:t>
      </w:r>
      <w:bookmarkEnd w:id="90"/>
      <w:bookmarkEnd w:id="91"/>
      <w:bookmarkEnd w:id="92"/>
    </w:p>
    <w:p w14:paraId="0C7DF68B" w14:textId="77777777" w:rsidR="001540AF" w:rsidRPr="00D71AD2" w:rsidRDefault="001540AF" w:rsidP="00813532">
      <w:pPr>
        <w:pStyle w:val="ListNumber2"/>
      </w:pPr>
      <w:bookmarkStart w:id="93" w:name="_Toc363031666"/>
      <w:bookmarkStart w:id="94" w:name="_Toc363275521"/>
      <w:bookmarkStart w:id="95" w:name="_Toc363283100"/>
      <w:bookmarkStart w:id="96" w:name="_Toc363283261"/>
      <w:bookmarkStart w:id="97" w:name="_Toc363283768"/>
      <w:bookmarkStart w:id="98" w:name="_Toc365871639"/>
      <w:bookmarkStart w:id="99" w:name="_Toc365871963"/>
      <w:bookmarkStart w:id="100" w:name="_Toc365873151"/>
      <w:bookmarkStart w:id="101" w:name="_Toc400356945"/>
      <w:bookmarkStart w:id="102" w:name="_Toc400935817"/>
      <w:bookmarkStart w:id="103" w:name="_Toc400936106"/>
      <w:bookmarkStart w:id="104" w:name="_Toc400936380"/>
      <w:bookmarkStart w:id="105" w:name="_Toc400936446"/>
      <w:bookmarkStart w:id="106" w:name="_Toc400936589"/>
      <w:r w:rsidRPr="00D71AD2">
        <w:t xml:space="preserve">Ownership of 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EC3ACD">
        <w:t>documentation</w:t>
      </w:r>
    </w:p>
    <w:p w14:paraId="5767EC31" w14:textId="7C9E1A77" w:rsidR="001540AF" w:rsidRDefault="00B10FF3" w:rsidP="00813532">
      <w:pPr>
        <w:pStyle w:val="ListNumber3"/>
      </w:pPr>
      <w:r>
        <w:t xml:space="preserve">The EOI </w:t>
      </w:r>
      <w:r w:rsidR="00543617">
        <w:t>Do</w:t>
      </w:r>
      <w:r w:rsidR="00076737">
        <w:t xml:space="preserve">cuments </w:t>
      </w:r>
      <w:r w:rsidR="00EC3ACD">
        <w:t>are</w:t>
      </w:r>
      <w:r w:rsidR="00543617" w:rsidRPr="00D71AD2">
        <w:t xml:space="preserve"> </w:t>
      </w:r>
      <w:r w:rsidR="001540AF" w:rsidRPr="00D71AD2">
        <w:t xml:space="preserve">the property of </w:t>
      </w:r>
      <w:r w:rsidR="00427C4D">
        <w:t>CAV</w:t>
      </w:r>
      <w:r w:rsidR="001540AF" w:rsidRPr="00D71AD2">
        <w:t>.</w:t>
      </w:r>
      <w:r w:rsidR="00543617">
        <w:t xml:space="preserve"> </w:t>
      </w:r>
      <w:r w:rsidR="00543617" w:rsidRPr="00D71AD2">
        <w:t xml:space="preserve">The </w:t>
      </w:r>
      <w:r w:rsidR="00543617">
        <w:t>Respondents</w:t>
      </w:r>
      <w:r w:rsidR="00543617" w:rsidRPr="00D71AD2">
        <w:t xml:space="preserve"> shall not, without written </w:t>
      </w:r>
      <w:r w:rsidR="00543617">
        <w:t>authority</w:t>
      </w:r>
      <w:r w:rsidR="00543617" w:rsidRPr="00D71AD2">
        <w:t xml:space="preserve"> </w:t>
      </w:r>
      <w:r w:rsidR="00543617">
        <w:t>from</w:t>
      </w:r>
      <w:r w:rsidR="00543617" w:rsidRPr="00D71AD2">
        <w:t xml:space="preserve"> </w:t>
      </w:r>
      <w:r w:rsidR="00543617">
        <w:t>CAV</w:t>
      </w:r>
      <w:r w:rsidR="00543617" w:rsidRPr="00D71AD2">
        <w:t xml:space="preserve">, use the </w:t>
      </w:r>
      <w:r w:rsidR="00543617">
        <w:t>EOI Documents for any purpose</w:t>
      </w:r>
      <w:r w:rsidR="00543617" w:rsidRPr="00D71AD2">
        <w:t xml:space="preserve"> other than </w:t>
      </w:r>
      <w:r w:rsidR="00543617">
        <w:t>for responding to the EOI</w:t>
      </w:r>
      <w:r w:rsidR="00543617" w:rsidRPr="00D71AD2">
        <w:t>.</w:t>
      </w:r>
    </w:p>
    <w:p w14:paraId="48DCE865" w14:textId="7EAB116F" w:rsidR="00543617" w:rsidRPr="00D71AD2" w:rsidRDefault="00EC3ACD" w:rsidP="00813532">
      <w:pPr>
        <w:pStyle w:val="ListNumber3"/>
      </w:pPr>
      <w:r>
        <w:t>The contents of the</w:t>
      </w:r>
      <w:r w:rsidR="00543617">
        <w:t xml:space="preserve"> </w:t>
      </w:r>
      <w:r>
        <w:t xml:space="preserve">Respondent’s </w:t>
      </w:r>
      <w:r w:rsidR="00543617">
        <w:t>Re</w:t>
      </w:r>
      <w:r>
        <w:t>s</w:t>
      </w:r>
      <w:r w:rsidR="00543617">
        <w:t>ponse and any additional documents</w:t>
      </w:r>
      <w:r>
        <w:t xml:space="preserve"> provided to CAV to support the Response</w:t>
      </w:r>
      <w:r w:rsidR="00543617">
        <w:t xml:space="preserve"> remain the property of the Respondent, including </w:t>
      </w:r>
      <w:r w:rsidR="00543617" w:rsidRPr="00D71AD2">
        <w:t xml:space="preserve">intellectual property in </w:t>
      </w:r>
      <w:r>
        <w:t xml:space="preserve">any </w:t>
      </w:r>
      <w:r w:rsidR="00543617" w:rsidRPr="00D71AD2">
        <w:t>reports or data</w:t>
      </w:r>
      <w:r w:rsidR="00543617">
        <w:t>.</w:t>
      </w:r>
    </w:p>
    <w:p w14:paraId="5DCC474D" w14:textId="77777777" w:rsidR="001540AF" w:rsidRPr="00D71AD2" w:rsidRDefault="00EC3ACD" w:rsidP="00813532">
      <w:pPr>
        <w:pStyle w:val="Heading2"/>
      </w:pPr>
      <w:bookmarkStart w:id="107" w:name="_Toc475364628"/>
      <w:bookmarkStart w:id="108" w:name="_Toc475461691"/>
      <w:bookmarkStart w:id="109" w:name="_Toc150778672"/>
      <w:r>
        <w:t xml:space="preserve">Confidentiality and </w:t>
      </w:r>
      <w:bookmarkStart w:id="110" w:name="_Toc26173124"/>
      <w:r w:rsidR="001540AF" w:rsidRPr="00D71AD2">
        <w:t>Disclosure</w:t>
      </w:r>
      <w:bookmarkEnd w:id="110"/>
      <w:r w:rsidR="007F31CF">
        <w:t xml:space="preserve"> of </w:t>
      </w:r>
      <w:r w:rsidR="00527E77">
        <w:t>Response</w:t>
      </w:r>
      <w:r w:rsidR="007F31CF">
        <w:t xml:space="preserve"> contents</w:t>
      </w:r>
      <w:bookmarkEnd w:id="107"/>
      <w:bookmarkEnd w:id="108"/>
      <w:bookmarkEnd w:id="109"/>
      <w:r w:rsidR="007F31CF">
        <w:t xml:space="preserve"> </w:t>
      </w:r>
    </w:p>
    <w:p w14:paraId="00D8424C" w14:textId="77777777" w:rsidR="001540AF" w:rsidRPr="00D71AD2" w:rsidRDefault="007F31CF" w:rsidP="00813532">
      <w:pPr>
        <w:pStyle w:val="ListNumber2"/>
      </w:pPr>
      <w:r>
        <w:t>Responses Treated as Confidential</w:t>
      </w:r>
    </w:p>
    <w:p w14:paraId="0374119D" w14:textId="77777777" w:rsidR="007F31CF" w:rsidRPr="00E249E2" w:rsidRDefault="007F31CF" w:rsidP="00813532">
      <w:pPr>
        <w:ind w:left="426"/>
      </w:pPr>
      <w:r w:rsidRPr="00E249E2">
        <w:t>CAV will treat Responses as confidential and will not disclose the information contained in a Response, except:</w:t>
      </w:r>
    </w:p>
    <w:p w14:paraId="16D469C3" w14:textId="77777777" w:rsidR="007F31CF" w:rsidRPr="00E249E2" w:rsidRDefault="007F31CF" w:rsidP="00813532">
      <w:pPr>
        <w:pStyle w:val="ListBullet"/>
      </w:pPr>
      <w:r w:rsidRPr="00E249E2">
        <w:t>as required by law (including, for the avoidance of doubt, as required under the Freedom of Information Act 1982 (Vic)</w:t>
      </w:r>
      <w:proofErr w:type="gramStart"/>
      <w:r w:rsidRPr="00E249E2">
        <w:t>)</w:t>
      </w:r>
      <w:r w:rsidR="00B706F6">
        <w:t>;</w:t>
      </w:r>
      <w:proofErr w:type="gramEnd"/>
    </w:p>
    <w:p w14:paraId="6DEA25E0" w14:textId="77777777" w:rsidR="007F31CF" w:rsidRPr="00E249E2" w:rsidRDefault="007F31CF" w:rsidP="00813532">
      <w:pPr>
        <w:pStyle w:val="ListBullet"/>
      </w:pPr>
      <w:r w:rsidRPr="00E249E2">
        <w:t xml:space="preserve">for the purpose of investigations by the Australian Competition and Consumer Commission or other government authorities having relevant </w:t>
      </w:r>
      <w:proofErr w:type="gramStart"/>
      <w:r w:rsidRPr="00E249E2">
        <w:t>jurisdiction;</w:t>
      </w:r>
      <w:proofErr w:type="gramEnd"/>
    </w:p>
    <w:p w14:paraId="4ABC009C" w14:textId="77777777" w:rsidR="007F31CF" w:rsidRPr="00E249E2" w:rsidRDefault="007F31CF" w:rsidP="00813532">
      <w:pPr>
        <w:pStyle w:val="ListBullet"/>
      </w:pPr>
      <w:r w:rsidRPr="00E249E2">
        <w:t xml:space="preserve">to external consultants and advisers engaged to assist with </w:t>
      </w:r>
      <w:r w:rsidR="00525B50">
        <w:t>evaluating the Responses</w:t>
      </w:r>
      <w:r w:rsidR="00525B50" w:rsidRPr="00E249E2">
        <w:t xml:space="preserve"> </w:t>
      </w:r>
      <w:r w:rsidR="00525B50">
        <w:t xml:space="preserve">or otherwise assisting completion of </w:t>
      </w:r>
      <w:r w:rsidRPr="00E249E2">
        <w:t xml:space="preserve">the EOI </w:t>
      </w:r>
      <w:proofErr w:type="gramStart"/>
      <w:r w:rsidRPr="00E249E2">
        <w:t>Process;</w:t>
      </w:r>
      <w:proofErr w:type="gramEnd"/>
    </w:p>
    <w:p w14:paraId="297044DA" w14:textId="77777777" w:rsidR="007F31CF" w:rsidRPr="005F2896" w:rsidRDefault="007F31CF" w:rsidP="0037166D">
      <w:pPr>
        <w:pStyle w:val="ListBullet"/>
      </w:pPr>
      <w:r w:rsidRPr="005F2896">
        <w:t>to</w:t>
      </w:r>
      <w:r w:rsidR="00EC3ACD" w:rsidRPr="005F2896">
        <w:t xml:space="preserve"> other government departments</w:t>
      </w:r>
      <w:r w:rsidR="00B80C5A" w:rsidRPr="005F2896">
        <w:t xml:space="preserve"> or agencies</w:t>
      </w:r>
      <w:r w:rsidR="00EC3ACD" w:rsidRPr="005F2896">
        <w:t xml:space="preserve"> or </w:t>
      </w:r>
      <w:r w:rsidR="00525B50" w:rsidRPr="005F2896">
        <w:t>ministerial advisory committees</w:t>
      </w:r>
      <w:r w:rsidR="00EC3ACD" w:rsidRPr="005F2896">
        <w:t xml:space="preserve"> </w:t>
      </w:r>
      <w:r w:rsidR="00525B50" w:rsidRPr="005F2896">
        <w:t xml:space="preserve">assisting with the </w:t>
      </w:r>
      <w:r w:rsidR="0037166D" w:rsidRPr="005F2896">
        <w:t xml:space="preserve">assessment or </w:t>
      </w:r>
      <w:r w:rsidR="00525B50" w:rsidRPr="005F2896">
        <w:t>evaluation of Responses</w:t>
      </w:r>
      <w:r w:rsidR="007658A6" w:rsidRPr="005F2896">
        <w:t>, verification of information contained in Responses,</w:t>
      </w:r>
      <w:r w:rsidR="00525B50" w:rsidRPr="005F2896">
        <w:t xml:space="preserve"> or otherwise </w:t>
      </w:r>
      <w:r w:rsidRPr="005F2896">
        <w:t xml:space="preserve">in connection with </w:t>
      </w:r>
      <w:r w:rsidR="00525B50" w:rsidRPr="005F2896">
        <w:t>the EOI Process</w:t>
      </w:r>
      <w:r w:rsidRPr="005F2896">
        <w:t>; or</w:t>
      </w:r>
    </w:p>
    <w:p w14:paraId="530E336A" w14:textId="77777777" w:rsidR="001540AF" w:rsidRPr="00E249E2" w:rsidRDefault="007F31CF" w:rsidP="00813532">
      <w:pPr>
        <w:pStyle w:val="ListBullet"/>
      </w:pPr>
      <w:r w:rsidRPr="005F2896">
        <w:t>general information</w:t>
      </w:r>
      <w:r w:rsidRPr="00E249E2">
        <w:t xml:space="preserve"> from Respondents required to be disclosed by government policy.</w:t>
      </w:r>
    </w:p>
    <w:p w14:paraId="62D749A4" w14:textId="77777777" w:rsidR="00B80C5A" w:rsidRDefault="001540AF" w:rsidP="00B80C5A">
      <w:pPr>
        <w:pStyle w:val="Heading2"/>
      </w:pPr>
      <w:bookmarkStart w:id="111" w:name="_Toc474852911"/>
      <w:bookmarkStart w:id="112" w:name="_Toc474852912"/>
      <w:bookmarkStart w:id="113" w:name="_Toc474852913"/>
      <w:bookmarkStart w:id="114" w:name="_Toc474852914"/>
      <w:bookmarkStart w:id="115" w:name="_Toc26173125"/>
      <w:bookmarkStart w:id="116" w:name="_Toc475364629"/>
      <w:bookmarkStart w:id="117" w:name="_Toc475461692"/>
      <w:bookmarkStart w:id="118" w:name="_Toc150778673"/>
      <w:bookmarkEnd w:id="111"/>
      <w:bookmarkEnd w:id="112"/>
      <w:bookmarkEnd w:id="113"/>
      <w:bookmarkEnd w:id="114"/>
      <w:r w:rsidRPr="00D71AD2">
        <w:t>Lobbying</w:t>
      </w:r>
      <w:bookmarkEnd w:id="115"/>
      <w:bookmarkEnd w:id="116"/>
      <w:bookmarkEnd w:id="117"/>
      <w:bookmarkEnd w:id="118"/>
    </w:p>
    <w:p w14:paraId="7830F423" w14:textId="77777777" w:rsidR="001540AF" w:rsidRPr="00D71AD2" w:rsidRDefault="001540AF" w:rsidP="00413567">
      <w:pPr>
        <w:pStyle w:val="ListNumber2"/>
        <w:tabs>
          <w:tab w:val="clear" w:pos="1134"/>
          <w:tab w:val="left" w:pos="851"/>
        </w:tabs>
      </w:pPr>
      <w:r w:rsidRPr="00D71AD2">
        <w:t xml:space="preserve">Any </w:t>
      </w:r>
      <w:r w:rsidR="0003639B">
        <w:t>Respondent</w:t>
      </w:r>
      <w:r w:rsidRPr="00D71AD2">
        <w:t xml:space="preserve"> who attempts to exert influence on the outcome of the </w:t>
      </w:r>
      <w:r w:rsidR="0003639B">
        <w:t>EOI</w:t>
      </w:r>
      <w:r w:rsidRPr="00D71AD2">
        <w:t xml:space="preserve"> </w:t>
      </w:r>
      <w:r w:rsidR="00525B50">
        <w:t>P</w:t>
      </w:r>
      <w:r w:rsidRPr="00D71AD2">
        <w:t>rocess by lobbying, directly or indirectly, Members of Parliament</w:t>
      </w:r>
      <w:r w:rsidR="004023FC">
        <w:t xml:space="preserve"> or ministerial or departmental staff</w:t>
      </w:r>
      <w:r w:rsidRPr="00D71AD2">
        <w:t xml:space="preserve">, will be disqualified from the </w:t>
      </w:r>
      <w:r w:rsidR="0003639B">
        <w:t>EOI</w:t>
      </w:r>
      <w:r w:rsidRPr="00D71AD2">
        <w:t xml:space="preserve"> </w:t>
      </w:r>
      <w:r w:rsidR="00525B50">
        <w:t>P</w:t>
      </w:r>
      <w:r w:rsidRPr="00D71AD2">
        <w:t>rocess.</w:t>
      </w:r>
    </w:p>
    <w:p w14:paraId="0912E192" w14:textId="77777777" w:rsidR="001540AF" w:rsidRPr="00D71AD2" w:rsidRDefault="0003639B" w:rsidP="00413567">
      <w:pPr>
        <w:pStyle w:val="ListNumber2"/>
        <w:tabs>
          <w:tab w:val="clear" w:pos="1134"/>
          <w:tab w:val="left" w:pos="851"/>
        </w:tabs>
      </w:pPr>
      <w:r>
        <w:t xml:space="preserve">A Respondent </w:t>
      </w:r>
      <w:r w:rsidR="001540AF" w:rsidRPr="00D71AD2">
        <w:t xml:space="preserve">who offers </w:t>
      </w:r>
      <w:r w:rsidR="006C622B">
        <w:t>ministerial or d</w:t>
      </w:r>
      <w:r w:rsidR="001540AF" w:rsidRPr="00D71AD2">
        <w:t xml:space="preserve">epartment staff anything that, in the opinion of </w:t>
      </w:r>
      <w:r w:rsidR="00427C4D">
        <w:t>CAV</w:t>
      </w:r>
      <w:r w:rsidR="001540AF" w:rsidRPr="00D71AD2">
        <w:t xml:space="preserve">, could undermine the impartiality of the </w:t>
      </w:r>
      <w:r>
        <w:t>EOI</w:t>
      </w:r>
      <w:r w:rsidR="001540AF" w:rsidRPr="00D71AD2">
        <w:t xml:space="preserve"> </w:t>
      </w:r>
      <w:r w:rsidR="00525B50">
        <w:t>P</w:t>
      </w:r>
      <w:r w:rsidR="001540AF" w:rsidRPr="00D71AD2">
        <w:t xml:space="preserve">rocess, and/or could create an actual or a perceived conflict of interest (including but not limited to offers of gifts, hospitality, and favours), will be disqualified from the </w:t>
      </w:r>
      <w:r>
        <w:t>EOI</w:t>
      </w:r>
      <w:r w:rsidR="001540AF" w:rsidRPr="00D71AD2">
        <w:t xml:space="preserve"> </w:t>
      </w:r>
      <w:r w:rsidR="00525B50">
        <w:t>P</w:t>
      </w:r>
      <w:r w:rsidR="001540AF" w:rsidRPr="00D71AD2">
        <w:t xml:space="preserve">rocess. </w:t>
      </w:r>
    </w:p>
    <w:p w14:paraId="34646572" w14:textId="77777777" w:rsidR="001540AF" w:rsidRPr="00D71AD2" w:rsidRDefault="001540AF" w:rsidP="00813532">
      <w:pPr>
        <w:pStyle w:val="Heading2"/>
      </w:pPr>
      <w:bookmarkStart w:id="119" w:name="_Toc475364630"/>
      <w:bookmarkStart w:id="120" w:name="_Toc475461693"/>
      <w:bookmarkStart w:id="121" w:name="_Toc150778674"/>
      <w:bookmarkStart w:id="122" w:name="_Toc26173130"/>
      <w:r w:rsidRPr="00D71AD2">
        <w:t>Anti-competitive conduct</w:t>
      </w:r>
      <w:bookmarkEnd w:id="119"/>
      <w:bookmarkEnd w:id="120"/>
      <w:bookmarkEnd w:id="121"/>
    </w:p>
    <w:p w14:paraId="0A94A43A" w14:textId="77777777" w:rsidR="001540AF" w:rsidRPr="00D71AD2" w:rsidRDefault="00DB1206" w:rsidP="00413567">
      <w:pPr>
        <w:pStyle w:val="ListNumber2"/>
        <w:tabs>
          <w:tab w:val="clear" w:pos="1134"/>
          <w:tab w:val="left" w:pos="851"/>
        </w:tabs>
      </w:pPr>
      <w:r>
        <w:t xml:space="preserve">The </w:t>
      </w:r>
      <w:r w:rsidR="0003639B">
        <w:t>Respondent</w:t>
      </w:r>
      <w:r>
        <w:t>s</w:t>
      </w:r>
      <w:r w:rsidR="001540AF" w:rsidRPr="00D71AD2">
        <w:t xml:space="preserve"> and their respective officers, employees, </w:t>
      </w:r>
      <w:proofErr w:type="gramStart"/>
      <w:r w:rsidR="001540AF" w:rsidRPr="00D71AD2">
        <w:t>agents</w:t>
      </w:r>
      <w:proofErr w:type="gramEnd"/>
      <w:r w:rsidR="001540AF" w:rsidRPr="00D71AD2">
        <w:t xml:space="preserve"> and advisers must not engage in any collusion, anti-competitive conduct or any other similar conduct with any other </w:t>
      </w:r>
      <w:r w:rsidR="0003639B">
        <w:t>Respondent</w:t>
      </w:r>
      <w:r w:rsidR="001540AF" w:rsidRPr="00D71AD2">
        <w:t xml:space="preserve"> or any other person in relation to the preparation, content or lodgement of their </w:t>
      </w:r>
      <w:r w:rsidR="0003639B">
        <w:t>Response</w:t>
      </w:r>
      <w:r w:rsidR="001540AF" w:rsidRPr="00D71AD2">
        <w:t xml:space="preserve">. In addition to any other remedies available to it under law or contract, </w:t>
      </w:r>
      <w:r w:rsidR="00427C4D">
        <w:t>CAV</w:t>
      </w:r>
      <w:r w:rsidR="001540AF" w:rsidRPr="00D71AD2">
        <w:t xml:space="preserve"> may, </w:t>
      </w:r>
      <w:r w:rsidR="00AA6A0A" w:rsidRPr="00D71AD2">
        <w:t>at</w:t>
      </w:r>
      <w:r w:rsidR="001540AF" w:rsidRPr="00D71AD2">
        <w:t xml:space="preserve"> its absolute discretion, immediately disqualify </w:t>
      </w:r>
      <w:r w:rsidR="0003639B">
        <w:t>a Respondent</w:t>
      </w:r>
      <w:r w:rsidR="001540AF" w:rsidRPr="00D71AD2">
        <w:t xml:space="preserve"> that it believes has engaged in such collusive or anti-competitive conduct.</w:t>
      </w:r>
    </w:p>
    <w:p w14:paraId="036D086F" w14:textId="77777777" w:rsidR="001540AF" w:rsidRPr="00D71AD2" w:rsidRDefault="007502C4" w:rsidP="00813532">
      <w:pPr>
        <w:pStyle w:val="Heading2"/>
      </w:pPr>
      <w:bookmarkStart w:id="123" w:name="_Toc475364631"/>
      <w:bookmarkStart w:id="124" w:name="_Toc475461694"/>
      <w:bookmarkStart w:id="125" w:name="_Toc150778675"/>
      <w:r>
        <w:t>Respondent</w:t>
      </w:r>
      <w:r w:rsidR="001540AF" w:rsidRPr="00D71AD2">
        <w:t xml:space="preserve"> Warranties</w:t>
      </w:r>
      <w:bookmarkEnd w:id="123"/>
      <w:bookmarkEnd w:id="124"/>
      <w:bookmarkEnd w:id="125"/>
    </w:p>
    <w:p w14:paraId="08E9491E" w14:textId="77777777" w:rsidR="001540AF" w:rsidRPr="00D71AD2" w:rsidRDefault="001540AF" w:rsidP="00413567">
      <w:pPr>
        <w:pStyle w:val="ListNumber2"/>
        <w:tabs>
          <w:tab w:val="clear" w:pos="1134"/>
          <w:tab w:val="left" w:pos="851"/>
        </w:tabs>
      </w:pPr>
      <w:bookmarkStart w:id="126" w:name="_Ref419178340"/>
      <w:bookmarkStart w:id="127" w:name="_Toc451310391"/>
      <w:bookmarkStart w:id="128" w:name="_Toc451311420"/>
      <w:bookmarkStart w:id="129" w:name="_Toc451328731"/>
      <w:bookmarkStart w:id="130" w:name="_Ref455993849"/>
      <w:r w:rsidRPr="00D71AD2">
        <w:t xml:space="preserve">By submitting a </w:t>
      </w:r>
      <w:r w:rsidR="007502C4">
        <w:t>Response</w:t>
      </w:r>
      <w:r w:rsidRPr="00D71AD2">
        <w:t xml:space="preserve">, </w:t>
      </w:r>
      <w:r w:rsidR="007502C4">
        <w:t>a Respondent</w:t>
      </w:r>
      <w:r w:rsidRPr="00D71AD2">
        <w:t xml:space="preserve"> warrants that:</w:t>
      </w:r>
    </w:p>
    <w:p w14:paraId="78A6BF9D" w14:textId="03C8B96D" w:rsidR="001540AF" w:rsidRPr="00D71AD2" w:rsidRDefault="001540AF" w:rsidP="00813532">
      <w:pPr>
        <w:pStyle w:val="ListNumber3"/>
      </w:pPr>
      <w:r w:rsidRPr="00D71AD2">
        <w:t xml:space="preserve">it did not rely on any express or implied statement, warranty or representation, whether oral, written, or otherwise made by or on behalf of </w:t>
      </w:r>
      <w:r w:rsidR="00427C4D">
        <w:t>CAV</w:t>
      </w:r>
      <w:r w:rsidRPr="00D71AD2">
        <w:t xml:space="preserve">, its officers, employees, agents or advisers other than any statement, warranty or representation expressly contained in the </w:t>
      </w:r>
      <w:r w:rsidR="0003639B">
        <w:t>EOI</w:t>
      </w:r>
      <w:r w:rsidR="00525B50">
        <w:t xml:space="preserve"> Documents or written communication from CAV to the </w:t>
      </w:r>
      <w:proofErr w:type="gramStart"/>
      <w:r w:rsidR="00525B50">
        <w:t>Respondent</w:t>
      </w:r>
      <w:r w:rsidRPr="00D71AD2">
        <w:t>;</w:t>
      </w:r>
      <w:proofErr w:type="gramEnd"/>
    </w:p>
    <w:p w14:paraId="3011E153" w14:textId="77777777" w:rsidR="001540AF" w:rsidRPr="00D71AD2" w:rsidRDefault="001540AF" w:rsidP="00813532">
      <w:pPr>
        <w:pStyle w:val="ListNumber3"/>
      </w:pPr>
      <w:r w:rsidRPr="00D71AD2">
        <w:t xml:space="preserve">it did not </w:t>
      </w:r>
      <w:r w:rsidR="00FE4097" w:rsidRPr="00D71AD2">
        <w:t xml:space="preserve">seek or </w:t>
      </w:r>
      <w:r w:rsidRPr="00D71AD2">
        <w:t xml:space="preserve">use the improper assistance of </w:t>
      </w:r>
      <w:r w:rsidR="006C622B">
        <w:t>CAV</w:t>
      </w:r>
      <w:r w:rsidR="006C622B" w:rsidRPr="00D71AD2">
        <w:t xml:space="preserve"> </w:t>
      </w:r>
      <w:r w:rsidRPr="00D71AD2">
        <w:t xml:space="preserve">employees or information unlawfully obtained from </w:t>
      </w:r>
      <w:r w:rsidR="00427C4D">
        <w:t>CAV</w:t>
      </w:r>
      <w:r w:rsidRPr="00D71AD2">
        <w:t xml:space="preserve"> </w:t>
      </w:r>
      <w:r w:rsidR="00FE4097" w:rsidRPr="00D71AD2">
        <w:t xml:space="preserve">or any other person </w:t>
      </w:r>
      <w:r w:rsidRPr="00D71AD2">
        <w:t xml:space="preserve">in compiling its </w:t>
      </w:r>
      <w:proofErr w:type="gramStart"/>
      <w:r w:rsidR="007502C4">
        <w:t>Response</w:t>
      </w:r>
      <w:r w:rsidRPr="00D71AD2">
        <w:t>;</w:t>
      </w:r>
      <w:proofErr w:type="gramEnd"/>
    </w:p>
    <w:p w14:paraId="38FDE739" w14:textId="467E45DE" w:rsidR="001540AF" w:rsidRPr="00D71AD2" w:rsidRDefault="001540AF" w:rsidP="00813532">
      <w:pPr>
        <w:pStyle w:val="ListNumber3"/>
      </w:pPr>
      <w:r w:rsidRPr="00D71AD2">
        <w:t xml:space="preserve">it has examined </w:t>
      </w:r>
      <w:r w:rsidR="006C622B" w:rsidRPr="00D71AD2">
        <w:t>th</w:t>
      </w:r>
      <w:r w:rsidR="006C622B">
        <w:t>e</w:t>
      </w:r>
      <w:r w:rsidR="006C622B" w:rsidRPr="00D71AD2">
        <w:t xml:space="preserve"> </w:t>
      </w:r>
      <w:r w:rsidR="0003639B">
        <w:t>EOI</w:t>
      </w:r>
      <w:r w:rsidR="00525B50">
        <w:t xml:space="preserve"> </w:t>
      </w:r>
      <w:proofErr w:type="gramStart"/>
      <w:r w:rsidR="00525B50">
        <w:t>Documents</w:t>
      </w:r>
      <w:proofErr w:type="gramEnd"/>
      <w:r w:rsidRPr="00D71AD2">
        <w:t xml:space="preserve"> and any other information made available in writing by </w:t>
      </w:r>
      <w:r w:rsidR="00427C4D">
        <w:t>CAV</w:t>
      </w:r>
      <w:r w:rsidRPr="00D71AD2">
        <w:t xml:space="preserve"> to </w:t>
      </w:r>
      <w:r w:rsidR="0003639B">
        <w:t>Respondent</w:t>
      </w:r>
      <w:r w:rsidR="00525B50">
        <w:t>s</w:t>
      </w:r>
      <w:r w:rsidRPr="00D71AD2">
        <w:t xml:space="preserve"> for the purposes of submitting </w:t>
      </w:r>
      <w:r w:rsidR="007502C4">
        <w:t>a Response</w:t>
      </w:r>
      <w:r w:rsidRPr="00D71AD2">
        <w:t>;</w:t>
      </w:r>
    </w:p>
    <w:p w14:paraId="7F9C46C7" w14:textId="77777777" w:rsidR="001540AF" w:rsidRPr="00D71AD2" w:rsidRDefault="001540AF" w:rsidP="00813532">
      <w:pPr>
        <w:pStyle w:val="ListNumber3"/>
      </w:pPr>
      <w:r w:rsidRPr="00D71AD2">
        <w:t xml:space="preserve">it has sought and examined all necessary information which is obtainable by making reasonable enquiries relevant to the risks and other circumstances affecting its </w:t>
      </w:r>
      <w:proofErr w:type="gramStart"/>
      <w:r w:rsidR="007502C4">
        <w:t>Response</w:t>
      </w:r>
      <w:r w:rsidRPr="00D71AD2">
        <w:t>;</w:t>
      </w:r>
      <w:proofErr w:type="gramEnd"/>
    </w:p>
    <w:p w14:paraId="29542EAA" w14:textId="77777777" w:rsidR="001540AF" w:rsidRPr="00D71AD2" w:rsidRDefault="001540AF" w:rsidP="00813532">
      <w:pPr>
        <w:pStyle w:val="ListNumber3"/>
      </w:pPr>
      <w:bookmarkStart w:id="131" w:name="_Ref455907352"/>
      <w:bookmarkStart w:id="132" w:name="DueDiligenceonTenderer"/>
      <w:r w:rsidRPr="00D71AD2">
        <w:t xml:space="preserve">it has otherwise obtained all information and advice necessary for the preparation of its </w:t>
      </w:r>
      <w:bookmarkEnd w:id="131"/>
      <w:bookmarkEnd w:id="132"/>
      <w:proofErr w:type="gramStart"/>
      <w:r w:rsidR="007502C4">
        <w:t>Response</w:t>
      </w:r>
      <w:r w:rsidRPr="00D71AD2">
        <w:t>;</w:t>
      </w:r>
      <w:proofErr w:type="gramEnd"/>
    </w:p>
    <w:p w14:paraId="1D8EF8AA" w14:textId="77777777" w:rsidR="001540AF" w:rsidRPr="00D71AD2" w:rsidRDefault="001540AF" w:rsidP="00813532">
      <w:pPr>
        <w:pStyle w:val="ListNumber3"/>
      </w:pPr>
      <w:r w:rsidRPr="00D71AD2">
        <w:t xml:space="preserve">it is responsible for all costs and expenses related to the preparation and lodgement of its </w:t>
      </w:r>
      <w:r w:rsidR="007502C4">
        <w:t>Response</w:t>
      </w:r>
      <w:r w:rsidRPr="00D71AD2">
        <w:t xml:space="preserve">, any subsequent negotiation, and any future process connected with or relating to the </w:t>
      </w:r>
      <w:r w:rsidR="007502C4">
        <w:t>EOI</w:t>
      </w:r>
      <w:r w:rsidRPr="00D71AD2">
        <w:t xml:space="preserve"> </w:t>
      </w:r>
      <w:proofErr w:type="gramStart"/>
      <w:r w:rsidR="00525B50">
        <w:t>Process</w:t>
      </w:r>
      <w:r w:rsidRPr="00D71AD2">
        <w:t>;</w:t>
      </w:r>
      <w:proofErr w:type="gramEnd"/>
    </w:p>
    <w:p w14:paraId="10E6617C" w14:textId="754B231F" w:rsidR="001540AF" w:rsidRPr="00D71AD2" w:rsidRDefault="001540AF" w:rsidP="00813532">
      <w:pPr>
        <w:pStyle w:val="ListNumber3"/>
      </w:pPr>
      <w:r w:rsidRPr="00D71AD2">
        <w:t xml:space="preserve">it otherwise accepts and will comply with </w:t>
      </w:r>
      <w:r w:rsidR="00627089" w:rsidRPr="00D71AD2">
        <w:t xml:space="preserve">the rules set out in </w:t>
      </w:r>
      <w:r w:rsidR="00525B50">
        <w:t>the</w:t>
      </w:r>
      <w:r w:rsidR="00525B50" w:rsidRPr="00D71AD2">
        <w:t xml:space="preserve"> </w:t>
      </w:r>
      <w:r w:rsidR="0003639B">
        <w:t>EOI</w:t>
      </w:r>
      <w:r w:rsidR="00525B50">
        <w:t xml:space="preserve"> </w:t>
      </w:r>
      <w:proofErr w:type="gramStart"/>
      <w:r w:rsidR="00525B50">
        <w:t>Documents;</w:t>
      </w:r>
      <w:proofErr w:type="gramEnd"/>
    </w:p>
    <w:p w14:paraId="71368FB6" w14:textId="77777777" w:rsidR="001540AF" w:rsidRPr="00D71AD2" w:rsidRDefault="001540AF" w:rsidP="00813532">
      <w:pPr>
        <w:pStyle w:val="ListNumber3"/>
      </w:pPr>
      <w:r w:rsidRPr="00D71AD2">
        <w:t xml:space="preserve">it will provide additional information in a timely manner as requested by </w:t>
      </w:r>
      <w:r w:rsidR="00427C4D">
        <w:t>CAV</w:t>
      </w:r>
      <w:r w:rsidRPr="00D71AD2">
        <w:t xml:space="preserve"> to clarify any matters contained in the </w:t>
      </w:r>
      <w:r w:rsidR="007502C4">
        <w:t>Response</w:t>
      </w:r>
      <w:r w:rsidRPr="00D71AD2">
        <w:t>; and</w:t>
      </w:r>
    </w:p>
    <w:p w14:paraId="553425C3" w14:textId="77777777" w:rsidR="001540AF" w:rsidRPr="00D71AD2" w:rsidRDefault="001540AF" w:rsidP="00813532">
      <w:pPr>
        <w:pStyle w:val="ListNumber3"/>
      </w:pPr>
      <w:r w:rsidRPr="00D71AD2">
        <w:t>it is satisfied as to the correctness and sufficiency of its</w:t>
      </w:r>
      <w:r w:rsidR="007502C4" w:rsidRPr="007502C4">
        <w:t xml:space="preserve"> </w:t>
      </w:r>
      <w:r w:rsidR="007502C4">
        <w:t>Response</w:t>
      </w:r>
      <w:r w:rsidRPr="00D71AD2">
        <w:t>.</w:t>
      </w:r>
    </w:p>
    <w:p w14:paraId="4C99925D" w14:textId="77777777" w:rsidR="00660226" w:rsidRPr="00D71AD2" w:rsidRDefault="00DA2E05" w:rsidP="00813532">
      <w:pPr>
        <w:pStyle w:val="Heading2"/>
      </w:pPr>
      <w:bookmarkStart w:id="133" w:name="_Toc475364632"/>
      <w:bookmarkStart w:id="134" w:name="_Toc475461695"/>
      <w:bookmarkStart w:id="135" w:name="_Toc150778676"/>
      <w:bookmarkEnd w:id="122"/>
      <w:bookmarkEnd w:id="126"/>
      <w:bookmarkEnd w:id="127"/>
      <w:bookmarkEnd w:id="128"/>
      <w:bookmarkEnd w:id="129"/>
      <w:bookmarkEnd w:id="130"/>
      <w:r w:rsidRPr="00D71AD2">
        <w:t>Complaints</w:t>
      </w:r>
      <w:bookmarkEnd w:id="133"/>
      <w:bookmarkEnd w:id="134"/>
      <w:bookmarkEnd w:id="135"/>
    </w:p>
    <w:p w14:paraId="3A90E289" w14:textId="77777777" w:rsidR="00660226" w:rsidRPr="00D71AD2" w:rsidRDefault="00427C4D" w:rsidP="00413567">
      <w:pPr>
        <w:pStyle w:val="ListNumber2"/>
        <w:tabs>
          <w:tab w:val="clear" w:pos="1134"/>
          <w:tab w:val="left" w:pos="851"/>
        </w:tabs>
      </w:pPr>
      <w:r>
        <w:t>CAV</w:t>
      </w:r>
      <w:r w:rsidR="00660226" w:rsidRPr="00D71AD2">
        <w:t xml:space="preserve"> places a high level of importance on the way it conducts procurement</w:t>
      </w:r>
      <w:r w:rsidR="00CF449A">
        <w:t xml:space="preserve"> and grant processes</w:t>
      </w:r>
      <w:r w:rsidR="00660226" w:rsidRPr="00D71AD2">
        <w:t xml:space="preserve"> and how it interacts with the market.</w:t>
      </w:r>
    </w:p>
    <w:p w14:paraId="634F790F" w14:textId="77777777" w:rsidR="00660226" w:rsidRPr="00D71AD2" w:rsidRDefault="007502C4" w:rsidP="00413567">
      <w:pPr>
        <w:pStyle w:val="ListNumber2"/>
        <w:tabs>
          <w:tab w:val="clear" w:pos="1134"/>
          <w:tab w:val="left" w:pos="851"/>
        </w:tabs>
      </w:pPr>
      <w:r>
        <w:t>A Respondent</w:t>
      </w:r>
      <w:r w:rsidR="00660226" w:rsidRPr="00D71AD2">
        <w:t xml:space="preserve"> with a complaint about this </w:t>
      </w:r>
      <w:r>
        <w:t>EOI</w:t>
      </w:r>
      <w:r w:rsidR="00660226" w:rsidRPr="00D71AD2">
        <w:t xml:space="preserve"> </w:t>
      </w:r>
      <w:r w:rsidR="00CF449A">
        <w:t>P</w:t>
      </w:r>
      <w:r w:rsidR="00660226" w:rsidRPr="00D71AD2">
        <w:t xml:space="preserve">rocess which has not been resolved in the first instance with the </w:t>
      </w:r>
      <w:r w:rsidR="00CF449A">
        <w:t>CAV Representative</w:t>
      </w:r>
      <w:r w:rsidR="00660226" w:rsidRPr="00D71AD2">
        <w:t xml:space="preserve"> must follow the </w:t>
      </w:r>
      <w:r w:rsidR="00CF449A">
        <w:t>following c</w:t>
      </w:r>
      <w:r w:rsidR="00660226" w:rsidRPr="00D71AD2">
        <w:t xml:space="preserve">omplaints </w:t>
      </w:r>
      <w:r w:rsidR="00DA2E05" w:rsidRPr="00D71AD2">
        <w:t>process</w:t>
      </w:r>
      <w:r w:rsidR="00646CCB" w:rsidRPr="00D71AD2">
        <w:t>:</w:t>
      </w:r>
    </w:p>
    <w:p w14:paraId="7AE425BD" w14:textId="77777777" w:rsidR="00DA2E05" w:rsidRPr="00413567" w:rsidRDefault="00DA2E05" w:rsidP="00413567">
      <w:pPr>
        <w:pStyle w:val="ListNumber2"/>
        <w:tabs>
          <w:tab w:val="clear" w:pos="1134"/>
          <w:tab w:val="left" w:pos="851"/>
        </w:tabs>
      </w:pPr>
      <w:r w:rsidRPr="00413567">
        <w:rPr>
          <w:i/>
        </w:rPr>
        <w:t>Documentation required from a complainant</w:t>
      </w:r>
      <w:r w:rsidRPr="00413567">
        <w:t xml:space="preserve">. </w:t>
      </w:r>
      <w:r w:rsidRPr="00D71AD2">
        <w:t>The complaint should be in the form of a letter or email and include the following:</w:t>
      </w:r>
    </w:p>
    <w:p w14:paraId="1D88B614" w14:textId="77777777" w:rsidR="00DA2E05" w:rsidRPr="00D71AD2" w:rsidRDefault="00DA2E05" w:rsidP="00813532">
      <w:pPr>
        <w:pStyle w:val="ListNumber3"/>
      </w:pPr>
      <w:r w:rsidRPr="00D71AD2">
        <w:t xml:space="preserve">A concise written statement clearly setting out the basis and specific details for the </w:t>
      </w:r>
      <w:proofErr w:type="gramStart"/>
      <w:r w:rsidRPr="00D71AD2">
        <w:t>complaint;</w:t>
      </w:r>
      <w:proofErr w:type="gramEnd"/>
    </w:p>
    <w:p w14:paraId="20BDDED5" w14:textId="77777777" w:rsidR="00DA2E05" w:rsidRPr="00D71AD2" w:rsidRDefault="00DA2E05" w:rsidP="00813532">
      <w:pPr>
        <w:pStyle w:val="ListNumber3"/>
      </w:pPr>
      <w:r w:rsidRPr="00D71AD2">
        <w:t>How the subject of the complaint and the specific issues affect the person or organi</w:t>
      </w:r>
      <w:r w:rsidR="00723725">
        <w:t>s</w:t>
      </w:r>
      <w:r w:rsidRPr="00D71AD2">
        <w:t xml:space="preserve">ation making the </w:t>
      </w:r>
      <w:proofErr w:type="gramStart"/>
      <w:r w:rsidRPr="00D71AD2">
        <w:t>complaint;</w:t>
      </w:r>
      <w:proofErr w:type="gramEnd"/>
    </w:p>
    <w:p w14:paraId="2F1A4262" w14:textId="77777777" w:rsidR="00DA2E05" w:rsidRPr="00D71AD2" w:rsidRDefault="00DA2E05" w:rsidP="00813532">
      <w:pPr>
        <w:pStyle w:val="ListNumber3"/>
      </w:pPr>
      <w:r w:rsidRPr="00D71AD2">
        <w:t xml:space="preserve">Any relevant background information including prior actions or correspondence involving </w:t>
      </w:r>
      <w:r w:rsidR="00427C4D">
        <w:t>CAV</w:t>
      </w:r>
      <w:r w:rsidRPr="00D71AD2">
        <w:t xml:space="preserve"> in relation to the </w:t>
      </w:r>
      <w:proofErr w:type="gramStart"/>
      <w:r w:rsidRPr="00D71AD2">
        <w:t>issue;</w:t>
      </w:r>
      <w:proofErr w:type="gramEnd"/>
    </w:p>
    <w:p w14:paraId="1D717B80" w14:textId="77777777" w:rsidR="00DA2E05" w:rsidRPr="00D71AD2" w:rsidRDefault="00DA2E05" w:rsidP="00813532">
      <w:pPr>
        <w:pStyle w:val="ListNumber3"/>
      </w:pPr>
      <w:r w:rsidRPr="00D71AD2">
        <w:t>The outcome desired by the person or organisation making the complaint;</w:t>
      </w:r>
      <w:r w:rsidR="00076737">
        <w:t xml:space="preserve"> and</w:t>
      </w:r>
    </w:p>
    <w:p w14:paraId="259BA56F" w14:textId="77777777" w:rsidR="00DA2E05" w:rsidRPr="00D71AD2" w:rsidRDefault="00DA2E05" w:rsidP="00813532">
      <w:pPr>
        <w:pStyle w:val="ListNumber3"/>
      </w:pPr>
      <w:r w:rsidRPr="00D71AD2">
        <w:t xml:space="preserve">Copies of all relevant documentary evidence supporting the complaint. </w:t>
      </w:r>
    </w:p>
    <w:p w14:paraId="5F26552F" w14:textId="77777777" w:rsidR="00DA2E05" w:rsidRPr="00D71AD2" w:rsidRDefault="00DA2E05" w:rsidP="00413567">
      <w:pPr>
        <w:pStyle w:val="ListNumber2"/>
        <w:tabs>
          <w:tab w:val="clear" w:pos="1134"/>
          <w:tab w:val="left" w:pos="851"/>
        </w:tabs>
      </w:pPr>
      <w:r w:rsidRPr="00D71AD2">
        <w:t>Time Period for Complaints</w:t>
      </w:r>
    </w:p>
    <w:p w14:paraId="5C9EDF50" w14:textId="77777777" w:rsidR="00DA2E05" w:rsidRPr="00D71AD2" w:rsidRDefault="00DA2E05" w:rsidP="00813532">
      <w:pPr>
        <w:pStyle w:val="ListNumber3"/>
      </w:pPr>
      <w:r w:rsidRPr="00D71AD2">
        <w:t xml:space="preserve">Complainants are encouraged to submit their complaint during the </w:t>
      </w:r>
      <w:r w:rsidR="00076737">
        <w:t xml:space="preserve">Response </w:t>
      </w:r>
      <w:r w:rsidRPr="00D71AD2">
        <w:t xml:space="preserve">evaluation period, before the </w:t>
      </w:r>
      <w:r w:rsidR="007502C4">
        <w:t>EOI</w:t>
      </w:r>
      <w:r w:rsidRPr="00D71AD2">
        <w:t xml:space="preserve"> </w:t>
      </w:r>
      <w:r w:rsidR="00CF449A">
        <w:t>P</w:t>
      </w:r>
      <w:r w:rsidRPr="00D71AD2">
        <w:t xml:space="preserve">rocess is finalised. However, complainants may choose to submit complaints to </w:t>
      </w:r>
      <w:r w:rsidR="00427C4D">
        <w:t>CAV</w:t>
      </w:r>
      <w:r w:rsidRPr="00D71AD2">
        <w:t xml:space="preserve"> at any stage.</w:t>
      </w:r>
    </w:p>
    <w:p w14:paraId="55E9E7D6" w14:textId="77777777" w:rsidR="00DA2E05" w:rsidRPr="00D71AD2" w:rsidRDefault="00DA2E05" w:rsidP="00813532">
      <w:pPr>
        <w:pStyle w:val="ListNumber3"/>
      </w:pPr>
      <w:r w:rsidRPr="00D71AD2">
        <w:t xml:space="preserve">Written complaints should be received within 5 working days of the complainant’s initial contact with </w:t>
      </w:r>
      <w:r w:rsidR="00427C4D">
        <w:t>CAV</w:t>
      </w:r>
      <w:r w:rsidRPr="00D71AD2">
        <w:t xml:space="preserve"> regarding the complaint. Any delays are likely to adversely affect the timeliness of </w:t>
      </w:r>
      <w:r w:rsidR="00427C4D">
        <w:t>CAV</w:t>
      </w:r>
      <w:r w:rsidRPr="00D71AD2">
        <w:t>’s response and any proposed remedial actions.</w:t>
      </w:r>
    </w:p>
    <w:p w14:paraId="096FEC8A" w14:textId="77777777" w:rsidR="00DA2E05" w:rsidRPr="00D71AD2" w:rsidRDefault="00646CCB" w:rsidP="00413567">
      <w:pPr>
        <w:pStyle w:val="ListNumber2"/>
        <w:tabs>
          <w:tab w:val="clear" w:pos="1134"/>
          <w:tab w:val="left" w:pos="851"/>
        </w:tabs>
      </w:pPr>
      <w:r w:rsidRPr="00D71AD2">
        <w:t xml:space="preserve">All </w:t>
      </w:r>
      <w:r w:rsidR="00DA2E05" w:rsidRPr="00D71AD2">
        <w:t>documents pertaining to the complaint should be addressed as follows</w:t>
      </w:r>
      <w:r w:rsidRPr="00D71AD2">
        <w:t>:</w:t>
      </w:r>
    </w:p>
    <w:p w14:paraId="25D21DE9" w14:textId="77777777" w:rsidR="009C7FBD" w:rsidRPr="00813532" w:rsidRDefault="006C622B" w:rsidP="00413567">
      <w:pPr>
        <w:ind w:left="1440"/>
        <w:contextualSpacing/>
      </w:pPr>
      <w:r w:rsidRPr="00813532">
        <w:t>The General Manager</w:t>
      </w:r>
    </w:p>
    <w:p w14:paraId="08D23AD5" w14:textId="77777777" w:rsidR="006C622B" w:rsidRPr="00813532" w:rsidRDefault="006C622B" w:rsidP="00413567">
      <w:pPr>
        <w:ind w:left="1440"/>
        <w:contextualSpacing/>
      </w:pPr>
      <w:r w:rsidRPr="00813532">
        <w:t>Funded Services Branch</w:t>
      </w:r>
    </w:p>
    <w:p w14:paraId="04279FED" w14:textId="77777777" w:rsidR="009C7FBD" w:rsidRPr="00813532" w:rsidRDefault="006C622B" w:rsidP="00413567">
      <w:pPr>
        <w:ind w:left="1440"/>
        <w:contextualSpacing/>
      </w:pPr>
      <w:r w:rsidRPr="00813532">
        <w:t>Consumer Affairs Victoria</w:t>
      </w:r>
    </w:p>
    <w:p w14:paraId="0C40FA21" w14:textId="77777777" w:rsidR="009C7FBD" w:rsidRPr="00813532" w:rsidRDefault="009C7FBD" w:rsidP="00413567">
      <w:pPr>
        <w:ind w:left="1440"/>
        <w:contextualSpacing/>
      </w:pPr>
      <w:r w:rsidRPr="00813532">
        <w:t xml:space="preserve">Email:  </w:t>
      </w:r>
      <w:hyperlink r:id="rId13" w:history="1">
        <w:r w:rsidR="006C622B" w:rsidRPr="00813532">
          <w:rPr>
            <w:rStyle w:val="Hyperlink"/>
            <w:color w:val="auto"/>
            <w:u w:val="none"/>
          </w:rPr>
          <w:t>funded</w:t>
        </w:r>
      </w:hyperlink>
      <w:r w:rsidR="006C622B" w:rsidRPr="00813532">
        <w:t>services@justice.vic.gov.au</w:t>
      </w:r>
    </w:p>
    <w:p w14:paraId="33C88CF8" w14:textId="77777777" w:rsidR="006C3E7E" w:rsidRPr="00E249E2" w:rsidRDefault="006C3E7E" w:rsidP="00413567">
      <w:pPr>
        <w:pStyle w:val="ListNumber2"/>
        <w:tabs>
          <w:tab w:val="clear" w:pos="1134"/>
          <w:tab w:val="left" w:pos="851"/>
        </w:tabs>
      </w:pPr>
      <w:r>
        <w:t>CAV</w:t>
      </w:r>
      <w:r w:rsidRPr="00E249E2">
        <w:t xml:space="preserve"> will aim to address the complaint within </w:t>
      </w:r>
      <w:r w:rsidR="00076737">
        <w:t>1</w:t>
      </w:r>
      <w:r w:rsidRPr="00E249E2">
        <w:t xml:space="preserve">0 </w:t>
      </w:r>
      <w:r w:rsidR="00076737">
        <w:t xml:space="preserve">business </w:t>
      </w:r>
      <w:r w:rsidRPr="00E249E2">
        <w:t>days; however, if a resolution within this timeframe is unlikely, the complainant will be advised of an alternative timeframe.</w:t>
      </w:r>
    </w:p>
    <w:p w14:paraId="2FD4DCC9" w14:textId="13FBADA9" w:rsidR="006C3E7E" w:rsidRPr="00E249E2" w:rsidRDefault="006C3E7E" w:rsidP="00413567">
      <w:pPr>
        <w:pStyle w:val="ListNumber2"/>
        <w:tabs>
          <w:tab w:val="clear" w:pos="1134"/>
          <w:tab w:val="left" w:pos="851"/>
        </w:tabs>
      </w:pPr>
      <w:r w:rsidRPr="00E249E2">
        <w:t xml:space="preserve">If the complainant is not satisfied with the outcome, the complainant can request a secondary independent internal review, </w:t>
      </w:r>
      <w:r w:rsidRPr="00C1688D">
        <w:t xml:space="preserve">which will be managed by the Department of </w:t>
      </w:r>
      <w:r w:rsidR="00DE17DE" w:rsidRPr="00963C78">
        <w:t>Government Services</w:t>
      </w:r>
      <w:r w:rsidRPr="00C1688D">
        <w:t xml:space="preserve"> Office of Chief Procurement Officer and/or the Probity Practitioner (if appointed).</w:t>
      </w:r>
      <w:r w:rsidRPr="00E249E2">
        <w:t xml:space="preserve"> The complainant must confirm that it wishes to have a secondary review within a reasonable time of receiving the outcome from the </w:t>
      </w:r>
      <w:r>
        <w:t>General Manager</w:t>
      </w:r>
      <w:r w:rsidR="00CF449A">
        <w:t>,</w:t>
      </w:r>
      <w:r>
        <w:t xml:space="preserve"> Funded Services</w:t>
      </w:r>
      <w:r w:rsidRPr="00E249E2">
        <w:t>.</w:t>
      </w:r>
    </w:p>
    <w:p w14:paraId="1426EAEE" w14:textId="3343F0FF" w:rsidR="00584F61" w:rsidRPr="00D71AD2" w:rsidRDefault="006C3E7E" w:rsidP="00413567">
      <w:pPr>
        <w:pStyle w:val="ListNumber2"/>
        <w:tabs>
          <w:tab w:val="clear" w:pos="1134"/>
          <w:tab w:val="left" w:pos="851"/>
        </w:tabs>
      </w:pPr>
      <w:r w:rsidRPr="00E249E2">
        <w:t xml:space="preserve">All complaints received will be managed according to the </w:t>
      </w:r>
      <w:r w:rsidRPr="00706B87">
        <w:t xml:space="preserve">Department of </w:t>
      </w:r>
      <w:r w:rsidR="00EE12A5" w:rsidRPr="00963C78">
        <w:t>Government Services</w:t>
      </w:r>
      <w:r w:rsidRPr="00706B87">
        <w:t xml:space="preserve"> Information </w:t>
      </w:r>
      <w:r w:rsidR="00E8208D" w:rsidRPr="00963C78">
        <w:t>Management</w:t>
      </w:r>
      <w:r w:rsidR="00E8208D" w:rsidRPr="00706B87">
        <w:t xml:space="preserve"> </w:t>
      </w:r>
      <w:r w:rsidRPr="00706B87">
        <w:t>Policy.</w:t>
      </w:r>
      <w:r w:rsidRPr="00E249E2">
        <w:t xml:space="preserve"> The identity of a complainant may</w:t>
      </w:r>
      <w:r w:rsidR="00076737">
        <w:t xml:space="preserve"> </w:t>
      </w:r>
      <w:r w:rsidRPr="00E249E2">
        <w:t>be made known to the State if it is necessary for any issues raised to be satisfactorily addressed and rectified.</w:t>
      </w:r>
    </w:p>
    <w:sectPr w:rsidR="00584F61" w:rsidRPr="00D71AD2" w:rsidSect="00FF4296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1701" w:right="992" w:bottom="1440" w:left="119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2C2D" w14:textId="77777777" w:rsidR="009B3937" w:rsidRDefault="009B3937" w:rsidP="00813532">
      <w:r>
        <w:separator/>
      </w:r>
    </w:p>
  </w:endnote>
  <w:endnote w:type="continuationSeparator" w:id="0">
    <w:p w14:paraId="3372234E" w14:textId="77777777" w:rsidR="009B3937" w:rsidRDefault="009B3937" w:rsidP="00813532">
      <w:r>
        <w:continuationSeparator/>
      </w:r>
    </w:p>
  </w:endnote>
  <w:endnote w:type="continuationNotice" w:id="1">
    <w:p w14:paraId="59845455" w14:textId="77777777" w:rsidR="009B3937" w:rsidRDefault="009B39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37D7" w14:textId="77777777" w:rsidR="007B0196" w:rsidRPr="004F6406" w:rsidRDefault="00AC0E1D" w:rsidP="00813532">
    <w:pPr>
      <w:pStyle w:val="Footer"/>
    </w:pPr>
    <w:r>
      <w:tab/>
    </w:r>
    <w:r w:rsidR="007B0196">
      <w:fldChar w:fldCharType="begin"/>
    </w:r>
    <w:r w:rsidR="007B0196">
      <w:instrText xml:space="preserve"> PAGE   \* MERGEFORMAT </w:instrText>
    </w:r>
    <w:r w:rsidR="007B0196">
      <w:fldChar w:fldCharType="separate"/>
    </w:r>
    <w:r w:rsidR="006B717C">
      <w:rPr>
        <w:noProof/>
      </w:rPr>
      <w:t>2</w:t>
    </w:r>
    <w:r w:rsidR="007B0196">
      <w:fldChar w:fldCharType="end"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EE50" w14:textId="600834F0" w:rsidR="00540307" w:rsidRPr="009B2768" w:rsidRDefault="00C84991" w:rsidP="00C84991">
    <w:pPr>
      <w:pStyle w:val="Footer"/>
      <w:jc w:val="left"/>
    </w:pPr>
    <w:r w:rsidRPr="00DB0D94">
      <w:tab/>
    </w:r>
    <w:r w:rsidR="00540307" w:rsidRPr="00DB0D94">
      <w:t xml:space="preserve">Page </w:t>
    </w:r>
    <w:r w:rsidR="00540307" w:rsidRPr="00DB0D94">
      <w:fldChar w:fldCharType="begin"/>
    </w:r>
    <w:r w:rsidR="00540307" w:rsidRPr="00DB0D94">
      <w:instrText xml:space="preserve"> PAGE </w:instrText>
    </w:r>
    <w:r w:rsidR="00540307" w:rsidRPr="00DB0D94">
      <w:fldChar w:fldCharType="separate"/>
    </w:r>
    <w:r w:rsidR="008C60DC" w:rsidRPr="00DB0D94">
      <w:t>3</w:t>
    </w:r>
    <w:r w:rsidR="00540307" w:rsidRPr="00DB0D94">
      <w:fldChar w:fldCharType="end"/>
    </w:r>
    <w:r w:rsidR="00540307" w:rsidRPr="00DB0D94">
      <w:t xml:space="preserve"> of </w:t>
    </w:r>
    <w:fldSimple w:instr=" NUMPAGES   \* MERGEFORMAT ">
      <w:r w:rsidR="008C60DC" w:rsidRPr="00DB0D94"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8AE1" w14:textId="77777777" w:rsidR="009B3937" w:rsidRDefault="009B3937" w:rsidP="00813532">
      <w:r>
        <w:separator/>
      </w:r>
    </w:p>
  </w:footnote>
  <w:footnote w:type="continuationSeparator" w:id="0">
    <w:p w14:paraId="0AFA479F" w14:textId="77777777" w:rsidR="009B3937" w:rsidRDefault="009B3937" w:rsidP="00813532">
      <w:r>
        <w:continuationSeparator/>
      </w:r>
    </w:p>
  </w:footnote>
  <w:footnote w:type="continuationNotice" w:id="1">
    <w:p w14:paraId="420F774C" w14:textId="77777777" w:rsidR="009B3937" w:rsidRDefault="009B39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4F55" w14:textId="77777777" w:rsidR="006B717C" w:rsidRDefault="007822C6" w:rsidP="00813532">
    <w:pPr>
      <w:pStyle w:val="Header"/>
      <w:pBdr>
        <w:bottom w:val="none" w:sz="0" w:space="0" w:color="auto"/>
      </w:pBd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077351D" wp14:editId="583D8941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7553960" cy="10685145"/>
          <wp:effectExtent l="0" t="0" r="8890" b="1905"/>
          <wp:wrapNone/>
          <wp:docPr id="1" name="Picture 1" descr="Stakeholder Kit - fron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keholder Kit - fron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2AC0" w14:textId="77777777" w:rsidR="007960B6" w:rsidRDefault="007960B6" w:rsidP="00813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CF31" w14:textId="5C450CC8" w:rsidR="00E571AC" w:rsidRPr="00540307" w:rsidRDefault="001B5387" w:rsidP="00813532">
    <w:pPr>
      <w:pStyle w:val="Header"/>
      <w:pBdr>
        <w:bottom w:val="none" w:sz="0" w:space="0" w:color="auto"/>
      </w:pBdr>
    </w:pPr>
    <w:r>
      <w:t>Conditions of Participation</w:t>
    </w:r>
    <w:r w:rsidR="00E571AC" w:rsidRPr="003F155E">
      <w:tab/>
    </w:r>
    <w:r w:rsidR="008C7685">
      <w:t>Rental Stress Support Package 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724C" w14:textId="77777777" w:rsidR="007960B6" w:rsidRDefault="007960B6" w:rsidP="0081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3C2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894CE9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C511CC"/>
    <w:multiLevelType w:val="hybridMultilevel"/>
    <w:tmpl w:val="D616C9F2"/>
    <w:lvl w:ilvl="0" w:tplc="5B1EE92A">
      <w:start w:val="1"/>
      <w:numFmt w:val="bullet"/>
      <w:pStyle w:val="Normal-Left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287"/>
    <w:multiLevelType w:val="hybridMultilevel"/>
    <w:tmpl w:val="12FCB8B0"/>
    <w:lvl w:ilvl="0" w:tplc="F856B3CE">
      <w:start w:val="1"/>
      <w:numFmt w:val="bullet"/>
      <w:pStyle w:val="DHH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C367F"/>
    <w:multiLevelType w:val="multilevel"/>
    <w:tmpl w:val="BDDE7B9E"/>
    <w:lvl w:ilvl="0">
      <w:start w:val="1"/>
      <w:numFmt w:val="decimal"/>
      <w:pStyle w:val="Heading1Numbered"/>
      <w:lvlText w:val="%1.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b/>
        <w:i w:val="0"/>
        <w:sz w:val="28"/>
        <w:szCs w:val="28"/>
      </w:rPr>
    </w:lvl>
    <w:lvl w:ilvl="1">
      <w:start w:val="1"/>
      <w:numFmt w:val="decimal"/>
      <w:pStyle w:val="Heading2Numbering"/>
      <w:lvlText w:val="%1.%2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decimal"/>
      <w:pStyle w:val="Heading3Numbering"/>
      <w:lvlText w:val="%1.%2.%3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b/>
        <w:i w:val="0"/>
        <w:sz w:val="22"/>
        <w:szCs w:val="22"/>
      </w:rPr>
    </w:lvl>
    <w:lvl w:ilvl="3">
      <w:start w:val="1"/>
      <w:numFmt w:val="decimal"/>
      <w:lvlRestart w:val="1"/>
      <w:pStyle w:val="Heading4Numbering"/>
      <w:lvlText w:val="%1.%2.%3.%4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sz w:val="28"/>
        <w:szCs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6D3A6A"/>
    <w:multiLevelType w:val="multilevel"/>
    <w:tmpl w:val="A214506C"/>
    <w:lvl w:ilvl="0">
      <w:start w:val="1"/>
      <w:numFmt w:val="bullet"/>
      <w:pStyle w:val="Bullet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1361"/>
        </w:tabs>
        <w:ind w:left="1361" w:hanging="284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3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A2E0256"/>
    <w:multiLevelType w:val="hybridMultilevel"/>
    <w:tmpl w:val="90464C6A"/>
    <w:lvl w:ilvl="0" w:tplc="FFFFFFFF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3DAC"/>
    <w:multiLevelType w:val="multilevel"/>
    <w:tmpl w:val="8A86A6B0"/>
    <w:styleLink w:val="Bullets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2677404"/>
    <w:multiLevelType w:val="hybridMultilevel"/>
    <w:tmpl w:val="3D0C7DE2"/>
    <w:lvl w:ilvl="0" w:tplc="FFFFFFFF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A4F45"/>
    <w:multiLevelType w:val="hybridMultilevel"/>
    <w:tmpl w:val="C3C00FB4"/>
    <w:lvl w:ilvl="0" w:tplc="498852BE">
      <w:start w:val="1"/>
      <w:numFmt w:val="bullet"/>
      <w:pStyle w:val="Bullet12p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46572">
    <w:abstractNumId w:val="1"/>
  </w:num>
  <w:num w:numId="2" w16cid:durableId="1972202674">
    <w:abstractNumId w:val="2"/>
  </w:num>
  <w:num w:numId="3" w16cid:durableId="822310834">
    <w:abstractNumId w:val="6"/>
  </w:num>
  <w:num w:numId="4" w16cid:durableId="769551424">
    <w:abstractNumId w:val="8"/>
  </w:num>
  <w:num w:numId="5" w16cid:durableId="4482869">
    <w:abstractNumId w:val="9"/>
  </w:num>
  <w:num w:numId="6" w16cid:durableId="346293641">
    <w:abstractNumId w:val="4"/>
  </w:num>
  <w:num w:numId="7" w16cid:durableId="1865941413">
    <w:abstractNumId w:val="5"/>
  </w:num>
  <w:num w:numId="8" w16cid:durableId="47654193">
    <w:abstractNumId w:val="3"/>
  </w:num>
  <w:num w:numId="9" w16cid:durableId="1923562136">
    <w:abstractNumId w:val="7"/>
  </w:num>
  <w:num w:numId="10" w16cid:durableId="1000087620">
    <w:abstractNumId w:val="10"/>
  </w:num>
  <w:num w:numId="11" w16cid:durableId="61879166">
    <w:abstractNumId w:val="11"/>
  </w:num>
  <w:num w:numId="12" w16cid:durableId="986127707">
    <w:abstractNumId w:val="1"/>
  </w:num>
  <w:num w:numId="13" w16cid:durableId="747845135">
    <w:abstractNumId w:val="0"/>
  </w:num>
  <w:num w:numId="14" w16cid:durableId="964578374">
    <w:abstractNumId w:val="1"/>
  </w:num>
  <w:num w:numId="15" w16cid:durableId="886452012">
    <w:abstractNumId w:val="1"/>
  </w:num>
  <w:num w:numId="16" w16cid:durableId="684750264">
    <w:abstractNumId w:val="1"/>
  </w:num>
  <w:num w:numId="17" w16cid:durableId="961615814">
    <w:abstractNumId w:val="1"/>
  </w:num>
  <w:num w:numId="18" w16cid:durableId="191457153">
    <w:abstractNumId w:val="1"/>
  </w:num>
  <w:num w:numId="19" w16cid:durableId="847014620">
    <w:abstractNumId w:val="1"/>
  </w:num>
  <w:num w:numId="20" w16cid:durableId="948195130">
    <w:abstractNumId w:val="1"/>
  </w:num>
  <w:num w:numId="21" w16cid:durableId="512837265">
    <w:abstractNumId w:val="1"/>
  </w:num>
  <w:num w:numId="22" w16cid:durableId="1515223322">
    <w:abstractNumId w:val="1"/>
  </w:num>
  <w:num w:numId="23" w16cid:durableId="1423528233">
    <w:abstractNumId w:val="1"/>
  </w:num>
  <w:num w:numId="24" w16cid:durableId="618994849">
    <w:abstractNumId w:val="1"/>
  </w:num>
  <w:num w:numId="25" w16cid:durableId="1493445013">
    <w:abstractNumId w:val="1"/>
  </w:num>
  <w:num w:numId="26" w16cid:durableId="40881925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2D"/>
    <w:rsid w:val="000002C6"/>
    <w:rsid w:val="00002940"/>
    <w:rsid w:val="00003A29"/>
    <w:rsid w:val="00004951"/>
    <w:rsid w:val="000056A7"/>
    <w:rsid w:val="000056AD"/>
    <w:rsid w:val="000061AB"/>
    <w:rsid w:val="00006EAA"/>
    <w:rsid w:val="00014B22"/>
    <w:rsid w:val="00014EC2"/>
    <w:rsid w:val="00015690"/>
    <w:rsid w:val="0001792A"/>
    <w:rsid w:val="0002177B"/>
    <w:rsid w:val="00022530"/>
    <w:rsid w:val="00025E45"/>
    <w:rsid w:val="00026B63"/>
    <w:rsid w:val="0002738B"/>
    <w:rsid w:val="00027C89"/>
    <w:rsid w:val="00035913"/>
    <w:rsid w:val="0003639B"/>
    <w:rsid w:val="00037CC6"/>
    <w:rsid w:val="00041F59"/>
    <w:rsid w:val="000422F7"/>
    <w:rsid w:val="00047320"/>
    <w:rsid w:val="00047379"/>
    <w:rsid w:val="00047A73"/>
    <w:rsid w:val="00052DAA"/>
    <w:rsid w:val="00057026"/>
    <w:rsid w:val="00057C93"/>
    <w:rsid w:val="000606E5"/>
    <w:rsid w:val="00061AB6"/>
    <w:rsid w:val="00064BB4"/>
    <w:rsid w:val="00067D60"/>
    <w:rsid w:val="0007365C"/>
    <w:rsid w:val="00074CB0"/>
    <w:rsid w:val="00076737"/>
    <w:rsid w:val="00077DED"/>
    <w:rsid w:val="00077F9B"/>
    <w:rsid w:val="00081D1C"/>
    <w:rsid w:val="000840DF"/>
    <w:rsid w:val="00085EE0"/>
    <w:rsid w:val="00091FB0"/>
    <w:rsid w:val="00096319"/>
    <w:rsid w:val="000A0E5F"/>
    <w:rsid w:val="000A5239"/>
    <w:rsid w:val="000A6602"/>
    <w:rsid w:val="000B19B9"/>
    <w:rsid w:val="000B315D"/>
    <w:rsid w:val="000B491A"/>
    <w:rsid w:val="000B50B9"/>
    <w:rsid w:val="000B578A"/>
    <w:rsid w:val="000C4571"/>
    <w:rsid w:val="000C45BA"/>
    <w:rsid w:val="000C5283"/>
    <w:rsid w:val="000C5CB4"/>
    <w:rsid w:val="000D05C5"/>
    <w:rsid w:val="000D09A7"/>
    <w:rsid w:val="000D2A0F"/>
    <w:rsid w:val="000D503F"/>
    <w:rsid w:val="000D5C97"/>
    <w:rsid w:val="000D770E"/>
    <w:rsid w:val="000D7968"/>
    <w:rsid w:val="000E0C38"/>
    <w:rsid w:val="000E2BC9"/>
    <w:rsid w:val="000E3641"/>
    <w:rsid w:val="000E4038"/>
    <w:rsid w:val="000E4E44"/>
    <w:rsid w:val="000E5318"/>
    <w:rsid w:val="000F266B"/>
    <w:rsid w:val="000F430A"/>
    <w:rsid w:val="000F430C"/>
    <w:rsid w:val="000F492C"/>
    <w:rsid w:val="000F4F6E"/>
    <w:rsid w:val="000F5B5C"/>
    <w:rsid w:val="000F6DAE"/>
    <w:rsid w:val="000F7059"/>
    <w:rsid w:val="000F7C78"/>
    <w:rsid w:val="00102FCD"/>
    <w:rsid w:val="00105075"/>
    <w:rsid w:val="001055DD"/>
    <w:rsid w:val="00106CEC"/>
    <w:rsid w:val="001100A5"/>
    <w:rsid w:val="00111E44"/>
    <w:rsid w:val="0011236C"/>
    <w:rsid w:val="00116D4A"/>
    <w:rsid w:val="00116EC7"/>
    <w:rsid w:val="00121323"/>
    <w:rsid w:val="00130246"/>
    <w:rsid w:val="001304DE"/>
    <w:rsid w:val="00130745"/>
    <w:rsid w:val="001319EE"/>
    <w:rsid w:val="00133790"/>
    <w:rsid w:val="0013433C"/>
    <w:rsid w:val="001347E7"/>
    <w:rsid w:val="001352EB"/>
    <w:rsid w:val="00135CC7"/>
    <w:rsid w:val="0014114C"/>
    <w:rsid w:val="001440B2"/>
    <w:rsid w:val="0015184F"/>
    <w:rsid w:val="00152995"/>
    <w:rsid w:val="0015330D"/>
    <w:rsid w:val="00153802"/>
    <w:rsid w:val="001540AF"/>
    <w:rsid w:val="0015647A"/>
    <w:rsid w:val="00157C0C"/>
    <w:rsid w:val="00161EA2"/>
    <w:rsid w:val="00162B0C"/>
    <w:rsid w:val="00164273"/>
    <w:rsid w:val="001643B5"/>
    <w:rsid w:val="0016498E"/>
    <w:rsid w:val="001661C1"/>
    <w:rsid w:val="0016711C"/>
    <w:rsid w:val="00171694"/>
    <w:rsid w:val="00174870"/>
    <w:rsid w:val="001749D5"/>
    <w:rsid w:val="00180CCD"/>
    <w:rsid w:val="00183598"/>
    <w:rsid w:val="00185238"/>
    <w:rsid w:val="0018584F"/>
    <w:rsid w:val="00186CEC"/>
    <w:rsid w:val="00187DDA"/>
    <w:rsid w:val="00192C8A"/>
    <w:rsid w:val="00193546"/>
    <w:rsid w:val="0019363C"/>
    <w:rsid w:val="00194F90"/>
    <w:rsid w:val="001A235D"/>
    <w:rsid w:val="001A47DB"/>
    <w:rsid w:val="001A511B"/>
    <w:rsid w:val="001A57D3"/>
    <w:rsid w:val="001A5E5F"/>
    <w:rsid w:val="001A66C1"/>
    <w:rsid w:val="001B04CA"/>
    <w:rsid w:val="001B443C"/>
    <w:rsid w:val="001B5387"/>
    <w:rsid w:val="001B7B02"/>
    <w:rsid w:val="001C21D9"/>
    <w:rsid w:val="001C2246"/>
    <w:rsid w:val="001C3450"/>
    <w:rsid w:val="001C3477"/>
    <w:rsid w:val="001C532D"/>
    <w:rsid w:val="001D0456"/>
    <w:rsid w:val="001D3CAB"/>
    <w:rsid w:val="001D683A"/>
    <w:rsid w:val="001D7AC5"/>
    <w:rsid w:val="001E14FA"/>
    <w:rsid w:val="001E5404"/>
    <w:rsid w:val="001E724E"/>
    <w:rsid w:val="001F10DA"/>
    <w:rsid w:val="001F543C"/>
    <w:rsid w:val="001F5B00"/>
    <w:rsid w:val="001F6FA5"/>
    <w:rsid w:val="001F7D92"/>
    <w:rsid w:val="00201FEB"/>
    <w:rsid w:val="002055BD"/>
    <w:rsid w:val="002077FE"/>
    <w:rsid w:val="00207AC4"/>
    <w:rsid w:val="00211102"/>
    <w:rsid w:val="00212E60"/>
    <w:rsid w:val="002130CB"/>
    <w:rsid w:val="00214BC2"/>
    <w:rsid w:val="00215C41"/>
    <w:rsid w:val="0022083B"/>
    <w:rsid w:val="00224012"/>
    <w:rsid w:val="00224E3A"/>
    <w:rsid w:val="002251C9"/>
    <w:rsid w:val="00225519"/>
    <w:rsid w:val="00225952"/>
    <w:rsid w:val="00226772"/>
    <w:rsid w:val="00226E28"/>
    <w:rsid w:val="00227771"/>
    <w:rsid w:val="00227AAE"/>
    <w:rsid w:val="00227D0A"/>
    <w:rsid w:val="00231197"/>
    <w:rsid w:val="00231D75"/>
    <w:rsid w:val="002343A3"/>
    <w:rsid w:val="002353D1"/>
    <w:rsid w:val="00245124"/>
    <w:rsid w:val="00245D98"/>
    <w:rsid w:val="00246B7A"/>
    <w:rsid w:val="00246D30"/>
    <w:rsid w:val="00247237"/>
    <w:rsid w:val="002502D9"/>
    <w:rsid w:val="0025669D"/>
    <w:rsid w:val="00257832"/>
    <w:rsid w:val="00262AA9"/>
    <w:rsid w:val="00263F23"/>
    <w:rsid w:val="00265DC3"/>
    <w:rsid w:val="00266B53"/>
    <w:rsid w:val="00276A00"/>
    <w:rsid w:val="00281EE1"/>
    <w:rsid w:val="002857BD"/>
    <w:rsid w:val="00285BD9"/>
    <w:rsid w:val="002900AA"/>
    <w:rsid w:val="002915F0"/>
    <w:rsid w:val="00295BF9"/>
    <w:rsid w:val="00296DA8"/>
    <w:rsid w:val="00297616"/>
    <w:rsid w:val="002A1610"/>
    <w:rsid w:val="002A1866"/>
    <w:rsid w:val="002A1EC8"/>
    <w:rsid w:val="002A21F0"/>
    <w:rsid w:val="002A33DD"/>
    <w:rsid w:val="002B5664"/>
    <w:rsid w:val="002B5CB3"/>
    <w:rsid w:val="002B7D91"/>
    <w:rsid w:val="002C108C"/>
    <w:rsid w:val="002C1A25"/>
    <w:rsid w:val="002C5DA2"/>
    <w:rsid w:val="002C6BE3"/>
    <w:rsid w:val="002D1A66"/>
    <w:rsid w:val="002D1AF0"/>
    <w:rsid w:val="002D1D57"/>
    <w:rsid w:val="002D21EE"/>
    <w:rsid w:val="002D365B"/>
    <w:rsid w:val="002D40CE"/>
    <w:rsid w:val="002D5CCD"/>
    <w:rsid w:val="002E1121"/>
    <w:rsid w:val="002E6C19"/>
    <w:rsid w:val="002E6E4A"/>
    <w:rsid w:val="002E7911"/>
    <w:rsid w:val="002F1929"/>
    <w:rsid w:val="002F1C8C"/>
    <w:rsid w:val="002F30FA"/>
    <w:rsid w:val="002F5F01"/>
    <w:rsid w:val="002F62E3"/>
    <w:rsid w:val="002F6DE3"/>
    <w:rsid w:val="002F75AE"/>
    <w:rsid w:val="002F764C"/>
    <w:rsid w:val="00301B8E"/>
    <w:rsid w:val="00307364"/>
    <w:rsid w:val="0030740E"/>
    <w:rsid w:val="0031074C"/>
    <w:rsid w:val="003163D1"/>
    <w:rsid w:val="003210B3"/>
    <w:rsid w:val="00321CA2"/>
    <w:rsid w:val="00322DC6"/>
    <w:rsid w:val="00322EE3"/>
    <w:rsid w:val="003241F3"/>
    <w:rsid w:val="003243CB"/>
    <w:rsid w:val="0032587F"/>
    <w:rsid w:val="00325D18"/>
    <w:rsid w:val="00325F73"/>
    <w:rsid w:val="00327580"/>
    <w:rsid w:val="0032759E"/>
    <w:rsid w:val="00333D5F"/>
    <w:rsid w:val="0033443B"/>
    <w:rsid w:val="00337BBD"/>
    <w:rsid w:val="00337F40"/>
    <w:rsid w:val="003401A0"/>
    <w:rsid w:val="003426C3"/>
    <w:rsid w:val="00342861"/>
    <w:rsid w:val="00343CED"/>
    <w:rsid w:val="003451EC"/>
    <w:rsid w:val="00345DFC"/>
    <w:rsid w:val="00351139"/>
    <w:rsid w:val="003538F3"/>
    <w:rsid w:val="00357315"/>
    <w:rsid w:val="00360254"/>
    <w:rsid w:val="00364364"/>
    <w:rsid w:val="003679DC"/>
    <w:rsid w:val="00367C96"/>
    <w:rsid w:val="00370CF3"/>
    <w:rsid w:val="00370E62"/>
    <w:rsid w:val="0037166D"/>
    <w:rsid w:val="00371F0D"/>
    <w:rsid w:val="00373566"/>
    <w:rsid w:val="00375321"/>
    <w:rsid w:val="0037651C"/>
    <w:rsid w:val="00377332"/>
    <w:rsid w:val="0038039C"/>
    <w:rsid w:val="0038398E"/>
    <w:rsid w:val="00383EF2"/>
    <w:rsid w:val="0038517E"/>
    <w:rsid w:val="00385BDA"/>
    <w:rsid w:val="0039518D"/>
    <w:rsid w:val="003955BA"/>
    <w:rsid w:val="003A0E4E"/>
    <w:rsid w:val="003A1B09"/>
    <w:rsid w:val="003A350E"/>
    <w:rsid w:val="003A50AB"/>
    <w:rsid w:val="003A68B2"/>
    <w:rsid w:val="003B0253"/>
    <w:rsid w:val="003B04C7"/>
    <w:rsid w:val="003B0582"/>
    <w:rsid w:val="003B286D"/>
    <w:rsid w:val="003B6BEA"/>
    <w:rsid w:val="003B6DC9"/>
    <w:rsid w:val="003C050C"/>
    <w:rsid w:val="003C189E"/>
    <w:rsid w:val="003C1B37"/>
    <w:rsid w:val="003C369D"/>
    <w:rsid w:val="003C6972"/>
    <w:rsid w:val="003C76B9"/>
    <w:rsid w:val="003C7F1F"/>
    <w:rsid w:val="003D2301"/>
    <w:rsid w:val="003D2BE6"/>
    <w:rsid w:val="003D2DE8"/>
    <w:rsid w:val="003D2E55"/>
    <w:rsid w:val="003D3DAA"/>
    <w:rsid w:val="003D490B"/>
    <w:rsid w:val="003D7145"/>
    <w:rsid w:val="003E3C3E"/>
    <w:rsid w:val="003F155E"/>
    <w:rsid w:val="003F1DC8"/>
    <w:rsid w:val="003F268C"/>
    <w:rsid w:val="003F31FC"/>
    <w:rsid w:val="003F57A7"/>
    <w:rsid w:val="003F7981"/>
    <w:rsid w:val="00401BE6"/>
    <w:rsid w:val="004023FC"/>
    <w:rsid w:val="004050DA"/>
    <w:rsid w:val="00406B08"/>
    <w:rsid w:val="00411C79"/>
    <w:rsid w:val="00412319"/>
    <w:rsid w:val="00413567"/>
    <w:rsid w:val="004158A0"/>
    <w:rsid w:val="00416532"/>
    <w:rsid w:val="004167B4"/>
    <w:rsid w:val="00416DC7"/>
    <w:rsid w:val="00416DCC"/>
    <w:rsid w:val="0041747F"/>
    <w:rsid w:val="004204E5"/>
    <w:rsid w:val="00420ABC"/>
    <w:rsid w:val="00421565"/>
    <w:rsid w:val="00422C6D"/>
    <w:rsid w:val="004255B5"/>
    <w:rsid w:val="00426346"/>
    <w:rsid w:val="00427C4D"/>
    <w:rsid w:val="00435C84"/>
    <w:rsid w:val="00435C94"/>
    <w:rsid w:val="004374AC"/>
    <w:rsid w:val="00440907"/>
    <w:rsid w:val="004456B9"/>
    <w:rsid w:val="00450538"/>
    <w:rsid w:val="0045323C"/>
    <w:rsid w:val="00453709"/>
    <w:rsid w:val="00455BDA"/>
    <w:rsid w:val="00455C1D"/>
    <w:rsid w:val="00460668"/>
    <w:rsid w:val="00461250"/>
    <w:rsid w:val="004613DD"/>
    <w:rsid w:val="0046349A"/>
    <w:rsid w:val="004634AD"/>
    <w:rsid w:val="0046629B"/>
    <w:rsid w:val="00467136"/>
    <w:rsid w:val="004713B2"/>
    <w:rsid w:val="0047232A"/>
    <w:rsid w:val="00473FA9"/>
    <w:rsid w:val="004740BC"/>
    <w:rsid w:val="00477E29"/>
    <w:rsid w:val="00480E6B"/>
    <w:rsid w:val="00484281"/>
    <w:rsid w:val="00485194"/>
    <w:rsid w:val="0049126B"/>
    <w:rsid w:val="004931CA"/>
    <w:rsid w:val="00496F7B"/>
    <w:rsid w:val="00497793"/>
    <w:rsid w:val="004A5DDC"/>
    <w:rsid w:val="004A7EBB"/>
    <w:rsid w:val="004B2159"/>
    <w:rsid w:val="004B3C4B"/>
    <w:rsid w:val="004B40FA"/>
    <w:rsid w:val="004C1C6C"/>
    <w:rsid w:val="004C2A12"/>
    <w:rsid w:val="004C430E"/>
    <w:rsid w:val="004C49CE"/>
    <w:rsid w:val="004C5B6A"/>
    <w:rsid w:val="004C623B"/>
    <w:rsid w:val="004D02D1"/>
    <w:rsid w:val="004D0CCA"/>
    <w:rsid w:val="004D7E5C"/>
    <w:rsid w:val="004E11EC"/>
    <w:rsid w:val="004E13F8"/>
    <w:rsid w:val="004E15D6"/>
    <w:rsid w:val="004E1CA9"/>
    <w:rsid w:val="004E1DD3"/>
    <w:rsid w:val="004E23C7"/>
    <w:rsid w:val="004E2785"/>
    <w:rsid w:val="004E2F10"/>
    <w:rsid w:val="004E7454"/>
    <w:rsid w:val="004F5E29"/>
    <w:rsid w:val="004F5F04"/>
    <w:rsid w:val="00500373"/>
    <w:rsid w:val="00500B50"/>
    <w:rsid w:val="005012E0"/>
    <w:rsid w:val="005014BC"/>
    <w:rsid w:val="00501A54"/>
    <w:rsid w:val="005058BF"/>
    <w:rsid w:val="00505D26"/>
    <w:rsid w:val="00510DC3"/>
    <w:rsid w:val="0051343C"/>
    <w:rsid w:val="0051433F"/>
    <w:rsid w:val="005152E1"/>
    <w:rsid w:val="0051626B"/>
    <w:rsid w:val="005203C7"/>
    <w:rsid w:val="0052092B"/>
    <w:rsid w:val="00525101"/>
    <w:rsid w:val="00525B50"/>
    <w:rsid w:val="00525F41"/>
    <w:rsid w:val="005264A3"/>
    <w:rsid w:val="00526981"/>
    <w:rsid w:val="00527629"/>
    <w:rsid w:val="00527E77"/>
    <w:rsid w:val="00530185"/>
    <w:rsid w:val="005329C4"/>
    <w:rsid w:val="00532AA5"/>
    <w:rsid w:val="00532F5A"/>
    <w:rsid w:val="00534738"/>
    <w:rsid w:val="0053642B"/>
    <w:rsid w:val="00540307"/>
    <w:rsid w:val="00542082"/>
    <w:rsid w:val="005431B6"/>
    <w:rsid w:val="00543617"/>
    <w:rsid w:val="005450EE"/>
    <w:rsid w:val="0054558C"/>
    <w:rsid w:val="005462C4"/>
    <w:rsid w:val="00546824"/>
    <w:rsid w:val="00550F26"/>
    <w:rsid w:val="00552456"/>
    <w:rsid w:val="00553148"/>
    <w:rsid w:val="00553544"/>
    <w:rsid w:val="005553F3"/>
    <w:rsid w:val="005563C3"/>
    <w:rsid w:val="00556B1E"/>
    <w:rsid w:val="00557B6E"/>
    <w:rsid w:val="00557C57"/>
    <w:rsid w:val="0056648A"/>
    <w:rsid w:val="00571F01"/>
    <w:rsid w:val="00574C25"/>
    <w:rsid w:val="00574F20"/>
    <w:rsid w:val="00575A4D"/>
    <w:rsid w:val="0057781E"/>
    <w:rsid w:val="00580893"/>
    <w:rsid w:val="00580C12"/>
    <w:rsid w:val="00581DB9"/>
    <w:rsid w:val="00582904"/>
    <w:rsid w:val="00583A7D"/>
    <w:rsid w:val="00584F61"/>
    <w:rsid w:val="00586D60"/>
    <w:rsid w:val="00587144"/>
    <w:rsid w:val="005912C8"/>
    <w:rsid w:val="005919FF"/>
    <w:rsid w:val="00591C0C"/>
    <w:rsid w:val="00593C96"/>
    <w:rsid w:val="00594A59"/>
    <w:rsid w:val="00594BBC"/>
    <w:rsid w:val="0059608C"/>
    <w:rsid w:val="005A08FA"/>
    <w:rsid w:val="005A16E7"/>
    <w:rsid w:val="005A215C"/>
    <w:rsid w:val="005A26EC"/>
    <w:rsid w:val="005A3C5A"/>
    <w:rsid w:val="005A715E"/>
    <w:rsid w:val="005A721A"/>
    <w:rsid w:val="005B695D"/>
    <w:rsid w:val="005B6AC7"/>
    <w:rsid w:val="005B7C89"/>
    <w:rsid w:val="005C2ADE"/>
    <w:rsid w:val="005C3E06"/>
    <w:rsid w:val="005C4119"/>
    <w:rsid w:val="005C63E8"/>
    <w:rsid w:val="005D0949"/>
    <w:rsid w:val="005D2027"/>
    <w:rsid w:val="005D31AC"/>
    <w:rsid w:val="005D4E42"/>
    <w:rsid w:val="005E20E9"/>
    <w:rsid w:val="005E355B"/>
    <w:rsid w:val="005E3B5E"/>
    <w:rsid w:val="005E5767"/>
    <w:rsid w:val="005E75AE"/>
    <w:rsid w:val="005F2896"/>
    <w:rsid w:val="005F3484"/>
    <w:rsid w:val="005F3FC3"/>
    <w:rsid w:val="005F4464"/>
    <w:rsid w:val="005F492F"/>
    <w:rsid w:val="005F516A"/>
    <w:rsid w:val="005F620E"/>
    <w:rsid w:val="005F7BC6"/>
    <w:rsid w:val="005F7E6B"/>
    <w:rsid w:val="00600970"/>
    <w:rsid w:val="00602FED"/>
    <w:rsid w:val="0060433E"/>
    <w:rsid w:val="00604C3C"/>
    <w:rsid w:val="00604E7D"/>
    <w:rsid w:val="00606102"/>
    <w:rsid w:val="00610CAF"/>
    <w:rsid w:val="00612754"/>
    <w:rsid w:val="00615685"/>
    <w:rsid w:val="006179DB"/>
    <w:rsid w:val="0062097D"/>
    <w:rsid w:val="00622968"/>
    <w:rsid w:val="0062389B"/>
    <w:rsid w:val="00625D15"/>
    <w:rsid w:val="006266BD"/>
    <w:rsid w:val="00626CC7"/>
    <w:rsid w:val="00627089"/>
    <w:rsid w:val="0063108F"/>
    <w:rsid w:val="00634293"/>
    <w:rsid w:val="00640887"/>
    <w:rsid w:val="00645522"/>
    <w:rsid w:val="006458D2"/>
    <w:rsid w:val="0064595E"/>
    <w:rsid w:val="006467C4"/>
    <w:rsid w:val="00646CCB"/>
    <w:rsid w:val="006500A1"/>
    <w:rsid w:val="00650D4E"/>
    <w:rsid w:val="0065178D"/>
    <w:rsid w:val="00651DFE"/>
    <w:rsid w:val="00653E25"/>
    <w:rsid w:val="0065754B"/>
    <w:rsid w:val="00657C29"/>
    <w:rsid w:val="00660226"/>
    <w:rsid w:val="00660301"/>
    <w:rsid w:val="0066113F"/>
    <w:rsid w:val="006613C2"/>
    <w:rsid w:val="0066205D"/>
    <w:rsid w:val="00665B26"/>
    <w:rsid w:val="00674D4C"/>
    <w:rsid w:val="0068434B"/>
    <w:rsid w:val="006866D7"/>
    <w:rsid w:val="00686F03"/>
    <w:rsid w:val="00687B6C"/>
    <w:rsid w:val="00687DA4"/>
    <w:rsid w:val="00687E5E"/>
    <w:rsid w:val="006909E1"/>
    <w:rsid w:val="00691B45"/>
    <w:rsid w:val="00692610"/>
    <w:rsid w:val="00693B7E"/>
    <w:rsid w:val="006949CB"/>
    <w:rsid w:val="006A03A6"/>
    <w:rsid w:val="006A071C"/>
    <w:rsid w:val="006A0759"/>
    <w:rsid w:val="006A1319"/>
    <w:rsid w:val="006A23CF"/>
    <w:rsid w:val="006A4248"/>
    <w:rsid w:val="006A58C2"/>
    <w:rsid w:val="006A63F7"/>
    <w:rsid w:val="006A69FA"/>
    <w:rsid w:val="006A720A"/>
    <w:rsid w:val="006B0715"/>
    <w:rsid w:val="006B1E88"/>
    <w:rsid w:val="006B2870"/>
    <w:rsid w:val="006B30E6"/>
    <w:rsid w:val="006B5DA8"/>
    <w:rsid w:val="006B6C99"/>
    <w:rsid w:val="006B717C"/>
    <w:rsid w:val="006B7A77"/>
    <w:rsid w:val="006C0792"/>
    <w:rsid w:val="006C0969"/>
    <w:rsid w:val="006C15D6"/>
    <w:rsid w:val="006C17E3"/>
    <w:rsid w:val="006C368D"/>
    <w:rsid w:val="006C3E7E"/>
    <w:rsid w:val="006C622B"/>
    <w:rsid w:val="006C63E1"/>
    <w:rsid w:val="006D11B6"/>
    <w:rsid w:val="006D15BD"/>
    <w:rsid w:val="006D43A0"/>
    <w:rsid w:val="006D4B87"/>
    <w:rsid w:val="006D745F"/>
    <w:rsid w:val="006D7F56"/>
    <w:rsid w:val="006E2854"/>
    <w:rsid w:val="006E2FB9"/>
    <w:rsid w:val="006E3E5B"/>
    <w:rsid w:val="006E5868"/>
    <w:rsid w:val="006E69AE"/>
    <w:rsid w:val="006E6E4D"/>
    <w:rsid w:val="006F05B1"/>
    <w:rsid w:val="006F5DF5"/>
    <w:rsid w:val="006F6815"/>
    <w:rsid w:val="006F779E"/>
    <w:rsid w:val="00702145"/>
    <w:rsid w:val="00704730"/>
    <w:rsid w:val="0070520F"/>
    <w:rsid w:val="007057AB"/>
    <w:rsid w:val="00706B87"/>
    <w:rsid w:val="00707F31"/>
    <w:rsid w:val="007111B0"/>
    <w:rsid w:val="00714170"/>
    <w:rsid w:val="00716AC2"/>
    <w:rsid w:val="00716CF9"/>
    <w:rsid w:val="007203C9"/>
    <w:rsid w:val="00720834"/>
    <w:rsid w:val="00720E6F"/>
    <w:rsid w:val="00723725"/>
    <w:rsid w:val="0072398A"/>
    <w:rsid w:val="00730E91"/>
    <w:rsid w:val="00732F0A"/>
    <w:rsid w:val="0073312E"/>
    <w:rsid w:val="00733DD9"/>
    <w:rsid w:val="00734589"/>
    <w:rsid w:val="007350F1"/>
    <w:rsid w:val="007355B0"/>
    <w:rsid w:val="00737139"/>
    <w:rsid w:val="007376A6"/>
    <w:rsid w:val="007402FE"/>
    <w:rsid w:val="007429E0"/>
    <w:rsid w:val="00746F49"/>
    <w:rsid w:val="0074744A"/>
    <w:rsid w:val="007476BD"/>
    <w:rsid w:val="0074770D"/>
    <w:rsid w:val="007502C4"/>
    <w:rsid w:val="007510D9"/>
    <w:rsid w:val="00751253"/>
    <w:rsid w:val="00751574"/>
    <w:rsid w:val="0075293A"/>
    <w:rsid w:val="00752C1E"/>
    <w:rsid w:val="00753446"/>
    <w:rsid w:val="00754411"/>
    <w:rsid w:val="00761238"/>
    <w:rsid w:val="007624D0"/>
    <w:rsid w:val="0076258E"/>
    <w:rsid w:val="007632F2"/>
    <w:rsid w:val="007658A6"/>
    <w:rsid w:val="007665CE"/>
    <w:rsid w:val="00766F0E"/>
    <w:rsid w:val="0077475D"/>
    <w:rsid w:val="007753AA"/>
    <w:rsid w:val="007822C6"/>
    <w:rsid w:val="0078371D"/>
    <w:rsid w:val="00783A2B"/>
    <w:rsid w:val="00787201"/>
    <w:rsid w:val="007901EA"/>
    <w:rsid w:val="00791333"/>
    <w:rsid w:val="00792995"/>
    <w:rsid w:val="00795907"/>
    <w:rsid w:val="007960B6"/>
    <w:rsid w:val="00796FF6"/>
    <w:rsid w:val="00797F74"/>
    <w:rsid w:val="007A2866"/>
    <w:rsid w:val="007A636B"/>
    <w:rsid w:val="007B0196"/>
    <w:rsid w:val="007B0F77"/>
    <w:rsid w:val="007B3526"/>
    <w:rsid w:val="007B5D4D"/>
    <w:rsid w:val="007C1647"/>
    <w:rsid w:val="007C1DB6"/>
    <w:rsid w:val="007C28E1"/>
    <w:rsid w:val="007C3427"/>
    <w:rsid w:val="007C4C68"/>
    <w:rsid w:val="007C5858"/>
    <w:rsid w:val="007C6D36"/>
    <w:rsid w:val="007C73D2"/>
    <w:rsid w:val="007D0E45"/>
    <w:rsid w:val="007D25E7"/>
    <w:rsid w:val="007E11E7"/>
    <w:rsid w:val="007E4415"/>
    <w:rsid w:val="007E5087"/>
    <w:rsid w:val="007E52C3"/>
    <w:rsid w:val="007E61B2"/>
    <w:rsid w:val="007E666A"/>
    <w:rsid w:val="007E6AA6"/>
    <w:rsid w:val="007E6C5F"/>
    <w:rsid w:val="007E7271"/>
    <w:rsid w:val="007F153F"/>
    <w:rsid w:val="007F31CF"/>
    <w:rsid w:val="007F4387"/>
    <w:rsid w:val="007F4EAB"/>
    <w:rsid w:val="007F5B46"/>
    <w:rsid w:val="007F6857"/>
    <w:rsid w:val="007F7A4E"/>
    <w:rsid w:val="00803623"/>
    <w:rsid w:val="00804D32"/>
    <w:rsid w:val="008067DF"/>
    <w:rsid w:val="008074A5"/>
    <w:rsid w:val="00813532"/>
    <w:rsid w:val="0081574F"/>
    <w:rsid w:val="00822EE4"/>
    <w:rsid w:val="008234D2"/>
    <w:rsid w:val="00823595"/>
    <w:rsid w:val="00823663"/>
    <w:rsid w:val="00823B0B"/>
    <w:rsid w:val="00824863"/>
    <w:rsid w:val="008248E1"/>
    <w:rsid w:val="008249E7"/>
    <w:rsid w:val="0082625F"/>
    <w:rsid w:val="008265B3"/>
    <w:rsid w:val="00827AD3"/>
    <w:rsid w:val="00827CC7"/>
    <w:rsid w:val="008310AE"/>
    <w:rsid w:val="00836D3F"/>
    <w:rsid w:val="008377FE"/>
    <w:rsid w:val="008378F2"/>
    <w:rsid w:val="00841044"/>
    <w:rsid w:val="008438F5"/>
    <w:rsid w:val="0084400E"/>
    <w:rsid w:val="008456F1"/>
    <w:rsid w:val="008462D6"/>
    <w:rsid w:val="008473ED"/>
    <w:rsid w:val="00851544"/>
    <w:rsid w:val="008519EF"/>
    <w:rsid w:val="00855329"/>
    <w:rsid w:val="008561B9"/>
    <w:rsid w:val="0085643D"/>
    <w:rsid w:val="0086052F"/>
    <w:rsid w:val="00862D15"/>
    <w:rsid w:val="008633D7"/>
    <w:rsid w:val="00866315"/>
    <w:rsid w:val="0086682D"/>
    <w:rsid w:val="008721E8"/>
    <w:rsid w:val="0087237B"/>
    <w:rsid w:val="00872D80"/>
    <w:rsid w:val="00873026"/>
    <w:rsid w:val="008742EB"/>
    <w:rsid w:val="00875802"/>
    <w:rsid w:val="00877A13"/>
    <w:rsid w:val="00880A13"/>
    <w:rsid w:val="00880B3E"/>
    <w:rsid w:val="00881FD6"/>
    <w:rsid w:val="00882720"/>
    <w:rsid w:val="00883BCE"/>
    <w:rsid w:val="008843EB"/>
    <w:rsid w:val="0088602C"/>
    <w:rsid w:val="008919F3"/>
    <w:rsid w:val="00891DB6"/>
    <w:rsid w:val="00892144"/>
    <w:rsid w:val="008924E4"/>
    <w:rsid w:val="00893594"/>
    <w:rsid w:val="00894618"/>
    <w:rsid w:val="0089613C"/>
    <w:rsid w:val="00897969"/>
    <w:rsid w:val="00897CF8"/>
    <w:rsid w:val="00897ECA"/>
    <w:rsid w:val="008A04E3"/>
    <w:rsid w:val="008A33C3"/>
    <w:rsid w:val="008A39D3"/>
    <w:rsid w:val="008A4161"/>
    <w:rsid w:val="008A639A"/>
    <w:rsid w:val="008A7CDD"/>
    <w:rsid w:val="008B61E5"/>
    <w:rsid w:val="008B78EF"/>
    <w:rsid w:val="008B7EFA"/>
    <w:rsid w:val="008C020F"/>
    <w:rsid w:val="008C1759"/>
    <w:rsid w:val="008C3658"/>
    <w:rsid w:val="008C56B2"/>
    <w:rsid w:val="008C60DC"/>
    <w:rsid w:val="008C73DA"/>
    <w:rsid w:val="008C7659"/>
    <w:rsid w:val="008C7685"/>
    <w:rsid w:val="008D10AC"/>
    <w:rsid w:val="008D742E"/>
    <w:rsid w:val="008D7C15"/>
    <w:rsid w:val="008E0C1B"/>
    <w:rsid w:val="008E1620"/>
    <w:rsid w:val="008E2FBE"/>
    <w:rsid w:val="008E4A7B"/>
    <w:rsid w:val="008E5B18"/>
    <w:rsid w:val="008E76C6"/>
    <w:rsid w:val="008E7F87"/>
    <w:rsid w:val="008F0220"/>
    <w:rsid w:val="008F091D"/>
    <w:rsid w:val="008F2886"/>
    <w:rsid w:val="008F678E"/>
    <w:rsid w:val="008F6CCA"/>
    <w:rsid w:val="008F78FB"/>
    <w:rsid w:val="00907C05"/>
    <w:rsid w:val="00914D18"/>
    <w:rsid w:val="00915866"/>
    <w:rsid w:val="00917BFB"/>
    <w:rsid w:val="00924731"/>
    <w:rsid w:val="00925B26"/>
    <w:rsid w:val="00933007"/>
    <w:rsid w:val="00935248"/>
    <w:rsid w:val="00936E39"/>
    <w:rsid w:val="0093767D"/>
    <w:rsid w:val="00940A62"/>
    <w:rsid w:val="00942A38"/>
    <w:rsid w:val="0094380E"/>
    <w:rsid w:val="00944A3B"/>
    <w:rsid w:val="009454D6"/>
    <w:rsid w:val="00945E26"/>
    <w:rsid w:val="00946606"/>
    <w:rsid w:val="00950421"/>
    <w:rsid w:val="00951E88"/>
    <w:rsid w:val="00953EF5"/>
    <w:rsid w:val="00954B71"/>
    <w:rsid w:val="00955387"/>
    <w:rsid w:val="009618D2"/>
    <w:rsid w:val="0096340A"/>
    <w:rsid w:val="0096358B"/>
    <w:rsid w:val="00963665"/>
    <w:rsid w:val="00963C78"/>
    <w:rsid w:val="00964B9C"/>
    <w:rsid w:val="00965AFA"/>
    <w:rsid w:val="009661C6"/>
    <w:rsid w:val="00966E6C"/>
    <w:rsid w:val="0096775D"/>
    <w:rsid w:val="00971849"/>
    <w:rsid w:val="00971B64"/>
    <w:rsid w:val="00972652"/>
    <w:rsid w:val="0097382B"/>
    <w:rsid w:val="00974500"/>
    <w:rsid w:val="0097483E"/>
    <w:rsid w:val="009748E4"/>
    <w:rsid w:val="00976436"/>
    <w:rsid w:val="00980A16"/>
    <w:rsid w:val="0098171B"/>
    <w:rsid w:val="009826AD"/>
    <w:rsid w:val="00982BFE"/>
    <w:rsid w:val="00984D13"/>
    <w:rsid w:val="00985489"/>
    <w:rsid w:val="009856F7"/>
    <w:rsid w:val="009870DD"/>
    <w:rsid w:val="00987B69"/>
    <w:rsid w:val="009926B2"/>
    <w:rsid w:val="0099278C"/>
    <w:rsid w:val="00993BE4"/>
    <w:rsid w:val="009941B1"/>
    <w:rsid w:val="009946E9"/>
    <w:rsid w:val="0099710B"/>
    <w:rsid w:val="009A03D0"/>
    <w:rsid w:val="009A1BF2"/>
    <w:rsid w:val="009A4F04"/>
    <w:rsid w:val="009A5A77"/>
    <w:rsid w:val="009B0368"/>
    <w:rsid w:val="009B0FE9"/>
    <w:rsid w:val="009B1637"/>
    <w:rsid w:val="009B2067"/>
    <w:rsid w:val="009B2768"/>
    <w:rsid w:val="009B2BC3"/>
    <w:rsid w:val="009B3365"/>
    <w:rsid w:val="009B3366"/>
    <w:rsid w:val="009B3937"/>
    <w:rsid w:val="009B3F0A"/>
    <w:rsid w:val="009B45CC"/>
    <w:rsid w:val="009B52AC"/>
    <w:rsid w:val="009B57E8"/>
    <w:rsid w:val="009C048D"/>
    <w:rsid w:val="009C0500"/>
    <w:rsid w:val="009C1061"/>
    <w:rsid w:val="009C1114"/>
    <w:rsid w:val="009C5290"/>
    <w:rsid w:val="009C52A8"/>
    <w:rsid w:val="009C7FBD"/>
    <w:rsid w:val="009D1B01"/>
    <w:rsid w:val="009D241B"/>
    <w:rsid w:val="009D798D"/>
    <w:rsid w:val="009E179F"/>
    <w:rsid w:val="009E4F0C"/>
    <w:rsid w:val="009E5778"/>
    <w:rsid w:val="009E6FB4"/>
    <w:rsid w:val="009E7045"/>
    <w:rsid w:val="009F0615"/>
    <w:rsid w:val="009F2E6E"/>
    <w:rsid w:val="009F3A0C"/>
    <w:rsid w:val="009F3F90"/>
    <w:rsid w:val="009F3FB6"/>
    <w:rsid w:val="009F722D"/>
    <w:rsid w:val="00A01FCD"/>
    <w:rsid w:val="00A04413"/>
    <w:rsid w:val="00A05696"/>
    <w:rsid w:val="00A06884"/>
    <w:rsid w:val="00A10D74"/>
    <w:rsid w:val="00A11316"/>
    <w:rsid w:val="00A12FB6"/>
    <w:rsid w:val="00A14BC1"/>
    <w:rsid w:val="00A17B0B"/>
    <w:rsid w:val="00A2321A"/>
    <w:rsid w:val="00A24A4C"/>
    <w:rsid w:val="00A277E1"/>
    <w:rsid w:val="00A27C2A"/>
    <w:rsid w:val="00A30093"/>
    <w:rsid w:val="00A32181"/>
    <w:rsid w:val="00A33FF6"/>
    <w:rsid w:val="00A362D9"/>
    <w:rsid w:val="00A404A9"/>
    <w:rsid w:val="00A40997"/>
    <w:rsid w:val="00A40E36"/>
    <w:rsid w:val="00A43402"/>
    <w:rsid w:val="00A45E75"/>
    <w:rsid w:val="00A4769A"/>
    <w:rsid w:val="00A51EE3"/>
    <w:rsid w:val="00A52E0D"/>
    <w:rsid w:val="00A54A04"/>
    <w:rsid w:val="00A54E25"/>
    <w:rsid w:val="00A55DE7"/>
    <w:rsid w:val="00A55FF2"/>
    <w:rsid w:val="00A570BA"/>
    <w:rsid w:val="00A57E01"/>
    <w:rsid w:val="00A63355"/>
    <w:rsid w:val="00A64561"/>
    <w:rsid w:val="00A647EF"/>
    <w:rsid w:val="00A65DD0"/>
    <w:rsid w:val="00A70C46"/>
    <w:rsid w:val="00A73A24"/>
    <w:rsid w:val="00A741E8"/>
    <w:rsid w:val="00A7763C"/>
    <w:rsid w:val="00A777C4"/>
    <w:rsid w:val="00A77B6C"/>
    <w:rsid w:val="00A77D78"/>
    <w:rsid w:val="00A81E27"/>
    <w:rsid w:val="00A83A50"/>
    <w:rsid w:val="00A83C97"/>
    <w:rsid w:val="00A85012"/>
    <w:rsid w:val="00A85DBE"/>
    <w:rsid w:val="00A879C7"/>
    <w:rsid w:val="00A90A37"/>
    <w:rsid w:val="00A928D1"/>
    <w:rsid w:val="00A95639"/>
    <w:rsid w:val="00AA3979"/>
    <w:rsid w:val="00AA4691"/>
    <w:rsid w:val="00AA5F4A"/>
    <w:rsid w:val="00AA66A5"/>
    <w:rsid w:val="00AA6A0A"/>
    <w:rsid w:val="00AB027D"/>
    <w:rsid w:val="00AB0CFD"/>
    <w:rsid w:val="00AB1A71"/>
    <w:rsid w:val="00AB44D9"/>
    <w:rsid w:val="00AC03F6"/>
    <w:rsid w:val="00AC0E1D"/>
    <w:rsid w:val="00AC328D"/>
    <w:rsid w:val="00AC56B1"/>
    <w:rsid w:val="00AC5889"/>
    <w:rsid w:val="00AC76E3"/>
    <w:rsid w:val="00AC7E5B"/>
    <w:rsid w:val="00AD1670"/>
    <w:rsid w:val="00AD352F"/>
    <w:rsid w:val="00AE049C"/>
    <w:rsid w:val="00AE06F4"/>
    <w:rsid w:val="00AE14D0"/>
    <w:rsid w:val="00AE526A"/>
    <w:rsid w:val="00AE5F85"/>
    <w:rsid w:val="00AE61C7"/>
    <w:rsid w:val="00AE7DC9"/>
    <w:rsid w:val="00AF2F3A"/>
    <w:rsid w:val="00AF300C"/>
    <w:rsid w:val="00AF4A05"/>
    <w:rsid w:val="00B02E73"/>
    <w:rsid w:val="00B04146"/>
    <w:rsid w:val="00B05162"/>
    <w:rsid w:val="00B10C51"/>
    <w:rsid w:val="00B10FF3"/>
    <w:rsid w:val="00B113A7"/>
    <w:rsid w:val="00B14DE9"/>
    <w:rsid w:val="00B1753D"/>
    <w:rsid w:val="00B22CBF"/>
    <w:rsid w:val="00B301C8"/>
    <w:rsid w:val="00B30A0F"/>
    <w:rsid w:val="00B31390"/>
    <w:rsid w:val="00B31941"/>
    <w:rsid w:val="00B330F9"/>
    <w:rsid w:val="00B33468"/>
    <w:rsid w:val="00B34664"/>
    <w:rsid w:val="00B34721"/>
    <w:rsid w:val="00B375CE"/>
    <w:rsid w:val="00B37C91"/>
    <w:rsid w:val="00B409B8"/>
    <w:rsid w:val="00B41CEB"/>
    <w:rsid w:val="00B424DC"/>
    <w:rsid w:val="00B43A1E"/>
    <w:rsid w:val="00B45CEE"/>
    <w:rsid w:val="00B45E6D"/>
    <w:rsid w:val="00B470D4"/>
    <w:rsid w:val="00B51BD6"/>
    <w:rsid w:val="00B5234D"/>
    <w:rsid w:val="00B53209"/>
    <w:rsid w:val="00B53719"/>
    <w:rsid w:val="00B53C0B"/>
    <w:rsid w:val="00B55112"/>
    <w:rsid w:val="00B56E62"/>
    <w:rsid w:val="00B64A2F"/>
    <w:rsid w:val="00B65008"/>
    <w:rsid w:val="00B678E4"/>
    <w:rsid w:val="00B702DD"/>
    <w:rsid w:val="00B706F6"/>
    <w:rsid w:val="00B73035"/>
    <w:rsid w:val="00B77038"/>
    <w:rsid w:val="00B77540"/>
    <w:rsid w:val="00B779D5"/>
    <w:rsid w:val="00B80C5A"/>
    <w:rsid w:val="00B83623"/>
    <w:rsid w:val="00B90869"/>
    <w:rsid w:val="00B96CE7"/>
    <w:rsid w:val="00B976C3"/>
    <w:rsid w:val="00BA0430"/>
    <w:rsid w:val="00BA194E"/>
    <w:rsid w:val="00BB13BE"/>
    <w:rsid w:val="00BB3C71"/>
    <w:rsid w:val="00BB3CB8"/>
    <w:rsid w:val="00BB5102"/>
    <w:rsid w:val="00BB6486"/>
    <w:rsid w:val="00BB7E8B"/>
    <w:rsid w:val="00BC190E"/>
    <w:rsid w:val="00BC216A"/>
    <w:rsid w:val="00BC44F6"/>
    <w:rsid w:val="00BC6616"/>
    <w:rsid w:val="00BD118A"/>
    <w:rsid w:val="00BE08B9"/>
    <w:rsid w:val="00BE0EE8"/>
    <w:rsid w:val="00BE2025"/>
    <w:rsid w:val="00BE2B3D"/>
    <w:rsid w:val="00BE40FE"/>
    <w:rsid w:val="00BE50F3"/>
    <w:rsid w:val="00BE51DA"/>
    <w:rsid w:val="00BE56C3"/>
    <w:rsid w:val="00BE5B3E"/>
    <w:rsid w:val="00BF081B"/>
    <w:rsid w:val="00BF0EF7"/>
    <w:rsid w:val="00BF11F3"/>
    <w:rsid w:val="00BF2D79"/>
    <w:rsid w:val="00BF44FD"/>
    <w:rsid w:val="00BF7EB2"/>
    <w:rsid w:val="00C0007F"/>
    <w:rsid w:val="00C007F2"/>
    <w:rsid w:val="00C02156"/>
    <w:rsid w:val="00C047E3"/>
    <w:rsid w:val="00C10E52"/>
    <w:rsid w:val="00C1128D"/>
    <w:rsid w:val="00C1688D"/>
    <w:rsid w:val="00C17572"/>
    <w:rsid w:val="00C23293"/>
    <w:rsid w:val="00C26E96"/>
    <w:rsid w:val="00C27848"/>
    <w:rsid w:val="00C27A36"/>
    <w:rsid w:val="00C27CE7"/>
    <w:rsid w:val="00C322E4"/>
    <w:rsid w:val="00C3261C"/>
    <w:rsid w:val="00C356B5"/>
    <w:rsid w:val="00C3712A"/>
    <w:rsid w:val="00C4089E"/>
    <w:rsid w:val="00C4203F"/>
    <w:rsid w:val="00C420BA"/>
    <w:rsid w:val="00C45C5D"/>
    <w:rsid w:val="00C469B9"/>
    <w:rsid w:val="00C50CD3"/>
    <w:rsid w:val="00C5327A"/>
    <w:rsid w:val="00C54915"/>
    <w:rsid w:val="00C57D4A"/>
    <w:rsid w:val="00C6001C"/>
    <w:rsid w:val="00C6286D"/>
    <w:rsid w:val="00C673F1"/>
    <w:rsid w:val="00C70B7B"/>
    <w:rsid w:val="00C77CD9"/>
    <w:rsid w:val="00C8064A"/>
    <w:rsid w:val="00C8090F"/>
    <w:rsid w:val="00C81723"/>
    <w:rsid w:val="00C81F93"/>
    <w:rsid w:val="00C82A23"/>
    <w:rsid w:val="00C82DA9"/>
    <w:rsid w:val="00C835AA"/>
    <w:rsid w:val="00C83CAF"/>
    <w:rsid w:val="00C84716"/>
    <w:rsid w:val="00C84991"/>
    <w:rsid w:val="00C85B4B"/>
    <w:rsid w:val="00C85F9A"/>
    <w:rsid w:val="00C8615D"/>
    <w:rsid w:val="00C90F14"/>
    <w:rsid w:val="00C9205C"/>
    <w:rsid w:val="00C94029"/>
    <w:rsid w:val="00C946DD"/>
    <w:rsid w:val="00C94926"/>
    <w:rsid w:val="00C94964"/>
    <w:rsid w:val="00CA2F87"/>
    <w:rsid w:val="00CA365B"/>
    <w:rsid w:val="00CA4621"/>
    <w:rsid w:val="00CA5F8D"/>
    <w:rsid w:val="00CB1AF3"/>
    <w:rsid w:val="00CB3701"/>
    <w:rsid w:val="00CB401D"/>
    <w:rsid w:val="00CB58CB"/>
    <w:rsid w:val="00CC0435"/>
    <w:rsid w:val="00CC319C"/>
    <w:rsid w:val="00CC440D"/>
    <w:rsid w:val="00CC689C"/>
    <w:rsid w:val="00CC7B97"/>
    <w:rsid w:val="00CD06E9"/>
    <w:rsid w:val="00CD2E73"/>
    <w:rsid w:val="00CD36CE"/>
    <w:rsid w:val="00CD3F82"/>
    <w:rsid w:val="00CE0535"/>
    <w:rsid w:val="00CE18BE"/>
    <w:rsid w:val="00CE1C99"/>
    <w:rsid w:val="00CE2444"/>
    <w:rsid w:val="00CE3B78"/>
    <w:rsid w:val="00CE430B"/>
    <w:rsid w:val="00CE7A1F"/>
    <w:rsid w:val="00CF1938"/>
    <w:rsid w:val="00CF449A"/>
    <w:rsid w:val="00CF4524"/>
    <w:rsid w:val="00CF45F5"/>
    <w:rsid w:val="00D051C3"/>
    <w:rsid w:val="00D12AFA"/>
    <w:rsid w:val="00D16DDD"/>
    <w:rsid w:val="00D208D9"/>
    <w:rsid w:val="00D21505"/>
    <w:rsid w:val="00D2410C"/>
    <w:rsid w:val="00D25E9E"/>
    <w:rsid w:val="00D27049"/>
    <w:rsid w:val="00D27784"/>
    <w:rsid w:val="00D306EE"/>
    <w:rsid w:val="00D32813"/>
    <w:rsid w:val="00D33067"/>
    <w:rsid w:val="00D34534"/>
    <w:rsid w:val="00D44516"/>
    <w:rsid w:val="00D45724"/>
    <w:rsid w:val="00D45B97"/>
    <w:rsid w:val="00D47857"/>
    <w:rsid w:val="00D51205"/>
    <w:rsid w:val="00D53293"/>
    <w:rsid w:val="00D544E1"/>
    <w:rsid w:val="00D5593F"/>
    <w:rsid w:val="00D56A1A"/>
    <w:rsid w:val="00D56E65"/>
    <w:rsid w:val="00D578AC"/>
    <w:rsid w:val="00D60595"/>
    <w:rsid w:val="00D639F6"/>
    <w:rsid w:val="00D66BDB"/>
    <w:rsid w:val="00D71AD2"/>
    <w:rsid w:val="00D736E4"/>
    <w:rsid w:val="00D7524F"/>
    <w:rsid w:val="00D764A7"/>
    <w:rsid w:val="00D77827"/>
    <w:rsid w:val="00D80704"/>
    <w:rsid w:val="00D82B8C"/>
    <w:rsid w:val="00D83DF1"/>
    <w:rsid w:val="00D855F6"/>
    <w:rsid w:val="00D85BA3"/>
    <w:rsid w:val="00D904CF"/>
    <w:rsid w:val="00D9110F"/>
    <w:rsid w:val="00D937FB"/>
    <w:rsid w:val="00D9631E"/>
    <w:rsid w:val="00D964D1"/>
    <w:rsid w:val="00D97524"/>
    <w:rsid w:val="00DA018A"/>
    <w:rsid w:val="00DA2E05"/>
    <w:rsid w:val="00DA42CB"/>
    <w:rsid w:val="00DA4FFF"/>
    <w:rsid w:val="00DA54A8"/>
    <w:rsid w:val="00DA58EA"/>
    <w:rsid w:val="00DA6685"/>
    <w:rsid w:val="00DA798C"/>
    <w:rsid w:val="00DB052A"/>
    <w:rsid w:val="00DB087B"/>
    <w:rsid w:val="00DB0D94"/>
    <w:rsid w:val="00DB1206"/>
    <w:rsid w:val="00DB5196"/>
    <w:rsid w:val="00DB562D"/>
    <w:rsid w:val="00DB5B4C"/>
    <w:rsid w:val="00DB62F6"/>
    <w:rsid w:val="00DC0748"/>
    <w:rsid w:val="00DC42FB"/>
    <w:rsid w:val="00DC5106"/>
    <w:rsid w:val="00DC5940"/>
    <w:rsid w:val="00DC6740"/>
    <w:rsid w:val="00DD255B"/>
    <w:rsid w:val="00DD3DEC"/>
    <w:rsid w:val="00DD4C93"/>
    <w:rsid w:val="00DD5870"/>
    <w:rsid w:val="00DD60D0"/>
    <w:rsid w:val="00DD749B"/>
    <w:rsid w:val="00DE022D"/>
    <w:rsid w:val="00DE1669"/>
    <w:rsid w:val="00DE17DE"/>
    <w:rsid w:val="00DE2C23"/>
    <w:rsid w:val="00DE3D77"/>
    <w:rsid w:val="00DE4ACF"/>
    <w:rsid w:val="00DF0139"/>
    <w:rsid w:val="00DF112D"/>
    <w:rsid w:val="00DF5501"/>
    <w:rsid w:val="00E0136A"/>
    <w:rsid w:val="00E02325"/>
    <w:rsid w:val="00E049F6"/>
    <w:rsid w:val="00E05A7D"/>
    <w:rsid w:val="00E10E76"/>
    <w:rsid w:val="00E1159D"/>
    <w:rsid w:val="00E11B6E"/>
    <w:rsid w:val="00E150D7"/>
    <w:rsid w:val="00E20626"/>
    <w:rsid w:val="00E20720"/>
    <w:rsid w:val="00E248D2"/>
    <w:rsid w:val="00E249E2"/>
    <w:rsid w:val="00E25FC5"/>
    <w:rsid w:val="00E30AB5"/>
    <w:rsid w:val="00E31356"/>
    <w:rsid w:val="00E34843"/>
    <w:rsid w:val="00E35190"/>
    <w:rsid w:val="00E364B6"/>
    <w:rsid w:val="00E40B75"/>
    <w:rsid w:val="00E414E2"/>
    <w:rsid w:val="00E4406A"/>
    <w:rsid w:val="00E44B9A"/>
    <w:rsid w:val="00E47FA9"/>
    <w:rsid w:val="00E52666"/>
    <w:rsid w:val="00E52F12"/>
    <w:rsid w:val="00E53675"/>
    <w:rsid w:val="00E549EF"/>
    <w:rsid w:val="00E562AB"/>
    <w:rsid w:val="00E571AC"/>
    <w:rsid w:val="00E60FE9"/>
    <w:rsid w:val="00E62645"/>
    <w:rsid w:val="00E63337"/>
    <w:rsid w:val="00E63888"/>
    <w:rsid w:val="00E67CC1"/>
    <w:rsid w:val="00E70694"/>
    <w:rsid w:val="00E70D65"/>
    <w:rsid w:val="00E71E9A"/>
    <w:rsid w:val="00E72751"/>
    <w:rsid w:val="00E747B8"/>
    <w:rsid w:val="00E81C8F"/>
    <w:rsid w:val="00E8208D"/>
    <w:rsid w:val="00E82533"/>
    <w:rsid w:val="00E8314A"/>
    <w:rsid w:val="00E83879"/>
    <w:rsid w:val="00E861E4"/>
    <w:rsid w:val="00E90C49"/>
    <w:rsid w:val="00E916A9"/>
    <w:rsid w:val="00E91A9C"/>
    <w:rsid w:val="00E96999"/>
    <w:rsid w:val="00E96C02"/>
    <w:rsid w:val="00EA152D"/>
    <w:rsid w:val="00EA5700"/>
    <w:rsid w:val="00EA63A9"/>
    <w:rsid w:val="00EA7DE7"/>
    <w:rsid w:val="00EB1737"/>
    <w:rsid w:val="00EB1D98"/>
    <w:rsid w:val="00EB3BF0"/>
    <w:rsid w:val="00EB427C"/>
    <w:rsid w:val="00EB59C3"/>
    <w:rsid w:val="00EB718B"/>
    <w:rsid w:val="00EC1AEB"/>
    <w:rsid w:val="00EC3ACD"/>
    <w:rsid w:val="00EC5C19"/>
    <w:rsid w:val="00EC65D1"/>
    <w:rsid w:val="00ED75E9"/>
    <w:rsid w:val="00ED769A"/>
    <w:rsid w:val="00EE12A5"/>
    <w:rsid w:val="00EE16DB"/>
    <w:rsid w:val="00EE1772"/>
    <w:rsid w:val="00EE3079"/>
    <w:rsid w:val="00EE3428"/>
    <w:rsid w:val="00EE3E4B"/>
    <w:rsid w:val="00EE45AB"/>
    <w:rsid w:val="00EE72E1"/>
    <w:rsid w:val="00EF0504"/>
    <w:rsid w:val="00EF24F0"/>
    <w:rsid w:val="00EF3CE7"/>
    <w:rsid w:val="00EF6620"/>
    <w:rsid w:val="00EF717E"/>
    <w:rsid w:val="00F0374F"/>
    <w:rsid w:val="00F039C8"/>
    <w:rsid w:val="00F06394"/>
    <w:rsid w:val="00F078C7"/>
    <w:rsid w:val="00F103B8"/>
    <w:rsid w:val="00F10FE0"/>
    <w:rsid w:val="00F11E62"/>
    <w:rsid w:val="00F13736"/>
    <w:rsid w:val="00F153E5"/>
    <w:rsid w:val="00F1647F"/>
    <w:rsid w:val="00F21108"/>
    <w:rsid w:val="00F21DFC"/>
    <w:rsid w:val="00F23B77"/>
    <w:rsid w:val="00F23FF6"/>
    <w:rsid w:val="00F31AC8"/>
    <w:rsid w:val="00F3412F"/>
    <w:rsid w:val="00F42953"/>
    <w:rsid w:val="00F43213"/>
    <w:rsid w:val="00F45ED5"/>
    <w:rsid w:val="00F47647"/>
    <w:rsid w:val="00F47817"/>
    <w:rsid w:val="00F50A8E"/>
    <w:rsid w:val="00F51281"/>
    <w:rsid w:val="00F517C2"/>
    <w:rsid w:val="00F52900"/>
    <w:rsid w:val="00F52AB3"/>
    <w:rsid w:val="00F540DE"/>
    <w:rsid w:val="00F55027"/>
    <w:rsid w:val="00F60300"/>
    <w:rsid w:val="00F61779"/>
    <w:rsid w:val="00F676D0"/>
    <w:rsid w:val="00F70620"/>
    <w:rsid w:val="00F71CF3"/>
    <w:rsid w:val="00F75489"/>
    <w:rsid w:val="00F75C67"/>
    <w:rsid w:val="00F75CEA"/>
    <w:rsid w:val="00F81BC6"/>
    <w:rsid w:val="00F85F4C"/>
    <w:rsid w:val="00F91A55"/>
    <w:rsid w:val="00F954B8"/>
    <w:rsid w:val="00F96760"/>
    <w:rsid w:val="00F970B9"/>
    <w:rsid w:val="00FA4FBA"/>
    <w:rsid w:val="00FA712E"/>
    <w:rsid w:val="00FB240D"/>
    <w:rsid w:val="00FB2E12"/>
    <w:rsid w:val="00FB64D0"/>
    <w:rsid w:val="00FB6EF7"/>
    <w:rsid w:val="00FC02DD"/>
    <w:rsid w:val="00FC0BEF"/>
    <w:rsid w:val="00FC13C5"/>
    <w:rsid w:val="00FC3078"/>
    <w:rsid w:val="00FC4228"/>
    <w:rsid w:val="00FC44AF"/>
    <w:rsid w:val="00FC5F46"/>
    <w:rsid w:val="00FC6573"/>
    <w:rsid w:val="00FC6628"/>
    <w:rsid w:val="00FD43BE"/>
    <w:rsid w:val="00FD541E"/>
    <w:rsid w:val="00FD5619"/>
    <w:rsid w:val="00FD5996"/>
    <w:rsid w:val="00FD5D36"/>
    <w:rsid w:val="00FD7E0B"/>
    <w:rsid w:val="00FE0850"/>
    <w:rsid w:val="00FE377C"/>
    <w:rsid w:val="00FE4097"/>
    <w:rsid w:val="00FE4F1A"/>
    <w:rsid w:val="00FE5F09"/>
    <w:rsid w:val="00FE6C41"/>
    <w:rsid w:val="00FF163F"/>
    <w:rsid w:val="00FF2BBD"/>
    <w:rsid w:val="00FF2F5C"/>
    <w:rsid w:val="00FF4296"/>
    <w:rsid w:val="00FF43F8"/>
    <w:rsid w:val="00FF7444"/>
    <w:rsid w:val="00FF796D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B8E59"/>
  <w15:chartTrackingRefBased/>
  <w15:docId w15:val="{20C5A311-2AC8-4042-964D-7D4DA80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532"/>
    <w:pPr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Body1"/>
    <w:link w:val="Heading1Char"/>
    <w:qFormat/>
    <w:pPr>
      <w:keepLines/>
      <w:ind w:left="0"/>
      <w:outlineLvl w:val="0"/>
    </w:pPr>
    <w:rPr>
      <w:b/>
      <w:kern w:val="28"/>
      <w:sz w:val="32"/>
    </w:rPr>
  </w:style>
  <w:style w:type="paragraph" w:styleId="Heading2">
    <w:name w:val="heading 2"/>
    <w:basedOn w:val="ListNumber"/>
    <w:qFormat/>
    <w:rsid w:val="00813532"/>
    <w:pPr>
      <w:outlineLvl w:val="1"/>
    </w:pPr>
  </w:style>
  <w:style w:type="paragraph" w:styleId="Heading3">
    <w:name w:val="heading 3"/>
    <w:basedOn w:val="Normal"/>
    <w:link w:val="Heading3Char"/>
    <w:qFormat/>
    <w:pPr>
      <w:ind w:left="0"/>
      <w:outlineLvl w:val="2"/>
    </w:pPr>
  </w:style>
  <w:style w:type="paragraph" w:styleId="Heading4">
    <w:name w:val="heading 4"/>
    <w:basedOn w:val="Normal"/>
    <w:next w:val="Normal"/>
    <w:qFormat/>
    <w:pPr>
      <w:keepNext/>
      <w:keepLines/>
      <w:spacing w:after="60"/>
      <w:ind w:left="0"/>
      <w:outlineLvl w:val="3"/>
    </w:pPr>
    <w:rPr>
      <w:b/>
      <w:i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ind w:left="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</w:style>
  <w:style w:type="paragraph" w:customStyle="1" w:styleId="Body3">
    <w:name w:val="Body 3"/>
    <w:basedOn w:val="Normal"/>
    <w:pPr>
      <w:ind w:left="1899"/>
    </w:pPr>
  </w:style>
  <w:style w:type="paragraph" w:customStyle="1" w:styleId="TableHeader">
    <w:name w:val="Table Header"/>
    <w:basedOn w:val="Normal"/>
    <w:pPr>
      <w:spacing w:after="80"/>
      <w:ind w:left="0"/>
      <w:jc w:val="center"/>
    </w:pPr>
    <w:rPr>
      <w:b/>
      <w:sz w:val="22"/>
    </w:rPr>
  </w:style>
  <w:style w:type="paragraph" w:customStyle="1" w:styleId="Body1-b">
    <w:name w:val="Body 1 - b"/>
    <w:basedOn w:val="Normal"/>
    <w:pPr>
      <w:spacing w:after="60"/>
      <w:ind w:left="1418" w:hanging="284"/>
    </w:pPr>
  </w:style>
  <w:style w:type="paragraph" w:customStyle="1" w:styleId="Body2-b">
    <w:name w:val="Body 2 - b"/>
    <w:basedOn w:val="Normal"/>
    <w:pPr>
      <w:ind w:left="1724" w:hanging="284"/>
    </w:pPr>
  </w:style>
  <w:style w:type="paragraph" w:styleId="Header">
    <w:name w:val="header"/>
    <w:basedOn w:val="Normal"/>
    <w:pPr>
      <w:pBdr>
        <w:bottom w:val="single" w:sz="6" w:space="1" w:color="auto"/>
      </w:pBdr>
      <w:tabs>
        <w:tab w:val="right" w:pos="9000"/>
      </w:tabs>
      <w:ind w:left="0"/>
    </w:pPr>
  </w:style>
  <w:style w:type="paragraph" w:styleId="Footer">
    <w:name w:val="footer"/>
    <w:basedOn w:val="Normal"/>
    <w:link w:val="FooterChar"/>
    <w:uiPriority w:val="99"/>
    <w:rsid w:val="009B2768"/>
    <w:pPr>
      <w:tabs>
        <w:tab w:val="right" w:pos="8959"/>
        <w:tab w:val="right" w:pos="9000"/>
      </w:tabs>
      <w:ind w:left="0"/>
      <w:jc w:val="center"/>
    </w:pPr>
    <w:rPr>
      <w:sz w:val="16"/>
      <w:szCs w:val="12"/>
    </w:rPr>
  </w:style>
  <w:style w:type="paragraph" w:customStyle="1" w:styleId="Normal-Left">
    <w:name w:val="Normal - Left"/>
    <w:basedOn w:val="Normal"/>
    <w:pPr>
      <w:ind w:left="0"/>
    </w:pPr>
  </w:style>
  <w:style w:type="paragraph" w:customStyle="1" w:styleId="Normal-LeftBullet">
    <w:name w:val="Normal - Left Bullet"/>
    <w:basedOn w:val="Normal-Left"/>
    <w:pPr>
      <w:numPr>
        <w:numId w:val="2"/>
      </w:numPr>
      <w:ind w:left="357" w:hanging="357"/>
    </w:pPr>
  </w:style>
  <w:style w:type="paragraph" w:customStyle="1" w:styleId="Heading-3">
    <w:name w:val="Heading - 3"/>
    <w:basedOn w:val="Normal"/>
    <w:pPr>
      <w:keepNext/>
      <w:keepLines/>
    </w:pPr>
    <w:rPr>
      <w:b/>
      <w:sz w:val="28"/>
    </w:rPr>
  </w:style>
  <w:style w:type="paragraph" w:customStyle="1" w:styleId="Table-body">
    <w:name w:val="Table - body"/>
    <w:basedOn w:val="Normal"/>
    <w:pPr>
      <w:spacing w:before="60" w:after="60"/>
      <w:ind w:left="0"/>
    </w:pPr>
    <w:rPr>
      <w:sz w:val="22"/>
    </w:rPr>
  </w:style>
  <w:style w:type="paragraph" w:customStyle="1" w:styleId="Heading-main2">
    <w:name w:val="Heading - main 2"/>
    <w:basedOn w:val="Normal"/>
    <w:pPr>
      <w:ind w:left="1440"/>
    </w:pPr>
    <w:rPr>
      <w:b/>
      <w:sz w:val="36"/>
    </w:rPr>
  </w:style>
  <w:style w:type="paragraph" w:styleId="TOC1">
    <w:name w:val="toc 1"/>
    <w:basedOn w:val="Normal"/>
    <w:next w:val="Normal"/>
    <w:uiPriority w:val="39"/>
    <w:rsid w:val="00813532"/>
    <w:pPr>
      <w:tabs>
        <w:tab w:val="right" w:leader="dot" w:pos="9027"/>
      </w:tabs>
      <w:spacing w:before="240"/>
      <w:ind w:left="0"/>
    </w:pPr>
    <w:rPr>
      <w:b/>
      <w:u w:val="single"/>
    </w:rPr>
  </w:style>
  <w:style w:type="paragraph" w:styleId="TOC2">
    <w:name w:val="toc 2"/>
    <w:basedOn w:val="Normal"/>
    <w:next w:val="Normal"/>
    <w:uiPriority w:val="39"/>
    <w:rsid w:val="00813532"/>
    <w:pPr>
      <w:tabs>
        <w:tab w:val="right" w:leader="dot" w:pos="9027"/>
      </w:tabs>
      <w:spacing w:after="0"/>
      <w:ind w:left="0"/>
    </w:pPr>
  </w:style>
  <w:style w:type="paragraph" w:styleId="TOC3">
    <w:name w:val="toc 3"/>
    <w:basedOn w:val="Normal"/>
    <w:next w:val="Normal"/>
    <w:uiPriority w:val="39"/>
    <w:pPr>
      <w:tabs>
        <w:tab w:val="right" w:pos="9027"/>
      </w:tabs>
      <w:spacing w:after="0"/>
      <w:ind w:left="0"/>
    </w:pPr>
    <w:rPr>
      <w:smallCaps/>
      <w:sz w:val="22"/>
    </w:rPr>
  </w:style>
  <w:style w:type="paragraph" w:customStyle="1" w:styleId="Heading-1">
    <w:name w:val="Heading - 1"/>
    <w:basedOn w:val="Normal"/>
    <w:pPr>
      <w:keepNext/>
      <w:keepLines/>
      <w:pageBreakBefore/>
      <w:pBdr>
        <w:bottom w:val="single" w:sz="6" w:space="3" w:color="auto"/>
      </w:pBdr>
      <w:ind w:left="0"/>
    </w:pPr>
    <w:rPr>
      <w:b/>
      <w:sz w:val="40"/>
    </w:rPr>
  </w:style>
  <w:style w:type="paragraph" w:customStyle="1" w:styleId="Heading-main1">
    <w:name w:val="Heading - main 1"/>
    <w:basedOn w:val="Normal"/>
    <w:pPr>
      <w:spacing w:before="720" w:after="1200"/>
      <w:ind w:left="1440"/>
    </w:pPr>
    <w:rPr>
      <w:b/>
      <w:sz w:val="48"/>
    </w:rPr>
  </w:style>
  <w:style w:type="paragraph" w:customStyle="1" w:styleId="Heading-main3">
    <w:name w:val="Heading - main 3"/>
    <w:basedOn w:val="Normal"/>
    <w:pPr>
      <w:ind w:left="1440"/>
    </w:pPr>
    <w:rPr>
      <w:b/>
      <w:sz w:val="28"/>
    </w:rPr>
  </w:style>
  <w:style w:type="paragraph" w:customStyle="1" w:styleId="Body1-bfinal">
    <w:name w:val="Body 1 - bfinal"/>
    <w:basedOn w:val="Normal"/>
    <w:pPr>
      <w:ind w:left="1418" w:hanging="284"/>
    </w:pPr>
  </w:style>
  <w:style w:type="paragraph" w:customStyle="1" w:styleId="Heading-2">
    <w:name w:val="Heading - 2"/>
    <w:basedOn w:val="Normal"/>
    <w:pPr>
      <w:keepNext/>
      <w:keepLines/>
      <w:jc w:val="center"/>
    </w:pPr>
    <w:rPr>
      <w:b/>
      <w:sz w:val="36"/>
    </w:rPr>
  </w:style>
  <w:style w:type="paragraph" w:customStyle="1" w:styleId="Body-bld">
    <w:name w:val="Body - bld"/>
    <w:basedOn w:val="Normal"/>
    <w:pPr>
      <w:keepNext/>
      <w:keepLines/>
      <w:jc w:val="center"/>
    </w:pPr>
    <w:rPr>
      <w:b/>
      <w:sz w:val="22"/>
    </w:rPr>
  </w:style>
  <w:style w:type="paragraph" w:customStyle="1" w:styleId="Contents">
    <w:name w:val="Contents"/>
    <w:basedOn w:val="Normal"/>
    <w:pPr>
      <w:pBdr>
        <w:bottom w:val="single" w:sz="6" w:space="3" w:color="auto"/>
      </w:pBdr>
      <w:ind w:left="0"/>
      <w:jc w:val="center"/>
    </w:pPr>
    <w:rPr>
      <w:b/>
      <w:sz w:val="40"/>
    </w:rPr>
  </w:style>
  <w:style w:type="paragraph" w:customStyle="1" w:styleId="FooterPage1">
    <w:name w:val="Footer Page 1"/>
    <w:basedOn w:val="Footer"/>
    <w:pPr>
      <w:ind w:left="142"/>
      <w:jc w:val="left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after="0"/>
      <w:ind w:left="0"/>
      <w:textAlignment w:val="auto"/>
    </w:pPr>
    <w:rPr>
      <w:i/>
      <w:sz w:val="22"/>
    </w:rPr>
  </w:style>
  <w:style w:type="paragraph" w:styleId="BodyText3">
    <w:name w:val="Body Text 3"/>
    <w:basedOn w:val="Normal"/>
    <w:pPr>
      <w:overflowPunct/>
      <w:autoSpaceDE/>
      <w:autoSpaceDN/>
      <w:adjustRightInd/>
      <w:spacing w:after="0"/>
      <w:ind w:left="0" w:right="391"/>
      <w:textAlignment w:val="auto"/>
    </w:pPr>
    <w:rPr>
      <w:b/>
      <w:i/>
      <w:sz w:val="22"/>
    </w:rPr>
  </w:style>
  <w:style w:type="paragraph" w:customStyle="1" w:styleId="Style1">
    <w:name w:val="Style1"/>
    <w:basedOn w:val="Normal"/>
    <w:pPr>
      <w:numPr>
        <w:numId w:val="3"/>
      </w:numPr>
      <w:overflowPunct/>
      <w:autoSpaceDE/>
      <w:autoSpaceDN/>
      <w:adjustRightInd/>
      <w:spacing w:after="0"/>
      <w:textAlignment w:val="auto"/>
    </w:pPr>
    <w:rPr>
      <w:lang w:val="en-GB"/>
    </w:rPr>
  </w:style>
  <w:style w:type="paragraph" w:styleId="BodyText2">
    <w:name w:val="Body Text 2"/>
    <w:basedOn w:val="Normal"/>
    <w:pPr>
      <w:tabs>
        <w:tab w:val="left" w:pos="1418"/>
      </w:tabs>
      <w:spacing w:before="80" w:after="80"/>
      <w:ind w:left="0"/>
      <w:jc w:val="both"/>
    </w:pPr>
    <w:rPr>
      <w:rFonts w:ascii="Verdana" w:hAnsi="Verdana"/>
    </w:rPr>
  </w:style>
  <w:style w:type="paragraph" w:styleId="BodyTextIndent">
    <w:name w:val="Body Text Indent"/>
    <w:basedOn w:val="Normal"/>
    <w:link w:val="BodyTextIndentChar"/>
    <w:pPr>
      <w:ind w:left="284" w:hanging="284"/>
      <w:jc w:val="both"/>
    </w:pPr>
    <w:rPr>
      <w:rFonts w:ascii="Verdana" w:hAnsi="Verdana"/>
      <w:color w:val="FF0000"/>
    </w:rPr>
  </w:style>
  <w:style w:type="paragraph" w:styleId="BodyTextIndent2">
    <w:name w:val="Body Text Indent 2"/>
    <w:basedOn w:val="Normal"/>
    <w:pPr>
      <w:ind w:left="-142"/>
      <w:jc w:val="both"/>
    </w:pPr>
    <w:rPr>
      <w:rFonts w:ascii="Verdana" w:hAnsi="Verdana"/>
      <w:color w:val="FF0000"/>
    </w:rPr>
  </w:style>
  <w:style w:type="paragraph" w:styleId="BodyTextIndent3">
    <w:name w:val="Body Text Indent 3"/>
    <w:basedOn w:val="Normal"/>
    <w:pPr>
      <w:ind w:left="1843"/>
      <w:jc w:val="both"/>
    </w:pPr>
    <w:rPr>
      <w:rFonts w:ascii="Verdana" w:hAnsi="Verdana"/>
      <w:color w:val="FF0000"/>
    </w:rPr>
  </w:style>
  <w:style w:type="paragraph" w:customStyle="1" w:styleId="DHSText10pt">
    <w:name w:val="DHS Text 10pt"/>
    <w:basedOn w:val="Normal"/>
    <w:pPr>
      <w:widowControl w:val="0"/>
      <w:spacing w:after="0"/>
      <w:ind w:left="0"/>
      <w:textAlignment w:val="auto"/>
    </w:pPr>
    <w:rPr>
      <w:rFonts w:ascii="Verdana" w:hAnsi="Verdana"/>
    </w:rPr>
  </w:style>
  <w:style w:type="paragraph" w:customStyle="1" w:styleId="Table-heading">
    <w:name w:val="Table - heading"/>
    <w:basedOn w:val="Normal"/>
    <w:pPr>
      <w:ind w:left="709"/>
      <w:textAlignment w:val="auto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pBdr>
        <w:bottom w:val="single" w:sz="6" w:space="1" w:color="auto"/>
      </w:pBdr>
      <w:overflowPunct/>
      <w:autoSpaceDE/>
      <w:autoSpaceDN/>
      <w:adjustRightInd/>
      <w:spacing w:after="1320"/>
      <w:ind w:left="0"/>
      <w:jc w:val="center"/>
      <w:textAlignment w:val="auto"/>
    </w:pPr>
    <w:rPr>
      <w:rFonts w:ascii="Verdana" w:hAnsi="Verdana"/>
      <w:b/>
      <w:szCs w:val="24"/>
    </w:rPr>
  </w:style>
  <w:style w:type="paragraph" w:customStyle="1" w:styleId="Background">
    <w:name w:val="Background"/>
    <w:basedOn w:val="Normal"/>
    <w:pPr>
      <w:numPr>
        <w:numId w:val="4"/>
      </w:numPr>
      <w:overflowPunct/>
      <w:autoSpaceDE/>
      <w:autoSpaceDN/>
      <w:adjustRightInd/>
      <w:spacing w:after="113" w:line="245" w:lineRule="atLeast"/>
      <w:textAlignment w:val="auto"/>
    </w:pPr>
    <w:rPr>
      <w:sz w:val="21"/>
    </w:rPr>
  </w:style>
  <w:style w:type="paragraph" w:styleId="BalloonText">
    <w:name w:val="Balloon Text"/>
    <w:basedOn w:val="Normal"/>
    <w:semiHidden/>
    <w:rsid w:val="009F722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5DBE"/>
    <w:rPr>
      <w:sz w:val="16"/>
      <w:szCs w:val="16"/>
    </w:rPr>
  </w:style>
  <w:style w:type="paragraph" w:styleId="CommentText">
    <w:name w:val="annotation text"/>
    <w:basedOn w:val="Normal"/>
    <w:semiHidden/>
    <w:rsid w:val="00A85DBE"/>
  </w:style>
  <w:style w:type="paragraph" w:styleId="CommentSubject">
    <w:name w:val="annotation subject"/>
    <w:basedOn w:val="CommentText"/>
    <w:next w:val="CommentText"/>
    <w:semiHidden/>
    <w:rsid w:val="00A85DBE"/>
    <w:rPr>
      <w:b/>
      <w:bCs/>
    </w:rPr>
  </w:style>
  <w:style w:type="paragraph" w:customStyle="1" w:styleId="Char">
    <w:name w:val="Char"/>
    <w:basedOn w:val="Normal"/>
    <w:rsid w:val="00DC5106"/>
    <w:pPr>
      <w:overflowPunct/>
      <w:autoSpaceDE/>
      <w:autoSpaceDN/>
      <w:adjustRightInd/>
      <w:spacing w:after="160" w:line="240" w:lineRule="exact"/>
      <w:ind w:left="0"/>
      <w:textAlignment w:val="auto"/>
    </w:pPr>
    <w:rPr>
      <w:rFonts w:ascii="Arial Narrow" w:hAnsi="Arial Narrow" w:cs="Tahoma"/>
      <w:b/>
      <w:sz w:val="36"/>
      <w:lang w:val="en-US"/>
    </w:rPr>
  </w:style>
  <w:style w:type="paragraph" w:customStyle="1" w:styleId="NormalVerdana">
    <w:name w:val="Normal + Verdana"/>
    <w:aliases w:val="12 pt"/>
    <w:basedOn w:val="Heading1"/>
    <w:rsid w:val="00A95639"/>
    <w:pPr>
      <w:ind w:left="454" w:hanging="454"/>
    </w:pPr>
    <w:rPr>
      <w:rFonts w:ascii="Verdana" w:hAnsi="Verdana"/>
      <w:sz w:val="20"/>
    </w:rPr>
  </w:style>
  <w:style w:type="paragraph" w:styleId="PlainText">
    <w:name w:val="Plain Text"/>
    <w:basedOn w:val="Normal"/>
    <w:rsid w:val="002F764C"/>
    <w:pPr>
      <w:overflowPunct/>
      <w:autoSpaceDE/>
      <w:autoSpaceDN/>
      <w:adjustRightInd/>
      <w:spacing w:after="0"/>
      <w:ind w:left="0"/>
      <w:textAlignment w:val="auto"/>
    </w:pPr>
    <w:rPr>
      <w:rFonts w:ascii="Courier New" w:hAnsi="Courier New"/>
    </w:rPr>
  </w:style>
  <w:style w:type="table" w:styleId="TableGrid">
    <w:name w:val="Table Grid"/>
    <w:basedOn w:val="TableNormal"/>
    <w:uiPriority w:val="59"/>
    <w:rsid w:val="002F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autoRedefine/>
    <w:rsid w:val="00BE50F3"/>
    <w:pPr>
      <w:overflowPunct/>
      <w:autoSpaceDE/>
      <w:autoSpaceDN/>
      <w:adjustRightInd/>
      <w:spacing w:before="40" w:line="240" w:lineRule="exact"/>
      <w:ind w:left="0"/>
      <w:textAlignment w:val="auto"/>
    </w:pPr>
    <w:rPr>
      <w:rFonts w:ascii="Georgia" w:hAnsi="Georgia"/>
      <w:sz w:val="18"/>
      <w:szCs w:val="18"/>
    </w:rPr>
  </w:style>
  <w:style w:type="paragraph" w:customStyle="1" w:styleId="Text">
    <w:name w:val="Text"/>
    <w:basedOn w:val="Normal"/>
    <w:rsid w:val="00C82A23"/>
    <w:pPr>
      <w:overflowPunct/>
      <w:autoSpaceDE/>
      <w:autoSpaceDN/>
      <w:adjustRightInd/>
      <w:spacing w:line="240" w:lineRule="exact"/>
      <w:ind w:left="1202" w:hanging="1202"/>
      <w:jc w:val="both"/>
      <w:textAlignment w:val="auto"/>
    </w:pPr>
    <w:rPr>
      <w:rFonts w:ascii="Georgia" w:hAnsi="Georgia"/>
      <w:szCs w:val="24"/>
    </w:rPr>
  </w:style>
  <w:style w:type="paragraph" w:customStyle="1" w:styleId="Bullet12pt">
    <w:name w:val="Bullet + 12 pt"/>
    <w:basedOn w:val="Normal"/>
    <w:next w:val="Text"/>
    <w:autoRedefine/>
    <w:rsid w:val="00C82A23"/>
    <w:pPr>
      <w:numPr>
        <w:numId w:val="5"/>
      </w:numPr>
      <w:overflowPunct/>
      <w:autoSpaceDE/>
      <w:autoSpaceDN/>
      <w:adjustRightInd/>
      <w:jc w:val="both"/>
      <w:textAlignment w:val="auto"/>
    </w:pPr>
    <w:rPr>
      <w:rFonts w:ascii="Georgia" w:hAnsi="Georgia"/>
      <w:szCs w:val="24"/>
    </w:rPr>
  </w:style>
  <w:style w:type="paragraph" w:customStyle="1" w:styleId="DHSHeading1">
    <w:name w:val="DHS Heading 1"/>
    <w:basedOn w:val="Normal"/>
    <w:next w:val="Normal"/>
    <w:rsid w:val="00496F7B"/>
    <w:pPr>
      <w:widowControl w:val="0"/>
      <w:spacing w:line="280" w:lineRule="exact"/>
      <w:ind w:left="0"/>
    </w:pPr>
    <w:rPr>
      <w:rFonts w:ascii="Verdana" w:hAnsi="Verdana"/>
      <w:b/>
    </w:rPr>
  </w:style>
  <w:style w:type="paragraph" w:customStyle="1" w:styleId="PartHeading">
    <w:name w:val="Part Heading"/>
    <w:aliases w:val="ph"/>
    <w:basedOn w:val="Normal"/>
    <w:rsid w:val="00ED769A"/>
    <w:pPr>
      <w:overflowPunct/>
      <w:autoSpaceDE/>
      <w:autoSpaceDN/>
      <w:adjustRightInd/>
      <w:spacing w:line="270" w:lineRule="atLeast"/>
      <w:ind w:left="0"/>
      <w:textAlignment w:val="auto"/>
    </w:pPr>
    <w:rPr>
      <w:sz w:val="40"/>
      <w:szCs w:val="40"/>
    </w:rPr>
  </w:style>
  <w:style w:type="paragraph" w:customStyle="1" w:styleId="Bullet6pt">
    <w:name w:val="Bullet + 6pt"/>
    <w:basedOn w:val="Bullet12pt"/>
    <w:rsid w:val="00420ABC"/>
    <w:pPr>
      <w:numPr>
        <w:numId w:val="0"/>
      </w:numPr>
    </w:pPr>
    <w:rPr>
      <w:szCs w:val="20"/>
    </w:rPr>
  </w:style>
  <w:style w:type="paragraph" w:customStyle="1" w:styleId="headlevel4">
    <w:name w:val="headlevel4"/>
    <w:basedOn w:val="Normal"/>
    <w:rsid w:val="0057781E"/>
    <w:pPr>
      <w:overflowPunct/>
      <w:autoSpaceDE/>
      <w:autoSpaceDN/>
      <w:adjustRightInd/>
      <w:spacing w:before="100" w:beforeAutospacing="1" w:after="100" w:afterAutospacing="1"/>
      <w:ind w:left="0"/>
      <w:textAlignment w:val="auto"/>
    </w:pPr>
    <w:rPr>
      <w:rFonts w:ascii="Verdana" w:hAnsi="Verdana"/>
      <w:szCs w:val="24"/>
      <w:lang w:eastAsia="en-AU"/>
    </w:rPr>
  </w:style>
  <w:style w:type="paragraph" w:customStyle="1" w:styleId="Heading1Numbered">
    <w:name w:val="Heading 1 Numbered"/>
    <w:basedOn w:val="Heading1"/>
    <w:next w:val="Text"/>
    <w:rsid w:val="00322DC6"/>
    <w:pPr>
      <w:keepNext/>
      <w:keepLines w:val="0"/>
      <w:numPr>
        <w:numId w:val="6"/>
      </w:numPr>
      <w:overflowPunct/>
      <w:autoSpaceDE/>
      <w:autoSpaceDN/>
      <w:adjustRightInd/>
      <w:spacing w:before="240" w:after="240"/>
      <w:ind w:left="1151" w:hanging="1151"/>
      <w:textAlignment w:val="auto"/>
    </w:pPr>
    <w:rPr>
      <w:rFonts w:ascii="Arial Narrow" w:hAnsi="Arial Narrow" w:cs="Arial"/>
      <w:bCs/>
      <w:kern w:val="32"/>
      <w:sz w:val="28"/>
      <w:szCs w:val="28"/>
    </w:rPr>
  </w:style>
  <w:style w:type="paragraph" w:customStyle="1" w:styleId="Heading2Numbering">
    <w:name w:val="Heading 2 Numbering"/>
    <w:basedOn w:val="Heading2"/>
    <w:next w:val="Text"/>
    <w:rsid w:val="00322DC6"/>
    <w:pPr>
      <w:numPr>
        <w:ilvl w:val="1"/>
        <w:numId w:val="6"/>
      </w:numPr>
      <w:overflowPunct/>
      <w:autoSpaceDE/>
      <w:autoSpaceDN/>
      <w:adjustRightInd/>
      <w:spacing w:line="240" w:lineRule="exact"/>
      <w:ind w:left="1151" w:hanging="1151"/>
      <w:textAlignment w:val="auto"/>
    </w:pPr>
    <w:rPr>
      <w:rFonts w:ascii="Arial Narrow" w:hAnsi="Arial Narrow"/>
      <w:b w:val="0"/>
      <w:bCs w:val="0"/>
      <w:iCs/>
      <w:szCs w:val="32"/>
    </w:rPr>
  </w:style>
  <w:style w:type="paragraph" w:customStyle="1" w:styleId="Heading3Numbering">
    <w:name w:val="Heading 3 Numbering"/>
    <w:basedOn w:val="Heading3"/>
    <w:next w:val="Text"/>
    <w:rsid w:val="00322DC6"/>
    <w:pPr>
      <w:keepNext/>
      <w:numPr>
        <w:ilvl w:val="2"/>
        <w:numId w:val="6"/>
      </w:numPr>
      <w:overflowPunct/>
      <w:autoSpaceDE/>
      <w:autoSpaceDN/>
      <w:adjustRightInd/>
      <w:spacing w:before="240" w:after="240"/>
      <w:textAlignment w:val="auto"/>
    </w:pPr>
    <w:rPr>
      <w:rFonts w:ascii="Arial Narrow" w:hAnsi="Arial Narrow" w:cs="Arial"/>
      <w:b/>
      <w:bCs/>
      <w:sz w:val="22"/>
      <w:szCs w:val="26"/>
    </w:rPr>
  </w:style>
  <w:style w:type="paragraph" w:customStyle="1" w:styleId="Heading4Numbering">
    <w:name w:val="Heading 4 Numbering"/>
    <w:basedOn w:val="Heading4"/>
    <w:next w:val="Text"/>
    <w:rsid w:val="00322DC6"/>
    <w:pPr>
      <w:keepLines w:val="0"/>
      <w:numPr>
        <w:ilvl w:val="3"/>
        <w:numId w:val="6"/>
      </w:numPr>
      <w:overflowPunct/>
      <w:autoSpaceDE/>
      <w:autoSpaceDN/>
      <w:adjustRightInd/>
      <w:spacing w:before="240" w:after="240"/>
      <w:textAlignment w:val="auto"/>
    </w:pPr>
    <w:rPr>
      <w:rFonts w:ascii="Arial Narrow" w:hAnsi="Arial Narrow"/>
      <w:b w:val="0"/>
      <w:bCs/>
      <w:i w:val="0"/>
      <w:sz w:val="28"/>
      <w:szCs w:val="28"/>
    </w:rPr>
  </w:style>
  <w:style w:type="paragraph" w:customStyle="1" w:styleId="StyleAfter6pt">
    <w:name w:val="Style After:  6 pt"/>
    <w:basedOn w:val="Normal"/>
    <w:rsid w:val="00D45724"/>
    <w:pPr>
      <w:spacing w:after="60"/>
    </w:pPr>
  </w:style>
  <w:style w:type="paragraph" w:customStyle="1" w:styleId="Bullet1">
    <w:name w:val="Bullet 1"/>
    <w:basedOn w:val="Normal"/>
    <w:uiPriority w:val="11"/>
    <w:qFormat/>
    <w:rsid w:val="00DA2E05"/>
    <w:pPr>
      <w:numPr>
        <w:numId w:val="7"/>
      </w:numPr>
      <w:overflowPunct/>
      <w:autoSpaceDE/>
      <w:autoSpaceDN/>
      <w:adjustRightInd/>
      <w:spacing w:before="80" w:after="80"/>
      <w:textAlignment w:val="auto"/>
    </w:pPr>
    <w:rPr>
      <w:rFonts w:ascii="Calibri" w:hAnsi="Calibri" w:cs="Calibri"/>
      <w:sz w:val="22"/>
      <w:szCs w:val="22"/>
      <w:lang w:eastAsia="en-AU"/>
    </w:rPr>
  </w:style>
  <w:style w:type="paragraph" w:customStyle="1" w:styleId="Bullet2">
    <w:name w:val="Bullet 2"/>
    <w:basedOn w:val="Bullet1"/>
    <w:uiPriority w:val="11"/>
    <w:rsid w:val="00DA2E05"/>
    <w:pPr>
      <w:numPr>
        <w:ilvl w:val="1"/>
      </w:numPr>
    </w:pPr>
  </w:style>
  <w:style w:type="paragraph" w:customStyle="1" w:styleId="Bullet3">
    <w:name w:val="Bullet 3"/>
    <w:basedOn w:val="Bullet2"/>
    <w:uiPriority w:val="11"/>
    <w:rsid w:val="00DA2E05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DA2E0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A2E05"/>
    <w:pPr>
      <w:overflowPunct/>
      <w:autoSpaceDE/>
      <w:autoSpaceDN/>
      <w:adjustRightInd/>
      <w:spacing w:after="100" w:afterAutospacing="1"/>
      <w:ind w:left="0"/>
      <w:textAlignment w:val="auto"/>
    </w:pPr>
    <w:rPr>
      <w:szCs w:val="24"/>
      <w:lang w:eastAsia="en-AU"/>
    </w:rPr>
  </w:style>
  <w:style w:type="paragraph" w:customStyle="1" w:styleId="DHHSbullet">
    <w:name w:val="DHHS bullet"/>
    <w:basedOn w:val="Normal"/>
    <w:rsid w:val="0019363C"/>
    <w:pPr>
      <w:numPr>
        <w:numId w:val="8"/>
      </w:numPr>
      <w:overflowPunct/>
      <w:autoSpaceDE/>
      <w:autoSpaceDN/>
      <w:adjustRightInd/>
      <w:spacing w:line="270" w:lineRule="atLeast"/>
      <w:textAlignment w:val="auto"/>
    </w:pPr>
  </w:style>
  <w:style w:type="paragraph" w:customStyle="1" w:styleId="Healthbody">
    <w:name w:val="Health body"/>
    <w:rsid w:val="00E6264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body">
    <w:name w:val="DHHS body"/>
    <w:qFormat/>
    <w:rsid w:val="00E6264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E62645"/>
    <w:pPr>
      <w:numPr>
        <w:numId w:val="9"/>
      </w:numPr>
      <w:spacing w:after="40"/>
    </w:pPr>
  </w:style>
  <w:style w:type="paragraph" w:customStyle="1" w:styleId="DHHSnumberloweralpha">
    <w:name w:val="DHHS number lower alpha"/>
    <w:basedOn w:val="DHHSbody"/>
    <w:uiPriority w:val="3"/>
    <w:rsid w:val="00E62645"/>
  </w:style>
  <w:style w:type="paragraph" w:customStyle="1" w:styleId="DHHSnumberloweralphaindent">
    <w:name w:val="DHHS number lower alpha indent"/>
    <w:basedOn w:val="DHHSbody"/>
    <w:uiPriority w:val="3"/>
    <w:rsid w:val="00E62645"/>
  </w:style>
  <w:style w:type="paragraph" w:customStyle="1" w:styleId="DHHSbullet2">
    <w:name w:val="DHHS bullet 2"/>
    <w:basedOn w:val="DHHSbody"/>
    <w:uiPriority w:val="2"/>
    <w:qFormat/>
    <w:rsid w:val="00E62645"/>
    <w:pPr>
      <w:numPr>
        <w:ilvl w:val="2"/>
        <w:numId w:val="9"/>
      </w:numPr>
      <w:spacing w:after="40"/>
    </w:pPr>
  </w:style>
  <w:style w:type="paragraph" w:customStyle="1" w:styleId="DHHSnumberdigit">
    <w:name w:val="DHHS number digit"/>
    <w:basedOn w:val="DHHSbody"/>
    <w:uiPriority w:val="2"/>
    <w:rsid w:val="00E62645"/>
  </w:style>
  <w:style w:type="paragraph" w:customStyle="1" w:styleId="DHHSbullet1lastline">
    <w:name w:val="DHHS bullet 1 last line"/>
    <w:basedOn w:val="DHHSbullet1"/>
    <w:qFormat/>
    <w:rsid w:val="00E62645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62645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E62645"/>
    <w:pPr>
      <w:numPr>
        <w:ilvl w:val="6"/>
        <w:numId w:val="9"/>
      </w:numPr>
      <w:overflowPunct/>
      <w:autoSpaceDE/>
      <w:autoSpaceDN/>
      <w:adjustRightInd/>
      <w:spacing w:before="80" w:after="60"/>
      <w:textAlignment w:val="auto"/>
    </w:pPr>
  </w:style>
  <w:style w:type="numbering" w:customStyle="1" w:styleId="Bullets">
    <w:name w:val="Bullets"/>
    <w:rsid w:val="00E62645"/>
    <w:pPr>
      <w:numPr>
        <w:numId w:val="9"/>
      </w:numPr>
    </w:pPr>
  </w:style>
  <w:style w:type="paragraph" w:customStyle="1" w:styleId="DHHSbulletindent">
    <w:name w:val="DHHS bullet indent"/>
    <w:basedOn w:val="DHHSbody"/>
    <w:uiPriority w:val="4"/>
    <w:rsid w:val="00E62645"/>
    <w:pPr>
      <w:numPr>
        <w:ilvl w:val="4"/>
        <w:numId w:val="9"/>
      </w:numPr>
      <w:spacing w:after="40"/>
    </w:pPr>
  </w:style>
  <w:style w:type="paragraph" w:customStyle="1" w:styleId="DHHSbulletindentlastline">
    <w:name w:val="DHHS bullet indent last line"/>
    <w:basedOn w:val="DHHSbody"/>
    <w:uiPriority w:val="4"/>
    <w:rsid w:val="00E62645"/>
    <w:pPr>
      <w:numPr>
        <w:ilvl w:val="5"/>
        <w:numId w:val="9"/>
      </w:numPr>
    </w:pPr>
  </w:style>
  <w:style w:type="numbering" w:customStyle="1" w:styleId="Numbers">
    <w:name w:val="Numbers"/>
    <w:rsid w:val="00E62645"/>
    <w:pPr>
      <w:numPr>
        <w:numId w:val="10"/>
      </w:numPr>
    </w:pPr>
  </w:style>
  <w:style w:type="paragraph" w:customStyle="1" w:styleId="DHHSnumberlowerroman">
    <w:name w:val="DHHS number lower roman"/>
    <w:basedOn w:val="DHHSbody"/>
    <w:uiPriority w:val="3"/>
    <w:rsid w:val="00E62645"/>
  </w:style>
  <w:style w:type="paragraph" w:customStyle="1" w:styleId="DHHSnumberlowerromanindent">
    <w:name w:val="DHHS number lower roman indent"/>
    <w:basedOn w:val="DHHSbody"/>
    <w:uiPriority w:val="3"/>
    <w:rsid w:val="00E62645"/>
  </w:style>
  <w:style w:type="paragraph" w:customStyle="1" w:styleId="DHHSnumberdigitindent">
    <w:name w:val="DHHS number digit indent"/>
    <w:basedOn w:val="DHHSnumberloweralphaindent"/>
    <w:uiPriority w:val="3"/>
    <w:rsid w:val="00E62645"/>
  </w:style>
  <w:style w:type="paragraph" w:customStyle="1" w:styleId="Healthbullet1">
    <w:name w:val="Health bullet 1"/>
    <w:basedOn w:val="Normal"/>
    <w:uiPriority w:val="99"/>
    <w:qFormat/>
    <w:rsid w:val="00FB2E12"/>
    <w:pPr>
      <w:numPr>
        <w:numId w:val="11"/>
      </w:numPr>
      <w:overflowPunct/>
      <w:autoSpaceDE/>
      <w:autoSpaceDN/>
      <w:adjustRightInd/>
      <w:spacing w:after="40" w:line="270" w:lineRule="atLeast"/>
      <w:textAlignment w:val="auto"/>
    </w:pPr>
    <w:rPr>
      <w:rFonts w:eastAsia="MS Mincho"/>
      <w:szCs w:val="24"/>
    </w:rPr>
  </w:style>
  <w:style w:type="paragraph" w:customStyle="1" w:styleId="Healthbullet1lastline">
    <w:name w:val="Health bullet 1 last line"/>
    <w:basedOn w:val="Healthbullet1"/>
    <w:rsid w:val="00580893"/>
    <w:pPr>
      <w:numPr>
        <w:numId w:val="0"/>
      </w:numPr>
      <w:spacing w:after="120"/>
      <w:ind w:left="360" w:hanging="360"/>
    </w:pPr>
  </w:style>
  <w:style w:type="character" w:customStyle="1" w:styleId="Heading3Char">
    <w:name w:val="Heading 3 Char"/>
    <w:link w:val="Heading3"/>
    <w:rsid w:val="0025669D"/>
    <w:rPr>
      <w:sz w:val="24"/>
      <w:lang w:val="en-AU" w:eastAsia="en-US" w:bidi="ar-SA"/>
    </w:rPr>
  </w:style>
  <w:style w:type="character" w:customStyle="1" w:styleId="Heading1Char">
    <w:name w:val="Heading 1 Char"/>
    <w:link w:val="Heading1"/>
    <w:rsid w:val="00B301C8"/>
    <w:rPr>
      <w:b/>
      <w:kern w:val="28"/>
      <w:sz w:val="32"/>
      <w:lang w:eastAsia="en-US"/>
    </w:rPr>
  </w:style>
  <w:style w:type="table" w:customStyle="1" w:styleId="ICBTable1">
    <w:name w:val="ICB Table1"/>
    <w:basedOn w:val="TableNormal"/>
    <w:next w:val="TableGrid"/>
    <w:uiPriority w:val="39"/>
    <w:rsid w:val="007B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NotinTOC">
    <w:name w:val="Heading 1 - Not in TOC"/>
    <w:basedOn w:val="Normal"/>
    <w:qFormat/>
    <w:rsid w:val="006B717C"/>
    <w:pPr>
      <w:ind w:left="0"/>
    </w:pPr>
    <w:rPr>
      <w:rFonts w:cs="Arial"/>
      <w:sz w:val="32"/>
      <w:szCs w:val="28"/>
    </w:rPr>
  </w:style>
  <w:style w:type="character" w:customStyle="1" w:styleId="FooterChar">
    <w:name w:val="Footer Char"/>
    <w:link w:val="Footer"/>
    <w:uiPriority w:val="99"/>
    <w:rsid w:val="009B2768"/>
    <w:rPr>
      <w:rFonts w:ascii="Arial" w:hAnsi="Arial"/>
      <w:sz w:val="16"/>
      <w:szCs w:val="12"/>
      <w:lang w:eastAsia="en-US"/>
    </w:rPr>
  </w:style>
  <w:style w:type="character" w:customStyle="1" w:styleId="FooterURL">
    <w:name w:val="Footer URL"/>
    <w:rsid w:val="009B2768"/>
    <w:rPr>
      <w:sz w:val="22"/>
      <w:szCs w:val="22"/>
    </w:rPr>
  </w:style>
  <w:style w:type="paragraph" w:styleId="ListNumber">
    <w:name w:val="List Number"/>
    <w:basedOn w:val="Normal"/>
    <w:rsid w:val="009B2768"/>
    <w:pPr>
      <w:numPr>
        <w:numId w:val="1"/>
      </w:numPr>
      <w:ind w:left="426" w:hanging="426"/>
    </w:pPr>
    <w:rPr>
      <w:rFonts w:cs="Arial"/>
      <w:b/>
      <w:bCs/>
    </w:rPr>
  </w:style>
  <w:style w:type="character" w:customStyle="1" w:styleId="BodyTextChar">
    <w:name w:val="Body Text Char"/>
    <w:link w:val="BodyText"/>
    <w:rsid w:val="009B2768"/>
    <w:rPr>
      <w:i/>
      <w:sz w:val="22"/>
      <w:lang w:eastAsia="en-US"/>
    </w:rPr>
  </w:style>
  <w:style w:type="character" w:customStyle="1" w:styleId="BodyTextIndentChar">
    <w:name w:val="Body Text Indent Char"/>
    <w:link w:val="BodyTextIndent"/>
    <w:rsid w:val="009B2768"/>
    <w:rPr>
      <w:rFonts w:ascii="Verdana" w:hAnsi="Verdana"/>
      <w:color w:val="FF0000"/>
      <w:lang w:eastAsia="en-US"/>
    </w:rPr>
  </w:style>
  <w:style w:type="paragraph" w:styleId="ListNumber2">
    <w:name w:val="List Number 2"/>
    <w:basedOn w:val="ListNumber"/>
    <w:rsid w:val="00813532"/>
    <w:pPr>
      <w:numPr>
        <w:ilvl w:val="1"/>
      </w:numPr>
      <w:tabs>
        <w:tab w:val="left" w:pos="1134"/>
      </w:tabs>
    </w:pPr>
    <w:rPr>
      <w:b w:val="0"/>
    </w:rPr>
  </w:style>
  <w:style w:type="paragraph" w:styleId="ListNumber3">
    <w:name w:val="List Number 3"/>
    <w:basedOn w:val="ListNumber2"/>
    <w:rsid w:val="00813532"/>
    <w:pPr>
      <w:numPr>
        <w:ilvl w:val="2"/>
      </w:numPr>
      <w:tabs>
        <w:tab w:val="left" w:pos="1985"/>
      </w:tabs>
      <w:spacing w:before="40" w:after="40"/>
      <w:ind w:left="1985" w:hanging="851"/>
    </w:pPr>
  </w:style>
  <w:style w:type="paragraph" w:styleId="ListBullet">
    <w:name w:val="List Bullet"/>
    <w:basedOn w:val="Normal"/>
    <w:rsid w:val="00813532"/>
    <w:pPr>
      <w:numPr>
        <w:numId w:val="13"/>
      </w:numPr>
      <w:contextualSpacing/>
    </w:pPr>
    <w:rPr>
      <w:rFonts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13532"/>
    <w:pPr>
      <w:keepNext/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="Calibri Light" w:hAnsi="Calibri Light"/>
      <w:b w:val="0"/>
      <w:color w:val="2E74B5"/>
      <w:kern w:val="0"/>
      <w:szCs w:val="32"/>
      <w:lang w:val="en-US"/>
    </w:rPr>
  </w:style>
  <w:style w:type="paragraph" w:styleId="Revision">
    <w:name w:val="Revision"/>
    <w:hidden/>
    <w:uiPriority w:val="99"/>
    <w:semiHidden/>
    <w:rsid w:val="008D7C1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44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E0C1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Documents%20and%20Settings/jrea2503/Local%20Settings/Temp/notesB87516/health.procurement@health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02adb-6bc9-42d3-acd6-4c955dee0e66" xsi:nil="true"/>
    <lcf76f155ced4ddcb4097134ff3c332f xmlns="97ed7861-5a5c-46b3-8fd8-36382c42c787">
      <Terms xmlns="http://schemas.microsoft.com/office/infopath/2007/PartnerControls"/>
    </lcf76f155ced4ddcb4097134ff3c332f>
    <SharedWithUsers xmlns="2e102adb-6bc9-42d3-acd6-4c955dee0e66">
      <UserInfo>
        <DisplayName>Jamie A Leonard (DGS)</DisplayName>
        <AccountId>134</AccountId>
        <AccountType/>
      </UserInfo>
      <UserInfo>
        <DisplayName>Joseph S Walker (DGS)</DisplayName>
        <AccountId>12</AccountId>
        <AccountType/>
      </UserInfo>
      <UserInfo>
        <DisplayName>Melissah K Broadbent (DGS)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AF1CEDF05C144B22736302A05CA23" ma:contentTypeVersion="13" ma:contentTypeDescription="Create a new document." ma:contentTypeScope="" ma:versionID="16ee6fc89dd8ba838cb2b39faf4cc09d">
  <xsd:schema xmlns:xsd="http://www.w3.org/2001/XMLSchema" xmlns:xs="http://www.w3.org/2001/XMLSchema" xmlns:p="http://schemas.microsoft.com/office/2006/metadata/properties" xmlns:ns2="97ed7861-5a5c-46b3-8fd8-36382c42c787" xmlns:ns3="2e102adb-6bc9-42d3-acd6-4c955dee0e66" targetNamespace="http://schemas.microsoft.com/office/2006/metadata/properties" ma:root="true" ma:fieldsID="4b48c555192521391cfeee9b2c0309ca" ns2:_="" ns3:_="">
    <xsd:import namespace="97ed7861-5a5c-46b3-8fd8-36382c42c787"/>
    <xsd:import namespace="2e102adb-6bc9-42d3-acd6-4c955dee0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7861-5a5c-46b3-8fd8-36382c42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02adb-6bc9-42d3-acd6-4c955dee0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fba3f0-04c4-468c-9359-30c975f7aab3}" ma:internalName="TaxCatchAll" ma:showField="CatchAllData" ma:web="2e102adb-6bc9-42d3-acd6-4c955dee0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5883-FE7B-4A73-801A-DEF7D5827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3DE78-C803-4DBC-A166-1F65CE888E7F}">
  <ds:schemaRefs>
    <ds:schemaRef ds:uri="http://schemas.microsoft.com/office/2006/metadata/properties"/>
    <ds:schemaRef ds:uri="97ed7861-5a5c-46b3-8fd8-36382c42c7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e102adb-6bc9-42d3-acd6-4c955dee0e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3BE1D0-CE9B-4FE2-AD1E-F63E538D4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d7861-5a5c-46b3-8fd8-36382c42c787"/>
    <ds:schemaRef ds:uri="2e102adb-6bc9-42d3-acd6-4c955dee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E0759-0A0E-435D-996F-C0402E4C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2762</Words>
  <Characters>15511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participation - VPF housing funding round 2018-19</vt:lpstr>
    </vt:vector>
  </TitlesOfParts>
  <Company>Department of Justice and Regulation</Company>
  <LinksUpToDate>false</LinksUpToDate>
  <CharactersWithSpaces>18237</CharactersWithSpaces>
  <SharedDoc>false</SharedDoc>
  <HLinks>
    <vt:vector size="90" baseType="variant">
      <vt:variant>
        <vt:i4>917624</vt:i4>
      </vt:variant>
      <vt:variant>
        <vt:i4>81</vt:i4>
      </vt:variant>
      <vt:variant>
        <vt:i4>0</vt:i4>
      </vt:variant>
      <vt:variant>
        <vt:i4>5</vt:i4>
      </vt:variant>
      <vt:variant>
        <vt:lpwstr>C:\Documents and Settings\jrea2503\Local Settings\Temp\notesB87516\health.procurement@health.vic.gov.au</vt:lpwstr>
      </vt:variant>
      <vt:variant>
        <vt:lpwstr/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_Toc150778676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_Toc150778675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_Toc150778674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_Toc150778673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_Toc150778672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_Toc150778671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_Toc150778670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_Toc150778669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_Toc150778668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_Toc150778667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_Toc150778666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_Toc150778665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_Toc150778664</vt:lpwstr>
      </vt:variant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mailto:Jamie.Leonard@justice.vic.gov.au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participation - VPF housing funding round 2018-19</dc:title>
  <dc:subject>Funded services and grants</dc:subject>
  <dc:creator>Consumer Affairs Victoria</dc:creator>
  <cp:keywords/>
  <cp:lastModifiedBy>David M Darragh (DGS)</cp:lastModifiedBy>
  <cp:revision>2</cp:revision>
  <cp:lastPrinted>2016-11-30T04:08:00Z</cp:lastPrinted>
  <dcterms:created xsi:type="dcterms:W3CDTF">2023-11-16T05:42:00Z</dcterms:created>
  <dcterms:modified xsi:type="dcterms:W3CDTF">2023-11-16T05:42:00Z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CD/17/73295*</vt:lpwstr>
  </property>
  <property fmtid="{D5CDD505-2E9C-101B-9397-08002B2CF9AE}" pid="3" name="TRIM_DateDue">
    <vt:lpwstr> </vt:lpwstr>
  </property>
  <property fmtid="{D5CDD505-2E9C-101B-9397-08002B2CF9AE}" pid="4" name="TRIM_Author">
    <vt:lpwstr>KOERNER, Tim</vt:lpwstr>
  </property>
  <property fmtid="{D5CDD505-2E9C-101B-9397-08002B2CF9AE}" pid="5" name="TRIM_Container">
    <vt:lpwstr>CF/17/3538</vt:lpwstr>
  </property>
  <property fmtid="{D5CDD505-2E9C-101B-9397-08002B2CF9AE}" pid="6" name="TRIM_Creator">
    <vt:lpwstr>KOERNER, Tim</vt:lpwstr>
  </property>
  <property fmtid="{D5CDD505-2E9C-101B-9397-08002B2CF9AE}" pid="7" name="TRIM_DateRegistered">
    <vt:lpwstr>13 February, 2017</vt:lpwstr>
  </property>
  <property fmtid="{D5CDD505-2E9C-101B-9397-08002B2CF9AE}" pid="8" name="TRIM_OwnerLocation">
    <vt:lpwstr>Information Services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Publication - External - Conditions of  Participation - EOI Stage - VPF Housing Funding Round 2016-17</vt:lpwstr>
  </property>
  <property fmtid="{D5CDD505-2E9C-101B-9397-08002B2CF9AE}" pid="11" name="ContentTypeId">
    <vt:lpwstr>0x010100354AF1CEDF05C144B22736302A05CA23</vt:lpwstr>
  </property>
  <property fmtid="{D5CDD505-2E9C-101B-9397-08002B2CF9AE}" pid="12" name="MediaServiceImageTags">
    <vt:lpwstr/>
  </property>
</Properties>
</file>