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0E3F0" w14:textId="342FD125" w:rsidR="00C51B1C" w:rsidRPr="00256E7C" w:rsidRDefault="00C51B1C" w:rsidP="00DA752C">
      <w:pPr>
        <w:pStyle w:val="DJCSbody"/>
        <w:spacing w:after="0" w:line="240" w:lineRule="auto"/>
        <w:sectPr w:rsidR="00C51B1C" w:rsidRPr="00256E7C" w:rsidSect="003A24D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304" w:right="1134" w:bottom="1134" w:left="1134" w:header="284" w:footer="703" w:gutter="0"/>
          <w:cols w:space="720"/>
          <w:titlePg/>
          <w:docGrid w:linePitch="360"/>
        </w:sectPr>
      </w:pPr>
    </w:p>
    <w:p w14:paraId="0B4515D4" w14:textId="76B447D8" w:rsidR="001D2A2D" w:rsidRDefault="001D2A2D" w:rsidP="00DA752C">
      <w:pPr>
        <w:pStyle w:val="DJCSbody"/>
        <w:spacing w:after="0" w:line="240" w:lineRule="auto"/>
      </w:pPr>
    </w:p>
    <w:p w14:paraId="74631CDC" w14:textId="045219D1" w:rsidR="0084768A" w:rsidRDefault="0084768A" w:rsidP="00DA752C">
      <w:pPr>
        <w:pStyle w:val="DJCSbody"/>
        <w:spacing w:after="0" w:line="240" w:lineRule="auto"/>
      </w:pPr>
    </w:p>
    <w:tbl>
      <w:tblPr>
        <w:tblW w:w="10093" w:type="dxa"/>
        <w:tblCellMar>
          <w:left w:w="0" w:type="dxa"/>
          <w:right w:w="0" w:type="dxa"/>
        </w:tblCellMar>
        <w:tblLook w:val="04A0" w:firstRow="1" w:lastRow="0" w:firstColumn="1" w:lastColumn="0" w:noHBand="0" w:noVBand="1"/>
      </w:tblPr>
      <w:tblGrid>
        <w:gridCol w:w="10093"/>
      </w:tblGrid>
      <w:tr w:rsidR="00B461C5" w:rsidRPr="00854FD5" w14:paraId="76D907FE" w14:textId="77777777" w:rsidTr="00BD243D">
        <w:trPr>
          <w:trHeight w:val="2552"/>
        </w:trPr>
        <w:tc>
          <w:tcPr>
            <w:tcW w:w="10093" w:type="dxa"/>
            <w:shd w:val="clear" w:color="auto" w:fill="auto"/>
          </w:tcPr>
          <w:p w14:paraId="3915B55E" w14:textId="359444A9" w:rsidR="00571508" w:rsidRPr="00854FD5" w:rsidRDefault="005E786A" w:rsidP="00DA752C">
            <w:pPr>
              <w:pStyle w:val="DJCSreportmaintitlecover"/>
              <w:spacing w:after="0" w:line="240" w:lineRule="auto"/>
              <w:rPr>
                <w:color w:val="FFFFFF" w:themeColor="background1"/>
              </w:rPr>
            </w:pPr>
            <w:r>
              <w:rPr>
                <w:color w:val="FFFFFF" w:themeColor="background1"/>
              </w:rPr>
              <w:t xml:space="preserve">Guide to the </w:t>
            </w:r>
            <w:r w:rsidR="00477FD8" w:rsidRPr="00854FD5">
              <w:rPr>
                <w:color w:val="FFFFFF" w:themeColor="background1"/>
              </w:rPr>
              <w:t xml:space="preserve">Code of Conduct for </w:t>
            </w:r>
          </w:p>
          <w:p w14:paraId="5E653362" w14:textId="1AD3594E" w:rsidR="00B461C5" w:rsidRPr="00854FD5" w:rsidRDefault="00477FD8" w:rsidP="00DA752C">
            <w:pPr>
              <w:pStyle w:val="DJCSreportmaintitlecover"/>
              <w:spacing w:after="0" w:line="240" w:lineRule="auto"/>
              <w:rPr>
                <w:color w:val="FFFFFF" w:themeColor="background1"/>
              </w:rPr>
            </w:pPr>
            <w:r w:rsidRPr="00854FD5">
              <w:rPr>
                <w:color w:val="FFFFFF" w:themeColor="background1"/>
              </w:rPr>
              <w:t xml:space="preserve">Professional Engineers </w:t>
            </w:r>
          </w:p>
          <w:p w14:paraId="04B787B6" w14:textId="77777777" w:rsidR="00495FDC" w:rsidRPr="00854FD5" w:rsidRDefault="00495FDC" w:rsidP="00DA752C">
            <w:pPr>
              <w:pStyle w:val="DJCSreportsubtitlecover"/>
              <w:spacing w:after="0" w:line="240" w:lineRule="auto"/>
              <w:rPr>
                <w:color w:val="FFFFFF" w:themeColor="background1"/>
              </w:rPr>
            </w:pPr>
          </w:p>
          <w:p w14:paraId="78B68C0F" w14:textId="521F44AD" w:rsidR="00B461C5" w:rsidRPr="00854FD5" w:rsidRDefault="00477FD8" w:rsidP="00854FD5">
            <w:pPr>
              <w:pStyle w:val="DJCSreportsubtitlecover"/>
              <w:spacing w:after="0" w:line="240" w:lineRule="auto"/>
              <w:rPr>
                <w:b/>
                <w:bCs/>
                <w:i/>
                <w:iCs/>
                <w:color w:val="FFFFFF" w:themeColor="background1"/>
                <w:sz w:val="36"/>
                <w:szCs w:val="36"/>
              </w:rPr>
            </w:pPr>
            <w:r w:rsidRPr="00854FD5">
              <w:rPr>
                <w:b/>
                <w:bCs/>
                <w:i/>
                <w:iCs/>
                <w:color w:val="FFFFFF" w:themeColor="background1"/>
                <w:sz w:val="36"/>
                <w:szCs w:val="36"/>
              </w:rPr>
              <w:t xml:space="preserve">Professional Engineers Registrations Act </w:t>
            </w:r>
            <w:r w:rsidR="00495FDC" w:rsidRPr="00854FD5">
              <w:rPr>
                <w:b/>
                <w:bCs/>
                <w:i/>
                <w:iCs/>
                <w:color w:val="FFFFFF" w:themeColor="background1"/>
                <w:sz w:val="36"/>
                <w:szCs w:val="36"/>
              </w:rPr>
              <w:t>2019</w:t>
            </w:r>
          </w:p>
          <w:p w14:paraId="149A70B9" w14:textId="0D9E2BAF" w:rsidR="00854FD5" w:rsidRPr="00854FD5" w:rsidRDefault="00854FD5" w:rsidP="00854FD5">
            <w:pPr>
              <w:pStyle w:val="DJCSreportsubtitlecover"/>
              <w:spacing w:after="0" w:line="240" w:lineRule="auto"/>
              <w:rPr>
                <w:b/>
                <w:bCs/>
                <w:color w:val="FFFFFF" w:themeColor="background1"/>
              </w:rPr>
            </w:pPr>
          </w:p>
          <w:p w14:paraId="19FC5F84" w14:textId="77777777" w:rsidR="00854FD5" w:rsidRDefault="00854FD5" w:rsidP="00854FD5">
            <w:pPr>
              <w:pStyle w:val="DJCSreportsubtitlecover"/>
              <w:spacing w:after="0" w:line="240" w:lineRule="auto"/>
              <w:rPr>
                <w:b/>
                <w:bCs/>
                <w:color w:val="FFFFFF" w:themeColor="background1"/>
              </w:rPr>
            </w:pPr>
          </w:p>
          <w:p w14:paraId="07FE95DF" w14:textId="4122EFD0" w:rsidR="00854FD5" w:rsidRPr="00854FD5" w:rsidRDefault="00AC5008" w:rsidP="00854FD5">
            <w:pPr>
              <w:pStyle w:val="DJCSreportsubtitlecover"/>
              <w:spacing w:after="0" w:line="240" w:lineRule="auto"/>
              <w:rPr>
                <w:sz w:val="28"/>
                <w:szCs w:val="28"/>
              </w:rPr>
            </w:pPr>
            <w:r>
              <w:rPr>
                <w:b/>
                <w:bCs/>
                <w:color w:val="FFFFFF" w:themeColor="background1"/>
                <w:sz w:val="28"/>
                <w:szCs w:val="28"/>
              </w:rPr>
              <w:t>July</w:t>
            </w:r>
            <w:r w:rsidR="00854FD5" w:rsidRPr="00854FD5">
              <w:rPr>
                <w:b/>
                <w:bCs/>
                <w:color w:val="FFFFFF" w:themeColor="background1"/>
                <w:sz w:val="28"/>
                <w:szCs w:val="28"/>
              </w:rPr>
              <w:t xml:space="preserve"> 2021</w:t>
            </w:r>
          </w:p>
          <w:p w14:paraId="305E2E02" w14:textId="77777777" w:rsidR="00495FDC" w:rsidRPr="00854FD5" w:rsidRDefault="00495FDC" w:rsidP="00495FDC"/>
          <w:p w14:paraId="6B0696EE" w14:textId="5756797F" w:rsidR="00495FDC" w:rsidRPr="00854FD5" w:rsidRDefault="00495FDC" w:rsidP="00495FDC"/>
        </w:tc>
      </w:tr>
    </w:tbl>
    <w:p w14:paraId="7F148BE3" w14:textId="1A4DA569" w:rsidR="00B461C5" w:rsidRPr="00256E7C" w:rsidRDefault="00B461C5" w:rsidP="00DA752C">
      <w:pPr>
        <w:pStyle w:val="DJCSbody"/>
        <w:spacing w:after="0" w:line="240" w:lineRule="auto"/>
        <w:sectPr w:rsidR="00B461C5" w:rsidRPr="00256E7C" w:rsidSect="003A24D0">
          <w:headerReference w:type="even" r:id="rId17"/>
          <w:headerReference w:type="default" r:id="rId18"/>
          <w:footerReference w:type="default" r:id="rId19"/>
          <w:headerReference w:type="first" r:id="rId20"/>
          <w:type w:val="continuous"/>
          <w:pgSz w:w="11906" w:h="16838" w:code="9"/>
          <w:pgMar w:top="1304" w:right="1134" w:bottom="1134" w:left="1134" w:header="284" w:footer="703" w:gutter="0"/>
          <w:cols w:space="720"/>
          <w:titlePg/>
          <w:docGrid w:linePitch="360"/>
        </w:sectPr>
      </w:pPr>
    </w:p>
    <w:p w14:paraId="524783F7" w14:textId="77777777" w:rsidR="00B461C5" w:rsidRDefault="00B461C5" w:rsidP="00DA752C">
      <w:pPr>
        <w:pStyle w:val="DJCSbody"/>
        <w:spacing w:after="0" w:line="240" w:lineRule="auto"/>
      </w:pPr>
    </w:p>
    <w:p w14:paraId="1C9E885A" w14:textId="77777777" w:rsidR="00B461C5" w:rsidRDefault="00B461C5" w:rsidP="00DA752C">
      <w:pPr>
        <w:pStyle w:val="DJCSbody"/>
        <w:spacing w:after="0" w:line="240" w:lineRule="auto"/>
      </w:pPr>
    </w:p>
    <w:p w14:paraId="195722A1" w14:textId="77777777" w:rsidR="002430EB" w:rsidRDefault="002430EB" w:rsidP="00DA752C">
      <w:pPr>
        <w:pStyle w:val="DJRTOCheadingreport"/>
        <w:sectPr w:rsidR="002430EB" w:rsidSect="003A24D0">
          <w:headerReference w:type="even" r:id="rId21"/>
          <w:headerReference w:type="default" r:id="rId22"/>
          <w:footerReference w:type="default" r:id="rId23"/>
          <w:headerReference w:type="first" r:id="rId24"/>
          <w:type w:val="continuous"/>
          <w:pgSz w:w="11906" w:h="16838" w:code="9"/>
          <w:pgMar w:top="1304" w:right="1134" w:bottom="1134" w:left="1134" w:header="284" w:footer="703" w:gutter="0"/>
          <w:cols w:space="720"/>
          <w:docGrid w:linePitch="360"/>
        </w:sectPr>
      </w:pPr>
    </w:p>
    <w:p w14:paraId="3ED833F5" w14:textId="77777777" w:rsidR="00AC0C3B" w:rsidRPr="00495FDC" w:rsidRDefault="002B124B" w:rsidP="00DA752C">
      <w:pPr>
        <w:pStyle w:val="DJRTOCheadingreport"/>
        <w:rPr>
          <w:color w:val="16145F" w:themeColor="accent3"/>
        </w:rPr>
      </w:pPr>
      <w:r w:rsidRPr="00495FDC">
        <w:rPr>
          <w:color w:val="16145F" w:themeColor="accent3"/>
        </w:rPr>
        <w:lastRenderedPageBreak/>
        <w:t>Table of c</w:t>
      </w:r>
      <w:r w:rsidR="00AC0C3B" w:rsidRPr="00495FDC">
        <w:rPr>
          <w:color w:val="16145F" w:themeColor="accent3"/>
        </w:rPr>
        <w:t>ontents</w:t>
      </w:r>
    </w:p>
    <w:p w14:paraId="26C73EFC" w14:textId="370C8B04" w:rsidR="00F44108" w:rsidRDefault="00F44108">
      <w:pPr>
        <w:pStyle w:val="TOC1"/>
        <w:rPr>
          <w:rFonts w:asciiTheme="minorHAnsi" w:eastAsiaTheme="minorEastAsia" w:hAnsiTheme="minorHAnsi" w:cstheme="minorBidi"/>
          <w:b w:val="0"/>
          <w:color w:val="auto"/>
          <w:sz w:val="22"/>
          <w:szCs w:val="22"/>
          <w:lang w:eastAsia="en-AU"/>
        </w:rPr>
      </w:pPr>
      <w:r>
        <w:rPr>
          <w:noProof w:val="0"/>
        </w:rPr>
        <w:fldChar w:fldCharType="begin"/>
      </w:r>
      <w:r>
        <w:rPr>
          <w:noProof w:val="0"/>
        </w:rPr>
        <w:instrText xml:space="preserve"> TOC \o "1-2" \h \z \u </w:instrText>
      </w:r>
      <w:r>
        <w:rPr>
          <w:noProof w:val="0"/>
        </w:rPr>
        <w:fldChar w:fldCharType="separate"/>
      </w:r>
      <w:hyperlink w:anchor="_Toc78290770" w:history="1">
        <w:r w:rsidRPr="00A91020">
          <w:rPr>
            <w:rStyle w:val="Hyperlink"/>
          </w:rPr>
          <w:t>Introduction</w:t>
        </w:r>
        <w:r>
          <w:rPr>
            <w:rStyle w:val="Hyperlink"/>
          </w:rPr>
          <w:t xml:space="preserve"> </w:t>
        </w:r>
        <w:r>
          <w:rPr>
            <w:webHidden/>
          </w:rPr>
          <w:tab/>
        </w:r>
        <w:r>
          <w:rPr>
            <w:webHidden/>
          </w:rPr>
          <w:fldChar w:fldCharType="begin"/>
        </w:r>
        <w:r>
          <w:rPr>
            <w:webHidden/>
          </w:rPr>
          <w:instrText xml:space="preserve"> PAGEREF _Toc78290770 \h </w:instrText>
        </w:r>
        <w:r>
          <w:rPr>
            <w:webHidden/>
          </w:rPr>
        </w:r>
        <w:r>
          <w:rPr>
            <w:webHidden/>
          </w:rPr>
          <w:fldChar w:fldCharType="separate"/>
        </w:r>
        <w:r>
          <w:rPr>
            <w:webHidden/>
          </w:rPr>
          <w:t>3</w:t>
        </w:r>
        <w:r>
          <w:rPr>
            <w:webHidden/>
          </w:rPr>
          <w:fldChar w:fldCharType="end"/>
        </w:r>
      </w:hyperlink>
    </w:p>
    <w:p w14:paraId="44C8129A" w14:textId="420E3B7A" w:rsidR="00F44108" w:rsidRDefault="00A90758" w:rsidP="00E31171">
      <w:pPr>
        <w:pStyle w:val="TOC1"/>
        <w:rPr>
          <w:rFonts w:asciiTheme="minorHAnsi" w:eastAsiaTheme="minorEastAsia" w:hAnsiTheme="minorHAnsi" w:cstheme="minorBidi"/>
          <w:b w:val="0"/>
          <w:color w:val="auto"/>
          <w:sz w:val="22"/>
          <w:szCs w:val="22"/>
          <w:lang w:eastAsia="en-AU"/>
        </w:rPr>
      </w:pPr>
      <w:hyperlink w:anchor="_Toc78290771" w:history="1">
        <w:r w:rsidR="00F44108" w:rsidRPr="00A91020">
          <w:rPr>
            <w:rStyle w:val="Hyperlink"/>
          </w:rPr>
          <w:t>Code obligations</w:t>
        </w:r>
        <w:r w:rsidR="00F44108">
          <w:rPr>
            <w:rStyle w:val="Hyperlink"/>
          </w:rPr>
          <w:t xml:space="preserve"> </w:t>
        </w:r>
        <w:r w:rsidR="00F44108">
          <w:rPr>
            <w:webHidden/>
          </w:rPr>
          <w:tab/>
        </w:r>
        <w:r w:rsidR="00F44108">
          <w:rPr>
            <w:webHidden/>
          </w:rPr>
          <w:fldChar w:fldCharType="begin"/>
        </w:r>
        <w:r w:rsidR="00F44108">
          <w:rPr>
            <w:webHidden/>
          </w:rPr>
          <w:instrText xml:space="preserve"> PAGEREF _Toc78290771 \h </w:instrText>
        </w:r>
        <w:r w:rsidR="00F44108">
          <w:rPr>
            <w:webHidden/>
          </w:rPr>
        </w:r>
        <w:r w:rsidR="00F44108">
          <w:rPr>
            <w:webHidden/>
          </w:rPr>
          <w:fldChar w:fldCharType="separate"/>
        </w:r>
        <w:r w:rsidR="00F44108">
          <w:rPr>
            <w:webHidden/>
          </w:rPr>
          <w:t>3</w:t>
        </w:r>
        <w:r w:rsidR="00F44108">
          <w:rPr>
            <w:webHidden/>
          </w:rPr>
          <w:fldChar w:fldCharType="end"/>
        </w:r>
      </w:hyperlink>
    </w:p>
    <w:p w14:paraId="4A7E7B9B" w14:textId="5D8BBABD" w:rsidR="00F44108" w:rsidRDefault="00A90758">
      <w:pPr>
        <w:pStyle w:val="TOC2"/>
        <w:rPr>
          <w:rFonts w:asciiTheme="minorHAnsi" w:eastAsiaTheme="minorEastAsia" w:hAnsiTheme="minorHAnsi" w:cstheme="minorBidi"/>
          <w:sz w:val="22"/>
          <w:szCs w:val="22"/>
          <w:lang w:eastAsia="en-AU"/>
        </w:rPr>
      </w:pPr>
      <w:hyperlink w:anchor="_Toc78290772" w:history="1">
        <w:r w:rsidR="00F44108" w:rsidRPr="00A91020">
          <w:rPr>
            <w:rStyle w:val="Hyperlink"/>
            <w:lang w:eastAsia="en-GB"/>
          </w:rPr>
          <w:t>1</w:t>
        </w:r>
        <w:r w:rsidR="00F44108">
          <w:rPr>
            <w:rFonts w:asciiTheme="minorHAnsi" w:eastAsiaTheme="minorEastAsia" w:hAnsiTheme="minorHAnsi" w:cstheme="minorBidi"/>
            <w:sz w:val="22"/>
            <w:szCs w:val="22"/>
            <w:lang w:eastAsia="en-AU"/>
          </w:rPr>
          <w:tab/>
        </w:r>
        <w:r w:rsidR="00F44108" w:rsidRPr="00A91020">
          <w:rPr>
            <w:rStyle w:val="Hyperlink"/>
            <w:lang w:eastAsia="en-GB"/>
          </w:rPr>
          <w:t>Know and comply with the law</w:t>
        </w:r>
        <w:r w:rsidR="00F44108">
          <w:rPr>
            <w:webHidden/>
          </w:rPr>
          <w:tab/>
        </w:r>
        <w:r w:rsidR="00F44108">
          <w:rPr>
            <w:webHidden/>
          </w:rPr>
          <w:fldChar w:fldCharType="begin"/>
        </w:r>
        <w:r w:rsidR="00F44108">
          <w:rPr>
            <w:webHidden/>
          </w:rPr>
          <w:instrText xml:space="preserve"> PAGEREF _Toc78290772 \h </w:instrText>
        </w:r>
        <w:r w:rsidR="00F44108">
          <w:rPr>
            <w:webHidden/>
          </w:rPr>
        </w:r>
        <w:r w:rsidR="00F44108">
          <w:rPr>
            <w:webHidden/>
          </w:rPr>
          <w:fldChar w:fldCharType="separate"/>
        </w:r>
        <w:r w:rsidR="00F44108">
          <w:rPr>
            <w:webHidden/>
          </w:rPr>
          <w:t>3</w:t>
        </w:r>
        <w:r w:rsidR="00F44108">
          <w:rPr>
            <w:webHidden/>
          </w:rPr>
          <w:fldChar w:fldCharType="end"/>
        </w:r>
      </w:hyperlink>
    </w:p>
    <w:p w14:paraId="7158C518" w14:textId="087AB46F" w:rsidR="00F44108" w:rsidRDefault="00A90758">
      <w:pPr>
        <w:pStyle w:val="TOC2"/>
        <w:rPr>
          <w:rFonts w:asciiTheme="minorHAnsi" w:eastAsiaTheme="minorEastAsia" w:hAnsiTheme="minorHAnsi" w:cstheme="minorBidi"/>
          <w:sz w:val="22"/>
          <w:szCs w:val="22"/>
          <w:lang w:eastAsia="en-AU"/>
        </w:rPr>
      </w:pPr>
      <w:hyperlink w:anchor="_Toc78290773" w:history="1">
        <w:r w:rsidR="00F44108" w:rsidRPr="00A91020">
          <w:rPr>
            <w:rStyle w:val="Hyperlink"/>
            <w:lang w:eastAsia="en-GB"/>
          </w:rPr>
          <w:t>2</w:t>
        </w:r>
        <w:r w:rsidR="00F44108">
          <w:rPr>
            <w:rFonts w:asciiTheme="minorHAnsi" w:eastAsiaTheme="minorEastAsia" w:hAnsiTheme="minorHAnsi" w:cstheme="minorBidi"/>
            <w:sz w:val="22"/>
            <w:szCs w:val="22"/>
            <w:lang w:eastAsia="en-AU"/>
          </w:rPr>
          <w:tab/>
        </w:r>
        <w:r w:rsidR="00F44108" w:rsidRPr="00A91020">
          <w:rPr>
            <w:rStyle w:val="Hyperlink"/>
            <w:lang w:eastAsia="en-GB"/>
          </w:rPr>
          <w:t>Be honest and fair</w:t>
        </w:r>
        <w:r w:rsidR="00F44108">
          <w:rPr>
            <w:webHidden/>
          </w:rPr>
          <w:tab/>
        </w:r>
        <w:r w:rsidR="00F44108">
          <w:rPr>
            <w:webHidden/>
          </w:rPr>
          <w:fldChar w:fldCharType="begin"/>
        </w:r>
        <w:r w:rsidR="00F44108">
          <w:rPr>
            <w:webHidden/>
          </w:rPr>
          <w:instrText xml:space="preserve"> PAGEREF _Toc78290773 \h </w:instrText>
        </w:r>
        <w:r w:rsidR="00F44108">
          <w:rPr>
            <w:webHidden/>
          </w:rPr>
        </w:r>
        <w:r w:rsidR="00F44108">
          <w:rPr>
            <w:webHidden/>
          </w:rPr>
          <w:fldChar w:fldCharType="separate"/>
        </w:r>
        <w:r w:rsidR="00F44108">
          <w:rPr>
            <w:webHidden/>
          </w:rPr>
          <w:t>4</w:t>
        </w:r>
        <w:r w:rsidR="00F44108">
          <w:rPr>
            <w:webHidden/>
          </w:rPr>
          <w:fldChar w:fldCharType="end"/>
        </w:r>
      </w:hyperlink>
    </w:p>
    <w:p w14:paraId="758E171C" w14:textId="75BF7293" w:rsidR="00F44108" w:rsidRDefault="00A90758">
      <w:pPr>
        <w:pStyle w:val="TOC2"/>
        <w:rPr>
          <w:rFonts w:asciiTheme="minorHAnsi" w:eastAsiaTheme="minorEastAsia" w:hAnsiTheme="minorHAnsi" w:cstheme="minorBidi"/>
          <w:sz w:val="22"/>
          <w:szCs w:val="22"/>
          <w:lang w:eastAsia="en-AU"/>
        </w:rPr>
      </w:pPr>
      <w:hyperlink w:anchor="_Toc78290774" w:history="1">
        <w:r w:rsidR="00F44108" w:rsidRPr="00A91020">
          <w:rPr>
            <w:rStyle w:val="Hyperlink"/>
            <w:lang w:eastAsia="en-GB"/>
          </w:rPr>
          <w:t>3</w:t>
        </w:r>
        <w:r w:rsidR="00F44108">
          <w:rPr>
            <w:rFonts w:asciiTheme="minorHAnsi" w:eastAsiaTheme="minorEastAsia" w:hAnsiTheme="minorHAnsi" w:cstheme="minorBidi"/>
            <w:sz w:val="22"/>
            <w:szCs w:val="22"/>
            <w:lang w:eastAsia="en-AU"/>
          </w:rPr>
          <w:tab/>
        </w:r>
        <w:r w:rsidR="00F44108" w:rsidRPr="00A91020">
          <w:rPr>
            <w:rStyle w:val="Hyperlink"/>
            <w:lang w:eastAsia="en-GB"/>
          </w:rPr>
          <w:t>Deliver good practice professional engineering services</w:t>
        </w:r>
        <w:r w:rsidR="00F44108">
          <w:rPr>
            <w:webHidden/>
          </w:rPr>
          <w:tab/>
        </w:r>
        <w:r w:rsidR="00F44108">
          <w:rPr>
            <w:webHidden/>
          </w:rPr>
          <w:fldChar w:fldCharType="begin"/>
        </w:r>
        <w:r w:rsidR="00F44108">
          <w:rPr>
            <w:webHidden/>
          </w:rPr>
          <w:instrText xml:space="preserve"> PAGEREF _Toc78290774 \h </w:instrText>
        </w:r>
        <w:r w:rsidR="00F44108">
          <w:rPr>
            <w:webHidden/>
          </w:rPr>
        </w:r>
        <w:r w:rsidR="00F44108">
          <w:rPr>
            <w:webHidden/>
          </w:rPr>
          <w:fldChar w:fldCharType="separate"/>
        </w:r>
        <w:r w:rsidR="00F44108">
          <w:rPr>
            <w:webHidden/>
          </w:rPr>
          <w:t>5</w:t>
        </w:r>
        <w:r w:rsidR="00F44108">
          <w:rPr>
            <w:webHidden/>
          </w:rPr>
          <w:fldChar w:fldCharType="end"/>
        </w:r>
      </w:hyperlink>
    </w:p>
    <w:p w14:paraId="671994DD" w14:textId="578F23E3" w:rsidR="00F44108" w:rsidRDefault="00A90758">
      <w:pPr>
        <w:pStyle w:val="TOC2"/>
        <w:rPr>
          <w:rFonts w:asciiTheme="minorHAnsi" w:eastAsiaTheme="minorEastAsia" w:hAnsiTheme="minorHAnsi" w:cstheme="minorBidi"/>
          <w:sz w:val="22"/>
          <w:szCs w:val="22"/>
          <w:lang w:eastAsia="en-AU"/>
        </w:rPr>
      </w:pPr>
      <w:hyperlink w:anchor="_Toc78290775" w:history="1">
        <w:r w:rsidR="00F44108" w:rsidRPr="00A91020">
          <w:rPr>
            <w:rStyle w:val="Hyperlink"/>
            <w:lang w:eastAsia="en-GB"/>
          </w:rPr>
          <w:t>4</w:t>
        </w:r>
        <w:r w:rsidR="00F44108">
          <w:rPr>
            <w:rFonts w:asciiTheme="minorHAnsi" w:eastAsiaTheme="minorEastAsia" w:hAnsiTheme="minorHAnsi" w:cstheme="minorBidi"/>
            <w:sz w:val="22"/>
            <w:szCs w:val="22"/>
            <w:lang w:eastAsia="en-AU"/>
          </w:rPr>
          <w:tab/>
        </w:r>
        <w:r w:rsidR="00F44108" w:rsidRPr="00A91020">
          <w:rPr>
            <w:rStyle w:val="Hyperlink"/>
            <w:lang w:eastAsia="en-GB"/>
          </w:rPr>
          <w:t>Inform clients of the consequences of disregarded advice</w:t>
        </w:r>
        <w:r w:rsidR="00F44108">
          <w:rPr>
            <w:webHidden/>
          </w:rPr>
          <w:tab/>
        </w:r>
        <w:r w:rsidR="00F44108">
          <w:rPr>
            <w:webHidden/>
          </w:rPr>
          <w:fldChar w:fldCharType="begin"/>
        </w:r>
        <w:r w:rsidR="00F44108">
          <w:rPr>
            <w:webHidden/>
          </w:rPr>
          <w:instrText xml:space="preserve"> PAGEREF _Toc78290775 \h </w:instrText>
        </w:r>
        <w:r w:rsidR="00F44108">
          <w:rPr>
            <w:webHidden/>
          </w:rPr>
        </w:r>
        <w:r w:rsidR="00F44108">
          <w:rPr>
            <w:webHidden/>
          </w:rPr>
          <w:fldChar w:fldCharType="separate"/>
        </w:r>
        <w:r w:rsidR="00F44108">
          <w:rPr>
            <w:webHidden/>
          </w:rPr>
          <w:t>7</w:t>
        </w:r>
        <w:r w:rsidR="00F44108">
          <w:rPr>
            <w:webHidden/>
          </w:rPr>
          <w:fldChar w:fldCharType="end"/>
        </w:r>
      </w:hyperlink>
    </w:p>
    <w:p w14:paraId="5B70E0B0" w14:textId="0DAA1845" w:rsidR="00F44108" w:rsidRDefault="00A90758">
      <w:pPr>
        <w:pStyle w:val="TOC2"/>
        <w:rPr>
          <w:rFonts w:asciiTheme="minorHAnsi" w:eastAsiaTheme="minorEastAsia" w:hAnsiTheme="minorHAnsi" w:cstheme="minorBidi"/>
          <w:sz w:val="22"/>
          <w:szCs w:val="22"/>
          <w:lang w:eastAsia="en-AU"/>
        </w:rPr>
      </w:pPr>
      <w:hyperlink w:anchor="_Toc78290776" w:history="1">
        <w:r w:rsidR="00F44108" w:rsidRPr="00A91020">
          <w:rPr>
            <w:rStyle w:val="Hyperlink"/>
            <w:lang w:eastAsia="en-GB"/>
          </w:rPr>
          <w:t>5</w:t>
        </w:r>
        <w:r w:rsidR="00F44108">
          <w:rPr>
            <w:rFonts w:asciiTheme="minorHAnsi" w:eastAsiaTheme="minorEastAsia" w:hAnsiTheme="minorHAnsi" w:cstheme="minorBidi"/>
            <w:sz w:val="22"/>
            <w:szCs w:val="22"/>
            <w:lang w:eastAsia="en-AU"/>
          </w:rPr>
          <w:tab/>
        </w:r>
        <w:r w:rsidR="00F44108" w:rsidRPr="00A91020">
          <w:rPr>
            <w:rStyle w:val="Hyperlink"/>
            <w:lang w:eastAsia="en-GB"/>
          </w:rPr>
          <w:t>Act in the best interests of a client</w:t>
        </w:r>
        <w:r w:rsidR="00F44108">
          <w:rPr>
            <w:webHidden/>
          </w:rPr>
          <w:tab/>
        </w:r>
        <w:r w:rsidR="00F44108">
          <w:rPr>
            <w:webHidden/>
          </w:rPr>
          <w:fldChar w:fldCharType="begin"/>
        </w:r>
        <w:r w:rsidR="00F44108">
          <w:rPr>
            <w:webHidden/>
          </w:rPr>
          <w:instrText xml:space="preserve"> PAGEREF _Toc78290776 \h </w:instrText>
        </w:r>
        <w:r w:rsidR="00F44108">
          <w:rPr>
            <w:webHidden/>
          </w:rPr>
        </w:r>
        <w:r w:rsidR="00F44108">
          <w:rPr>
            <w:webHidden/>
          </w:rPr>
          <w:fldChar w:fldCharType="separate"/>
        </w:r>
        <w:r w:rsidR="00F44108">
          <w:rPr>
            <w:webHidden/>
          </w:rPr>
          <w:t>7</w:t>
        </w:r>
        <w:r w:rsidR="00F44108">
          <w:rPr>
            <w:webHidden/>
          </w:rPr>
          <w:fldChar w:fldCharType="end"/>
        </w:r>
      </w:hyperlink>
    </w:p>
    <w:p w14:paraId="1468AA30" w14:textId="0F9BBE12" w:rsidR="00F44108" w:rsidRDefault="00A90758">
      <w:pPr>
        <w:pStyle w:val="TOC2"/>
        <w:rPr>
          <w:rFonts w:asciiTheme="minorHAnsi" w:eastAsiaTheme="minorEastAsia" w:hAnsiTheme="minorHAnsi" w:cstheme="minorBidi"/>
          <w:sz w:val="22"/>
          <w:szCs w:val="22"/>
          <w:lang w:eastAsia="en-AU"/>
        </w:rPr>
      </w:pPr>
      <w:hyperlink w:anchor="_Toc78290777" w:history="1">
        <w:r w:rsidR="00F44108" w:rsidRPr="00A91020">
          <w:rPr>
            <w:rStyle w:val="Hyperlink"/>
            <w:lang w:eastAsia="en-GB"/>
          </w:rPr>
          <w:t>6</w:t>
        </w:r>
        <w:r w:rsidR="00F44108">
          <w:rPr>
            <w:rFonts w:asciiTheme="minorHAnsi" w:eastAsiaTheme="minorEastAsia" w:hAnsiTheme="minorHAnsi" w:cstheme="minorBidi"/>
            <w:sz w:val="22"/>
            <w:szCs w:val="22"/>
            <w:lang w:eastAsia="en-AU"/>
          </w:rPr>
          <w:tab/>
        </w:r>
        <w:r w:rsidR="00F44108" w:rsidRPr="00A91020">
          <w:rPr>
            <w:rStyle w:val="Hyperlink"/>
            <w:lang w:eastAsia="en-GB"/>
          </w:rPr>
          <w:t>Act in area of professional competence</w:t>
        </w:r>
        <w:r w:rsidR="00F44108">
          <w:rPr>
            <w:webHidden/>
          </w:rPr>
          <w:tab/>
        </w:r>
        <w:r w:rsidR="00F44108">
          <w:rPr>
            <w:webHidden/>
          </w:rPr>
          <w:fldChar w:fldCharType="begin"/>
        </w:r>
        <w:r w:rsidR="00F44108">
          <w:rPr>
            <w:webHidden/>
          </w:rPr>
          <w:instrText xml:space="preserve"> PAGEREF _Toc78290777 \h </w:instrText>
        </w:r>
        <w:r w:rsidR="00F44108">
          <w:rPr>
            <w:webHidden/>
          </w:rPr>
        </w:r>
        <w:r w:rsidR="00F44108">
          <w:rPr>
            <w:webHidden/>
          </w:rPr>
          <w:fldChar w:fldCharType="separate"/>
        </w:r>
        <w:r w:rsidR="00F44108">
          <w:rPr>
            <w:webHidden/>
          </w:rPr>
          <w:t>8</w:t>
        </w:r>
        <w:r w:rsidR="00F44108">
          <w:rPr>
            <w:webHidden/>
          </w:rPr>
          <w:fldChar w:fldCharType="end"/>
        </w:r>
      </w:hyperlink>
    </w:p>
    <w:p w14:paraId="0E55BCA5" w14:textId="0DE9F950" w:rsidR="00F44108" w:rsidRDefault="00A90758">
      <w:pPr>
        <w:pStyle w:val="TOC2"/>
        <w:rPr>
          <w:rFonts w:asciiTheme="minorHAnsi" w:eastAsiaTheme="minorEastAsia" w:hAnsiTheme="minorHAnsi" w:cstheme="minorBidi"/>
          <w:sz w:val="22"/>
          <w:szCs w:val="22"/>
          <w:lang w:eastAsia="en-AU"/>
        </w:rPr>
      </w:pPr>
      <w:hyperlink w:anchor="_Toc78290778" w:history="1">
        <w:r w:rsidR="00F44108" w:rsidRPr="00A91020">
          <w:rPr>
            <w:rStyle w:val="Hyperlink"/>
            <w:lang w:eastAsia="en-GB"/>
          </w:rPr>
          <w:t>7</w:t>
        </w:r>
        <w:r w:rsidR="00F44108">
          <w:rPr>
            <w:rFonts w:asciiTheme="minorHAnsi" w:eastAsiaTheme="minorEastAsia" w:hAnsiTheme="minorHAnsi" w:cstheme="minorBidi"/>
            <w:sz w:val="22"/>
            <w:szCs w:val="22"/>
            <w:lang w:eastAsia="en-AU"/>
          </w:rPr>
          <w:tab/>
        </w:r>
        <w:r w:rsidR="00F44108" w:rsidRPr="00A91020">
          <w:rPr>
            <w:rStyle w:val="Hyperlink"/>
            <w:lang w:eastAsia="en-GB"/>
          </w:rPr>
          <w:t>Directly supervise</w:t>
        </w:r>
        <w:r w:rsidR="00F44108">
          <w:rPr>
            <w:webHidden/>
          </w:rPr>
          <w:tab/>
        </w:r>
        <w:r w:rsidR="00F44108">
          <w:rPr>
            <w:webHidden/>
          </w:rPr>
          <w:fldChar w:fldCharType="begin"/>
        </w:r>
        <w:r w:rsidR="00F44108">
          <w:rPr>
            <w:webHidden/>
          </w:rPr>
          <w:instrText xml:space="preserve"> PAGEREF _Toc78290778 \h </w:instrText>
        </w:r>
        <w:r w:rsidR="00F44108">
          <w:rPr>
            <w:webHidden/>
          </w:rPr>
        </w:r>
        <w:r w:rsidR="00F44108">
          <w:rPr>
            <w:webHidden/>
          </w:rPr>
          <w:fldChar w:fldCharType="separate"/>
        </w:r>
        <w:r w:rsidR="00F44108">
          <w:rPr>
            <w:webHidden/>
          </w:rPr>
          <w:t>9</w:t>
        </w:r>
        <w:r w:rsidR="00F44108">
          <w:rPr>
            <w:webHidden/>
          </w:rPr>
          <w:fldChar w:fldCharType="end"/>
        </w:r>
      </w:hyperlink>
    </w:p>
    <w:p w14:paraId="0A32CB2E" w14:textId="2FD7E50A" w:rsidR="00F44108" w:rsidRDefault="00A90758">
      <w:pPr>
        <w:pStyle w:val="TOC2"/>
        <w:rPr>
          <w:rFonts w:asciiTheme="minorHAnsi" w:eastAsiaTheme="minorEastAsia" w:hAnsiTheme="minorHAnsi" w:cstheme="minorBidi"/>
          <w:sz w:val="22"/>
          <w:szCs w:val="22"/>
          <w:lang w:eastAsia="en-AU"/>
        </w:rPr>
      </w:pPr>
      <w:hyperlink w:anchor="_Toc78290779" w:history="1">
        <w:r w:rsidR="00F44108" w:rsidRPr="00A91020">
          <w:rPr>
            <w:rStyle w:val="Hyperlink"/>
            <w:lang w:eastAsia="en-GB"/>
          </w:rPr>
          <w:t>8</w:t>
        </w:r>
        <w:r w:rsidR="00F44108">
          <w:rPr>
            <w:rFonts w:asciiTheme="minorHAnsi" w:eastAsiaTheme="minorEastAsia" w:hAnsiTheme="minorHAnsi" w:cstheme="minorBidi"/>
            <w:sz w:val="22"/>
            <w:szCs w:val="22"/>
            <w:lang w:eastAsia="en-AU"/>
          </w:rPr>
          <w:tab/>
        </w:r>
        <w:r w:rsidR="00F44108" w:rsidRPr="00A91020">
          <w:rPr>
            <w:rStyle w:val="Hyperlink"/>
            <w:lang w:eastAsia="en-GB"/>
          </w:rPr>
          <w:t>Maintain confidentiality</w:t>
        </w:r>
        <w:r w:rsidR="00F44108">
          <w:rPr>
            <w:webHidden/>
          </w:rPr>
          <w:tab/>
        </w:r>
        <w:r w:rsidR="00F44108">
          <w:rPr>
            <w:webHidden/>
          </w:rPr>
          <w:fldChar w:fldCharType="begin"/>
        </w:r>
        <w:r w:rsidR="00F44108">
          <w:rPr>
            <w:webHidden/>
          </w:rPr>
          <w:instrText xml:space="preserve"> PAGEREF _Toc78290779 \h </w:instrText>
        </w:r>
        <w:r w:rsidR="00F44108">
          <w:rPr>
            <w:webHidden/>
          </w:rPr>
        </w:r>
        <w:r w:rsidR="00F44108">
          <w:rPr>
            <w:webHidden/>
          </w:rPr>
          <w:fldChar w:fldCharType="separate"/>
        </w:r>
        <w:r w:rsidR="00F44108">
          <w:rPr>
            <w:webHidden/>
          </w:rPr>
          <w:t>9</w:t>
        </w:r>
        <w:r w:rsidR="00F44108">
          <w:rPr>
            <w:webHidden/>
          </w:rPr>
          <w:fldChar w:fldCharType="end"/>
        </w:r>
      </w:hyperlink>
    </w:p>
    <w:p w14:paraId="59A950E4" w14:textId="20B1DD9E" w:rsidR="00F44108" w:rsidRDefault="00A90758">
      <w:pPr>
        <w:pStyle w:val="TOC2"/>
        <w:rPr>
          <w:rFonts w:asciiTheme="minorHAnsi" w:eastAsiaTheme="minorEastAsia" w:hAnsiTheme="minorHAnsi" w:cstheme="minorBidi"/>
          <w:sz w:val="22"/>
          <w:szCs w:val="22"/>
          <w:lang w:eastAsia="en-AU"/>
        </w:rPr>
      </w:pPr>
      <w:hyperlink w:anchor="_Toc78290780" w:history="1">
        <w:r w:rsidR="00F44108" w:rsidRPr="00A91020">
          <w:rPr>
            <w:rStyle w:val="Hyperlink"/>
            <w:lang w:eastAsia="en-GB"/>
          </w:rPr>
          <w:t>9</w:t>
        </w:r>
        <w:r w:rsidR="00F44108">
          <w:rPr>
            <w:rFonts w:asciiTheme="minorHAnsi" w:eastAsiaTheme="minorEastAsia" w:hAnsiTheme="minorHAnsi" w:cstheme="minorBidi"/>
            <w:sz w:val="22"/>
            <w:szCs w:val="22"/>
            <w:lang w:eastAsia="en-AU"/>
          </w:rPr>
          <w:tab/>
        </w:r>
        <w:r w:rsidR="00F44108" w:rsidRPr="00A91020">
          <w:rPr>
            <w:rStyle w:val="Hyperlink"/>
            <w:lang w:eastAsia="en-GB"/>
          </w:rPr>
          <w:t>Manage conflicts of interest</w:t>
        </w:r>
        <w:r w:rsidR="00F44108">
          <w:rPr>
            <w:webHidden/>
          </w:rPr>
          <w:tab/>
        </w:r>
        <w:r w:rsidR="00F44108">
          <w:rPr>
            <w:webHidden/>
          </w:rPr>
          <w:fldChar w:fldCharType="begin"/>
        </w:r>
        <w:r w:rsidR="00F44108">
          <w:rPr>
            <w:webHidden/>
          </w:rPr>
          <w:instrText xml:space="preserve"> PAGEREF _Toc78290780 \h </w:instrText>
        </w:r>
        <w:r w:rsidR="00F44108">
          <w:rPr>
            <w:webHidden/>
          </w:rPr>
        </w:r>
        <w:r w:rsidR="00F44108">
          <w:rPr>
            <w:webHidden/>
          </w:rPr>
          <w:fldChar w:fldCharType="separate"/>
        </w:r>
        <w:r w:rsidR="00F44108">
          <w:rPr>
            <w:webHidden/>
          </w:rPr>
          <w:t>10</w:t>
        </w:r>
        <w:r w:rsidR="00F44108">
          <w:rPr>
            <w:webHidden/>
          </w:rPr>
          <w:fldChar w:fldCharType="end"/>
        </w:r>
      </w:hyperlink>
    </w:p>
    <w:p w14:paraId="4F9128F9" w14:textId="4D337151" w:rsidR="00F44108" w:rsidRDefault="00A90758">
      <w:pPr>
        <w:pStyle w:val="TOC2"/>
        <w:rPr>
          <w:rFonts w:asciiTheme="minorHAnsi" w:eastAsiaTheme="minorEastAsia" w:hAnsiTheme="minorHAnsi" w:cstheme="minorBidi"/>
          <w:sz w:val="22"/>
          <w:szCs w:val="22"/>
          <w:lang w:eastAsia="en-AU"/>
        </w:rPr>
      </w:pPr>
      <w:hyperlink w:anchor="_Toc78290781" w:history="1">
        <w:r w:rsidR="00F44108" w:rsidRPr="00A91020">
          <w:rPr>
            <w:rStyle w:val="Hyperlink"/>
            <w:lang w:eastAsia="en-GB"/>
          </w:rPr>
          <w:t>10</w:t>
        </w:r>
        <w:r w:rsidR="00F44108">
          <w:rPr>
            <w:rFonts w:asciiTheme="minorHAnsi" w:eastAsiaTheme="minorEastAsia" w:hAnsiTheme="minorHAnsi" w:cstheme="minorBidi"/>
            <w:sz w:val="22"/>
            <w:szCs w:val="22"/>
            <w:lang w:eastAsia="en-AU"/>
          </w:rPr>
          <w:tab/>
        </w:r>
        <w:r w:rsidR="00F44108" w:rsidRPr="00A91020">
          <w:rPr>
            <w:rStyle w:val="Hyperlink"/>
            <w:lang w:eastAsia="en-GB"/>
          </w:rPr>
          <w:t>Disclose endorsements and referrals</w:t>
        </w:r>
        <w:r w:rsidR="00F44108">
          <w:rPr>
            <w:webHidden/>
          </w:rPr>
          <w:tab/>
        </w:r>
        <w:r w:rsidR="00F44108">
          <w:rPr>
            <w:webHidden/>
          </w:rPr>
          <w:fldChar w:fldCharType="begin"/>
        </w:r>
        <w:r w:rsidR="00F44108">
          <w:rPr>
            <w:webHidden/>
          </w:rPr>
          <w:instrText xml:space="preserve"> PAGEREF _Toc78290781 \h </w:instrText>
        </w:r>
        <w:r w:rsidR="00F44108">
          <w:rPr>
            <w:webHidden/>
          </w:rPr>
        </w:r>
        <w:r w:rsidR="00F44108">
          <w:rPr>
            <w:webHidden/>
          </w:rPr>
          <w:fldChar w:fldCharType="separate"/>
        </w:r>
        <w:r w:rsidR="00F44108">
          <w:rPr>
            <w:webHidden/>
          </w:rPr>
          <w:t>11</w:t>
        </w:r>
        <w:r w:rsidR="00F44108">
          <w:rPr>
            <w:webHidden/>
          </w:rPr>
          <w:fldChar w:fldCharType="end"/>
        </w:r>
      </w:hyperlink>
    </w:p>
    <w:p w14:paraId="0EDDB2C0" w14:textId="5A9599CE" w:rsidR="00F44108" w:rsidRDefault="00A90758">
      <w:pPr>
        <w:pStyle w:val="TOC2"/>
        <w:rPr>
          <w:rFonts w:asciiTheme="minorHAnsi" w:eastAsiaTheme="minorEastAsia" w:hAnsiTheme="minorHAnsi" w:cstheme="minorBidi"/>
          <w:sz w:val="22"/>
          <w:szCs w:val="22"/>
          <w:lang w:eastAsia="en-AU"/>
        </w:rPr>
      </w:pPr>
      <w:hyperlink w:anchor="_Toc78290782" w:history="1">
        <w:r w:rsidR="00F44108" w:rsidRPr="00A91020">
          <w:rPr>
            <w:rStyle w:val="Hyperlink"/>
            <w:lang w:eastAsia="en-GB"/>
          </w:rPr>
          <w:t>11</w:t>
        </w:r>
        <w:r w:rsidR="00F44108">
          <w:rPr>
            <w:rFonts w:asciiTheme="minorHAnsi" w:eastAsiaTheme="minorEastAsia" w:hAnsiTheme="minorHAnsi" w:cstheme="minorBidi"/>
            <w:sz w:val="22"/>
            <w:szCs w:val="22"/>
            <w:lang w:eastAsia="en-AU"/>
          </w:rPr>
          <w:tab/>
        </w:r>
        <w:r w:rsidR="00F44108" w:rsidRPr="00A91020">
          <w:rPr>
            <w:rStyle w:val="Hyperlink"/>
            <w:lang w:eastAsia="en-GB"/>
          </w:rPr>
          <w:t>Be impartial and objective</w:t>
        </w:r>
        <w:r w:rsidR="00F44108">
          <w:rPr>
            <w:webHidden/>
          </w:rPr>
          <w:tab/>
        </w:r>
        <w:r w:rsidR="00F44108">
          <w:rPr>
            <w:webHidden/>
          </w:rPr>
          <w:fldChar w:fldCharType="begin"/>
        </w:r>
        <w:r w:rsidR="00F44108">
          <w:rPr>
            <w:webHidden/>
          </w:rPr>
          <w:instrText xml:space="preserve"> PAGEREF _Toc78290782 \h </w:instrText>
        </w:r>
        <w:r w:rsidR="00F44108">
          <w:rPr>
            <w:webHidden/>
          </w:rPr>
        </w:r>
        <w:r w:rsidR="00F44108">
          <w:rPr>
            <w:webHidden/>
          </w:rPr>
          <w:fldChar w:fldCharType="separate"/>
        </w:r>
        <w:r w:rsidR="00F44108">
          <w:rPr>
            <w:webHidden/>
          </w:rPr>
          <w:t>12</w:t>
        </w:r>
        <w:r w:rsidR="00F44108">
          <w:rPr>
            <w:webHidden/>
          </w:rPr>
          <w:fldChar w:fldCharType="end"/>
        </w:r>
      </w:hyperlink>
    </w:p>
    <w:p w14:paraId="6A1F1E81" w14:textId="41BF1F57" w:rsidR="00F44108" w:rsidRDefault="00A90758">
      <w:pPr>
        <w:pStyle w:val="TOC2"/>
        <w:rPr>
          <w:rFonts w:asciiTheme="minorHAnsi" w:eastAsiaTheme="minorEastAsia" w:hAnsiTheme="minorHAnsi" w:cstheme="minorBidi"/>
          <w:sz w:val="22"/>
          <w:szCs w:val="22"/>
          <w:lang w:eastAsia="en-AU"/>
        </w:rPr>
      </w:pPr>
      <w:hyperlink w:anchor="_Toc78290783" w:history="1">
        <w:r w:rsidR="00F44108" w:rsidRPr="00A91020">
          <w:rPr>
            <w:rStyle w:val="Hyperlink"/>
            <w:lang w:eastAsia="en-GB"/>
          </w:rPr>
          <w:t>12</w:t>
        </w:r>
        <w:r w:rsidR="00F44108">
          <w:rPr>
            <w:rFonts w:asciiTheme="minorHAnsi" w:eastAsiaTheme="minorEastAsia" w:hAnsiTheme="minorHAnsi" w:cstheme="minorBidi"/>
            <w:sz w:val="22"/>
            <w:szCs w:val="22"/>
            <w:lang w:eastAsia="en-AU"/>
          </w:rPr>
          <w:tab/>
        </w:r>
        <w:r w:rsidR="00F44108" w:rsidRPr="00A91020">
          <w:rPr>
            <w:rStyle w:val="Hyperlink"/>
            <w:lang w:eastAsia="en-GB"/>
          </w:rPr>
          <w:t>Inform and communicate with clients</w:t>
        </w:r>
        <w:r w:rsidR="00F44108">
          <w:rPr>
            <w:webHidden/>
          </w:rPr>
          <w:tab/>
        </w:r>
        <w:r w:rsidR="00F44108">
          <w:rPr>
            <w:webHidden/>
          </w:rPr>
          <w:fldChar w:fldCharType="begin"/>
        </w:r>
        <w:r w:rsidR="00F44108">
          <w:rPr>
            <w:webHidden/>
          </w:rPr>
          <w:instrText xml:space="preserve"> PAGEREF _Toc78290783 \h </w:instrText>
        </w:r>
        <w:r w:rsidR="00F44108">
          <w:rPr>
            <w:webHidden/>
          </w:rPr>
        </w:r>
        <w:r w:rsidR="00F44108">
          <w:rPr>
            <w:webHidden/>
          </w:rPr>
          <w:fldChar w:fldCharType="separate"/>
        </w:r>
        <w:r w:rsidR="00F44108">
          <w:rPr>
            <w:webHidden/>
          </w:rPr>
          <w:t>12</w:t>
        </w:r>
        <w:r w:rsidR="00F44108">
          <w:rPr>
            <w:webHidden/>
          </w:rPr>
          <w:fldChar w:fldCharType="end"/>
        </w:r>
      </w:hyperlink>
    </w:p>
    <w:p w14:paraId="46E221E4" w14:textId="7DB04DB9" w:rsidR="00F44108" w:rsidRDefault="00A90758">
      <w:pPr>
        <w:pStyle w:val="TOC2"/>
        <w:rPr>
          <w:rFonts w:asciiTheme="minorHAnsi" w:eastAsiaTheme="minorEastAsia" w:hAnsiTheme="minorHAnsi" w:cstheme="minorBidi"/>
          <w:sz w:val="22"/>
          <w:szCs w:val="22"/>
          <w:lang w:eastAsia="en-AU"/>
        </w:rPr>
      </w:pPr>
      <w:hyperlink w:anchor="_Toc78290784" w:history="1">
        <w:r w:rsidR="00F44108" w:rsidRPr="00A91020">
          <w:rPr>
            <w:rStyle w:val="Hyperlink"/>
            <w:lang w:eastAsia="en-GB"/>
          </w:rPr>
          <w:t>13</w:t>
        </w:r>
        <w:r w:rsidR="00F44108">
          <w:rPr>
            <w:rFonts w:asciiTheme="minorHAnsi" w:eastAsiaTheme="minorEastAsia" w:hAnsiTheme="minorHAnsi" w:cstheme="minorBidi"/>
            <w:sz w:val="22"/>
            <w:szCs w:val="22"/>
            <w:lang w:eastAsia="en-AU"/>
          </w:rPr>
          <w:tab/>
        </w:r>
        <w:r w:rsidR="00F44108" w:rsidRPr="00A91020">
          <w:rPr>
            <w:rStyle w:val="Hyperlink"/>
            <w:lang w:eastAsia="en-GB"/>
          </w:rPr>
          <w:t>Maintain client records</w:t>
        </w:r>
        <w:r w:rsidR="00F44108">
          <w:rPr>
            <w:webHidden/>
          </w:rPr>
          <w:tab/>
        </w:r>
        <w:r w:rsidR="00F44108">
          <w:rPr>
            <w:webHidden/>
          </w:rPr>
          <w:fldChar w:fldCharType="begin"/>
        </w:r>
        <w:r w:rsidR="00F44108">
          <w:rPr>
            <w:webHidden/>
          </w:rPr>
          <w:instrText xml:space="preserve"> PAGEREF _Toc78290784 \h </w:instrText>
        </w:r>
        <w:r w:rsidR="00F44108">
          <w:rPr>
            <w:webHidden/>
          </w:rPr>
        </w:r>
        <w:r w:rsidR="00F44108">
          <w:rPr>
            <w:webHidden/>
          </w:rPr>
          <w:fldChar w:fldCharType="separate"/>
        </w:r>
        <w:r w:rsidR="00F44108">
          <w:rPr>
            <w:webHidden/>
          </w:rPr>
          <w:t>13</w:t>
        </w:r>
        <w:r w:rsidR="00F44108">
          <w:rPr>
            <w:webHidden/>
          </w:rPr>
          <w:fldChar w:fldCharType="end"/>
        </w:r>
      </w:hyperlink>
    </w:p>
    <w:p w14:paraId="6C3AF84C" w14:textId="644B9133" w:rsidR="00F44108" w:rsidRDefault="00A90758">
      <w:pPr>
        <w:pStyle w:val="TOC2"/>
        <w:rPr>
          <w:rFonts w:asciiTheme="minorHAnsi" w:eastAsiaTheme="minorEastAsia" w:hAnsiTheme="minorHAnsi" w:cstheme="minorBidi"/>
          <w:sz w:val="22"/>
          <w:szCs w:val="22"/>
          <w:lang w:eastAsia="en-AU"/>
        </w:rPr>
      </w:pPr>
      <w:hyperlink w:anchor="_Toc78290785" w:history="1">
        <w:r w:rsidR="00F44108" w:rsidRPr="00A91020">
          <w:rPr>
            <w:rStyle w:val="Hyperlink"/>
            <w:lang w:eastAsia="en-GB"/>
          </w:rPr>
          <w:t>14</w:t>
        </w:r>
        <w:r w:rsidR="00F44108">
          <w:rPr>
            <w:rFonts w:asciiTheme="minorHAnsi" w:eastAsiaTheme="minorEastAsia" w:hAnsiTheme="minorHAnsi" w:cstheme="minorBidi"/>
            <w:sz w:val="22"/>
            <w:szCs w:val="22"/>
            <w:lang w:eastAsia="en-AU"/>
          </w:rPr>
          <w:tab/>
        </w:r>
        <w:r w:rsidR="00F44108" w:rsidRPr="00A91020">
          <w:rPr>
            <w:rStyle w:val="Hyperlink"/>
            <w:lang w:eastAsia="en-GB"/>
          </w:rPr>
          <w:t>Resolve disputes</w:t>
        </w:r>
        <w:r w:rsidR="00F44108">
          <w:rPr>
            <w:webHidden/>
          </w:rPr>
          <w:tab/>
        </w:r>
        <w:r w:rsidR="00F44108">
          <w:rPr>
            <w:webHidden/>
          </w:rPr>
          <w:fldChar w:fldCharType="begin"/>
        </w:r>
        <w:r w:rsidR="00F44108">
          <w:rPr>
            <w:webHidden/>
          </w:rPr>
          <w:instrText xml:space="preserve"> PAGEREF _Toc78290785 \h </w:instrText>
        </w:r>
        <w:r w:rsidR="00F44108">
          <w:rPr>
            <w:webHidden/>
          </w:rPr>
        </w:r>
        <w:r w:rsidR="00F44108">
          <w:rPr>
            <w:webHidden/>
          </w:rPr>
          <w:fldChar w:fldCharType="separate"/>
        </w:r>
        <w:r w:rsidR="00F44108">
          <w:rPr>
            <w:webHidden/>
          </w:rPr>
          <w:t>14</w:t>
        </w:r>
        <w:r w:rsidR="00F44108">
          <w:rPr>
            <w:webHidden/>
          </w:rPr>
          <w:fldChar w:fldCharType="end"/>
        </w:r>
      </w:hyperlink>
    </w:p>
    <w:p w14:paraId="5EFB34CB" w14:textId="2D547EF6" w:rsidR="003E2E12" w:rsidRPr="003072C6" w:rsidRDefault="00F44108" w:rsidP="00DA752C">
      <w:pPr>
        <w:pStyle w:val="TOC2"/>
        <w:keepNext w:val="0"/>
        <w:keepLines w:val="0"/>
        <w:spacing w:after="0" w:line="240" w:lineRule="auto"/>
      </w:pPr>
      <w:r>
        <w:rPr>
          <w:noProof w:val="0"/>
          <w:color w:val="000000" w:themeColor="text1"/>
        </w:rPr>
        <w:fldChar w:fldCharType="end"/>
      </w:r>
    </w:p>
    <w:p w14:paraId="7D2B3ADB" w14:textId="77777777" w:rsidR="007E3247" w:rsidRDefault="003E2E12" w:rsidP="007E3247">
      <w:pPr>
        <w:pStyle w:val="Heading1"/>
        <w:spacing w:before="480" w:line="240" w:lineRule="auto"/>
        <w:ind w:left="680" w:hanging="680"/>
      </w:pPr>
      <w:r w:rsidRPr="00256E7C">
        <w:br w:type="page"/>
      </w:r>
    </w:p>
    <w:p w14:paraId="1F95ACC7" w14:textId="77777777" w:rsidR="00F74C05" w:rsidRPr="00F74C05" w:rsidRDefault="00F74C05" w:rsidP="007E3247">
      <w:pPr>
        <w:pStyle w:val="Heading1"/>
        <w:spacing w:before="0" w:line="240" w:lineRule="auto"/>
        <w:ind w:left="680" w:hanging="680"/>
        <w:rPr>
          <w:sz w:val="24"/>
          <w:szCs w:val="24"/>
        </w:rPr>
      </w:pPr>
    </w:p>
    <w:p w14:paraId="6B970391" w14:textId="421E4DA6" w:rsidR="005E786A" w:rsidRPr="00C35BD9" w:rsidRDefault="005E786A" w:rsidP="007E3247">
      <w:pPr>
        <w:pStyle w:val="Heading1"/>
        <w:spacing w:before="0" w:line="240" w:lineRule="auto"/>
        <w:ind w:left="680" w:hanging="680"/>
      </w:pPr>
      <w:bookmarkStart w:id="0" w:name="_Toc78290770"/>
      <w:r w:rsidRPr="005E786A">
        <w:t>Introduction</w:t>
      </w:r>
      <w:bookmarkEnd w:id="0"/>
    </w:p>
    <w:p w14:paraId="1B70CA50" w14:textId="77777777" w:rsidR="005E786A" w:rsidRPr="00F05CDE" w:rsidRDefault="005E786A" w:rsidP="005E786A">
      <w:pPr>
        <w:spacing w:after="160"/>
        <w:rPr>
          <w:rFonts w:ascii="Arial" w:hAnsi="Arial" w:cs="Arial"/>
          <w:color w:val="000000" w:themeColor="text1"/>
          <w:lang w:eastAsia="en-GB"/>
        </w:rPr>
      </w:pPr>
      <w:r w:rsidRPr="00F05CDE">
        <w:rPr>
          <w:rFonts w:ascii="Arial" w:hAnsi="Arial" w:cs="Arial"/>
          <w:color w:val="000000" w:themeColor="text1"/>
          <w:lang w:eastAsia="en-GB"/>
        </w:rPr>
        <w:t xml:space="preserve">The purpose of this Guide to the Code of Conduct for Professional Engineers (Guide) is to assist professional engineers to interpret and comply with the </w:t>
      </w:r>
      <w:r w:rsidRPr="00F05CDE">
        <w:rPr>
          <w:rFonts w:ascii="Arial" w:hAnsi="Arial" w:cs="Arial"/>
          <w:i/>
          <w:iCs/>
          <w:color w:val="000000" w:themeColor="text1"/>
          <w:lang w:eastAsia="en-GB"/>
        </w:rPr>
        <w:t>Code of Conduct for Professional Engineers</w:t>
      </w:r>
      <w:r w:rsidRPr="00F05CDE">
        <w:rPr>
          <w:rFonts w:ascii="Arial" w:hAnsi="Arial" w:cs="Arial"/>
          <w:color w:val="000000" w:themeColor="text1"/>
          <w:lang w:eastAsia="en-GB"/>
        </w:rPr>
        <w:t xml:space="preserve"> (Code) made under the </w:t>
      </w:r>
      <w:r w:rsidRPr="00F05CDE">
        <w:rPr>
          <w:rFonts w:ascii="Arial" w:hAnsi="Arial" w:cs="Arial"/>
          <w:i/>
          <w:iCs/>
          <w:color w:val="000000" w:themeColor="text1"/>
          <w:lang w:eastAsia="en-GB"/>
        </w:rPr>
        <w:t xml:space="preserve">Professional Engineers Registration Act 2019 </w:t>
      </w:r>
      <w:r w:rsidRPr="00F05CDE">
        <w:rPr>
          <w:rFonts w:ascii="Arial" w:hAnsi="Arial" w:cs="Arial"/>
          <w:color w:val="000000" w:themeColor="text1"/>
          <w:lang w:eastAsia="en-GB"/>
        </w:rPr>
        <w:t xml:space="preserve">(Professional Engineers Registration Act). </w:t>
      </w:r>
    </w:p>
    <w:p w14:paraId="510E239F" w14:textId="77777777" w:rsidR="005E786A" w:rsidRPr="00F05CDE" w:rsidRDefault="005E786A" w:rsidP="005E786A">
      <w:pPr>
        <w:spacing w:after="160"/>
        <w:rPr>
          <w:rFonts w:ascii="Arial" w:hAnsi="Arial" w:cs="Arial"/>
          <w:color w:val="000000" w:themeColor="text1"/>
          <w:lang w:eastAsia="en-GB"/>
        </w:rPr>
      </w:pPr>
      <w:r w:rsidRPr="00F05CDE">
        <w:rPr>
          <w:rFonts w:ascii="Arial" w:hAnsi="Arial" w:cs="Arial"/>
          <w:color w:val="000000" w:themeColor="text1"/>
          <w:lang w:eastAsia="en-GB"/>
        </w:rPr>
        <w:t xml:space="preserve">As a professional engineer you hold significant knowledge and specialised expertise, make judgements and apply your skills to reach informed decisions about the professional engineering services you provide. The decisions you make and the services you provide affect your clients and can have wide-reaching effects on the public. </w:t>
      </w:r>
    </w:p>
    <w:p w14:paraId="26796C52" w14:textId="77777777" w:rsidR="005E786A" w:rsidRPr="00F05CDE" w:rsidRDefault="005E786A" w:rsidP="005E786A">
      <w:pPr>
        <w:spacing w:after="160"/>
        <w:rPr>
          <w:rFonts w:ascii="Arial" w:hAnsi="Arial" w:cs="Arial"/>
          <w:color w:val="000000" w:themeColor="text1"/>
          <w:lang w:eastAsia="en-GB"/>
        </w:rPr>
      </w:pPr>
      <w:r w:rsidRPr="00F05CDE">
        <w:rPr>
          <w:rFonts w:ascii="Arial" w:hAnsi="Arial" w:cs="Arial"/>
          <w:color w:val="000000" w:themeColor="text1"/>
          <w:lang w:eastAsia="en-GB"/>
        </w:rPr>
        <w:t>This Guide provides information about the Code and advice to assist you to ensure that you are practising in a professional and competent way and maintaining a high standard of professional conduct in the diverse situations you face as you practise as a professional engineer.</w:t>
      </w:r>
    </w:p>
    <w:p w14:paraId="1B3D4C4D" w14:textId="77777777" w:rsidR="005E786A" w:rsidRPr="00F05CDE" w:rsidRDefault="005E786A" w:rsidP="005E786A">
      <w:pPr>
        <w:spacing w:after="160"/>
        <w:rPr>
          <w:rFonts w:ascii="Arial" w:hAnsi="Arial" w:cs="Arial"/>
          <w:color w:val="000000" w:themeColor="text1"/>
          <w:lang w:eastAsia="en-GB"/>
        </w:rPr>
      </w:pPr>
      <w:r w:rsidRPr="00F05CDE">
        <w:rPr>
          <w:rFonts w:ascii="Arial" w:hAnsi="Arial" w:cs="Arial"/>
          <w:color w:val="000000" w:themeColor="text1"/>
          <w:lang w:eastAsia="en-GB"/>
        </w:rPr>
        <w:t xml:space="preserve">For each of the 14 obligations in the Code, commentary and practical examples, where relevant, are provided that apply to the conduct of professional engineers generally, and in specified circumstances, to the conduct of professional engineers whose registration has been endorsed to practise in the building industry. This latter category of professional engineers is known as ‘endorsed building engineers’ under the Professional Engineers Registration Act and the </w:t>
      </w:r>
      <w:r w:rsidRPr="00F05CDE">
        <w:rPr>
          <w:rFonts w:ascii="Arial" w:hAnsi="Arial" w:cs="Arial"/>
          <w:i/>
          <w:iCs/>
          <w:color w:val="000000" w:themeColor="text1"/>
          <w:lang w:eastAsia="en-GB"/>
        </w:rPr>
        <w:t>Building Act 1993</w:t>
      </w:r>
      <w:r w:rsidRPr="00F05CDE">
        <w:rPr>
          <w:rFonts w:ascii="Arial" w:hAnsi="Arial" w:cs="Arial"/>
          <w:color w:val="000000" w:themeColor="text1"/>
          <w:lang w:eastAsia="en-GB"/>
        </w:rPr>
        <w:t xml:space="preserve"> (Building Act).</w:t>
      </w:r>
    </w:p>
    <w:p w14:paraId="19A4D687" w14:textId="77777777" w:rsidR="005E786A" w:rsidRPr="00F05CDE" w:rsidRDefault="005E786A" w:rsidP="005E786A">
      <w:pPr>
        <w:spacing w:after="160"/>
        <w:rPr>
          <w:rFonts w:ascii="Arial" w:hAnsi="Arial" w:cs="Arial"/>
          <w:color w:val="000000" w:themeColor="text1"/>
          <w:lang w:eastAsia="en-GB"/>
        </w:rPr>
      </w:pPr>
      <w:r w:rsidRPr="00F05CDE">
        <w:rPr>
          <w:rFonts w:ascii="Arial" w:hAnsi="Arial" w:cs="Arial"/>
          <w:color w:val="000000" w:themeColor="text1"/>
          <w:lang w:eastAsia="en-GB"/>
        </w:rPr>
        <w:t>The information and examples provided in this Guide are not exhaustive. They illustrate principles, conduct and standards that you should apply in every aspect of your professional engineering practice.</w:t>
      </w:r>
    </w:p>
    <w:p w14:paraId="63C6C77E" w14:textId="77777777" w:rsidR="005E786A" w:rsidRPr="00F05CDE" w:rsidRDefault="005E786A" w:rsidP="005E786A">
      <w:pPr>
        <w:spacing w:after="160"/>
        <w:rPr>
          <w:rFonts w:ascii="Arial" w:hAnsi="Arial" w:cs="Arial"/>
          <w:color w:val="000000" w:themeColor="text1"/>
          <w:lang w:eastAsia="en-GB"/>
        </w:rPr>
      </w:pPr>
      <w:r w:rsidRPr="00F05CDE">
        <w:rPr>
          <w:rFonts w:ascii="Arial" w:hAnsi="Arial" w:cs="Arial"/>
          <w:color w:val="000000" w:themeColor="text1"/>
          <w:lang w:eastAsia="en-GB"/>
        </w:rPr>
        <w:t>This Guide does not replace a knowledge and understanding of the Code, the Professional Engineers Registration Act or the Building Act or the regulations under these Acts. Additionally, this Guide must not be taken as legal advice. Practises, systems and advice may vary depending on individual circumstances and professional engineers, including endorsed building engineers, must exercise their own professional skill and judgement and/or seek independent legal advice, as required.</w:t>
      </w:r>
    </w:p>
    <w:p w14:paraId="11B7DEB4" w14:textId="77777777" w:rsidR="00F74C05" w:rsidRDefault="005E786A" w:rsidP="00F74C05">
      <w:pPr>
        <w:spacing w:after="160"/>
        <w:rPr>
          <w:rFonts w:ascii="Arial" w:hAnsi="Arial" w:cs="Arial"/>
          <w:color w:val="000000" w:themeColor="text1"/>
          <w:lang w:eastAsia="en-GB"/>
        </w:rPr>
      </w:pPr>
      <w:r w:rsidRPr="00F05CDE">
        <w:rPr>
          <w:rFonts w:ascii="Arial" w:hAnsi="Arial" w:cs="Arial"/>
          <w:color w:val="000000" w:themeColor="text1"/>
          <w:lang w:eastAsia="en-GB"/>
        </w:rPr>
        <w:t>You should read this Guide in conjunction with the Code. The Code and this Guide are available on the Consumer Affairs Victoria (CAV) website a</w:t>
      </w:r>
      <w:r w:rsidR="002064C7">
        <w:rPr>
          <w:rFonts w:ascii="Arial" w:hAnsi="Arial" w:cs="Arial"/>
          <w:color w:val="000000" w:themeColor="text1"/>
          <w:lang w:eastAsia="en-GB"/>
        </w:rPr>
        <w:t xml:space="preserve">t </w:t>
      </w:r>
      <w:hyperlink r:id="rId25" w:history="1">
        <w:r w:rsidRPr="00F05CDE">
          <w:rPr>
            <w:rStyle w:val="Hyperlink"/>
            <w:rFonts w:ascii="Arial" w:hAnsi="Arial" w:cs="Arial"/>
            <w:lang w:eastAsia="en-GB"/>
          </w:rPr>
          <w:t>consumer.vic.gov.au/engineers</w:t>
        </w:r>
      </w:hyperlink>
      <w:r w:rsidRPr="00F05CDE">
        <w:rPr>
          <w:rFonts w:ascii="Arial" w:hAnsi="Arial" w:cs="Arial"/>
          <w:color w:val="000000" w:themeColor="text1"/>
          <w:lang w:eastAsia="en-GB"/>
        </w:rPr>
        <w:t xml:space="preserve"> and through the Victorian Building Authority (VBA) website at </w:t>
      </w:r>
      <w:hyperlink r:id="rId26" w:history="1">
        <w:r w:rsidRPr="00F05CDE">
          <w:rPr>
            <w:rStyle w:val="Hyperlink"/>
            <w:rFonts w:ascii="Arial" w:hAnsi="Arial" w:cs="Arial"/>
            <w:lang w:eastAsia="en-GB"/>
          </w:rPr>
          <w:t>vba.vic.gov.au</w:t>
        </w:r>
      </w:hyperlink>
      <w:r w:rsidRPr="00F05CDE">
        <w:rPr>
          <w:rFonts w:ascii="Arial" w:hAnsi="Arial" w:cs="Arial"/>
          <w:color w:val="000000" w:themeColor="text1"/>
          <w:lang w:eastAsia="en-GB"/>
        </w:rPr>
        <w:t xml:space="preserve"> where additional guidance is provided for endorsed building engineers. </w:t>
      </w:r>
    </w:p>
    <w:p w14:paraId="5BE00D6E" w14:textId="3360555F" w:rsidR="005E786A" w:rsidRPr="00F05CDE" w:rsidRDefault="005E786A" w:rsidP="005E786A">
      <w:pPr>
        <w:rPr>
          <w:rFonts w:ascii="Arial" w:hAnsi="Arial" w:cs="Arial"/>
          <w:color w:val="000000" w:themeColor="text1"/>
          <w:lang w:eastAsia="en-GB"/>
        </w:rPr>
      </w:pPr>
      <w:r w:rsidRPr="00F05CDE">
        <w:rPr>
          <w:rFonts w:ascii="Arial" w:hAnsi="Arial" w:cs="Arial"/>
          <w:color w:val="000000" w:themeColor="text1"/>
          <w:lang w:eastAsia="en-GB"/>
        </w:rPr>
        <w:t>The key terms used in this Guide are explained in the “definitions” section of the Code.</w:t>
      </w:r>
    </w:p>
    <w:p w14:paraId="10C64B32" w14:textId="77777777" w:rsidR="005E786A" w:rsidRPr="00AB7AB9" w:rsidRDefault="005E786A" w:rsidP="007E3247">
      <w:pPr>
        <w:pStyle w:val="Heading1"/>
        <w:spacing w:before="600" w:line="240" w:lineRule="auto"/>
        <w:ind w:left="680" w:hanging="680"/>
      </w:pPr>
      <w:bookmarkStart w:id="1" w:name="_Toc78290771"/>
      <w:r w:rsidRPr="00AB7AB9">
        <w:t>Code obligations</w:t>
      </w:r>
      <w:bookmarkEnd w:id="1"/>
    </w:p>
    <w:p w14:paraId="223F871F" w14:textId="77777777" w:rsidR="005E786A" w:rsidRPr="00AB7AB9" w:rsidRDefault="005E786A" w:rsidP="007E3247">
      <w:pPr>
        <w:pStyle w:val="Heading2"/>
        <w:spacing w:before="0" w:after="360" w:line="240" w:lineRule="auto"/>
        <w:ind w:left="567" w:hanging="567"/>
        <w:rPr>
          <w:lang w:eastAsia="en-GB"/>
        </w:rPr>
      </w:pPr>
      <w:bookmarkStart w:id="2" w:name="_Toc78290772"/>
      <w:r w:rsidRPr="00AB7AB9">
        <w:rPr>
          <w:lang w:eastAsia="en-GB"/>
        </w:rPr>
        <w:t>1</w:t>
      </w:r>
      <w:r w:rsidRPr="00AB7AB9">
        <w:rPr>
          <w:lang w:eastAsia="en-GB"/>
        </w:rPr>
        <w:tab/>
        <w:t>Know and comply with the law</w:t>
      </w:r>
      <w:bookmarkEnd w:id="2"/>
      <w:r w:rsidRPr="00AB7AB9">
        <w:rPr>
          <w:lang w:eastAsia="en-GB"/>
        </w:rPr>
        <w:t xml:space="preserve"> </w:t>
      </w:r>
    </w:p>
    <w:tbl>
      <w:tblPr>
        <w:tblStyle w:val="TableGrid"/>
        <w:tblW w:w="9654" w:type="dxa"/>
        <w:tblInd w:w="-5" w:type="dxa"/>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shd w:val="clear" w:color="auto" w:fill="DEEAF6"/>
        <w:tblCellMar>
          <w:top w:w="113" w:type="dxa"/>
          <w:left w:w="57" w:type="dxa"/>
          <w:bottom w:w="113" w:type="dxa"/>
          <w:right w:w="57" w:type="dxa"/>
        </w:tblCellMar>
        <w:tblLook w:val="04A0" w:firstRow="1" w:lastRow="0" w:firstColumn="1" w:lastColumn="0" w:noHBand="0" w:noVBand="1"/>
      </w:tblPr>
      <w:tblGrid>
        <w:gridCol w:w="9654"/>
      </w:tblGrid>
      <w:tr w:rsidR="005E786A" w:rsidRPr="00AB7AB9" w14:paraId="08AD28D8" w14:textId="77777777" w:rsidTr="007E3247">
        <w:tc>
          <w:tcPr>
            <w:tcW w:w="9654" w:type="dxa"/>
            <w:shd w:val="clear" w:color="auto" w:fill="DEEAF6"/>
          </w:tcPr>
          <w:p w14:paraId="7A2F6E73" w14:textId="77777777" w:rsidR="005E786A" w:rsidRPr="00F16301" w:rsidRDefault="005E786A" w:rsidP="005E1588">
            <w:pPr>
              <w:tabs>
                <w:tab w:val="left" w:pos="426"/>
              </w:tabs>
              <w:snapToGrid w:val="0"/>
              <w:rPr>
                <w:rFonts w:ascii="Arial" w:hAnsi="Arial" w:cs="Arial"/>
                <w:color w:val="000000" w:themeColor="text1"/>
                <w:lang w:eastAsia="en-GB"/>
              </w:rPr>
            </w:pPr>
            <w:r w:rsidRPr="00F16301">
              <w:rPr>
                <w:rFonts w:ascii="Arial" w:hAnsi="Arial" w:cs="Arial"/>
                <w:b/>
                <w:bCs/>
                <w:color w:val="000000" w:themeColor="text1"/>
                <w:lang w:eastAsia="en-GB"/>
              </w:rPr>
              <w:t xml:space="preserve">Summary </w:t>
            </w:r>
            <w:r w:rsidRPr="00F16301">
              <w:rPr>
                <w:rFonts w:ascii="Arial" w:hAnsi="Arial" w:cs="Arial"/>
                <w:color w:val="000000" w:themeColor="text1"/>
                <w:lang w:eastAsia="en-GB"/>
              </w:rPr>
              <w:t>–</w:t>
            </w:r>
            <w:r w:rsidRPr="00F16301">
              <w:rPr>
                <w:rFonts w:ascii="Arial" w:hAnsi="Arial" w:cs="Arial"/>
                <w:b/>
                <w:bCs/>
                <w:color w:val="000000" w:themeColor="text1"/>
                <w:lang w:eastAsia="en-GB"/>
              </w:rPr>
              <w:t xml:space="preserve"> </w:t>
            </w:r>
            <w:r w:rsidRPr="00F16301">
              <w:rPr>
                <w:rFonts w:ascii="Arial" w:hAnsi="Arial" w:cs="Arial"/>
                <w:color w:val="000000" w:themeColor="text1"/>
                <w:lang w:eastAsia="en-GB"/>
              </w:rPr>
              <w:t>A registered professional engineer must know and comply with the Professional Engineers Registration Act and regulations and other laws relevant to the provision of professional engineering services. In addition, a registered professional engineer who is an endorsed building engineer must know and comply with the Building Act and regulations and other laws relevant to their functions.</w:t>
            </w:r>
          </w:p>
        </w:tc>
      </w:tr>
    </w:tbl>
    <w:p w14:paraId="66252BAE" w14:textId="1ECB48F3" w:rsidR="00256E7C" w:rsidRDefault="00256E7C" w:rsidP="007E3247">
      <w:pPr>
        <w:pStyle w:val="DJCSbody"/>
        <w:spacing w:line="240" w:lineRule="auto"/>
        <w:ind w:left="0"/>
      </w:pPr>
    </w:p>
    <w:p w14:paraId="60517AA9" w14:textId="77777777" w:rsidR="00F05CDE" w:rsidRDefault="00F05CDE" w:rsidP="007E3247">
      <w:pPr>
        <w:snapToGrid w:val="0"/>
        <w:spacing w:after="120"/>
        <w:rPr>
          <w:rFonts w:ascii="Arial" w:hAnsi="Arial" w:cs="Arial"/>
          <w:color w:val="000000" w:themeColor="text1"/>
          <w:lang w:eastAsia="en-GB"/>
        </w:rPr>
        <w:sectPr w:rsidR="00F05CDE" w:rsidSect="003A24D0">
          <w:headerReference w:type="even" r:id="rId27"/>
          <w:headerReference w:type="default" r:id="rId28"/>
          <w:footerReference w:type="default" r:id="rId29"/>
          <w:headerReference w:type="first" r:id="rId30"/>
          <w:pgSz w:w="11906" w:h="16838" w:code="9"/>
          <w:pgMar w:top="1304" w:right="1134" w:bottom="1134" w:left="1134" w:header="284" w:footer="703" w:gutter="0"/>
          <w:cols w:space="720"/>
          <w:docGrid w:linePitch="360"/>
        </w:sectPr>
      </w:pPr>
    </w:p>
    <w:p w14:paraId="42ADB0C8" w14:textId="1D805BE1" w:rsidR="00F05CDE" w:rsidRPr="00F05CDE" w:rsidRDefault="00F05CDE" w:rsidP="00F05CDE">
      <w:pPr>
        <w:snapToGrid w:val="0"/>
        <w:spacing w:after="160"/>
        <w:rPr>
          <w:rFonts w:ascii="Arial" w:hAnsi="Arial" w:cs="Arial"/>
          <w:color w:val="000000" w:themeColor="text1"/>
          <w:lang w:eastAsia="en-GB"/>
        </w:rPr>
      </w:pPr>
      <w:r w:rsidRPr="00F05CDE">
        <w:rPr>
          <w:rFonts w:ascii="Arial" w:hAnsi="Arial" w:cs="Arial"/>
          <w:color w:val="000000" w:themeColor="text1"/>
          <w:lang w:eastAsia="en-GB"/>
        </w:rPr>
        <w:t>The work you undertake or are responsible for as a professional engineer is subject to various laws such as Acts, regulations and technical standards that govern your conduct and work practises. Clause 1 of the Code requires you to know and comply with the laws relevant to the professional engineering services you provide and your functions as a professional engineer.</w:t>
      </w:r>
    </w:p>
    <w:p w14:paraId="33115981" w14:textId="77777777" w:rsidR="007E3247" w:rsidRDefault="007E3247" w:rsidP="00F05CDE">
      <w:pPr>
        <w:snapToGrid w:val="0"/>
        <w:spacing w:after="160"/>
        <w:rPr>
          <w:rFonts w:ascii="Arial" w:hAnsi="Arial" w:cs="Arial"/>
          <w:color w:val="000000" w:themeColor="text1"/>
          <w:lang w:eastAsia="en-GB"/>
        </w:rPr>
      </w:pPr>
    </w:p>
    <w:p w14:paraId="1C63C532" w14:textId="0AC7EE65" w:rsidR="00F05CDE" w:rsidRPr="00F05CDE" w:rsidRDefault="00F05CDE" w:rsidP="00F05CDE">
      <w:pPr>
        <w:snapToGrid w:val="0"/>
        <w:spacing w:after="160"/>
        <w:rPr>
          <w:rFonts w:ascii="Arial" w:hAnsi="Arial" w:cs="Arial"/>
          <w:color w:val="000000" w:themeColor="text1"/>
          <w:lang w:eastAsia="en-GB"/>
        </w:rPr>
      </w:pPr>
      <w:r w:rsidRPr="00F05CDE">
        <w:rPr>
          <w:rFonts w:ascii="Arial" w:hAnsi="Arial" w:cs="Arial"/>
          <w:color w:val="000000" w:themeColor="text1"/>
          <w:lang w:eastAsia="en-GB"/>
        </w:rPr>
        <w:t>If you own or manage a professional engineering business, you must also comply with the laws that apply to the operation of that business such as workplace health and safety. However, as the Code is concerned with the provision of professional engineering services, it does not cover these other laws.</w:t>
      </w:r>
    </w:p>
    <w:p w14:paraId="0BAFBA2D" w14:textId="77777777" w:rsidR="007E3247" w:rsidRDefault="007E3247" w:rsidP="00F05CDE">
      <w:pPr>
        <w:snapToGrid w:val="0"/>
        <w:spacing w:after="160"/>
        <w:rPr>
          <w:rFonts w:ascii="Arial" w:hAnsi="Arial" w:cs="Arial"/>
          <w:color w:val="000000" w:themeColor="text1"/>
          <w:lang w:eastAsia="en-GB"/>
        </w:rPr>
      </w:pPr>
    </w:p>
    <w:p w14:paraId="05CE8A7D" w14:textId="77777777" w:rsidR="007E3247" w:rsidRDefault="007E3247" w:rsidP="00F05CDE">
      <w:pPr>
        <w:snapToGrid w:val="0"/>
        <w:spacing w:after="160"/>
        <w:rPr>
          <w:rFonts w:ascii="Arial" w:hAnsi="Arial" w:cs="Arial"/>
          <w:color w:val="000000" w:themeColor="text1"/>
          <w:lang w:eastAsia="en-GB"/>
        </w:rPr>
      </w:pPr>
    </w:p>
    <w:p w14:paraId="3A90CF27" w14:textId="6F861488" w:rsidR="00F05CDE" w:rsidRPr="00F05CDE" w:rsidRDefault="00F05CDE" w:rsidP="00F05CDE">
      <w:pPr>
        <w:snapToGrid w:val="0"/>
        <w:spacing w:after="160"/>
        <w:rPr>
          <w:rFonts w:ascii="Arial" w:hAnsi="Arial" w:cs="Arial"/>
          <w:color w:val="000000" w:themeColor="text1"/>
          <w:lang w:eastAsia="en-GB"/>
        </w:rPr>
      </w:pPr>
      <w:r w:rsidRPr="00F05CDE">
        <w:rPr>
          <w:rFonts w:ascii="Arial" w:hAnsi="Arial" w:cs="Arial"/>
          <w:color w:val="000000" w:themeColor="text1"/>
          <w:lang w:eastAsia="en-GB"/>
        </w:rPr>
        <w:lastRenderedPageBreak/>
        <w:t xml:space="preserve">The Code requires you to know the requirements of the Professional Engineers Registration Act and its regulations, and if you are an endorsed building engineer, the Building Act and its regulations, and to comply with those requirements when you provide professional engineering services. These Acts and their regulations can be viewed at </w:t>
      </w:r>
      <w:hyperlink r:id="rId31" w:history="1">
        <w:r w:rsidRPr="00F05CDE">
          <w:rPr>
            <w:rStyle w:val="Hyperlink"/>
            <w:rFonts w:ascii="Arial" w:hAnsi="Arial" w:cs="Arial"/>
            <w:lang w:eastAsia="en-GB"/>
          </w:rPr>
          <w:t>legislation.vic.gov.au</w:t>
        </w:r>
      </w:hyperlink>
      <w:r w:rsidRPr="00F05CDE">
        <w:rPr>
          <w:rFonts w:ascii="Arial" w:hAnsi="Arial" w:cs="Arial"/>
          <w:color w:val="000000" w:themeColor="text1"/>
          <w:lang w:eastAsia="en-GB"/>
        </w:rPr>
        <w:t xml:space="preserve">. </w:t>
      </w:r>
    </w:p>
    <w:p w14:paraId="6067E9A7" w14:textId="2BCCAB06" w:rsidR="00F05CDE" w:rsidRPr="00F05CDE" w:rsidRDefault="00F05CDE" w:rsidP="00F05CDE">
      <w:pPr>
        <w:snapToGrid w:val="0"/>
        <w:spacing w:after="160"/>
        <w:rPr>
          <w:rFonts w:ascii="Arial" w:hAnsi="Arial" w:cs="Arial"/>
          <w:color w:val="000000" w:themeColor="text1"/>
          <w:lang w:eastAsia="en-GB"/>
        </w:rPr>
      </w:pPr>
      <w:r w:rsidRPr="00F05CDE">
        <w:rPr>
          <w:rFonts w:ascii="Arial" w:hAnsi="Arial" w:cs="Arial"/>
          <w:color w:val="000000" w:themeColor="text1"/>
          <w:lang w:eastAsia="en-GB"/>
        </w:rPr>
        <w:t>Under the Professional Engineers Registration Act you must be registered to provide professional engineering services and avoid unsatisfactory professional conduct. Unsatisfactory professional conduct is defined in section 3 of the Professional Engineers Registration Act.</w:t>
      </w:r>
    </w:p>
    <w:p w14:paraId="0D7B8762" w14:textId="6F89DA23" w:rsidR="00F05CDE" w:rsidRPr="00F05CDE" w:rsidRDefault="00F05CDE" w:rsidP="00F05CDE">
      <w:pPr>
        <w:snapToGrid w:val="0"/>
        <w:spacing w:after="160"/>
        <w:rPr>
          <w:rFonts w:ascii="Arial" w:hAnsi="Arial" w:cs="Arial"/>
          <w:color w:val="000000" w:themeColor="text1"/>
          <w:lang w:eastAsia="en-GB"/>
        </w:rPr>
      </w:pPr>
      <w:r w:rsidRPr="00F05CDE">
        <w:rPr>
          <w:rFonts w:ascii="Arial" w:hAnsi="Arial" w:cs="Arial"/>
          <w:color w:val="000000" w:themeColor="text1"/>
          <w:lang w:eastAsia="en-GB"/>
        </w:rPr>
        <w:t xml:space="preserve">Additionally, under the Building Act you must be an endorsed building engineer to issue certificates under section 238 for the design or inspection of building work and </w:t>
      </w:r>
      <w:r w:rsidR="005E10DC">
        <w:rPr>
          <w:rFonts w:ascii="Arial" w:hAnsi="Arial" w:cs="Arial"/>
          <w:color w:val="000000" w:themeColor="text1"/>
          <w:lang w:eastAsia="en-GB"/>
        </w:rPr>
        <w:t xml:space="preserve">to </w:t>
      </w:r>
      <w:r w:rsidRPr="00F05CDE">
        <w:rPr>
          <w:rFonts w:ascii="Arial" w:hAnsi="Arial" w:cs="Arial"/>
          <w:color w:val="000000" w:themeColor="text1"/>
          <w:lang w:eastAsia="en-GB"/>
        </w:rPr>
        <w:t xml:space="preserve">inspect </w:t>
      </w:r>
      <w:r w:rsidRPr="00F05CDE">
        <w:rPr>
          <w:rFonts w:ascii="Arial" w:hAnsi="Arial" w:cs="Arial"/>
          <w:color w:val="000000" w:themeColor="text1"/>
        </w:rPr>
        <w:t>building work under Part 4 of that Act.</w:t>
      </w:r>
    </w:p>
    <w:p w14:paraId="57057AAA" w14:textId="77777777" w:rsidR="00F05CDE" w:rsidRPr="00F05CDE" w:rsidRDefault="00F05CDE" w:rsidP="00F05CDE">
      <w:pPr>
        <w:snapToGrid w:val="0"/>
        <w:spacing w:after="160"/>
        <w:rPr>
          <w:rFonts w:ascii="Arial" w:hAnsi="Arial" w:cs="Arial"/>
          <w:color w:val="000000" w:themeColor="text1"/>
          <w:lang w:eastAsia="en-GB"/>
        </w:rPr>
      </w:pPr>
      <w:r w:rsidRPr="00F05CDE">
        <w:rPr>
          <w:rFonts w:ascii="Arial" w:hAnsi="Arial" w:cs="Arial"/>
          <w:color w:val="000000" w:themeColor="text1"/>
          <w:lang w:eastAsia="en-GB"/>
        </w:rPr>
        <w:t>Among other standards, the Building Regulations 2018 require endorsed building engineers to comply with the National Construction Code (NCC) as it relates to the provision of relevant professional engineering services. The NCC contains the technical provisions for the design and construction of buildings and other structures throughout Australia and references a number of technical documents, including Australian Standards. The NCC is available from the </w:t>
      </w:r>
      <w:hyperlink r:id="rId32">
        <w:r w:rsidRPr="00F05CDE">
          <w:rPr>
            <w:rFonts w:ascii="Arial" w:hAnsi="Arial" w:cs="Arial"/>
            <w:color w:val="000000" w:themeColor="text1"/>
            <w:lang w:eastAsia="en-GB"/>
          </w:rPr>
          <w:t>Australian Building Codes Board</w:t>
        </w:r>
      </w:hyperlink>
      <w:r w:rsidRPr="00F05CDE">
        <w:rPr>
          <w:rFonts w:ascii="Arial" w:hAnsi="Arial" w:cs="Arial"/>
          <w:color w:val="000000" w:themeColor="text1"/>
          <w:lang w:eastAsia="en-GB"/>
        </w:rPr>
        <w:t xml:space="preserve"> at </w:t>
      </w:r>
      <w:hyperlink r:id="rId33">
        <w:r w:rsidRPr="00F05CDE">
          <w:rPr>
            <w:rStyle w:val="Hyperlink"/>
            <w:rFonts w:ascii="Arial" w:hAnsi="Arial" w:cs="Arial"/>
            <w:lang w:eastAsia="en-GB"/>
          </w:rPr>
          <w:t>www.abcb.gov.au</w:t>
        </w:r>
      </w:hyperlink>
      <w:r w:rsidRPr="00F05CDE">
        <w:rPr>
          <w:rFonts w:ascii="Arial" w:hAnsi="Arial" w:cs="Arial"/>
          <w:color w:val="000000" w:themeColor="text1"/>
          <w:lang w:eastAsia="en-GB"/>
        </w:rPr>
        <w:t>.</w:t>
      </w:r>
    </w:p>
    <w:p w14:paraId="0BF4604F" w14:textId="00DE95F0" w:rsidR="00F05CDE" w:rsidRDefault="00F05CDE" w:rsidP="00F05CDE">
      <w:pPr>
        <w:snapToGrid w:val="0"/>
        <w:spacing w:after="360"/>
        <w:rPr>
          <w:rFonts w:ascii="Arial" w:hAnsi="Arial" w:cs="Arial"/>
          <w:color w:val="000000" w:themeColor="text1"/>
          <w:lang w:eastAsia="en-GB"/>
        </w:rPr>
      </w:pPr>
      <w:r w:rsidRPr="00F05CDE">
        <w:rPr>
          <w:rFonts w:ascii="Arial" w:hAnsi="Arial" w:cs="Arial"/>
          <w:color w:val="000000" w:themeColor="text1"/>
          <w:lang w:eastAsia="en-GB"/>
        </w:rPr>
        <w:t xml:space="preserve">The Code also requires you to know and comply with other laws relevant to the area or areas of engineering in which you are registered and competent to practise or specific to a particular function or specialised area of engineering. </w:t>
      </w:r>
    </w:p>
    <w:tbl>
      <w:tblPr>
        <w:tblStyle w:val="TableGrid"/>
        <w:tblW w:w="0" w:type="auto"/>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4439"/>
      </w:tblGrid>
      <w:tr w:rsidR="00F05CDE" w:rsidRPr="00F05CDE" w14:paraId="4F21F0DB" w14:textId="77777777" w:rsidTr="007E3247">
        <w:tc>
          <w:tcPr>
            <w:tcW w:w="4439" w:type="dxa"/>
            <w:shd w:val="clear" w:color="auto" w:fill="DEEAF6"/>
          </w:tcPr>
          <w:p w14:paraId="391F79D6" w14:textId="77777777" w:rsidR="00F05CDE" w:rsidRPr="00F16301" w:rsidRDefault="00F05CDE" w:rsidP="00F05CDE">
            <w:pPr>
              <w:snapToGrid w:val="0"/>
              <w:spacing w:after="120"/>
              <w:rPr>
                <w:rFonts w:ascii="Arial" w:hAnsi="Arial" w:cs="Arial"/>
                <w:color w:val="000000" w:themeColor="text1"/>
                <w:lang w:eastAsia="en-GB"/>
              </w:rPr>
            </w:pPr>
            <w:r w:rsidRPr="00F16301">
              <w:rPr>
                <w:rFonts w:ascii="Arial" w:hAnsi="Arial" w:cs="Arial"/>
                <w:color w:val="000000" w:themeColor="text1"/>
                <w:lang w:eastAsia="en-GB"/>
              </w:rPr>
              <w:t xml:space="preserve">For </w:t>
            </w:r>
            <w:proofErr w:type="gramStart"/>
            <w:r w:rsidRPr="00F16301">
              <w:rPr>
                <w:rFonts w:ascii="Arial" w:hAnsi="Arial" w:cs="Arial"/>
                <w:color w:val="000000" w:themeColor="text1"/>
                <w:lang w:eastAsia="en-GB"/>
              </w:rPr>
              <w:t>example</w:t>
            </w:r>
            <w:proofErr w:type="gramEnd"/>
            <w:r w:rsidRPr="00F16301">
              <w:rPr>
                <w:rFonts w:ascii="Arial" w:hAnsi="Arial" w:cs="Arial"/>
                <w:color w:val="000000" w:themeColor="text1"/>
                <w:lang w:eastAsia="en-GB"/>
              </w:rPr>
              <w:t xml:space="preserve"> …</w:t>
            </w:r>
          </w:p>
          <w:p w14:paraId="0791D6FF" w14:textId="77777777" w:rsidR="00F05CDE" w:rsidRPr="00F16301" w:rsidRDefault="00F05CDE" w:rsidP="00F05CDE">
            <w:pPr>
              <w:pStyle w:val="ListParagraph"/>
              <w:numPr>
                <w:ilvl w:val="0"/>
                <w:numId w:val="31"/>
              </w:numPr>
              <w:spacing w:after="120"/>
              <w:ind w:left="425" w:hanging="425"/>
              <w:contextualSpacing w:val="0"/>
              <w:rPr>
                <w:rFonts w:ascii="Arial" w:hAnsi="Arial" w:cs="Arial"/>
                <w:color w:val="000000" w:themeColor="text1"/>
              </w:rPr>
            </w:pPr>
            <w:r w:rsidRPr="00F16301">
              <w:rPr>
                <w:rFonts w:ascii="Arial" w:hAnsi="Arial" w:cs="Arial"/>
                <w:color w:val="000000" w:themeColor="text1"/>
              </w:rPr>
              <w:t xml:space="preserve">A civil engineer designing a subdivision must ensure that the design and construction of stormwater drainage discharge into a waterway complies with a range of other laws including the Planning and Environment Act 1987, Aboriginal Heritage Act 2006 and the Commonwealth, Environment Protection and Biodiversity Conservation Act 1999. </w:t>
            </w:r>
          </w:p>
          <w:p w14:paraId="00F1965C" w14:textId="77777777" w:rsidR="00F05CDE" w:rsidRPr="00F05CDE" w:rsidRDefault="00F05CDE" w:rsidP="00AD5176">
            <w:pPr>
              <w:pStyle w:val="ListParagraph"/>
              <w:numPr>
                <w:ilvl w:val="0"/>
                <w:numId w:val="31"/>
              </w:numPr>
              <w:spacing w:after="20"/>
              <w:ind w:left="425" w:hanging="425"/>
              <w:contextualSpacing w:val="0"/>
              <w:rPr>
                <w:rFonts w:ascii="Arial" w:hAnsi="Arial" w:cs="Arial"/>
              </w:rPr>
            </w:pPr>
            <w:r w:rsidRPr="00F16301">
              <w:rPr>
                <w:rFonts w:ascii="Arial" w:hAnsi="Arial" w:cs="Arial"/>
                <w:color w:val="000000" w:themeColor="text1"/>
              </w:rPr>
              <w:t>An endorsed building engineer designing mechanical plant for a building, must know that work approval is required under Division 2 of Part III of the Environment Protection Act 1970.</w:t>
            </w:r>
            <w:r w:rsidRPr="00F05CDE">
              <w:rPr>
                <w:rFonts w:ascii="Arial" w:hAnsi="Arial" w:cs="Arial"/>
                <w:color w:val="000000" w:themeColor="text1"/>
              </w:rPr>
              <w:t xml:space="preserve"> </w:t>
            </w:r>
          </w:p>
        </w:tc>
      </w:tr>
    </w:tbl>
    <w:p w14:paraId="6421EC8E" w14:textId="77777777" w:rsidR="00F05CDE" w:rsidRPr="00F05CDE" w:rsidRDefault="00F05CDE" w:rsidP="00186699">
      <w:pPr>
        <w:snapToGrid w:val="0"/>
        <w:spacing w:before="360" w:after="160"/>
        <w:rPr>
          <w:rFonts w:ascii="Arial" w:hAnsi="Arial" w:cs="Arial"/>
          <w:color w:val="000000" w:themeColor="text1"/>
          <w:lang w:eastAsia="en-GB"/>
        </w:rPr>
      </w:pPr>
      <w:r w:rsidRPr="00F05CDE">
        <w:rPr>
          <w:rFonts w:ascii="Arial" w:hAnsi="Arial" w:cs="Arial"/>
          <w:color w:val="000000" w:themeColor="text1"/>
          <w:lang w:eastAsia="en-GB"/>
        </w:rPr>
        <w:t>It is important that you identify the laws, codes and/or standards you must comply with for each professional engineering service and project you undertake.</w:t>
      </w:r>
    </w:p>
    <w:p w14:paraId="047CF794" w14:textId="77777777" w:rsidR="00F05CDE" w:rsidRPr="00F05CDE" w:rsidRDefault="00F05CDE" w:rsidP="00F05CDE">
      <w:pPr>
        <w:pStyle w:val="NormalWeb"/>
        <w:kinsoku w:val="0"/>
        <w:overflowPunct w:val="0"/>
        <w:spacing w:after="160"/>
        <w:textAlignment w:val="baseline"/>
        <w:rPr>
          <w:color w:val="000000" w:themeColor="text1"/>
          <w:sz w:val="20"/>
          <w:szCs w:val="20"/>
          <w:lang w:eastAsia="en-GB"/>
        </w:rPr>
      </w:pPr>
      <w:r w:rsidRPr="00F05CDE">
        <w:rPr>
          <w:color w:val="000000" w:themeColor="text1"/>
          <w:sz w:val="20"/>
          <w:szCs w:val="20"/>
          <w:lang w:eastAsia="en-GB"/>
        </w:rPr>
        <w:t xml:space="preserve">The requirement to know and comply with the relevant laws also creates a responsibility to keep up to date with changes to those laws. You can be informed about any changes to relevant laws and technical updates by undertaking Continuing Professional Development (CPD). To be eligible to renew your professional engineer registration and endorsement every three years, you must complete a minimum number of hours of CPD. For information on your CPD obligations visit </w:t>
      </w:r>
      <w:hyperlink r:id="rId34" w:history="1">
        <w:r w:rsidRPr="00F05CDE">
          <w:rPr>
            <w:rStyle w:val="Hyperlink"/>
            <w:sz w:val="20"/>
            <w:szCs w:val="20"/>
            <w:lang w:eastAsia="en-GB"/>
          </w:rPr>
          <w:t>www.consumer.vic.gov.au/engineers</w:t>
        </w:r>
      </w:hyperlink>
      <w:r w:rsidRPr="00F05CDE">
        <w:rPr>
          <w:color w:val="000000" w:themeColor="text1"/>
          <w:sz w:val="20"/>
          <w:szCs w:val="20"/>
          <w:lang w:eastAsia="en-GB"/>
        </w:rPr>
        <w:t>.</w:t>
      </w:r>
    </w:p>
    <w:p w14:paraId="54C2053E" w14:textId="1682635C" w:rsidR="00F05CDE" w:rsidRDefault="00F05CDE" w:rsidP="007E3247">
      <w:pPr>
        <w:snapToGrid w:val="0"/>
        <w:rPr>
          <w:rFonts w:ascii="Arial" w:hAnsi="Arial" w:cs="Arial"/>
          <w:color w:val="000000" w:themeColor="text1"/>
          <w:lang w:eastAsia="en-GB"/>
        </w:rPr>
      </w:pPr>
      <w:r w:rsidRPr="00F05CDE">
        <w:rPr>
          <w:rFonts w:ascii="Arial" w:hAnsi="Arial" w:cs="Arial"/>
          <w:color w:val="000000" w:themeColor="text1"/>
          <w:lang w:eastAsia="en-GB"/>
        </w:rPr>
        <w:t>Knowing the relevant laws will assist you to understand the boundaries of your professional liability and complying with those laws will avoid potential problems and consequences</w:t>
      </w:r>
      <w:r w:rsidR="005E10DC">
        <w:rPr>
          <w:rFonts w:ascii="Arial" w:hAnsi="Arial" w:cs="Arial"/>
          <w:color w:val="000000" w:themeColor="text1"/>
          <w:lang w:eastAsia="en-GB"/>
        </w:rPr>
        <w:t>.</w:t>
      </w:r>
    </w:p>
    <w:p w14:paraId="312FA8F6" w14:textId="77777777" w:rsidR="007E3247" w:rsidRPr="00F05CDE" w:rsidRDefault="007E3247" w:rsidP="00F05CDE">
      <w:pPr>
        <w:snapToGrid w:val="0"/>
        <w:spacing w:after="360"/>
        <w:rPr>
          <w:rFonts w:ascii="Arial" w:hAnsi="Arial" w:cs="Arial"/>
          <w:color w:val="000000" w:themeColor="text1"/>
          <w:lang w:eastAsia="en-GB"/>
        </w:rPr>
      </w:pPr>
    </w:p>
    <w:p w14:paraId="74B79866" w14:textId="77777777" w:rsidR="00F05CDE" w:rsidRDefault="00F05CDE" w:rsidP="00AC5008">
      <w:pPr>
        <w:pStyle w:val="DJCSbody"/>
        <w:spacing w:after="0" w:line="240" w:lineRule="auto"/>
        <w:ind w:left="0"/>
        <w:sectPr w:rsidR="00F05CDE" w:rsidSect="003A24D0">
          <w:type w:val="continuous"/>
          <w:pgSz w:w="11906" w:h="16838" w:code="9"/>
          <w:pgMar w:top="1304" w:right="1134" w:bottom="1134" w:left="1134" w:header="284" w:footer="703" w:gutter="0"/>
          <w:cols w:num="2" w:space="720"/>
          <w:docGrid w:linePitch="360"/>
        </w:sectPr>
      </w:pPr>
    </w:p>
    <w:p w14:paraId="5321696B" w14:textId="77777777" w:rsidR="007E3247" w:rsidRPr="007E3247" w:rsidRDefault="007E3247" w:rsidP="007E3247">
      <w:pPr>
        <w:pStyle w:val="Heading2"/>
        <w:spacing w:before="0" w:after="360" w:line="240" w:lineRule="auto"/>
        <w:ind w:left="567" w:hanging="567"/>
        <w:rPr>
          <w:lang w:eastAsia="en-GB"/>
        </w:rPr>
      </w:pPr>
      <w:bookmarkStart w:id="3" w:name="_Toc78290773"/>
      <w:r w:rsidRPr="007E3247">
        <w:rPr>
          <w:lang w:eastAsia="en-GB"/>
        </w:rPr>
        <w:t>2</w:t>
      </w:r>
      <w:r w:rsidRPr="007E3247">
        <w:rPr>
          <w:lang w:eastAsia="en-GB"/>
        </w:rPr>
        <w:tab/>
        <w:t>Be honest and fair</w:t>
      </w:r>
      <w:bookmarkEnd w:id="3"/>
      <w:r w:rsidRPr="007E3247">
        <w:rPr>
          <w:lang w:eastAsia="en-GB"/>
        </w:rPr>
        <w:t xml:space="preserve"> </w:t>
      </w:r>
    </w:p>
    <w:tbl>
      <w:tblPr>
        <w:tblStyle w:val="TableGrid"/>
        <w:tblW w:w="964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blCellMar>
          <w:top w:w="113" w:type="dxa"/>
          <w:left w:w="57" w:type="dxa"/>
          <w:bottom w:w="113" w:type="dxa"/>
          <w:right w:w="57" w:type="dxa"/>
        </w:tblCellMar>
        <w:tblLook w:val="04A0" w:firstRow="1" w:lastRow="0" w:firstColumn="1" w:lastColumn="0" w:noHBand="0" w:noVBand="1"/>
      </w:tblPr>
      <w:tblGrid>
        <w:gridCol w:w="9644"/>
      </w:tblGrid>
      <w:tr w:rsidR="007E3247" w:rsidRPr="007E3247" w14:paraId="08485C62" w14:textId="77777777" w:rsidTr="0027333E">
        <w:tc>
          <w:tcPr>
            <w:tcW w:w="9644" w:type="dxa"/>
            <w:shd w:val="clear" w:color="auto" w:fill="DEEAF6"/>
          </w:tcPr>
          <w:p w14:paraId="43D61DF7" w14:textId="77777777" w:rsidR="007E3247" w:rsidRPr="00F16301" w:rsidRDefault="007E3247" w:rsidP="0008345F">
            <w:pPr>
              <w:tabs>
                <w:tab w:val="left" w:pos="426"/>
              </w:tabs>
              <w:snapToGrid w:val="0"/>
              <w:rPr>
                <w:rFonts w:ascii="Arial" w:hAnsi="Arial" w:cs="Arial"/>
                <w:color w:val="000000" w:themeColor="text1"/>
                <w:lang w:eastAsia="en-GB"/>
              </w:rPr>
            </w:pPr>
            <w:bookmarkStart w:id="4" w:name="_Hlk65238452"/>
            <w:r w:rsidRPr="00F16301">
              <w:rPr>
                <w:rFonts w:ascii="Arial" w:hAnsi="Arial" w:cs="Arial"/>
                <w:b/>
                <w:bCs/>
                <w:color w:val="000000" w:themeColor="text1"/>
                <w:lang w:eastAsia="en-GB"/>
              </w:rPr>
              <w:t xml:space="preserve">Summary </w:t>
            </w:r>
            <w:r w:rsidRPr="00F16301">
              <w:rPr>
                <w:rFonts w:ascii="Arial" w:hAnsi="Arial" w:cs="Arial"/>
                <w:color w:val="000000" w:themeColor="text1"/>
                <w:lang w:eastAsia="en-GB"/>
              </w:rPr>
              <w:t xml:space="preserve">– A registered professional engineer must act with honesty, fairness and integrity and must not misinform, </w:t>
            </w:r>
            <w:proofErr w:type="gramStart"/>
            <w:r w:rsidRPr="00F16301">
              <w:rPr>
                <w:rFonts w:ascii="Arial" w:hAnsi="Arial" w:cs="Arial"/>
                <w:color w:val="000000" w:themeColor="text1"/>
                <w:lang w:eastAsia="en-GB"/>
              </w:rPr>
              <w:t>mislead</w:t>
            </w:r>
            <w:proofErr w:type="gramEnd"/>
            <w:r w:rsidRPr="00F16301">
              <w:rPr>
                <w:rFonts w:ascii="Arial" w:hAnsi="Arial" w:cs="Arial"/>
                <w:color w:val="000000" w:themeColor="text1"/>
                <w:lang w:eastAsia="en-GB"/>
              </w:rPr>
              <w:t xml:space="preserve"> or deceive any parties or permit themselves to be misrepresented with respect to any work, document, presentation or publication.</w:t>
            </w:r>
          </w:p>
        </w:tc>
      </w:tr>
      <w:bookmarkEnd w:id="4"/>
    </w:tbl>
    <w:p w14:paraId="5B0CD24C" w14:textId="77777777" w:rsidR="007E3247" w:rsidRPr="007E3247" w:rsidRDefault="007E3247" w:rsidP="007E3247">
      <w:pPr>
        <w:snapToGrid w:val="0"/>
        <w:spacing w:after="120"/>
        <w:rPr>
          <w:rFonts w:ascii="Arial" w:hAnsi="Arial" w:cs="Arial"/>
          <w:color w:val="000000" w:themeColor="text1"/>
          <w:sz w:val="22"/>
          <w:szCs w:val="22"/>
          <w:lang w:eastAsia="en-GB"/>
        </w:rPr>
        <w:sectPr w:rsidR="007E3247" w:rsidRPr="007E3247" w:rsidSect="003A24D0">
          <w:type w:val="continuous"/>
          <w:pgSz w:w="11906" w:h="16838" w:code="9"/>
          <w:pgMar w:top="1304" w:right="1134" w:bottom="1134" w:left="1134" w:header="284" w:footer="703" w:gutter="0"/>
          <w:cols w:space="709"/>
          <w:docGrid w:linePitch="360"/>
        </w:sectPr>
      </w:pPr>
    </w:p>
    <w:p w14:paraId="15EC9E61" w14:textId="4458DB0A" w:rsidR="007E3247" w:rsidRPr="001240B7" w:rsidRDefault="007E3247" w:rsidP="007E3247">
      <w:pPr>
        <w:snapToGrid w:val="0"/>
        <w:spacing w:after="160"/>
        <w:rPr>
          <w:rFonts w:ascii="Arial" w:hAnsi="Arial" w:cs="Arial"/>
          <w:color w:val="000000" w:themeColor="text1"/>
          <w:lang w:eastAsia="en-GB"/>
        </w:rPr>
      </w:pPr>
      <w:r w:rsidRPr="001240B7">
        <w:rPr>
          <w:rFonts w:ascii="Arial" w:hAnsi="Arial" w:cs="Arial"/>
          <w:color w:val="000000" w:themeColor="text1"/>
          <w:lang w:eastAsia="en-GB"/>
        </w:rPr>
        <w:t>As a professional you must be honest, act with integrity and treat all parties fairly when providing professional engineering services in all your professional relationships. This applies to all of your dealings and communications</w:t>
      </w:r>
      <w:r w:rsidRPr="001240B7">
        <w:rPr>
          <w:rFonts w:ascii="Arial" w:hAnsi="Arial" w:cs="Arial"/>
          <w:color w:val="000000" w:themeColor="text1"/>
          <w:lang w:eastAsia="en-AU"/>
        </w:rPr>
        <w:t xml:space="preserve"> relat</w:t>
      </w:r>
      <w:r w:rsidR="00635DA7">
        <w:rPr>
          <w:rFonts w:ascii="Arial" w:hAnsi="Arial" w:cs="Arial"/>
          <w:color w:val="000000" w:themeColor="text1"/>
          <w:lang w:eastAsia="en-AU"/>
        </w:rPr>
        <w:t>ing</w:t>
      </w:r>
      <w:r w:rsidRPr="001240B7">
        <w:rPr>
          <w:rFonts w:ascii="Arial" w:hAnsi="Arial" w:cs="Arial"/>
          <w:color w:val="000000" w:themeColor="text1"/>
          <w:lang w:eastAsia="en-AU"/>
        </w:rPr>
        <w:t xml:space="preserve"> to the provision of professional engineering services</w:t>
      </w:r>
      <w:r w:rsidRPr="001240B7">
        <w:rPr>
          <w:rFonts w:ascii="Arial" w:hAnsi="Arial" w:cs="Arial"/>
          <w:color w:val="000000" w:themeColor="text1"/>
          <w:lang w:eastAsia="en-GB"/>
        </w:rPr>
        <w:t xml:space="preserve">, whether face-to-face or virtual, by phone or otherwise such as emails, texts and social media posts. </w:t>
      </w:r>
    </w:p>
    <w:p w14:paraId="6E0783B6" w14:textId="087827E2" w:rsidR="00883952" w:rsidRDefault="007E3247" w:rsidP="007E3247">
      <w:pPr>
        <w:snapToGrid w:val="0"/>
        <w:spacing w:after="160"/>
        <w:rPr>
          <w:rFonts w:ascii="Arial" w:hAnsi="Arial" w:cs="Arial"/>
          <w:color w:val="000000" w:themeColor="text1"/>
          <w:lang w:eastAsia="en-GB"/>
        </w:rPr>
      </w:pPr>
      <w:r w:rsidRPr="007E3247">
        <w:rPr>
          <w:rFonts w:ascii="Arial" w:hAnsi="Arial" w:cs="Arial"/>
          <w:color w:val="000000" w:themeColor="text1"/>
          <w:lang w:eastAsia="en-GB"/>
        </w:rPr>
        <w:t xml:space="preserve">Acting with honesty, fairness and integrity means that you do not misinform any party (knowingly </w:t>
      </w:r>
      <w:r w:rsidRPr="007E3247">
        <w:rPr>
          <w:rFonts w:ascii="Arial" w:hAnsi="Arial" w:cs="Arial"/>
          <w:color w:val="000000" w:themeColor="text1"/>
          <w:lang w:eastAsia="en-GB"/>
        </w:rPr>
        <w:t xml:space="preserve">provide incorrect or incomplete information) and that your conduct – actions and statements – must not be misleading or deceptive. </w:t>
      </w:r>
      <w:r w:rsidR="00883952" w:rsidRPr="00883952">
        <w:rPr>
          <w:rFonts w:ascii="Arial" w:hAnsi="Arial" w:cs="Arial"/>
          <w:color w:val="000000" w:themeColor="text1"/>
          <w:lang w:eastAsia="en-GB"/>
        </w:rPr>
        <w:t>A</w:t>
      </w:r>
      <w:r w:rsidR="00883952">
        <w:rPr>
          <w:rFonts w:ascii="Arial" w:hAnsi="Arial" w:cs="Arial"/>
          <w:color w:val="000000" w:themeColor="text1"/>
          <w:lang w:eastAsia="en-GB"/>
        </w:rPr>
        <w:t xml:space="preserve"> professional</w:t>
      </w:r>
      <w:r w:rsidR="00883952" w:rsidRPr="00883952">
        <w:rPr>
          <w:rFonts w:ascii="Arial" w:hAnsi="Arial" w:cs="Arial"/>
          <w:color w:val="000000" w:themeColor="text1"/>
          <w:lang w:eastAsia="en-GB"/>
        </w:rPr>
        <w:t xml:space="preserve"> engineer must make reasonable attempts to gather all relevant information.</w:t>
      </w:r>
    </w:p>
    <w:p w14:paraId="3184B0E0" w14:textId="5430C522" w:rsidR="007E3247" w:rsidRPr="007E3247" w:rsidRDefault="007E3247" w:rsidP="007E3247">
      <w:pPr>
        <w:snapToGrid w:val="0"/>
        <w:spacing w:after="160"/>
        <w:rPr>
          <w:rFonts w:ascii="Arial" w:hAnsi="Arial" w:cs="Arial"/>
          <w:color w:val="000000" w:themeColor="text1"/>
          <w:lang w:eastAsia="en-GB"/>
        </w:rPr>
      </w:pPr>
      <w:r w:rsidRPr="007E3247">
        <w:rPr>
          <w:rFonts w:ascii="Arial" w:hAnsi="Arial" w:cs="Arial"/>
          <w:color w:val="000000" w:themeColor="text1"/>
          <w:lang w:eastAsia="en-GB"/>
        </w:rPr>
        <w:t xml:space="preserve">It is an offence under the Australian Consumer Law (ACL), as set out in schedule 2 of the Commonwealth </w:t>
      </w:r>
      <w:r w:rsidRPr="007E3247">
        <w:rPr>
          <w:rFonts w:ascii="Arial" w:hAnsi="Arial" w:cs="Arial"/>
          <w:i/>
          <w:iCs/>
          <w:color w:val="000000" w:themeColor="text1"/>
          <w:lang w:eastAsia="en-GB"/>
        </w:rPr>
        <w:t xml:space="preserve">Competition and Consumer Act 2010, </w:t>
      </w:r>
      <w:r w:rsidRPr="007E3247">
        <w:rPr>
          <w:rFonts w:ascii="Arial" w:hAnsi="Arial" w:cs="Arial"/>
          <w:color w:val="000000" w:themeColor="text1"/>
          <w:lang w:eastAsia="en-GB"/>
        </w:rPr>
        <w:t xml:space="preserve">for professional engineers and professional engineering businesses involved in trade or commerce to engage in misleading or deceptive </w:t>
      </w:r>
      <w:r w:rsidRPr="007E3247">
        <w:rPr>
          <w:rFonts w:ascii="Arial" w:hAnsi="Arial" w:cs="Arial"/>
          <w:color w:val="000000" w:themeColor="text1"/>
          <w:lang w:eastAsia="en-GB"/>
        </w:rPr>
        <w:lastRenderedPageBreak/>
        <w:t>conduct or conduct that is likely to mislead or deceive.</w:t>
      </w:r>
    </w:p>
    <w:p w14:paraId="4A825FB6" w14:textId="77777777" w:rsidR="007E3247" w:rsidRPr="007E3247" w:rsidRDefault="007E3247" w:rsidP="00883952">
      <w:pPr>
        <w:snapToGrid w:val="0"/>
        <w:spacing w:after="360"/>
        <w:rPr>
          <w:rFonts w:ascii="Arial" w:hAnsi="Arial" w:cs="Arial"/>
          <w:color w:val="000000" w:themeColor="text1"/>
          <w:lang w:eastAsia="en-GB"/>
        </w:rPr>
      </w:pPr>
      <w:r w:rsidRPr="007E3247">
        <w:rPr>
          <w:rFonts w:ascii="Arial" w:hAnsi="Arial" w:cs="Arial"/>
          <w:color w:val="000000" w:themeColor="text1"/>
          <w:lang w:eastAsia="en-GB"/>
        </w:rPr>
        <w:t xml:space="preserve">Failing to disclose relevant information and opinions can also be misleading or deceptive. For example, not disclosing errors or underlying assumptions of concern discovered in a report to a client relying on that report or to other engineers working on the same project (provided that the client has approved the disclosure of any confidential information) is conduct that is </w:t>
      </w:r>
      <w:bookmarkStart w:id="5" w:name="_Hlk77951204"/>
      <w:r w:rsidRPr="007E3247">
        <w:rPr>
          <w:rFonts w:ascii="Arial" w:hAnsi="Arial" w:cs="Arial"/>
          <w:color w:val="000000" w:themeColor="text1"/>
          <w:lang w:eastAsia="en-GB"/>
        </w:rPr>
        <w:t>misleading and deceptive.</w:t>
      </w:r>
    </w:p>
    <w:tbl>
      <w:tblPr>
        <w:tblStyle w:val="TableGrid"/>
        <w:tblW w:w="0" w:type="auto"/>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shd w:val="clear" w:color="auto" w:fill="C0E8FF" w:themeFill="accent1" w:themeFillTint="33"/>
        <w:tblCellMar>
          <w:top w:w="85" w:type="dxa"/>
          <w:left w:w="85" w:type="dxa"/>
          <w:bottom w:w="85" w:type="dxa"/>
          <w:right w:w="85" w:type="dxa"/>
        </w:tblCellMar>
        <w:tblLook w:val="04A0" w:firstRow="1" w:lastRow="0" w:firstColumn="1" w:lastColumn="0" w:noHBand="0" w:noVBand="1"/>
      </w:tblPr>
      <w:tblGrid>
        <w:gridCol w:w="4444"/>
      </w:tblGrid>
      <w:tr w:rsidR="007E3247" w:rsidRPr="007E3247" w14:paraId="6D1AA9E2" w14:textId="77777777" w:rsidTr="001240B7">
        <w:tc>
          <w:tcPr>
            <w:tcW w:w="4444" w:type="dxa"/>
            <w:shd w:val="clear" w:color="auto" w:fill="DEEAF6"/>
          </w:tcPr>
          <w:p w14:paraId="069E96E6" w14:textId="77777777" w:rsidR="007E3247" w:rsidRPr="00F16301" w:rsidRDefault="007E3247" w:rsidP="0008345F">
            <w:pPr>
              <w:pStyle w:val="NormalWeb"/>
              <w:spacing w:after="120"/>
              <w:rPr>
                <w:color w:val="000000" w:themeColor="text1"/>
                <w:sz w:val="20"/>
                <w:szCs w:val="20"/>
                <w:lang w:eastAsia="en-GB"/>
              </w:rPr>
            </w:pPr>
            <w:r w:rsidRPr="00F16301">
              <w:rPr>
                <w:color w:val="000000" w:themeColor="text1"/>
                <w:sz w:val="20"/>
                <w:szCs w:val="20"/>
                <w:lang w:eastAsia="en-GB"/>
              </w:rPr>
              <w:t>Some examples of misleading and deceptive conduct …</w:t>
            </w:r>
          </w:p>
          <w:p w14:paraId="0D0F9780" w14:textId="1FD7EE78" w:rsidR="007E3247" w:rsidRPr="00F16301" w:rsidRDefault="007E3247" w:rsidP="007E3247">
            <w:pPr>
              <w:pStyle w:val="ListParagraph"/>
              <w:numPr>
                <w:ilvl w:val="0"/>
                <w:numId w:val="32"/>
              </w:numPr>
              <w:spacing w:after="120"/>
              <w:ind w:left="426" w:hanging="284"/>
              <w:contextualSpacing w:val="0"/>
              <w:rPr>
                <w:rFonts w:ascii="Arial" w:hAnsi="Arial" w:cs="Arial"/>
                <w:color w:val="000000" w:themeColor="text1"/>
                <w:lang w:eastAsia="en-GB"/>
              </w:rPr>
            </w:pPr>
            <w:r w:rsidRPr="00F16301">
              <w:rPr>
                <w:rFonts w:ascii="Arial" w:hAnsi="Arial" w:cs="Arial"/>
                <w:color w:val="000000" w:themeColor="text1"/>
                <w:lang w:eastAsia="en-GB"/>
              </w:rPr>
              <w:t>An endorsed building engineer is</w:t>
            </w:r>
            <w:r w:rsidRPr="00F16301">
              <w:rPr>
                <w:rFonts w:ascii="Arial" w:hAnsi="Arial" w:cs="Arial"/>
              </w:rPr>
              <w:t xml:space="preserve"> made aware by a building surveyor that the alterations to a building </w:t>
            </w:r>
            <w:r w:rsidRPr="00F16301">
              <w:rPr>
                <w:rFonts w:ascii="Arial" w:hAnsi="Arial" w:cs="Arial"/>
                <w:color w:val="000000" w:themeColor="text1"/>
                <w:lang w:eastAsia="en-GB"/>
              </w:rPr>
              <w:t xml:space="preserve">comprise more than 50 per cent of the whole building but they do not undertake a review of relevant aspects for the whole building because the project would become more </w:t>
            </w:r>
            <w:r w:rsidRPr="00F16301">
              <w:rPr>
                <w:rFonts w:ascii="Arial" w:hAnsi="Arial" w:cs="Arial"/>
              </w:rPr>
              <w:t xml:space="preserve">complex and expensive. </w:t>
            </w:r>
          </w:p>
          <w:p w14:paraId="2A33C7D8" w14:textId="708E20C9" w:rsidR="007E3247" w:rsidRPr="00F16301" w:rsidRDefault="007E3247" w:rsidP="007E3247">
            <w:pPr>
              <w:pStyle w:val="ListParagraph"/>
              <w:numPr>
                <w:ilvl w:val="0"/>
                <w:numId w:val="32"/>
              </w:numPr>
              <w:spacing w:after="120"/>
              <w:ind w:left="426" w:hanging="284"/>
              <w:contextualSpacing w:val="0"/>
              <w:rPr>
                <w:rFonts w:ascii="Arial" w:hAnsi="Arial" w:cs="Arial"/>
                <w:color w:val="000000" w:themeColor="text1"/>
                <w:lang w:eastAsia="en-GB"/>
              </w:rPr>
            </w:pPr>
            <w:r w:rsidRPr="00F16301">
              <w:rPr>
                <w:rFonts w:ascii="Arial" w:hAnsi="Arial" w:cs="Arial"/>
                <w:color w:val="000000" w:themeColor="text1"/>
                <w:lang w:eastAsia="en-GB"/>
              </w:rPr>
              <w:t xml:space="preserve">A dam is designed for a 1,000-year flood to avoid complexities in the design despite being required to design the dam for 5,000-year flood, as specified in </w:t>
            </w:r>
            <w:r w:rsidR="0075181C" w:rsidRPr="00F16301">
              <w:rPr>
                <w:rFonts w:ascii="Arial" w:hAnsi="Arial" w:cs="Arial"/>
                <w:color w:val="000000" w:themeColor="text1"/>
                <w:lang w:eastAsia="en-GB"/>
              </w:rPr>
              <w:t>t</w:t>
            </w:r>
            <w:r w:rsidR="0075181C" w:rsidRPr="00F16301">
              <w:rPr>
                <w:color w:val="000000" w:themeColor="text1"/>
              </w:rPr>
              <w:t xml:space="preserve">he </w:t>
            </w:r>
            <w:r w:rsidRPr="00F16301">
              <w:rPr>
                <w:rFonts w:ascii="Arial" w:hAnsi="Arial" w:cs="Arial"/>
                <w:color w:val="000000" w:themeColor="text1"/>
                <w:lang w:eastAsia="en-GB"/>
              </w:rPr>
              <w:t xml:space="preserve">guidance by </w:t>
            </w:r>
            <w:r w:rsidR="00635DA7" w:rsidRPr="00F16301">
              <w:rPr>
                <w:rFonts w:ascii="Arial" w:hAnsi="Arial" w:cs="Arial"/>
                <w:color w:val="000000" w:themeColor="text1"/>
                <w:lang w:eastAsia="en-GB"/>
              </w:rPr>
              <w:t xml:space="preserve">the </w:t>
            </w:r>
            <w:r w:rsidRPr="00F16301">
              <w:rPr>
                <w:rFonts w:ascii="Arial" w:hAnsi="Arial" w:cs="Arial"/>
                <w:color w:val="000000" w:themeColor="text1"/>
                <w:lang w:eastAsia="en-GB"/>
              </w:rPr>
              <w:t>Australian National Committee on Large Dams.</w:t>
            </w:r>
          </w:p>
          <w:p w14:paraId="01607950" w14:textId="14A8A5EF" w:rsidR="007E3247" w:rsidRPr="00883952" w:rsidRDefault="007E3247" w:rsidP="00AD5176">
            <w:pPr>
              <w:pStyle w:val="ListParagraph"/>
              <w:numPr>
                <w:ilvl w:val="0"/>
                <w:numId w:val="32"/>
              </w:numPr>
              <w:spacing w:after="20"/>
              <w:ind w:left="426" w:hanging="284"/>
              <w:contextualSpacing w:val="0"/>
              <w:rPr>
                <w:rFonts w:ascii="Arial" w:hAnsi="Arial" w:cs="Arial"/>
                <w:i/>
                <w:iCs/>
                <w:color w:val="000000" w:themeColor="text1"/>
                <w:lang w:eastAsia="en-GB"/>
              </w:rPr>
            </w:pPr>
            <w:r w:rsidRPr="00F16301">
              <w:rPr>
                <w:rFonts w:ascii="Arial" w:hAnsi="Arial" w:cs="Arial"/>
                <w:color w:val="000000" w:themeColor="text1"/>
                <w:lang w:eastAsia="en-GB"/>
              </w:rPr>
              <w:t>An endorsed building engineer issues a structural engineering compliance certificate of inspection certifying compliance with the Building Code of Australia when there are suspected structural design defects.</w:t>
            </w:r>
          </w:p>
        </w:tc>
      </w:tr>
    </w:tbl>
    <w:p w14:paraId="6DB564B1" w14:textId="7CFBA70D" w:rsidR="00883952" w:rsidRDefault="00883952" w:rsidP="00883952">
      <w:pPr>
        <w:snapToGrid w:val="0"/>
        <w:spacing w:after="160"/>
        <w:rPr>
          <w:rFonts w:ascii="Arial" w:hAnsi="Arial" w:cs="Arial"/>
          <w:color w:val="000000" w:themeColor="text1"/>
          <w:lang w:eastAsia="en-GB"/>
        </w:rPr>
      </w:pPr>
    </w:p>
    <w:p w14:paraId="5D449861" w14:textId="77777777" w:rsidR="00883952" w:rsidRDefault="00883952" w:rsidP="00883952">
      <w:pPr>
        <w:snapToGrid w:val="0"/>
        <w:spacing w:after="160"/>
        <w:rPr>
          <w:rFonts w:ascii="Arial" w:hAnsi="Arial" w:cs="Arial"/>
          <w:color w:val="000000" w:themeColor="text1"/>
          <w:lang w:eastAsia="en-GB"/>
        </w:rPr>
      </w:pPr>
    </w:p>
    <w:tbl>
      <w:tblPr>
        <w:tblStyle w:val="TableGrid"/>
        <w:tblW w:w="0" w:type="auto"/>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shd w:val="clear" w:color="auto" w:fill="C0E8FF" w:themeFill="accent1" w:themeFillTint="33"/>
        <w:tblCellMar>
          <w:top w:w="85" w:type="dxa"/>
          <w:left w:w="85" w:type="dxa"/>
          <w:bottom w:w="85" w:type="dxa"/>
          <w:right w:w="85" w:type="dxa"/>
        </w:tblCellMar>
        <w:tblLook w:val="04A0" w:firstRow="1" w:lastRow="0" w:firstColumn="1" w:lastColumn="0" w:noHBand="0" w:noVBand="1"/>
      </w:tblPr>
      <w:tblGrid>
        <w:gridCol w:w="4444"/>
      </w:tblGrid>
      <w:tr w:rsidR="00883952" w:rsidRPr="007E3247" w14:paraId="609205B9" w14:textId="77777777" w:rsidTr="00253F35">
        <w:tc>
          <w:tcPr>
            <w:tcW w:w="4444" w:type="dxa"/>
            <w:shd w:val="clear" w:color="auto" w:fill="DEEAF6"/>
          </w:tcPr>
          <w:p w14:paraId="3E8DCA2D" w14:textId="77777777" w:rsidR="00883952" w:rsidRPr="00F16301" w:rsidRDefault="00883952" w:rsidP="00AD5176">
            <w:pPr>
              <w:pStyle w:val="ListParagraph"/>
              <w:numPr>
                <w:ilvl w:val="0"/>
                <w:numId w:val="32"/>
              </w:numPr>
              <w:spacing w:after="20"/>
              <w:ind w:left="426" w:hanging="284"/>
              <w:contextualSpacing w:val="0"/>
              <w:rPr>
                <w:rFonts w:ascii="Arial" w:hAnsi="Arial" w:cs="Arial"/>
                <w:color w:val="000000" w:themeColor="text1"/>
                <w:lang w:eastAsia="en-GB"/>
              </w:rPr>
            </w:pPr>
            <w:r w:rsidRPr="00F16301">
              <w:rPr>
                <w:rFonts w:ascii="Arial" w:hAnsi="Arial" w:cs="Arial"/>
                <w:color w:val="000000" w:themeColor="text1"/>
                <w:lang w:eastAsia="en-GB"/>
              </w:rPr>
              <w:t>An endorsed building engineer issues an engineering compliance certificate of inspection certifying compliance with the Building Code of Australia without conducting a site inspection</w:t>
            </w:r>
            <w:r w:rsidRPr="00F16301">
              <w:rPr>
                <w:rFonts w:ascii="Arial" w:hAnsi="Arial" w:cs="Arial"/>
              </w:rPr>
              <w:t>, or</w:t>
            </w:r>
            <w:r w:rsidRPr="00F16301">
              <w:rPr>
                <w:rFonts w:ascii="Arial" w:hAnsi="Arial" w:cs="Arial"/>
                <w:color w:val="000000" w:themeColor="text1"/>
                <w:lang w:eastAsia="en-GB"/>
              </w:rPr>
              <w:t xml:space="preserve"> without performing any analysis.</w:t>
            </w:r>
          </w:p>
        </w:tc>
      </w:tr>
    </w:tbl>
    <w:p w14:paraId="32F4294E" w14:textId="35F4DDC4" w:rsidR="007E3247" w:rsidRPr="007E3247" w:rsidRDefault="00883952" w:rsidP="00883952">
      <w:pPr>
        <w:snapToGrid w:val="0"/>
        <w:spacing w:before="360" w:after="160"/>
        <w:rPr>
          <w:rFonts w:ascii="Arial" w:hAnsi="Arial" w:cs="Arial"/>
          <w:color w:val="000000" w:themeColor="text1"/>
          <w:lang w:eastAsia="en-GB"/>
        </w:rPr>
      </w:pPr>
      <w:r w:rsidRPr="007E3247">
        <w:rPr>
          <w:rFonts w:ascii="Arial" w:hAnsi="Arial" w:cs="Arial"/>
          <w:color w:val="000000" w:themeColor="text1"/>
          <w:lang w:eastAsia="en-GB"/>
        </w:rPr>
        <w:t xml:space="preserve">Situations can also arise where information </w:t>
      </w:r>
      <w:bookmarkEnd w:id="5"/>
      <w:r w:rsidR="007E3247" w:rsidRPr="007E3247">
        <w:rPr>
          <w:rFonts w:ascii="Arial" w:hAnsi="Arial" w:cs="Arial"/>
          <w:color w:val="000000" w:themeColor="text1"/>
          <w:lang w:eastAsia="en-GB"/>
        </w:rPr>
        <w:t xml:space="preserve">provided and statements made are accurate but are provided in a misleading way because qualifying information and/or conditions are not specified. For example, a professional engineer who knows that their design does not include the full scope of the proposed works or condition of existing interfacing structures, does not make clear what components are included in the scope of design, such as ancillary structures, propping, etc. </w:t>
      </w:r>
    </w:p>
    <w:p w14:paraId="5BE1716C" w14:textId="77777777" w:rsidR="007E3247" w:rsidRPr="007E3247" w:rsidRDefault="007E3247" w:rsidP="007E3247">
      <w:pPr>
        <w:snapToGrid w:val="0"/>
        <w:spacing w:after="160"/>
        <w:rPr>
          <w:rFonts w:ascii="Arial" w:hAnsi="Arial" w:cs="Arial"/>
          <w:color w:val="000000" w:themeColor="text1"/>
          <w:lang w:eastAsia="en-GB"/>
        </w:rPr>
      </w:pPr>
      <w:r w:rsidRPr="007E3247">
        <w:rPr>
          <w:rFonts w:ascii="Arial" w:hAnsi="Arial" w:cs="Arial"/>
          <w:color w:val="000000" w:themeColor="text1"/>
          <w:lang w:eastAsia="en-GB"/>
        </w:rPr>
        <w:t>Whether advertising, tendering, quoting or advising clients, the representations you make must not be false or misleading. While it is essential to be accurate about the standard, quality, value, grade, performance and characteristics of materials and services, representations about testimonials, sponsorships, publications and your authority must not be misrepresented. This includes not permitting your name to be used in relation to any work, document, presentation or publication to falsely represent your authorship of, responsibility for or agreement with the content or form of that work, document, presentation or publication. For example, you should not include your name on documentation for professional engineering work you have not undertaken, contributed to, or adequately supervised.</w:t>
      </w:r>
    </w:p>
    <w:p w14:paraId="3BB5D367" w14:textId="01C42D44" w:rsidR="0027333E" w:rsidRDefault="007E3247" w:rsidP="002B381A">
      <w:pPr>
        <w:snapToGrid w:val="0"/>
        <w:rPr>
          <w:rFonts w:cs="Arial"/>
          <w:b/>
          <w:bCs/>
          <w:color w:val="000000" w:themeColor="text1"/>
          <w:sz w:val="28"/>
          <w:szCs w:val="28"/>
          <w:lang w:eastAsia="en-GB"/>
        </w:rPr>
      </w:pPr>
      <w:r w:rsidRPr="007E3247">
        <w:rPr>
          <w:rFonts w:ascii="Arial" w:hAnsi="Arial" w:cs="Arial"/>
          <w:color w:val="000000" w:themeColor="text1"/>
          <w:lang w:eastAsia="en-GB"/>
        </w:rPr>
        <w:t>When deciding if conduct is misleading or deceptive, or is likely to mislead or deceive, it is important to consider whether the overall impression created by your actions and statements is or will be false or inaccurate.</w:t>
      </w:r>
    </w:p>
    <w:p w14:paraId="28BC78ED" w14:textId="690FE517" w:rsidR="001240B7" w:rsidRDefault="001240B7" w:rsidP="007E3247">
      <w:pPr>
        <w:tabs>
          <w:tab w:val="left" w:pos="426"/>
        </w:tabs>
        <w:snapToGrid w:val="0"/>
        <w:spacing w:before="360" w:after="240"/>
        <w:rPr>
          <w:rFonts w:cs="Arial"/>
          <w:b/>
          <w:bCs/>
          <w:color w:val="000000" w:themeColor="text1"/>
          <w:sz w:val="28"/>
          <w:szCs w:val="28"/>
          <w:lang w:eastAsia="en-GB"/>
        </w:rPr>
        <w:sectPr w:rsidR="001240B7" w:rsidSect="003A24D0">
          <w:type w:val="continuous"/>
          <w:pgSz w:w="11906" w:h="16838" w:code="9"/>
          <w:pgMar w:top="1304" w:right="1134" w:bottom="1134" w:left="1134" w:header="284" w:footer="703" w:gutter="0"/>
          <w:cols w:num="2" w:space="709"/>
          <w:docGrid w:linePitch="360"/>
        </w:sectPr>
      </w:pPr>
    </w:p>
    <w:p w14:paraId="2FF784D2" w14:textId="77777777" w:rsidR="0027333E" w:rsidRPr="0027333E" w:rsidRDefault="0027333E" w:rsidP="0027333E">
      <w:pPr>
        <w:pStyle w:val="Heading2"/>
        <w:spacing w:before="480" w:after="360" w:line="240" w:lineRule="auto"/>
        <w:ind w:left="567" w:hanging="567"/>
        <w:rPr>
          <w:lang w:eastAsia="en-GB"/>
        </w:rPr>
      </w:pPr>
      <w:bookmarkStart w:id="6" w:name="_Toc78290774"/>
      <w:r w:rsidRPr="0027333E">
        <w:rPr>
          <w:lang w:eastAsia="en-GB"/>
        </w:rPr>
        <w:t>3</w:t>
      </w:r>
      <w:r w:rsidRPr="0027333E">
        <w:rPr>
          <w:lang w:eastAsia="en-GB"/>
        </w:rPr>
        <w:tab/>
        <w:t>Deliver good practice professional engineering services</w:t>
      </w:r>
      <w:bookmarkEnd w:id="6"/>
    </w:p>
    <w:tbl>
      <w:tblPr>
        <w:tblStyle w:val="TableGrid"/>
        <w:tblW w:w="9678" w:type="dxa"/>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blCellMar>
          <w:top w:w="113" w:type="dxa"/>
          <w:left w:w="57" w:type="dxa"/>
          <w:bottom w:w="113" w:type="dxa"/>
          <w:right w:w="57" w:type="dxa"/>
        </w:tblCellMar>
        <w:tblLook w:val="04A0" w:firstRow="1" w:lastRow="0" w:firstColumn="1" w:lastColumn="0" w:noHBand="0" w:noVBand="1"/>
      </w:tblPr>
      <w:tblGrid>
        <w:gridCol w:w="9678"/>
      </w:tblGrid>
      <w:tr w:rsidR="0027333E" w:rsidRPr="0027333E" w14:paraId="6762EF50" w14:textId="77777777" w:rsidTr="0027333E">
        <w:tc>
          <w:tcPr>
            <w:tcW w:w="9678" w:type="dxa"/>
            <w:shd w:val="clear" w:color="auto" w:fill="DEEAF6"/>
          </w:tcPr>
          <w:p w14:paraId="45AF4BBF" w14:textId="77777777" w:rsidR="0027333E" w:rsidRPr="00F16301" w:rsidRDefault="0027333E" w:rsidP="0008345F">
            <w:pPr>
              <w:tabs>
                <w:tab w:val="left" w:pos="426"/>
              </w:tabs>
              <w:snapToGrid w:val="0"/>
              <w:spacing w:after="60"/>
              <w:rPr>
                <w:rFonts w:ascii="Arial" w:hAnsi="Arial" w:cs="Arial"/>
                <w:color w:val="000000" w:themeColor="text1"/>
                <w:lang w:eastAsia="en-GB"/>
              </w:rPr>
            </w:pPr>
            <w:r w:rsidRPr="00F16301">
              <w:rPr>
                <w:rFonts w:ascii="Arial" w:hAnsi="Arial" w:cs="Arial"/>
                <w:b/>
                <w:bCs/>
                <w:color w:val="000000" w:themeColor="text1"/>
                <w:lang w:eastAsia="en-GB"/>
              </w:rPr>
              <w:t xml:space="preserve">Summary </w:t>
            </w:r>
            <w:r w:rsidRPr="00F16301">
              <w:rPr>
                <w:rFonts w:ascii="Arial" w:hAnsi="Arial" w:cs="Arial"/>
                <w:color w:val="000000" w:themeColor="text1"/>
                <w:lang w:eastAsia="en-GB"/>
              </w:rPr>
              <w:t>–</w:t>
            </w:r>
            <w:r w:rsidRPr="00F16301">
              <w:rPr>
                <w:rFonts w:ascii="Arial" w:hAnsi="Arial" w:cs="Arial"/>
                <w:b/>
                <w:bCs/>
                <w:color w:val="000000" w:themeColor="text1"/>
                <w:lang w:eastAsia="en-GB"/>
              </w:rPr>
              <w:t xml:space="preserve"> </w:t>
            </w:r>
            <w:r w:rsidRPr="00F16301">
              <w:rPr>
                <w:rFonts w:ascii="Arial" w:hAnsi="Arial" w:cs="Arial"/>
                <w:color w:val="000000" w:themeColor="text1"/>
                <w:lang w:eastAsia="en-GB"/>
              </w:rPr>
              <w:t>A registered professional engineer:</w:t>
            </w:r>
          </w:p>
          <w:p w14:paraId="70F9C7F5" w14:textId="5E092AD2" w:rsidR="0027333E" w:rsidRPr="00F16301" w:rsidRDefault="0027333E" w:rsidP="0027333E">
            <w:pPr>
              <w:pStyle w:val="ListParagraph"/>
              <w:numPr>
                <w:ilvl w:val="0"/>
                <w:numId w:val="33"/>
              </w:numPr>
              <w:snapToGrid w:val="0"/>
              <w:ind w:left="649" w:hanging="283"/>
              <w:contextualSpacing w:val="0"/>
              <w:rPr>
                <w:rFonts w:ascii="Arial" w:hAnsi="Arial" w:cs="Arial"/>
                <w:color w:val="000000" w:themeColor="text1"/>
                <w:lang w:eastAsia="en-GB"/>
              </w:rPr>
            </w:pPr>
            <w:r w:rsidRPr="00F16301">
              <w:rPr>
                <w:rFonts w:ascii="Arial" w:hAnsi="Arial" w:cs="Arial"/>
                <w:color w:val="000000" w:themeColor="text1"/>
                <w:lang w:eastAsia="en-GB"/>
              </w:rPr>
              <w:t>must exercise skill and diligence and provide professional engineering service</w:t>
            </w:r>
            <w:r w:rsidR="002B381A" w:rsidRPr="00F16301">
              <w:rPr>
                <w:rFonts w:ascii="Arial" w:hAnsi="Arial" w:cs="Arial"/>
                <w:color w:val="000000" w:themeColor="text1"/>
                <w:lang w:eastAsia="en-GB"/>
              </w:rPr>
              <w:t>s</w:t>
            </w:r>
            <w:r w:rsidRPr="00F16301">
              <w:rPr>
                <w:rFonts w:ascii="Arial" w:hAnsi="Arial" w:cs="Arial"/>
                <w:color w:val="000000" w:themeColor="text1"/>
                <w:lang w:eastAsia="en-GB"/>
              </w:rPr>
              <w:t xml:space="preserve"> with reasonable care and within a reasonable time</w:t>
            </w:r>
          </w:p>
          <w:p w14:paraId="3978FF96" w14:textId="77777777" w:rsidR="0027333E" w:rsidRPr="00F16301" w:rsidRDefault="0027333E" w:rsidP="0027333E">
            <w:pPr>
              <w:pStyle w:val="ListParagraph"/>
              <w:numPr>
                <w:ilvl w:val="0"/>
                <w:numId w:val="33"/>
              </w:numPr>
              <w:snapToGrid w:val="0"/>
              <w:ind w:left="649" w:hanging="283"/>
              <w:contextualSpacing w:val="0"/>
              <w:rPr>
                <w:rFonts w:ascii="Arial" w:hAnsi="Arial" w:cs="Arial"/>
                <w:color w:val="000000" w:themeColor="text1"/>
                <w:lang w:eastAsia="en-GB"/>
              </w:rPr>
            </w:pPr>
            <w:r w:rsidRPr="00F16301">
              <w:rPr>
                <w:rFonts w:ascii="Arial" w:hAnsi="Arial" w:cs="Arial"/>
                <w:color w:val="000000" w:themeColor="text1"/>
                <w:lang w:eastAsia="en-GB"/>
              </w:rPr>
              <w:t>should seek peer review unless impractical, and</w:t>
            </w:r>
          </w:p>
          <w:p w14:paraId="71F1E173" w14:textId="77777777" w:rsidR="0027333E" w:rsidRPr="0027333E" w:rsidRDefault="0027333E" w:rsidP="0027333E">
            <w:pPr>
              <w:pStyle w:val="ListParagraph"/>
              <w:numPr>
                <w:ilvl w:val="0"/>
                <w:numId w:val="33"/>
              </w:numPr>
              <w:snapToGrid w:val="0"/>
              <w:ind w:left="653" w:hanging="284"/>
              <w:contextualSpacing w:val="0"/>
              <w:rPr>
                <w:rFonts w:ascii="Arial" w:hAnsi="Arial" w:cs="Arial"/>
                <w:i/>
                <w:iCs/>
                <w:color w:val="000000" w:themeColor="text1"/>
                <w:lang w:eastAsia="en-GB"/>
              </w:rPr>
            </w:pPr>
            <w:r w:rsidRPr="00F16301">
              <w:rPr>
                <w:rFonts w:ascii="Arial" w:hAnsi="Arial" w:cs="Arial"/>
                <w:color w:val="000000" w:themeColor="text1"/>
                <w:lang w:eastAsia="en-GB"/>
              </w:rPr>
              <w:t>must not engage in conduct that is detrimental to the profession or contrary to the public interest.</w:t>
            </w:r>
          </w:p>
        </w:tc>
      </w:tr>
    </w:tbl>
    <w:p w14:paraId="5983B7B0" w14:textId="77777777" w:rsidR="0027333E" w:rsidRPr="0027333E" w:rsidRDefault="0027333E" w:rsidP="0027333E">
      <w:pPr>
        <w:snapToGrid w:val="0"/>
        <w:spacing w:after="120"/>
        <w:rPr>
          <w:rFonts w:ascii="Arial" w:hAnsi="Arial" w:cs="Arial"/>
          <w:b/>
          <w:bCs/>
          <w:i/>
          <w:iCs/>
          <w:color w:val="000000" w:themeColor="text1"/>
          <w:sz w:val="22"/>
          <w:szCs w:val="22"/>
          <w:lang w:eastAsia="en-GB"/>
        </w:rPr>
      </w:pPr>
    </w:p>
    <w:p w14:paraId="2D2ABCCC" w14:textId="77777777" w:rsidR="0027333E" w:rsidRPr="0027333E" w:rsidRDefault="0027333E" w:rsidP="0027333E">
      <w:pPr>
        <w:snapToGrid w:val="0"/>
        <w:spacing w:after="120"/>
        <w:rPr>
          <w:rFonts w:ascii="Arial" w:hAnsi="Arial" w:cs="Arial"/>
          <w:b/>
          <w:bCs/>
          <w:i/>
          <w:iCs/>
          <w:color w:val="000000" w:themeColor="text1"/>
          <w:sz w:val="22"/>
          <w:szCs w:val="22"/>
          <w:lang w:eastAsia="en-GB"/>
        </w:rPr>
        <w:sectPr w:rsidR="0027333E" w:rsidRPr="0027333E" w:rsidSect="003A24D0">
          <w:type w:val="continuous"/>
          <w:pgSz w:w="11906" w:h="16838" w:code="9"/>
          <w:pgMar w:top="1304" w:right="1134" w:bottom="1134" w:left="1134" w:header="284" w:footer="703" w:gutter="0"/>
          <w:cols w:space="709"/>
          <w:docGrid w:linePitch="360"/>
        </w:sectPr>
      </w:pPr>
    </w:p>
    <w:p w14:paraId="5B999A20" w14:textId="77777777" w:rsidR="0027333E" w:rsidRPr="0027333E" w:rsidRDefault="0027333E" w:rsidP="0027333E">
      <w:pPr>
        <w:snapToGrid w:val="0"/>
        <w:spacing w:after="160"/>
        <w:rPr>
          <w:rFonts w:ascii="Arial" w:hAnsi="Arial" w:cs="Arial"/>
          <w:b/>
          <w:bCs/>
          <w:i/>
          <w:iCs/>
          <w:color w:val="000000" w:themeColor="text1"/>
          <w:sz w:val="22"/>
          <w:szCs w:val="22"/>
          <w:lang w:eastAsia="en-GB"/>
        </w:rPr>
      </w:pPr>
      <w:r w:rsidRPr="0027333E">
        <w:rPr>
          <w:rFonts w:ascii="Arial" w:hAnsi="Arial" w:cs="Arial"/>
          <w:b/>
          <w:bCs/>
          <w:i/>
          <w:iCs/>
          <w:color w:val="000000" w:themeColor="text1"/>
          <w:sz w:val="22"/>
          <w:szCs w:val="22"/>
          <w:lang w:eastAsia="en-GB"/>
        </w:rPr>
        <w:t>Skill, diligence, care and timeliness</w:t>
      </w:r>
    </w:p>
    <w:p w14:paraId="2EBAAA6C" w14:textId="77777777" w:rsidR="0027333E" w:rsidRPr="0027333E" w:rsidRDefault="0027333E" w:rsidP="0027333E">
      <w:pPr>
        <w:snapToGrid w:val="0"/>
        <w:spacing w:after="160"/>
        <w:rPr>
          <w:rFonts w:ascii="Arial" w:hAnsi="Arial" w:cs="Arial"/>
          <w:color w:val="000000" w:themeColor="text1"/>
          <w:lang w:eastAsia="en-GB"/>
        </w:rPr>
      </w:pPr>
      <w:r w:rsidRPr="0027333E">
        <w:rPr>
          <w:rFonts w:ascii="Arial" w:hAnsi="Arial" w:cs="Arial"/>
          <w:color w:val="000000" w:themeColor="text1"/>
          <w:lang w:eastAsia="en-GB"/>
        </w:rPr>
        <w:t xml:space="preserve">The obligation in the Code to exercise skill, diligence and reasonable care when providing professional engineering services reinforces your common law duties. It is also consistent with the </w:t>
      </w:r>
      <w:r w:rsidRPr="0027333E">
        <w:rPr>
          <w:rFonts w:ascii="Arial" w:hAnsi="Arial" w:cs="Arial"/>
          <w:color w:val="000000" w:themeColor="text1"/>
          <w:lang w:eastAsia="en-GB"/>
        </w:rPr>
        <w:t>obligation commonly included in many professional engineering services engagement agreements that you perform services with reasonable skill, care and diligence.</w:t>
      </w:r>
    </w:p>
    <w:p w14:paraId="4A28C12F" w14:textId="77777777" w:rsidR="0027333E" w:rsidRPr="0027333E" w:rsidRDefault="0027333E" w:rsidP="0027333E">
      <w:pPr>
        <w:snapToGrid w:val="0"/>
        <w:spacing w:after="160"/>
        <w:rPr>
          <w:rFonts w:ascii="Arial" w:hAnsi="Arial" w:cs="Arial"/>
          <w:color w:val="000000" w:themeColor="text1"/>
          <w:lang w:eastAsia="en-GB"/>
        </w:rPr>
      </w:pPr>
      <w:r w:rsidRPr="0027333E">
        <w:rPr>
          <w:rFonts w:ascii="Arial" w:hAnsi="Arial" w:cs="Arial"/>
          <w:color w:val="000000" w:themeColor="text1"/>
          <w:lang w:eastAsia="en-GB"/>
        </w:rPr>
        <w:lastRenderedPageBreak/>
        <w:t xml:space="preserve">Laws applying in Victoria also address this obligation. For example, the </w:t>
      </w:r>
      <w:r w:rsidRPr="0027333E">
        <w:rPr>
          <w:rFonts w:ascii="Arial" w:hAnsi="Arial" w:cs="Arial"/>
          <w:i/>
          <w:iCs/>
          <w:color w:val="000000" w:themeColor="text1"/>
          <w:lang w:eastAsia="en-GB"/>
        </w:rPr>
        <w:t>Wrongs Act 1958</w:t>
      </w:r>
      <w:r w:rsidRPr="0027333E">
        <w:rPr>
          <w:rFonts w:ascii="Arial" w:hAnsi="Arial" w:cs="Arial"/>
          <w:color w:val="000000" w:themeColor="text1"/>
          <w:lang w:eastAsia="en-GB"/>
        </w:rPr>
        <w:t xml:space="preserve"> (Wrongs Act) provides authority for claims for damages for negligence, that is a failure to exercise reasonable skill and care, and the ACL guarantees that services are provided with due skill and care. While the Wrongs Act applies to the provision of all professional engineering services, the ACL guarantees are limited to services that are provided to ‘consumers’. </w:t>
      </w:r>
    </w:p>
    <w:p w14:paraId="1887FAA6" w14:textId="77777777" w:rsidR="0027333E" w:rsidRPr="0027333E" w:rsidRDefault="0027333E" w:rsidP="0027333E">
      <w:pPr>
        <w:snapToGrid w:val="0"/>
        <w:spacing w:after="360"/>
        <w:rPr>
          <w:rFonts w:ascii="Arial" w:hAnsi="Arial" w:cs="Arial"/>
          <w:color w:val="000000" w:themeColor="text1"/>
          <w:lang w:eastAsia="en-GB"/>
        </w:rPr>
      </w:pPr>
      <w:r w:rsidRPr="0027333E">
        <w:rPr>
          <w:rFonts w:ascii="Arial" w:hAnsi="Arial" w:cs="Arial"/>
          <w:color w:val="000000" w:themeColor="text1"/>
          <w:lang w:eastAsia="en-GB"/>
        </w:rPr>
        <w:t>An individual or a business is a consumer under the ACL if the service being provided is less than $100,000 or is ordinarily provided for domestic, household or personal use or consumption. This means that there is a duty of skill and care under the ACL when providing professional engineering services to an individual or business in relation to their personal property such as a motor vehicle or building.</w:t>
      </w:r>
    </w:p>
    <w:tbl>
      <w:tblPr>
        <w:tblStyle w:val="TableGrid"/>
        <w:tblW w:w="0" w:type="auto"/>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shd w:val="clear" w:color="auto" w:fill="DEEAF6"/>
        <w:tblCellMar>
          <w:top w:w="85" w:type="dxa"/>
          <w:left w:w="85" w:type="dxa"/>
          <w:bottom w:w="85" w:type="dxa"/>
          <w:right w:w="85" w:type="dxa"/>
        </w:tblCellMar>
        <w:tblLook w:val="04A0" w:firstRow="1" w:lastRow="0" w:firstColumn="1" w:lastColumn="0" w:noHBand="0" w:noVBand="1"/>
      </w:tblPr>
      <w:tblGrid>
        <w:gridCol w:w="4444"/>
      </w:tblGrid>
      <w:tr w:rsidR="0027333E" w:rsidRPr="0027333E" w14:paraId="7F7169F1" w14:textId="77777777" w:rsidTr="0027333E">
        <w:tc>
          <w:tcPr>
            <w:tcW w:w="4444" w:type="dxa"/>
            <w:shd w:val="clear" w:color="auto" w:fill="DEEAF6"/>
          </w:tcPr>
          <w:p w14:paraId="33A76C3A" w14:textId="77777777" w:rsidR="0027333E" w:rsidRPr="00F16301" w:rsidRDefault="0027333E" w:rsidP="0008345F">
            <w:pPr>
              <w:snapToGrid w:val="0"/>
              <w:spacing w:after="160"/>
              <w:rPr>
                <w:rFonts w:ascii="Arial" w:hAnsi="Arial" w:cs="Arial"/>
                <w:color w:val="000000" w:themeColor="text1"/>
                <w:lang w:eastAsia="en-GB"/>
              </w:rPr>
            </w:pPr>
            <w:r w:rsidRPr="00F16301">
              <w:rPr>
                <w:rFonts w:ascii="Arial" w:hAnsi="Arial" w:cs="Arial"/>
                <w:color w:val="000000" w:themeColor="text1"/>
                <w:lang w:eastAsia="en-GB"/>
              </w:rPr>
              <w:t xml:space="preserve">Some examples of a professional engineer not exercising skill, </w:t>
            </w:r>
            <w:proofErr w:type="gramStart"/>
            <w:r w:rsidRPr="00F16301">
              <w:rPr>
                <w:rFonts w:ascii="Arial" w:hAnsi="Arial" w:cs="Arial"/>
                <w:color w:val="000000" w:themeColor="text1"/>
                <w:lang w:eastAsia="en-GB"/>
              </w:rPr>
              <w:t>diligence</w:t>
            </w:r>
            <w:proofErr w:type="gramEnd"/>
            <w:r w:rsidRPr="00F16301">
              <w:rPr>
                <w:rFonts w:ascii="Arial" w:hAnsi="Arial" w:cs="Arial"/>
                <w:color w:val="000000" w:themeColor="text1"/>
                <w:lang w:eastAsia="en-GB"/>
              </w:rPr>
              <w:t xml:space="preserve"> and care …</w:t>
            </w:r>
          </w:p>
          <w:p w14:paraId="38EFB035" w14:textId="77777777" w:rsidR="0027333E" w:rsidRPr="00F16301" w:rsidRDefault="0027333E" w:rsidP="0027333E">
            <w:pPr>
              <w:pStyle w:val="ListParagraph"/>
              <w:numPr>
                <w:ilvl w:val="0"/>
                <w:numId w:val="32"/>
              </w:numPr>
              <w:spacing w:after="120"/>
              <w:ind w:left="426" w:hanging="284"/>
              <w:contextualSpacing w:val="0"/>
              <w:rPr>
                <w:rFonts w:ascii="Arial" w:hAnsi="Arial" w:cs="Arial"/>
                <w:color w:val="000000" w:themeColor="text1"/>
                <w:lang w:eastAsia="en-GB"/>
              </w:rPr>
            </w:pPr>
            <w:r w:rsidRPr="00F16301">
              <w:rPr>
                <w:rFonts w:ascii="Arial" w:hAnsi="Arial" w:cs="Arial"/>
                <w:color w:val="000000" w:themeColor="text1"/>
                <w:lang w:eastAsia="en-GB"/>
              </w:rPr>
              <w:t>A retaining wall is built over an easement or underground infrastructure because the professional engineer failed to seek advice from the local council or DIAL BEFORE YOU DIG before designing and certifying the wall.</w:t>
            </w:r>
          </w:p>
          <w:p w14:paraId="5E47B180" w14:textId="77777777" w:rsidR="0027333E" w:rsidRPr="0027333E" w:rsidRDefault="0027333E" w:rsidP="00AD5176">
            <w:pPr>
              <w:pStyle w:val="ListParagraph"/>
              <w:numPr>
                <w:ilvl w:val="0"/>
                <w:numId w:val="32"/>
              </w:numPr>
              <w:spacing w:after="20"/>
              <w:ind w:left="426" w:hanging="284"/>
              <w:contextualSpacing w:val="0"/>
              <w:rPr>
                <w:rFonts w:ascii="Arial" w:hAnsi="Arial" w:cs="Arial"/>
                <w:i/>
                <w:iCs/>
                <w:color w:val="000000" w:themeColor="text1"/>
                <w:lang w:eastAsia="en-GB"/>
              </w:rPr>
            </w:pPr>
            <w:r w:rsidRPr="00F16301">
              <w:rPr>
                <w:rFonts w:ascii="Arial" w:hAnsi="Arial" w:cs="Arial"/>
                <w:color w:val="000000" w:themeColor="text1"/>
                <w:lang w:eastAsia="en-GB"/>
              </w:rPr>
              <w:t>A professional engineer advises a client that a change to a pipe size will only incur additional costs for the pipe replacement without foreseeing other associated costs, such as a change to the size or number of required pumps.</w:t>
            </w:r>
          </w:p>
        </w:tc>
      </w:tr>
    </w:tbl>
    <w:p w14:paraId="3CFA38B7" w14:textId="77777777" w:rsidR="0027333E" w:rsidRPr="0027333E" w:rsidRDefault="0027333E" w:rsidP="0027333E">
      <w:pPr>
        <w:snapToGrid w:val="0"/>
        <w:spacing w:before="360" w:after="160"/>
        <w:rPr>
          <w:rFonts w:ascii="Arial" w:hAnsi="Arial" w:cs="Arial"/>
          <w:color w:val="000000" w:themeColor="text1"/>
          <w:lang w:eastAsia="en-GB"/>
        </w:rPr>
      </w:pPr>
      <w:r w:rsidRPr="0027333E">
        <w:rPr>
          <w:rFonts w:ascii="Arial" w:hAnsi="Arial" w:cs="Arial"/>
          <w:color w:val="000000" w:themeColor="text1"/>
          <w:lang w:eastAsia="en-GB"/>
        </w:rPr>
        <w:t>You will meet your obligation under Clause 3 of the Code to provide professional engineering services within a reasonable time when you provide those services in line with any agreement with your client – this may be set out in the professional engineering services engagement agreement. If no time is agreed, the services would be expected to be provided without unnecessary delay taking into consideration the circumstances and the nature of the service.</w:t>
      </w:r>
    </w:p>
    <w:p w14:paraId="665E8930" w14:textId="77777777" w:rsidR="0027333E" w:rsidRPr="0027333E" w:rsidRDefault="0027333E" w:rsidP="0027333E">
      <w:pPr>
        <w:snapToGrid w:val="0"/>
        <w:spacing w:after="240"/>
        <w:rPr>
          <w:rFonts w:ascii="Arial" w:hAnsi="Arial" w:cs="Arial"/>
          <w:color w:val="000000" w:themeColor="text1"/>
          <w:lang w:eastAsia="en-GB"/>
        </w:rPr>
      </w:pPr>
      <w:r w:rsidRPr="0027333E">
        <w:rPr>
          <w:rFonts w:ascii="Arial" w:hAnsi="Arial" w:cs="Arial"/>
          <w:color w:val="000000" w:themeColor="text1"/>
          <w:lang w:eastAsia="en-GB"/>
        </w:rPr>
        <w:t>Reasonable is defined in the Code to mean an action or conduct that would be considered by an average person to be just, rational, appropriate, ordinary or usual in a particular situation.</w:t>
      </w:r>
    </w:p>
    <w:p w14:paraId="53C1E5EE" w14:textId="30060F70" w:rsidR="0027333E" w:rsidRPr="0027333E" w:rsidRDefault="0027333E" w:rsidP="0027333E">
      <w:pPr>
        <w:snapToGrid w:val="0"/>
        <w:spacing w:after="160"/>
        <w:rPr>
          <w:rFonts w:ascii="Arial" w:hAnsi="Arial" w:cs="Arial"/>
          <w:b/>
          <w:bCs/>
          <w:i/>
          <w:iCs/>
          <w:color w:val="000000" w:themeColor="text1"/>
          <w:sz w:val="22"/>
          <w:szCs w:val="22"/>
          <w:lang w:eastAsia="en-GB"/>
        </w:rPr>
      </w:pPr>
      <w:r w:rsidRPr="0027333E">
        <w:rPr>
          <w:rFonts w:ascii="Arial" w:hAnsi="Arial" w:cs="Arial"/>
          <w:b/>
          <w:bCs/>
          <w:i/>
          <w:iCs/>
          <w:color w:val="000000" w:themeColor="text1"/>
          <w:sz w:val="22"/>
          <w:szCs w:val="22"/>
          <w:lang w:eastAsia="en-GB"/>
        </w:rPr>
        <w:t>Peer review</w:t>
      </w:r>
    </w:p>
    <w:p w14:paraId="509EC017" w14:textId="77777777" w:rsidR="0027333E" w:rsidRPr="0027333E" w:rsidRDefault="0027333E" w:rsidP="0027333E">
      <w:pPr>
        <w:snapToGrid w:val="0"/>
        <w:spacing w:after="160"/>
        <w:rPr>
          <w:rFonts w:ascii="Arial" w:hAnsi="Arial" w:cs="Arial"/>
          <w:color w:val="000000" w:themeColor="text1"/>
          <w:lang w:eastAsia="en-GB"/>
        </w:rPr>
      </w:pPr>
      <w:r w:rsidRPr="0027333E">
        <w:rPr>
          <w:rFonts w:ascii="Arial" w:hAnsi="Arial" w:cs="Arial"/>
          <w:color w:val="000000" w:themeColor="text1"/>
          <w:lang w:eastAsia="en-GB"/>
        </w:rPr>
        <w:t xml:space="preserve">A peer review is an evaluation of the adequacy of engineering work by an independent professional engineer who has expertise in the area of engineering. Peer reviews are conducted in addition to the normal quality control and checking </w:t>
      </w:r>
      <w:r w:rsidRPr="0027333E">
        <w:rPr>
          <w:rFonts w:ascii="Arial" w:hAnsi="Arial" w:cs="Arial"/>
          <w:color w:val="000000" w:themeColor="text1"/>
          <w:lang w:eastAsia="en-GB"/>
        </w:rPr>
        <w:t>procedures that many engineering businesses have in place.  </w:t>
      </w:r>
    </w:p>
    <w:p w14:paraId="753C0A05" w14:textId="77777777" w:rsidR="0027333E" w:rsidRPr="0027333E" w:rsidRDefault="0027333E" w:rsidP="0027333E">
      <w:pPr>
        <w:snapToGrid w:val="0"/>
        <w:spacing w:after="160"/>
        <w:rPr>
          <w:rFonts w:ascii="Arial" w:hAnsi="Arial" w:cs="Arial"/>
          <w:color w:val="000000" w:themeColor="text1"/>
          <w:lang w:eastAsia="en-GB"/>
        </w:rPr>
      </w:pPr>
      <w:r w:rsidRPr="0027333E">
        <w:rPr>
          <w:rFonts w:ascii="Arial" w:hAnsi="Arial" w:cs="Arial"/>
          <w:color w:val="000000" w:themeColor="text1"/>
          <w:lang w:eastAsia="en-GB"/>
        </w:rPr>
        <w:t xml:space="preserve">A peer review may be conducted for completed or partially completed professional engineering work, at pre-determined stages of a large or complex project or for key components of professional engineering work. </w:t>
      </w:r>
    </w:p>
    <w:p w14:paraId="1B594F97" w14:textId="7E237103" w:rsidR="0027333E" w:rsidRPr="0027333E" w:rsidRDefault="0027333E" w:rsidP="0027333E">
      <w:pPr>
        <w:snapToGrid w:val="0"/>
        <w:spacing w:after="160"/>
        <w:rPr>
          <w:rFonts w:ascii="Arial" w:hAnsi="Arial" w:cs="Arial"/>
          <w:color w:val="000000" w:themeColor="text1"/>
          <w:lang w:eastAsia="en-GB"/>
        </w:rPr>
      </w:pPr>
      <w:r w:rsidRPr="0027333E">
        <w:rPr>
          <w:rFonts w:ascii="Arial" w:hAnsi="Arial" w:cs="Arial"/>
          <w:color w:val="000000" w:themeColor="text1"/>
          <w:lang w:eastAsia="en-GB"/>
        </w:rPr>
        <w:t xml:space="preserve">Clause 3 of the Code does not require you to seek </w:t>
      </w:r>
      <w:r w:rsidR="00987EEA" w:rsidRPr="0027333E">
        <w:rPr>
          <w:rFonts w:ascii="Arial" w:hAnsi="Arial" w:cs="Arial"/>
          <w:color w:val="000000" w:themeColor="text1"/>
          <w:lang w:eastAsia="en-GB"/>
        </w:rPr>
        <w:t xml:space="preserve">a </w:t>
      </w:r>
      <w:r w:rsidRPr="0027333E">
        <w:rPr>
          <w:rFonts w:ascii="Arial" w:hAnsi="Arial" w:cs="Arial"/>
          <w:color w:val="000000" w:themeColor="text1"/>
          <w:lang w:eastAsia="en-GB"/>
        </w:rPr>
        <w:t xml:space="preserve">peer review but recommends that one be undertaken. Peer reviews should be considered for higher risk professional engineering services such as those that are non-routine, complex, have new or unique engineering aspects, have high financial or economic risks, have significant public safety aspects or use new or unusual materials. </w:t>
      </w:r>
    </w:p>
    <w:p w14:paraId="4C4F0B60" w14:textId="77777777" w:rsidR="0027333E" w:rsidRPr="0027333E" w:rsidRDefault="0027333E" w:rsidP="0027333E">
      <w:pPr>
        <w:snapToGrid w:val="0"/>
        <w:spacing w:after="160"/>
        <w:rPr>
          <w:rFonts w:ascii="Arial" w:hAnsi="Arial" w:cs="Arial"/>
          <w:color w:val="000000" w:themeColor="text1"/>
          <w:lang w:eastAsia="en-GB"/>
        </w:rPr>
      </w:pPr>
      <w:r w:rsidRPr="0027333E">
        <w:rPr>
          <w:rFonts w:ascii="Arial" w:hAnsi="Arial" w:cs="Arial"/>
          <w:color w:val="000000" w:themeColor="text1"/>
          <w:lang w:eastAsia="en-GB"/>
        </w:rPr>
        <w:t>A peer review would not normally be sought for a low risk engineering service such as:</w:t>
      </w:r>
    </w:p>
    <w:p w14:paraId="0F745292" w14:textId="77777777" w:rsidR="0027333E" w:rsidRPr="0027333E" w:rsidRDefault="0027333E" w:rsidP="0027333E">
      <w:pPr>
        <w:pStyle w:val="ListParagraph"/>
        <w:numPr>
          <w:ilvl w:val="0"/>
          <w:numId w:val="34"/>
        </w:numPr>
        <w:spacing w:after="120"/>
        <w:ind w:left="426" w:hanging="284"/>
        <w:contextualSpacing w:val="0"/>
        <w:rPr>
          <w:rFonts w:ascii="Arial" w:hAnsi="Arial" w:cs="Arial"/>
          <w:color w:val="000000" w:themeColor="text1"/>
          <w:lang w:eastAsia="en-GB"/>
        </w:rPr>
      </w:pPr>
      <w:r w:rsidRPr="0027333E">
        <w:rPr>
          <w:rFonts w:ascii="Arial" w:hAnsi="Arial" w:cs="Arial"/>
          <w:color w:val="000000" w:themeColor="text1"/>
          <w:lang w:eastAsia="en-GB"/>
        </w:rPr>
        <w:t>the design of a prototype for the purpose of testing and assessment</w:t>
      </w:r>
    </w:p>
    <w:p w14:paraId="7C9065B4" w14:textId="6F845423" w:rsidR="0027333E" w:rsidRPr="0027333E" w:rsidRDefault="0027333E" w:rsidP="0027333E">
      <w:pPr>
        <w:pStyle w:val="ListParagraph"/>
        <w:numPr>
          <w:ilvl w:val="0"/>
          <w:numId w:val="34"/>
        </w:numPr>
        <w:spacing w:after="120"/>
        <w:ind w:left="426" w:hanging="284"/>
        <w:contextualSpacing w:val="0"/>
        <w:rPr>
          <w:rFonts w:ascii="Arial" w:hAnsi="Arial" w:cs="Arial"/>
          <w:color w:val="000000" w:themeColor="text1"/>
          <w:lang w:eastAsia="en-GB"/>
        </w:rPr>
      </w:pPr>
      <w:r w:rsidRPr="0027333E">
        <w:rPr>
          <w:rFonts w:ascii="Arial" w:hAnsi="Arial" w:cs="Arial"/>
          <w:color w:val="000000" w:themeColor="text1"/>
          <w:lang w:eastAsia="en-GB"/>
        </w:rPr>
        <w:t>increasing the width of an access road, to allow for large-scale machinery, to a dam construction site, if there is minimal cost to the client and little impact to the surrounding built environment</w:t>
      </w:r>
      <w:r w:rsidR="0075181C">
        <w:rPr>
          <w:rFonts w:ascii="Arial" w:hAnsi="Arial" w:cs="Arial"/>
          <w:color w:val="000000" w:themeColor="text1"/>
          <w:lang w:eastAsia="en-GB"/>
        </w:rPr>
        <w:t>, and</w:t>
      </w:r>
    </w:p>
    <w:p w14:paraId="4A9AB336" w14:textId="77777777" w:rsidR="0027333E" w:rsidRPr="0027333E" w:rsidRDefault="0027333E" w:rsidP="0027333E">
      <w:pPr>
        <w:pStyle w:val="ListParagraph"/>
        <w:numPr>
          <w:ilvl w:val="0"/>
          <w:numId w:val="34"/>
        </w:numPr>
        <w:spacing w:after="160"/>
        <w:ind w:left="426" w:right="69" w:hanging="284"/>
        <w:contextualSpacing w:val="0"/>
        <w:rPr>
          <w:rFonts w:ascii="Arial" w:hAnsi="Arial" w:cs="Arial"/>
          <w:color w:val="000000" w:themeColor="text1"/>
          <w:lang w:eastAsia="en-GB"/>
        </w:rPr>
      </w:pPr>
      <w:r w:rsidRPr="0027333E">
        <w:rPr>
          <w:rFonts w:ascii="Arial" w:hAnsi="Arial" w:cs="Arial"/>
          <w:color w:val="000000" w:themeColor="text1"/>
          <w:lang w:eastAsia="en-GB"/>
        </w:rPr>
        <w:t>an assessment of a proposed minor reduction in egress path width of 5mm for a dwelling with two occupancies if there is minimal risk to the occupants and the building and there is no foreseeable interaction with other building elements.</w:t>
      </w:r>
    </w:p>
    <w:p w14:paraId="2BD9EC2B" w14:textId="77777777" w:rsidR="0027333E" w:rsidRPr="0027333E" w:rsidRDefault="0027333E" w:rsidP="0027333E">
      <w:pPr>
        <w:snapToGrid w:val="0"/>
        <w:spacing w:after="240"/>
        <w:rPr>
          <w:rFonts w:ascii="Arial" w:hAnsi="Arial" w:cs="Arial"/>
          <w:color w:val="000000" w:themeColor="text1"/>
          <w:lang w:eastAsia="en-GB"/>
        </w:rPr>
      </w:pPr>
      <w:r w:rsidRPr="0027333E">
        <w:rPr>
          <w:rFonts w:ascii="Arial" w:hAnsi="Arial" w:cs="Arial"/>
          <w:color w:val="000000" w:themeColor="text1"/>
          <w:lang w:eastAsia="en-GB"/>
        </w:rPr>
        <w:t xml:space="preserve">Clause 3 recognises that in some situations it may not be practical to arrange a peer review. For example, it would be impractical to seek a peer review if you are a sole trader and the only suitable qualified and available registered professional engineer is a competitor. </w:t>
      </w:r>
    </w:p>
    <w:p w14:paraId="62460762" w14:textId="77777777" w:rsidR="0027333E" w:rsidRPr="0027333E" w:rsidRDefault="0027333E" w:rsidP="0027333E">
      <w:pPr>
        <w:snapToGrid w:val="0"/>
        <w:spacing w:after="160"/>
        <w:rPr>
          <w:rFonts w:ascii="Arial" w:hAnsi="Arial" w:cs="Arial"/>
          <w:b/>
          <w:bCs/>
          <w:i/>
          <w:iCs/>
          <w:color w:val="000000" w:themeColor="text1"/>
          <w:sz w:val="22"/>
          <w:szCs w:val="22"/>
          <w:lang w:eastAsia="en-GB"/>
        </w:rPr>
      </w:pPr>
      <w:r w:rsidRPr="0027333E">
        <w:rPr>
          <w:rFonts w:ascii="Arial" w:hAnsi="Arial" w:cs="Arial"/>
          <w:b/>
          <w:bCs/>
          <w:i/>
          <w:iCs/>
          <w:color w:val="000000" w:themeColor="text1"/>
          <w:sz w:val="22"/>
          <w:szCs w:val="22"/>
          <w:lang w:eastAsia="en-GB"/>
        </w:rPr>
        <w:t>Reputation of the engineering profession</w:t>
      </w:r>
    </w:p>
    <w:p w14:paraId="33962BAB" w14:textId="77777777" w:rsidR="0027333E" w:rsidRPr="0027333E" w:rsidRDefault="0027333E" w:rsidP="0027333E">
      <w:pPr>
        <w:snapToGrid w:val="0"/>
        <w:spacing w:after="240"/>
        <w:ind w:right="-215"/>
        <w:rPr>
          <w:rFonts w:ascii="Arial" w:hAnsi="Arial" w:cs="Arial"/>
          <w:color w:val="000000" w:themeColor="text1"/>
          <w:lang w:eastAsia="en-GB"/>
        </w:rPr>
      </w:pPr>
      <w:r w:rsidRPr="0027333E">
        <w:rPr>
          <w:rFonts w:ascii="Arial" w:hAnsi="Arial" w:cs="Arial"/>
          <w:color w:val="000000" w:themeColor="text1"/>
          <w:lang w:eastAsia="en-GB"/>
        </w:rPr>
        <w:t>Your personal reputation and that of the engineering profession will be adversely affected by any incompetence or misconduct. To maintain and build public trust and confidence you must be professional in all your dealings with your clients and know and comply with all relevant laws and this Code.</w:t>
      </w:r>
    </w:p>
    <w:p w14:paraId="23161CA2" w14:textId="1BE07507" w:rsidR="0027333E" w:rsidRPr="0027333E" w:rsidRDefault="0027333E" w:rsidP="0027333E">
      <w:pPr>
        <w:snapToGrid w:val="0"/>
        <w:spacing w:after="160"/>
        <w:rPr>
          <w:rFonts w:ascii="Arial" w:hAnsi="Arial" w:cs="Arial"/>
          <w:b/>
          <w:bCs/>
          <w:i/>
          <w:iCs/>
          <w:color w:val="000000" w:themeColor="text1"/>
          <w:sz w:val="22"/>
          <w:szCs w:val="22"/>
          <w:lang w:eastAsia="en-GB"/>
        </w:rPr>
      </w:pPr>
      <w:r w:rsidRPr="0027333E">
        <w:rPr>
          <w:rFonts w:ascii="Arial" w:hAnsi="Arial" w:cs="Arial"/>
          <w:b/>
          <w:bCs/>
          <w:i/>
          <w:iCs/>
          <w:color w:val="000000" w:themeColor="text1"/>
          <w:sz w:val="22"/>
          <w:szCs w:val="22"/>
          <w:lang w:eastAsia="en-GB"/>
        </w:rPr>
        <w:t>Public interest</w:t>
      </w:r>
    </w:p>
    <w:p w14:paraId="225540B4" w14:textId="77777777" w:rsidR="0027333E" w:rsidRPr="0027333E" w:rsidRDefault="0027333E" w:rsidP="0027333E">
      <w:pPr>
        <w:snapToGrid w:val="0"/>
        <w:spacing w:after="160"/>
        <w:ind w:right="-72"/>
        <w:rPr>
          <w:rFonts w:ascii="Arial" w:hAnsi="Arial" w:cs="Arial"/>
          <w:color w:val="000000" w:themeColor="text1"/>
          <w:lang w:eastAsia="en-GB"/>
        </w:rPr>
      </w:pPr>
      <w:r w:rsidRPr="0027333E">
        <w:rPr>
          <w:rFonts w:ascii="Arial" w:hAnsi="Arial" w:cs="Arial"/>
          <w:color w:val="000000" w:themeColor="text1"/>
          <w:lang w:eastAsia="en-GB"/>
        </w:rPr>
        <w:t>When providing professional engineering services, you must not engage in conduct that is contrary to the public interest. For the purposes of the Code, the public interest includes, but is not limited to the safety, health and well-being of the community.</w:t>
      </w:r>
    </w:p>
    <w:p w14:paraId="3BA008AA" w14:textId="260044C7" w:rsidR="0027333E" w:rsidRDefault="0027333E" w:rsidP="0027333E">
      <w:pPr>
        <w:snapToGrid w:val="0"/>
        <w:spacing w:after="360"/>
        <w:ind w:right="-72"/>
        <w:rPr>
          <w:rFonts w:ascii="Arial" w:hAnsi="Arial" w:cs="Arial"/>
          <w:color w:val="000000" w:themeColor="text1"/>
          <w:lang w:eastAsia="en-GB"/>
        </w:rPr>
      </w:pPr>
      <w:r w:rsidRPr="0027333E">
        <w:rPr>
          <w:rFonts w:ascii="Arial" w:hAnsi="Arial" w:cs="Arial"/>
          <w:color w:val="000000" w:themeColor="text1"/>
          <w:lang w:eastAsia="en-GB"/>
        </w:rPr>
        <w:t xml:space="preserve">Acting in the public interest involves taking a holistic view of a project, particularly where failing to do so may have a negative impact on the public. </w:t>
      </w:r>
    </w:p>
    <w:tbl>
      <w:tblPr>
        <w:tblStyle w:val="TableGrid"/>
        <w:tblW w:w="0" w:type="auto"/>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shd w:val="clear" w:color="auto" w:fill="C0E8FF" w:themeFill="accent1" w:themeFillTint="33"/>
        <w:tblCellMar>
          <w:top w:w="85" w:type="dxa"/>
          <w:left w:w="85" w:type="dxa"/>
          <w:bottom w:w="85" w:type="dxa"/>
          <w:right w:w="85" w:type="dxa"/>
        </w:tblCellMar>
        <w:tblLook w:val="04A0" w:firstRow="1" w:lastRow="0" w:firstColumn="1" w:lastColumn="0" w:noHBand="0" w:noVBand="1"/>
      </w:tblPr>
      <w:tblGrid>
        <w:gridCol w:w="4444"/>
      </w:tblGrid>
      <w:tr w:rsidR="0027333E" w:rsidRPr="0027333E" w14:paraId="5BEC8729" w14:textId="77777777" w:rsidTr="0027333E">
        <w:tc>
          <w:tcPr>
            <w:tcW w:w="4444" w:type="dxa"/>
            <w:shd w:val="clear" w:color="auto" w:fill="DEEAF6"/>
          </w:tcPr>
          <w:p w14:paraId="05794258" w14:textId="77777777" w:rsidR="0027333E" w:rsidRPr="00F16301" w:rsidRDefault="0027333E" w:rsidP="0027333E">
            <w:pPr>
              <w:snapToGrid w:val="0"/>
              <w:spacing w:after="120"/>
              <w:rPr>
                <w:rFonts w:ascii="Arial" w:hAnsi="Arial" w:cs="Arial"/>
                <w:color w:val="000000" w:themeColor="text1"/>
                <w:lang w:eastAsia="en-GB"/>
              </w:rPr>
            </w:pPr>
            <w:r w:rsidRPr="00F16301">
              <w:rPr>
                <w:rFonts w:ascii="Arial" w:hAnsi="Arial" w:cs="Arial"/>
                <w:color w:val="000000" w:themeColor="text1"/>
                <w:lang w:eastAsia="en-GB"/>
              </w:rPr>
              <w:lastRenderedPageBreak/>
              <w:t xml:space="preserve">For </w:t>
            </w:r>
            <w:proofErr w:type="gramStart"/>
            <w:r w:rsidRPr="00F16301">
              <w:rPr>
                <w:rFonts w:ascii="Arial" w:hAnsi="Arial" w:cs="Arial"/>
                <w:color w:val="000000" w:themeColor="text1"/>
                <w:lang w:eastAsia="en-GB"/>
              </w:rPr>
              <w:t>example</w:t>
            </w:r>
            <w:proofErr w:type="gramEnd"/>
            <w:r w:rsidRPr="00F16301">
              <w:rPr>
                <w:rFonts w:ascii="Arial" w:hAnsi="Arial" w:cs="Arial"/>
                <w:color w:val="000000" w:themeColor="text1"/>
                <w:lang w:eastAsia="en-GB"/>
              </w:rPr>
              <w:t xml:space="preserve"> …</w:t>
            </w:r>
          </w:p>
          <w:p w14:paraId="17F2E29E" w14:textId="77777777" w:rsidR="0027333E" w:rsidRPr="0027333E" w:rsidRDefault="0027333E" w:rsidP="00AD5176">
            <w:pPr>
              <w:pStyle w:val="ListParagraph"/>
              <w:numPr>
                <w:ilvl w:val="0"/>
                <w:numId w:val="31"/>
              </w:numPr>
              <w:spacing w:after="20"/>
              <w:ind w:left="425" w:hanging="425"/>
              <w:contextualSpacing w:val="0"/>
              <w:rPr>
                <w:rFonts w:ascii="Arial" w:hAnsi="Arial" w:cs="Arial"/>
                <w:i/>
                <w:iCs/>
                <w:color w:val="000000" w:themeColor="text1"/>
                <w:lang w:eastAsia="en-GB"/>
              </w:rPr>
            </w:pPr>
            <w:r w:rsidRPr="00F16301">
              <w:rPr>
                <w:rFonts w:ascii="Arial" w:hAnsi="Arial" w:cs="Arial"/>
                <w:color w:val="000000" w:themeColor="text1"/>
                <w:lang w:eastAsia="en-GB"/>
              </w:rPr>
              <w:t>A fire safety engineer conducting an inspection under the Building Act following the fit out of a building discovers numerous unsealed service penetrations in a fire-isolated stairway not only in the floors with the fit out but throughout the stairway. As it is in the public interest for the building to be safe, the fire safety engineer should take steps to document the issue for resolution by the appropriate party, and not issue a compliance certificate if the issue remains unresolved.</w:t>
            </w:r>
          </w:p>
        </w:tc>
      </w:tr>
    </w:tbl>
    <w:p w14:paraId="1C0A1FD7" w14:textId="475A3848" w:rsidR="0027333E" w:rsidRPr="0027333E" w:rsidRDefault="0027333E" w:rsidP="0027333E">
      <w:pPr>
        <w:snapToGrid w:val="0"/>
        <w:spacing w:before="360" w:after="160"/>
        <w:rPr>
          <w:rFonts w:ascii="Arial" w:hAnsi="Arial" w:cs="Arial"/>
          <w:color w:val="000000" w:themeColor="text1"/>
          <w:lang w:eastAsia="en-GB"/>
        </w:rPr>
      </w:pPr>
      <w:r w:rsidRPr="0027333E">
        <w:rPr>
          <w:rFonts w:ascii="Arial" w:hAnsi="Arial" w:cs="Arial"/>
          <w:color w:val="000000" w:themeColor="text1"/>
          <w:lang w:eastAsia="en-GB"/>
        </w:rPr>
        <w:t>Technical, economic and social issues associated with engineering projects are often complex and interrelated and require trade-offs to balance the interests of competing groups. Where issues and trade-offs arise that will result in conduct or outcomes that are likely to be contrary to the public interest, the best course of action may be to alert your client and/or employer and work with them to appropriately address the risk. It would also be appropriate to consider your legal obligations and whether the matter should be reported to the relevant authority, for example, if it is an environment risk, to the Environmental Protection Authority.</w:t>
      </w:r>
    </w:p>
    <w:p w14:paraId="4B743CD1" w14:textId="5F7C5F3A" w:rsidR="003A24D0" w:rsidRDefault="003A24D0" w:rsidP="0027333E">
      <w:pPr>
        <w:tabs>
          <w:tab w:val="left" w:pos="426"/>
        </w:tabs>
        <w:spacing w:before="720" w:after="240"/>
        <w:rPr>
          <w:rFonts w:cs="Arial"/>
          <w:b/>
          <w:bCs/>
          <w:color w:val="000000" w:themeColor="text1"/>
          <w:sz w:val="24"/>
          <w:lang w:eastAsia="en-GB"/>
        </w:rPr>
        <w:sectPr w:rsidR="003A24D0" w:rsidSect="003A24D0">
          <w:type w:val="continuous"/>
          <w:pgSz w:w="11906" w:h="16838" w:code="9"/>
          <w:pgMar w:top="1304" w:right="1134" w:bottom="1134" w:left="1134" w:header="284" w:footer="703" w:gutter="0"/>
          <w:cols w:num="2" w:space="709"/>
          <w:docGrid w:linePitch="360"/>
        </w:sectPr>
      </w:pPr>
    </w:p>
    <w:p w14:paraId="6D11529B" w14:textId="77777777" w:rsidR="003246BC" w:rsidRPr="003246BC" w:rsidRDefault="003246BC" w:rsidP="00987EEA">
      <w:pPr>
        <w:pStyle w:val="Heading2"/>
        <w:spacing w:before="600" w:after="360" w:line="240" w:lineRule="auto"/>
        <w:ind w:left="567" w:hanging="567"/>
        <w:rPr>
          <w:lang w:eastAsia="en-GB"/>
        </w:rPr>
      </w:pPr>
      <w:bookmarkStart w:id="7" w:name="_Toc78290775"/>
      <w:r w:rsidRPr="003246BC">
        <w:rPr>
          <w:lang w:eastAsia="en-GB"/>
        </w:rPr>
        <w:t>4</w:t>
      </w:r>
      <w:r w:rsidRPr="003246BC">
        <w:rPr>
          <w:lang w:eastAsia="en-GB"/>
        </w:rPr>
        <w:tab/>
        <w:t>Inform clients of the consequences of disregarded advice</w:t>
      </w:r>
      <w:bookmarkEnd w:id="7"/>
    </w:p>
    <w:tbl>
      <w:tblPr>
        <w:tblStyle w:val="TableGrid"/>
        <w:tblW w:w="9645" w:type="dxa"/>
        <w:tblInd w:w="9" w:type="dxa"/>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shd w:val="clear" w:color="auto" w:fill="DEEAF6"/>
        <w:tblCellMar>
          <w:top w:w="113" w:type="dxa"/>
          <w:left w:w="57" w:type="dxa"/>
          <w:bottom w:w="113" w:type="dxa"/>
          <w:right w:w="57" w:type="dxa"/>
        </w:tblCellMar>
        <w:tblLook w:val="04A0" w:firstRow="1" w:lastRow="0" w:firstColumn="1" w:lastColumn="0" w:noHBand="0" w:noVBand="1"/>
      </w:tblPr>
      <w:tblGrid>
        <w:gridCol w:w="9645"/>
      </w:tblGrid>
      <w:tr w:rsidR="003246BC" w:rsidRPr="003246BC" w14:paraId="71E668E3" w14:textId="77777777" w:rsidTr="003246BC">
        <w:tc>
          <w:tcPr>
            <w:tcW w:w="9645" w:type="dxa"/>
            <w:shd w:val="clear" w:color="auto" w:fill="DEEAF6"/>
          </w:tcPr>
          <w:p w14:paraId="4C9B039C" w14:textId="77777777" w:rsidR="003246BC" w:rsidRPr="00F16301" w:rsidRDefault="003246BC" w:rsidP="0008345F">
            <w:pPr>
              <w:tabs>
                <w:tab w:val="left" w:pos="426"/>
              </w:tabs>
              <w:snapToGrid w:val="0"/>
              <w:rPr>
                <w:rFonts w:ascii="Arial" w:hAnsi="Arial" w:cs="Arial"/>
                <w:color w:val="000000" w:themeColor="text1"/>
                <w:lang w:eastAsia="en-GB"/>
              </w:rPr>
            </w:pPr>
            <w:r w:rsidRPr="00F16301">
              <w:rPr>
                <w:rFonts w:ascii="Arial" w:hAnsi="Arial" w:cs="Arial"/>
                <w:b/>
                <w:bCs/>
                <w:color w:val="000000" w:themeColor="text1"/>
                <w:lang w:eastAsia="en-GB"/>
              </w:rPr>
              <w:t xml:space="preserve">Summary </w:t>
            </w:r>
            <w:r w:rsidRPr="00F16301">
              <w:rPr>
                <w:rFonts w:ascii="Arial" w:hAnsi="Arial" w:cs="Arial"/>
                <w:color w:val="000000" w:themeColor="text1"/>
                <w:lang w:eastAsia="en-GB"/>
              </w:rPr>
              <w:t>–</w:t>
            </w:r>
            <w:r w:rsidRPr="00F16301">
              <w:rPr>
                <w:rFonts w:ascii="Arial" w:hAnsi="Arial" w:cs="Arial"/>
                <w:b/>
                <w:bCs/>
                <w:color w:val="000000" w:themeColor="text1"/>
                <w:lang w:eastAsia="en-GB"/>
              </w:rPr>
              <w:t xml:space="preserve"> </w:t>
            </w:r>
            <w:r w:rsidRPr="00F16301">
              <w:rPr>
                <w:rFonts w:ascii="Arial" w:hAnsi="Arial" w:cs="Arial"/>
                <w:color w:val="000000" w:themeColor="text1"/>
                <w:lang w:eastAsia="en-GB"/>
              </w:rPr>
              <w:t xml:space="preserve">A registered professional engineer must inform a client or their employer of their professional concerns about a particular action or project and the likely consequences for affected parties. </w:t>
            </w:r>
          </w:p>
        </w:tc>
      </w:tr>
    </w:tbl>
    <w:p w14:paraId="2F52B7EA" w14:textId="77777777" w:rsidR="003246BC" w:rsidRPr="003246BC" w:rsidRDefault="003246BC" w:rsidP="003246BC">
      <w:pPr>
        <w:snapToGrid w:val="0"/>
        <w:spacing w:after="120"/>
        <w:rPr>
          <w:rFonts w:ascii="Arial" w:hAnsi="Arial" w:cs="Arial"/>
          <w:color w:val="000000" w:themeColor="text1"/>
          <w:lang w:eastAsia="en-GB"/>
        </w:rPr>
      </w:pPr>
    </w:p>
    <w:p w14:paraId="136651C5" w14:textId="77777777" w:rsidR="003246BC" w:rsidRPr="003246BC" w:rsidRDefault="003246BC" w:rsidP="003246BC">
      <w:pPr>
        <w:snapToGrid w:val="0"/>
        <w:spacing w:after="120"/>
        <w:rPr>
          <w:rFonts w:ascii="Arial" w:hAnsi="Arial" w:cs="Arial"/>
          <w:color w:val="000000" w:themeColor="text1"/>
          <w:lang w:eastAsia="en-GB"/>
        </w:rPr>
        <w:sectPr w:rsidR="003246BC" w:rsidRPr="003246BC" w:rsidSect="003A24D0">
          <w:type w:val="continuous"/>
          <w:pgSz w:w="11906" w:h="16838" w:code="9"/>
          <w:pgMar w:top="1304" w:right="1134" w:bottom="1134" w:left="1134" w:header="284" w:footer="703" w:gutter="0"/>
          <w:cols w:space="709"/>
          <w:docGrid w:linePitch="360"/>
        </w:sectPr>
      </w:pPr>
    </w:p>
    <w:p w14:paraId="575BAA29" w14:textId="77777777" w:rsidR="003246BC" w:rsidRPr="003246BC" w:rsidRDefault="003246BC" w:rsidP="003246BC">
      <w:pPr>
        <w:snapToGrid w:val="0"/>
        <w:spacing w:after="160"/>
        <w:rPr>
          <w:rFonts w:ascii="Arial" w:hAnsi="Arial" w:cs="Arial"/>
          <w:color w:val="000000" w:themeColor="text1"/>
          <w:lang w:eastAsia="en-GB"/>
        </w:rPr>
      </w:pPr>
      <w:r w:rsidRPr="003246BC">
        <w:rPr>
          <w:rFonts w:ascii="Arial" w:hAnsi="Arial" w:cs="Arial"/>
          <w:color w:val="000000" w:themeColor="text1"/>
          <w:lang w:eastAsia="en-GB"/>
        </w:rPr>
        <w:t>If your engineering advice, decisions and judgments are, or are likely to be, modified, overruled or disregarded, you must take reasonable steps to advise your client and employer of your professional concerns and the potential consequences for any parties likely to be affected.</w:t>
      </w:r>
    </w:p>
    <w:p w14:paraId="729BDE8D" w14:textId="77777777" w:rsidR="003246BC" w:rsidRPr="003246BC" w:rsidRDefault="003246BC" w:rsidP="003246BC">
      <w:pPr>
        <w:snapToGrid w:val="0"/>
        <w:spacing w:after="160"/>
        <w:rPr>
          <w:rFonts w:ascii="Arial" w:hAnsi="Arial" w:cs="Arial"/>
          <w:color w:val="000000" w:themeColor="text1"/>
          <w:lang w:eastAsia="en-GB"/>
        </w:rPr>
      </w:pPr>
      <w:r w:rsidRPr="003246BC">
        <w:rPr>
          <w:rFonts w:ascii="Arial" w:hAnsi="Arial" w:cs="Arial"/>
          <w:color w:val="000000" w:themeColor="text1"/>
          <w:lang w:eastAsia="en-GB"/>
        </w:rPr>
        <w:t xml:space="preserve">While the steps you take in response will depend on the particular circumstances, </w:t>
      </w:r>
      <w:r w:rsidRPr="003246BC">
        <w:rPr>
          <w:rFonts w:ascii="Arial" w:hAnsi="Arial" w:cs="Arial"/>
          <w:color w:val="000000" w:themeColor="text1"/>
          <w:lang w:eastAsia="en-AU"/>
        </w:rPr>
        <w:t>if a relationship exists and it is reasonable to do so,</w:t>
      </w:r>
      <w:r w:rsidRPr="003246BC">
        <w:rPr>
          <w:rFonts w:ascii="Arial" w:hAnsi="Arial" w:cs="Arial"/>
          <w:i/>
          <w:iCs/>
          <w:color w:val="000000" w:themeColor="text1"/>
          <w:lang w:eastAsia="en-AU"/>
        </w:rPr>
        <w:t xml:space="preserve"> </w:t>
      </w:r>
      <w:r w:rsidRPr="003246BC">
        <w:rPr>
          <w:rFonts w:ascii="Arial" w:hAnsi="Arial" w:cs="Arial"/>
          <w:i/>
          <w:iCs/>
          <w:color w:val="000000" w:themeColor="text1"/>
          <w:lang w:eastAsia="en-GB"/>
        </w:rPr>
        <w:t>you</w:t>
      </w:r>
      <w:r w:rsidRPr="003246BC">
        <w:rPr>
          <w:rFonts w:ascii="Arial" w:hAnsi="Arial" w:cs="Arial"/>
          <w:color w:val="000000" w:themeColor="text1"/>
          <w:lang w:eastAsia="en-GB"/>
        </w:rPr>
        <w:t xml:space="preserve"> should consider meeting with the client and/or your employer as soon as possible to outline your concerns and the potential consequences. This will ensure that all of the facts, assumptions, risks, actions and recommendations are presented to all parties. Best practice is to follow up with written advice, such as an email or other electronic or paper-based communication.</w:t>
      </w:r>
    </w:p>
    <w:p w14:paraId="60B5CA7F" w14:textId="77777777" w:rsidR="003246BC" w:rsidRPr="003246BC" w:rsidRDefault="003246BC" w:rsidP="003246BC">
      <w:pPr>
        <w:snapToGrid w:val="0"/>
        <w:spacing w:after="360"/>
        <w:rPr>
          <w:rFonts w:ascii="Arial" w:hAnsi="Arial" w:cs="Arial"/>
          <w:color w:val="000000" w:themeColor="text1"/>
          <w:lang w:eastAsia="en-GB"/>
        </w:rPr>
      </w:pPr>
      <w:r w:rsidRPr="003246BC">
        <w:rPr>
          <w:rFonts w:ascii="Arial" w:hAnsi="Arial" w:cs="Arial"/>
          <w:color w:val="000000" w:themeColor="text1"/>
          <w:lang w:eastAsia="en-GB"/>
        </w:rPr>
        <w:t xml:space="preserve">This obligation does not require that you undertake and provide a detailed assessment of </w:t>
      </w:r>
      <w:r w:rsidRPr="003246BC">
        <w:rPr>
          <w:rFonts w:ascii="Arial" w:hAnsi="Arial" w:cs="Arial"/>
          <w:color w:val="000000" w:themeColor="text1"/>
          <w:lang w:eastAsia="en-GB"/>
        </w:rPr>
        <w:t xml:space="preserve">the potential consequences and outcomes of various actions, but rather that you concisely outline your concerns, identify who will be affected and the key impacts for those affected. </w:t>
      </w:r>
    </w:p>
    <w:tbl>
      <w:tblPr>
        <w:tblStyle w:val="TableGrid"/>
        <w:tblW w:w="0" w:type="auto"/>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shd w:val="clear" w:color="auto" w:fill="DEEAF6"/>
        <w:tblCellMar>
          <w:top w:w="85" w:type="dxa"/>
          <w:left w:w="85" w:type="dxa"/>
          <w:bottom w:w="85" w:type="dxa"/>
          <w:right w:w="85" w:type="dxa"/>
        </w:tblCellMar>
        <w:tblLook w:val="04A0" w:firstRow="1" w:lastRow="0" w:firstColumn="1" w:lastColumn="0" w:noHBand="0" w:noVBand="1"/>
      </w:tblPr>
      <w:tblGrid>
        <w:gridCol w:w="4444"/>
      </w:tblGrid>
      <w:tr w:rsidR="003246BC" w:rsidRPr="003246BC" w14:paraId="23DB77D1" w14:textId="77777777" w:rsidTr="003246BC">
        <w:tc>
          <w:tcPr>
            <w:tcW w:w="4444" w:type="dxa"/>
            <w:shd w:val="clear" w:color="auto" w:fill="DEEAF6"/>
          </w:tcPr>
          <w:p w14:paraId="39264CF8" w14:textId="77777777" w:rsidR="003246BC" w:rsidRPr="00F16301" w:rsidRDefault="003246BC" w:rsidP="003246BC">
            <w:pPr>
              <w:snapToGrid w:val="0"/>
              <w:spacing w:after="120"/>
              <w:rPr>
                <w:rFonts w:ascii="Arial" w:hAnsi="Arial" w:cs="Arial"/>
                <w:color w:val="000000" w:themeColor="text1"/>
                <w:lang w:eastAsia="en-GB"/>
              </w:rPr>
            </w:pPr>
            <w:r w:rsidRPr="00F16301">
              <w:rPr>
                <w:rFonts w:ascii="Arial" w:hAnsi="Arial" w:cs="Arial"/>
                <w:color w:val="000000" w:themeColor="text1"/>
                <w:lang w:eastAsia="en-GB"/>
              </w:rPr>
              <w:t xml:space="preserve">For </w:t>
            </w:r>
            <w:proofErr w:type="gramStart"/>
            <w:r w:rsidRPr="00F16301">
              <w:rPr>
                <w:rFonts w:ascii="Arial" w:hAnsi="Arial" w:cs="Arial"/>
                <w:color w:val="000000" w:themeColor="text1"/>
                <w:lang w:eastAsia="en-GB"/>
              </w:rPr>
              <w:t>example</w:t>
            </w:r>
            <w:proofErr w:type="gramEnd"/>
            <w:r w:rsidRPr="00F16301">
              <w:rPr>
                <w:rFonts w:ascii="Arial" w:hAnsi="Arial" w:cs="Arial"/>
                <w:color w:val="000000" w:themeColor="text1"/>
                <w:lang w:eastAsia="en-GB"/>
              </w:rPr>
              <w:t xml:space="preserve"> …</w:t>
            </w:r>
          </w:p>
          <w:p w14:paraId="0D638FFA" w14:textId="77777777" w:rsidR="003246BC" w:rsidRPr="00F16301" w:rsidRDefault="003246BC" w:rsidP="003246BC">
            <w:pPr>
              <w:pStyle w:val="ListParagraph"/>
              <w:numPr>
                <w:ilvl w:val="0"/>
                <w:numId w:val="31"/>
              </w:numPr>
              <w:spacing w:after="120"/>
              <w:ind w:left="425" w:hanging="425"/>
              <w:contextualSpacing w:val="0"/>
              <w:rPr>
                <w:rFonts w:ascii="Arial" w:hAnsi="Arial" w:cs="Arial"/>
                <w:color w:val="000000" w:themeColor="text1"/>
                <w:lang w:eastAsia="en-GB"/>
              </w:rPr>
            </w:pPr>
            <w:r w:rsidRPr="00F16301">
              <w:rPr>
                <w:rFonts w:ascii="Arial" w:hAnsi="Arial" w:cs="Arial"/>
                <w:color w:val="000000" w:themeColor="text1"/>
                <w:lang w:eastAsia="en-GB"/>
              </w:rPr>
              <w:t>On receiving advice from their professional engineer to install subsurface drainage underneath a building slab, the client replies that they are instead considering waterproofing the slab with plastic sheeting.</w:t>
            </w:r>
          </w:p>
          <w:p w14:paraId="3F97210B" w14:textId="77777777" w:rsidR="003246BC" w:rsidRPr="003246BC" w:rsidRDefault="003246BC" w:rsidP="00AD5176">
            <w:pPr>
              <w:pStyle w:val="ListParagraph"/>
              <w:spacing w:after="20"/>
              <w:ind w:left="425"/>
              <w:contextualSpacing w:val="0"/>
              <w:rPr>
                <w:rFonts w:ascii="Arial" w:hAnsi="Arial" w:cs="Arial"/>
                <w:i/>
                <w:iCs/>
                <w:color w:val="000000" w:themeColor="text1"/>
                <w:lang w:eastAsia="en-GB"/>
              </w:rPr>
            </w:pPr>
            <w:r w:rsidRPr="00F16301">
              <w:rPr>
                <w:rFonts w:ascii="Arial" w:hAnsi="Arial" w:cs="Arial"/>
                <w:color w:val="000000" w:themeColor="text1"/>
                <w:lang w:eastAsia="en-GB"/>
              </w:rPr>
              <w:t>In response, the professional engineer informs the client of the potential degradation of the plastic sheeting over time and the subsequent impact of water on the long-term performance of the slab</w:t>
            </w:r>
            <w:r w:rsidRPr="003246BC">
              <w:rPr>
                <w:rFonts w:ascii="Arial" w:hAnsi="Arial" w:cs="Arial"/>
                <w:i/>
                <w:iCs/>
                <w:color w:val="000000" w:themeColor="text1"/>
                <w:lang w:eastAsia="en-GB"/>
              </w:rPr>
              <w:t>.</w:t>
            </w:r>
          </w:p>
        </w:tc>
      </w:tr>
    </w:tbl>
    <w:p w14:paraId="35905814" w14:textId="77777777" w:rsidR="003246BC" w:rsidRPr="003246BC" w:rsidRDefault="003246BC" w:rsidP="003246BC">
      <w:pPr>
        <w:snapToGrid w:val="0"/>
        <w:rPr>
          <w:rFonts w:ascii="Arial" w:hAnsi="Arial" w:cs="Arial"/>
          <w:color w:val="000000" w:themeColor="text1"/>
          <w:lang w:eastAsia="en-GB"/>
        </w:rPr>
      </w:pPr>
    </w:p>
    <w:p w14:paraId="7D8FD838" w14:textId="77777777" w:rsidR="003246BC" w:rsidRPr="003246BC" w:rsidRDefault="003246BC" w:rsidP="003246BC">
      <w:pPr>
        <w:snapToGrid w:val="0"/>
        <w:rPr>
          <w:rFonts w:ascii="Arial" w:hAnsi="Arial" w:cs="Arial"/>
          <w:color w:val="000000" w:themeColor="text1"/>
          <w:lang w:eastAsia="en-GB"/>
        </w:rPr>
      </w:pPr>
    </w:p>
    <w:p w14:paraId="1266DE33" w14:textId="77777777" w:rsidR="003246BC" w:rsidRPr="003246BC" w:rsidRDefault="003246BC" w:rsidP="003246BC">
      <w:pPr>
        <w:snapToGrid w:val="0"/>
        <w:rPr>
          <w:rFonts w:ascii="Arial" w:hAnsi="Arial" w:cs="Arial"/>
          <w:b/>
          <w:bCs/>
          <w:color w:val="000000" w:themeColor="text1"/>
          <w:sz w:val="24"/>
          <w:lang w:eastAsia="en-GB"/>
        </w:rPr>
        <w:sectPr w:rsidR="003246BC" w:rsidRPr="003246BC" w:rsidSect="003A24D0">
          <w:type w:val="continuous"/>
          <w:pgSz w:w="11906" w:h="16838" w:code="9"/>
          <w:pgMar w:top="1304" w:right="1134" w:bottom="1134" w:left="1134" w:header="284" w:footer="703" w:gutter="0"/>
          <w:cols w:num="2" w:space="709"/>
          <w:docGrid w:linePitch="360"/>
        </w:sectPr>
      </w:pPr>
    </w:p>
    <w:p w14:paraId="0F66F5C4" w14:textId="77777777" w:rsidR="003246BC" w:rsidRPr="003246BC" w:rsidRDefault="003246BC" w:rsidP="00987EEA">
      <w:pPr>
        <w:pStyle w:val="Heading2"/>
        <w:spacing w:before="360" w:after="360" w:line="240" w:lineRule="auto"/>
        <w:ind w:left="567" w:hanging="567"/>
        <w:rPr>
          <w:lang w:eastAsia="en-GB"/>
        </w:rPr>
      </w:pPr>
      <w:bookmarkStart w:id="8" w:name="_Toc78290776"/>
      <w:r w:rsidRPr="003246BC">
        <w:rPr>
          <w:lang w:eastAsia="en-GB"/>
        </w:rPr>
        <w:t>5</w:t>
      </w:r>
      <w:r w:rsidRPr="003246BC">
        <w:rPr>
          <w:lang w:eastAsia="en-GB"/>
        </w:rPr>
        <w:tab/>
        <w:t>Act in the best interests of a client</w:t>
      </w:r>
      <w:bookmarkEnd w:id="8"/>
    </w:p>
    <w:tbl>
      <w:tblPr>
        <w:tblStyle w:val="TableGrid"/>
        <w:tblW w:w="9639" w:type="dxa"/>
        <w:tblInd w:w="-5" w:type="dxa"/>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shd w:val="clear" w:color="auto" w:fill="DEEAF6"/>
        <w:tblCellMar>
          <w:top w:w="113" w:type="dxa"/>
          <w:left w:w="57" w:type="dxa"/>
          <w:bottom w:w="113" w:type="dxa"/>
          <w:right w:w="57" w:type="dxa"/>
        </w:tblCellMar>
        <w:tblLook w:val="04A0" w:firstRow="1" w:lastRow="0" w:firstColumn="1" w:lastColumn="0" w:noHBand="0" w:noVBand="1"/>
      </w:tblPr>
      <w:tblGrid>
        <w:gridCol w:w="9639"/>
      </w:tblGrid>
      <w:tr w:rsidR="003246BC" w:rsidRPr="003246BC" w14:paraId="1CB638B0" w14:textId="77777777" w:rsidTr="003246BC">
        <w:tc>
          <w:tcPr>
            <w:tcW w:w="9639" w:type="dxa"/>
            <w:shd w:val="clear" w:color="auto" w:fill="DEEAF6"/>
          </w:tcPr>
          <w:p w14:paraId="7BEF0C42" w14:textId="77777777" w:rsidR="003246BC" w:rsidRPr="00F16301" w:rsidRDefault="003246BC" w:rsidP="0008345F">
            <w:pPr>
              <w:tabs>
                <w:tab w:val="left" w:pos="426"/>
              </w:tabs>
              <w:snapToGrid w:val="0"/>
              <w:rPr>
                <w:rFonts w:ascii="Arial" w:hAnsi="Arial" w:cs="Arial"/>
                <w:color w:val="000000" w:themeColor="text1"/>
                <w:lang w:eastAsia="en-GB"/>
              </w:rPr>
            </w:pPr>
            <w:r w:rsidRPr="00F16301">
              <w:rPr>
                <w:rFonts w:ascii="Arial" w:hAnsi="Arial" w:cs="Arial"/>
                <w:b/>
                <w:bCs/>
                <w:color w:val="000000" w:themeColor="text1"/>
                <w:lang w:eastAsia="en-GB"/>
              </w:rPr>
              <w:t xml:space="preserve">Summary </w:t>
            </w:r>
            <w:r w:rsidRPr="00F16301">
              <w:rPr>
                <w:rFonts w:ascii="Arial" w:hAnsi="Arial" w:cs="Arial"/>
                <w:color w:val="000000" w:themeColor="text1"/>
                <w:lang w:eastAsia="en-GB"/>
              </w:rPr>
              <w:t>–</w:t>
            </w:r>
            <w:r w:rsidRPr="00F16301">
              <w:rPr>
                <w:rFonts w:ascii="Arial" w:hAnsi="Arial" w:cs="Arial"/>
                <w:b/>
                <w:bCs/>
                <w:color w:val="000000" w:themeColor="text1"/>
                <w:lang w:eastAsia="en-GB"/>
              </w:rPr>
              <w:t xml:space="preserve"> </w:t>
            </w:r>
            <w:r w:rsidRPr="00F16301">
              <w:rPr>
                <w:rFonts w:ascii="Arial" w:hAnsi="Arial" w:cs="Arial"/>
                <w:color w:val="000000" w:themeColor="text1"/>
                <w:lang w:eastAsia="en-GB"/>
              </w:rPr>
              <w:t>A registered professional engineer must act in the best interests of a client unless it would be unlawful, unreasonable, or improper to do so.</w:t>
            </w:r>
          </w:p>
        </w:tc>
      </w:tr>
    </w:tbl>
    <w:p w14:paraId="15A98365" w14:textId="77777777" w:rsidR="003246BC" w:rsidRPr="003246BC" w:rsidRDefault="003246BC" w:rsidP="003246BC">
      <w:pPr>
        <w:snapToGrid w:val="0"/>
        <w:spacing w:after="120"/>
        <w:rPr>
          <w:rFonts w:ascii="Arial" w:hAnsi="Arial" w:cs="Arial"/>
          <w:color w:val="000000" w:themeColor="text1"/>
          <w:lang w:eastAsia="en-GB"/>
        </w:rPr>
      </w:pPr>
    </w:p>
    <w:p w14:paraId="232269CC" w14:textId="77777777" w:rsidR="003246BC" w:rsidRPr="003246BC" w:rsidRDefault="003246BC" w:rsidP="003246BC">
      <w:pPr>
        <w:snapToGrid w:val="0"/>
        <w:spacing w:after="120"/>
        <w:rPr>
          <w:rFonts w:ascii="Arial" w:hAnsi="Arial" w:cs="Arial"/>
          <w:color w:val="000000" w:themeColor="text1"/>
          <w:lang w:eastAsia="en-GB"/>
        </w:rPr>
        <w:sectPr w:rsidR="003246BC" w:rsidRPr="003246BC" w:rsidSect="003A24D0">
          <w:type w:val="continuous"/>
          <w:pgSz w:w="11906" w:h="16838" w:code="9"/>
          <w:pgMar w:top="1304" w:right="1134" w:bottom="1134" w:left="1134" w:header="284" w:footer="703" w:gutter="0"/>
          <w:cols w:space="709"/>
          <w:docGrid w:linePitch="360"/>
        </w:sectPr>
      </w:pPr>
    </w:p>
    <w:p w14:paraId="7A41821C" w14:textId="1585E2A1" w:rsidR="003246BC" w:rsidRPr="003246BC" w:rsidRDefault="003246BC" w:rsidP="003246BC">
      <w:pPr>
        <w:snapToGrid w:val="0"/>
        <w:spacing w:after="160"/>
        <w:rPr>
          <w:rFonts w:ascii="Arial" w:hAnsi="Arial" w:cs="Arial"/>
          <w:color w:val="000000" w:themeColor="text1"/>
          <w:lang w:eastAsia="en-GB"/>
        </w:rPr>
      </w:pPr>
      <w:r w:rsidRPr="003246BC">
        <w:rPr>
          <w:rFonts w:ascii="Arial" w:hAnsi="Arial" w:cs="Arial"/>
          <w:color w:val="000000" w:themeColor="text1"/>
          <w:lang w:eastAsia="en-GB"/>
        </w:rPr>
        <w:t xml:space="preserve">A key objective of the Professional Engineers Registration Act is to provide appropriate protections to clients of registered professional engineers by ensuring that professional engineering services are provided only by suitably qualified and experienced engineers. Consistent with this objective, the Professional Engineers </w:t>
      </w:r>
      <w:r w:rsidRPr="003246BC">
        <w:rPr>
          <w:rFonts w:ascii="Arial" w:hAnsi="Arial" w:cs="Arial"/>
          <w:color w:val="000000" w:themeColor="text1"/>
          <w:lang w:eastAsia="en-GB"/>
        </w:rPr>
        <w:t>Registration Act provides for the Code to, among other matters, include obligation</w:t>
      </w:r>
      <w:r w:rsidR="003476BF">
        <w:rPr>
          <w:rFonts w:ascii="Arial" w:hAnsi="Arial" w:cs="Arial"/>
          <w:color w:val="000000" w:themeColor="text1"/>
          <w:lang w:eastAsia="en-GB"/>
        </w:rPr>
        <w:t>s</w:t>
      </w:r>
      <w:r w:rsidRPr="003246BC">
        <w:rPr>
          <w:rFonts w:ascii="Arial" w:hAnsi="Arial" w:cs="Arial"/>
          <w:color w:val="000000" w:themeColor="text1"/>
          <w:lang w:eastAsia="en-GB"/>
        </w:rPr>
        <w:t xml:space="preserve"> for a registered professional engineer to act fairly, honestly and in the best interests of a client. This obligation is consistent with professional engineers or professional engineering businesses having a </w:t>
      </w:r>
      <w:r w:rsidRPr="003246BC">
        <w:rPr>
          <w:rFonts w:ascii="Arial" w:hAnsi="Arial" w:cs="Arial"/>
          <w:color w:val="000000" w:themeColor="text1"/>
          <w:lang w:eastAsia="en-GB"/>
        </w:rPr>
        <w:lastRenderedPageBreak/>
        <w:t>contractual relationship with a client through an engineering services engagement agreement.</w:t>
      </w:r>
    </w:p>
    <w:p w14:paraId="3E29658E" w14:textId="77777777" w:rsidR="003246BC" w:rsidRPr="003246BC" w:rsidRDefault="003246BC" w:rsidP="003246BC">
      <w:pPr>
        <w:snapToGrid w:val="0"/>
        <w:spacing w:after="160"/>
        <w:rPr>
          <w:rFonts w:ascii="Arial" w:hAnsi="Arial" w:cs="Arial"/>
          <w:color w:val="000000" w:themeColor="text1"/>
          <w:lang w:eastAsia="en-GB"/>
        </w:rPr>
      </w:pPr>
      <w:r w:rsidRPr="003246BC">
        <w:rPr>
          <w:rFonts w:ascii="Arial" w:hAnsi="Arial" w:cs="Arial"/>
          <w:color w:val="000000" w:themeColor="text1"/>
          <w:lang w:eastAsia="en-GB"/>
        </w:rPr>
        <w:t xml:space="preserve">However, as a professional engineer you also have obligations to act in the best interests of your employer, if you are employed as a professional engineer, and to not act contrary to the public interest. Therefore, the obligation to act in the best interests of a client in Clause 5 of the Code is conditional on it not being unlawful, unreasonable or improper. </w:t>
      </w:r>
    </w:p>
    <w:p w14:paraId="5529DC51" w14:textId="05C8C572" w:rsidR="003246BC" w:rsidRPr="003476BF" w:rsidRDefault="003246BC" w:rsidP="003246BC">
      <w:pPr>
        <w:snapToGrid w:val="0"/>
        <w:spacing w:after="360"/>
        <w:rPr>
          <w:rFonts w:ascii="Arial" w:hAnsi="Arial" w:cs="Arial"/>
          <w:lang w:eastAsia="en-AU"/>
        </w:rPr>
      </w:pPr>
      <w:r w:rsidRPr="003246BC">
        <w:rPr>
          <w:rFonts w:ascii="Arial" w:hAnsi="Arial" w:cs="Arial"/>
          <w:color w:val="000000" w:themeColor="text1"/>
          <w:lang w:eastAsia="en-GB"/>
        </w:rPr>
        <w:t xml:space="preserve">The Code also requires you to refuse any services or products from third parties that are contrary to the best interests of a client, such as, a product or service from a preferred supplier that </w:t>
      </w:r>
      <w:r w:rsidRPr="003246BC">
        <w:rPr>
          <w:rFonts w:ascii="Arial" w:hAnsi="Arial" w:cs="Arial"/>
          <w:lang w:eastAsia="en-AU"/>
        </w:rPr>
        <w:t xml:space="preserve">does not meet the needs of a required outcome, </w:t>
      </w:r>
      <w:r w:rsidRPr="003246BC">
        <w:rPr>
          <w:rFonts w:ascii="Arial" w:hAnsi="Arial" w:cs="Arial"/>
          <w:color w:val="000000" w:themeColor="text1"/>
          <w:lang w:eastAsia="en-GB"/>
        </w:rPr>
        <w:t>is not value for money or is inferior to a competing product or service.</w:t>
      </w:r>
    </w:p>
    <w:tbl>
      <w:tblPr>
        <w:tblStyle w:val="TableGrid"/>
        <w:tblW w:w="0" w:type="auto"/>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shd w:val="clear" w:color="auto" w:fill="C0E8FF" w:themeFill="accent1" w:themeFillTint="33"/>
        <w:tblCellMar>
          <w:top w:w="85" w:type="dxa"/>
          <w:left w:w="85" w:type="dxa"/>
          <w:bottom w:w="85" w:type="dxa"/>
          <w:right w:w="85" w:type="dxa"/>
        </w:tblCellMar>
        <w:tblLook w:val="04A0" w:firstRow="1" w:lastRow="0" w:firstColumn="1" w:lastColumn="0" w:noHBand="0" w:noVBand="1"/>
      </w:tblPr>
      <w:tblGrid>
        <w:gridCol w:w="4444"/>
      </w:tblGrid>
      <w:tr w:rsidR="003246BC" w:rsidRPr="003246BC" w14:paraId="736C4FA3" w14:textId="77777777" w:rsidTr="003246BC">
        <w:tc>
          <w:tcPr>
            <w:tcW w:w="4444" w:type="dxa"/>
            <w:shd w:val="clear" w:color="auto" w:fill="DEEAF6"/>
          </w:tcPr>
          <w:p w14:paraId="41F5E033" w14:textId="77777777" w:rsidR="003246BC" w:rsidRPr="00F16301" w:rsidRDefault="003246BC" w:rsidP="003246BC">
            <w:pPr>
              <w:spacing w:after="120"/>
              <w:rPr>
                <w:rFonts w:ascii="Arial" w:hAnsi="Arial" w:cs="Arial"/>
                <w:color w:val="000000" w:themeColor="text1"/>
                <w:lang w:eastAsia="en-GB"/>
              </w:rPr>
            </w:pPr>
            <w:r w:rsidRPr="00F16301">
              <w:rPr>
                <w:rFonts w:ascii="Arial" w:hAnsi="Arial" w:cs="Arial"/>
                <w:color w:val="000000" w:themeColor="text1"/>
                <w:lang w:eastAsia="en-GB"/>
              </w:rPr>
              <w:t>For example, it would be …</w:t>
            </w:r>
          </w:p>
          <w:p w14:paraId="10A6D707" w14:textId="6BAF0DCC" w:rsidR="003246BC" w:rsidRPr="00F16301" w:rsidRDefault="003246BC" w:rsidP="003246BC">
            <w:pPr>
              <w:pStyle w:val="ListParagraph"/>
              <w:numPr>
                <w:ilvl w:val="0"/>
                <w:numId w:val="32"/>
              </w:numPr>
              <w:spacing w:after="120"/>
              <w:ind w:left="426" w:hanging="284"/>
              <w:contextualSpacing w:val="0"/>
              <w:rPr>
                <w:rFonts w:ascii="Arial" w:hAnsi="Arial" w:cs="Arial"/>
                <w:color w:val="000000" w:themeColor="text1"/>
                <w:lang w:eastAsia="en-GB"/>
              </w:rPr>
            </w:pPr>
            <w:r w:rsidRPr="00F16301">
              <w:rPr>
                <w:rFonts w:ascii="Arial" w:hAnsi="Arial" w:cs="Arial"/>
                <w:b/>
                <w:bCs/>
                <w:color w:val="000000" w:themeColor="text1"/>
                <w:lang w:eastAsia="en-GB"/>
              </w:rPr>
              <w:t>Unlawful</w:t>
            </w:r>
            <w:r w:rsidRPr="00F16301">
              <w:rPr>
                <w:rFonts w:ascii="Arial" w:hAnsi="Arial" w:cs="Arial"/>
                <w:color w:val="000000" w:themeColor="text1"/>
                <w:lang w:eastAsia="en-GB"/>
              </w:rPr>
              <w:t xml:space="preserve"> to propose a design for a building or system, such as a sprinkler system with reduced coverage, that would minimise the construction costs for a client but does not meet the performance requirements of the Building Code of Australia and/or</w:t>
            </w:r>
            <w:r w:rsidR="00AD5176" w:rsidRPr="00F16301">
              <w:rPr>
                <w:rFonts w:ascii="Arial" w:hAnsi="Arial" w:cs="Arial"/>
                <w:color w:val="000000" w:themeColor="text1"/>
                <w:lang w:eastAsia="en-GB"/>
              </w:rPr>
              <w:t xml:space="preserve"> the</w:t>
            </w:r>
            <w:r w:rsidRPr="00F16301">
              <w:rPr>
                <w:rFonts w:ascii="Arial" w:hAnsi="Arial" w:cs="Arial"/>
                <w:color w:val="000000" w:themeColor="text1"/>
                <w:lang w:eastAsia="en-GB"/>
              </w:rPr>
              <w:t xml:space="preserve"> Building Act. </w:t>
            </w:r>
          </w:p>
          <w:p w14:paraId="6B93DA7E" w14:textId="77777777" w:rsidR="003246BC" w:rsidRPr="00F16301" w:rsidRDefault="003246BC" w:rsidP="003246BC">
            <w:pPr>
              <w:pStyle w:val="ListParagraph"/>
              <w:numPr>
                <w:ilvl w:val="0"/>
                <w:numId w:val="32"/>
              </w:numPr>
              <w:spacing w:after="120"/>
              <w:ind w:left="426" w:hanging="284"/>
              <w:contextualSpacing w:val="0"/>
              <w:rPr>
                <w:rFonts w:ascii="Arial" w:hAnsi="Arial" w:cs="Arial"/>
                <w:color w:val="000000" w:themeColor="text1"/>
                <w:lang w:eastAsia="en-GB"/>
              </w:rPr>
            </w:pPr>
            <w:r w:rsidRPr="00F16301">
              <w:rPr>
                <w:rFonts w:ascii="Arial" w:hAnsi="Arial" w:cs="Arial"/>
                <w:b/>
                <w:bCs/>
                <w:color w:val="000000" w:themeColor="text1"/>
                <w:lang w:eastAsia="en-GB"/>
              </w:rPr>
              <w:t>Unreasonable</w:t>
            </w:r>
            <w:r w:rsidRPr="00F16301">
              <w:rPr>
                <w:rFonts w:ascii="Arial" w:hAnsi="Arial" w:cs="Arial"/>
                <w:color w:val="000000" w:themeColor="text1"/>
                <w:lang w:eastAsia="en-GB"/>
              </w:rPr>
              <w:t xml:space="preserve"> to agree to a client or employer’s request to undervalue and dispute a fair and reasonable variation claim from a builder.</w:t>
            </w:r>
          </w:p>
          <w:p w14:paraId="22320165" w14:textId="77777777" w:rsidR="003246BC" w:rsidRPr="003246BC" w:rsidRDefault="003246BC" w:rsidP="00AD5176">
            <w:pPr>
              <w:pStyle w:val="ListParagraph"/>
              <w:numPr>
                <w:ilvl w:val="0"/>
                <w:numId w:val="32"/>
              </w:numPr>
              <w:spacing w:after="20"/>
              <w:ind w:left="426" w:hanging="284"/>
              <w:contextualSpacing w:val="0"/>
              <w:rPr>
                <w:rFonts w:ascii="Arial" w:hAnsi="Arial" w:cs="Arial"/>
                <w:b/>
                <w:bCs/>
                <w:i/>
                <w:iCs/>
                <w:lang w:eastAsia="en-GB"/>
              </w:rPr>
            </w:pPr>
            <w:r w:rsidRPr="00F16301">
              <w:rPr>
                <w:rFonts w:ascii="Arial" w:hAnsi="Arial" w:cs="Arial"/>
                <w:b/>
                <w:bCs/>
                <w:color w:val="000000" w:themeColor="text1"/>
                <w:lang w:eastAsia="en-GB"/>
              </w:rPr>
              <w:t>Improper</w:t>
            </w:r>
            <w:r w:rsidRPr="00F16301">
              <w:rPr>
                <w:rFonts w:ascii="Arial" w:hAnsi="Arial" w:cs="Arial"/>
                <w:color w:val="000000" w:themeColor="text1"/>
                <w:lang w:eastAsia="en-GB"/>
              </w:rPr>
              <w:t xml:space="preserve"> to recommend a design that places plant machinery in a hazardous location (without the necessary safety </w:t>
            </w:r>
            <w:proofErr w:type="gramStart"/>
            <w:r w:rsidRPr="00F16301">
              <w:rPr>
                <w:rFonts w:ascii="Arial" w:hAnsi="Arial" w:cs="Arial"/>
                <w:color w:val="000000" w:themeColor="text1"/>
                <w:lang w:eastAsia="en-GB"/>
              </w:rPr>
              <w:t>safe-guards</w:t>
            </w:r>
            <w:proofErr w:type="gramEnd"/>
            <w:r w:rsidRPr="00F16301">
              <w:rPr>
                <w:rFonts w:ascii="Arial" w:hAnsi="Arial" w:cs="Arial"/>
                <w:color w:val="000000" w:themeColor="text1"/>
                <w:lang w:eastAsia="en-GB"/>
              </w:rPr>
              <w:t xml:space="preserve"> for access and maintenance) as a cost-effective solution for a client.</w:t>
            </w:r>
            <w:r w:rsidRPr="003246BC">
              <w:rPr>
                <w:rFonts w:ascii="Arial" w:hAnsi="Arial" w:cs="Arial"/>
                <w:b/>
                <w:bCs/>
                <w:i/>
                <w:iCs/>
                <w:lang w:eastAsia="en-GB"/>
              </w:rPr>
              <w:t xml:space="preserve"> </w:t>
            </w:r>
          </w:p>
        </w:tc>
      </w:tr>
    </w:tbl>
    <w:p w14:paraId="1D381927" w14:textId="77777777" w:rsidR="003246BC" w:rsidRPr="003246BC" w:rsidRDefault="003246BC" w:rsidP="003246BC">
      <w:pPr>
        <w:tabs>
          <w:tab w:val="left" w:pos="426"/>
        </w:tabs>
        <w:rPr>
          <w:rFonts w:ascii="Arial" w:hAnsi="Arial" w:cs="Arial"/>
          <w:b/>
          <w:bCs/>
          <w:color w:val="0070C0"/>
          <w:sz w:val="24"/>
          <w:lang w:eastAsia="en-GB"/>
        </w:rPr>
        <w:sectPr w:rsidR="003246BC" w:rsidRPr="003246BC" w:rsidSect="003A24D0">
          <w:type w:val="continuous"/>
          <w:pgSz w:w="11906" w:h="16838" w:code="9"/>
          <w:pgMar w:top="1304" w:right="1134" w:bottom="1134" w:left="1134" w:header="284" w:footer="703" w:gutter="0"/>
          <w:cols w:num="2" w:space="709"/>
          <w:docGrid w:linePitch="360"/>
        </w:sectPr>
      </w:pPr>
    </w:p>
    <w:p w14:paraId="0C29A73E" w14:textId="77777777" w:rsidR="003246BC" w:rsidRPr="003246BC" w:rsidRDefault="003246BC" w:rsidP="00386A0A">
      <w:pPr>
        <w:pStyle w:val="Heading2"/>
        <w:spacing w:before="120" w:after="360" w:line="240" w:lineRule="auto"/>
        <w:ind w:left="567" w:hanging="567"/>
        <w:rPr>
          <w:lang w:eastAsia="en-GB"/>
        </w:rPr>
      </w:pPr>
      <w:bookmarkStart w:id="9" w:name="_Toc78290777"/>
      <w:r w:rsidRPr="003246BC">
        <w:rPr>
          <w:lang w:eastAsia="en-GB"/>
        </w:rPr>
        <w:t>6</w:t>
      </w:r>
      <w:r w:rsidRPr="003246BC">
        <w:rPr>
          <w:lang w:eastAsia="en-GB"/>
        </w:rPr>
        <w:tab/>
        <w:t>Act in area of professional competence</w:t>
      </w:r>
      <w:bookmarkEnd w:id="9"/>
    </w:p>
    <w:tbl>
      <w:tblPr>
        <w:tblStyle w:val="TableGrid"/>
        <w:tblW w:w="9639" w:type="dxa"/>
        <w:tblInd w:w="-5" w:type="dxa"/>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shd w:val="clear" w:color="auto" w:fill="DEEAF6"/>
        <w:tblCellMar>
          <w:top w:w="113" w:type="dxa"/>
          <w:left w:w="57" w:type="dxa"/>
          <w:bottom w:w="113" w:type="dxa"/>
          <w:right w:w="57" w:type="dxa"/>
        </w:tblCellMar>
        <w:tblLook w:val="04A0" w:firstRow="1" w:lastRow="0" w:firstColumn="1" w:lastColumn="0" w:noHBand="0" w:noVBand="1"/>
      </w:tblPr>
      <w:tblGrid>
        <w:gridCol w:w="9639"/>
      </w:tblGrid>
      <w:tr w:rsidR="003246BC" w:rsidRPr="003246BC" w14:paraId="1A6CE5CE" w14:textId="77777777" w:rsidTr="00431FCA">
        <w:tc>
          <w:tcPr>
            <w:tcW w:w="9639" w:type="dxa"/>
            <w:shd w:val="clear" w:color="auto" w:fill="DEEAF6"/>
          </w:tcPr>
          <w:p w14:paraId="3501A03C" w14:textId="77777777" w:rsidR="003246BC" w:rsidRPr="00F16301" w:rsidRDefault="003246BC" w:rsidP="0008345F">
            <w:pPr>
              <w:tabs>
                <w:tab w:val="left" w:pos="426"/>
              </w:tabs>
              <w:snapToGrid w:val="0"/>
              <w:rPr>
                <w:rFonts w:ascii="Arial" w:hAnsi="Arial" w:cs="Arial"/>
                <w:color w:val="000000" w:themeColor="text1"/>
                <w:lang w:eastAsia="en-GB"/>
              </w:rPr>
            </w:pPr>
            <w:r w:rsidRPr="00F16301">
              <w:rPr>
                <w:rFonts w:ascii="Arial" w:hAnsi="Arial" w:cs="Arial"/>
                <w:b/>
                <w:bCs/>
                <w:color w:val="000000" w:themeColor="text1"/>
                <w:lang w:eastAsia="en-GB"/>
              </w:rPr>
              <w:t xml:space="preserve">Summary </w:t>
            </w:r>
            <w:r w:rsidRPr="00F16301">
              <w:rPr>
                <w:rFonts w:ascii="Arial" w:hAnsi="Arial" w:cs="Arial"/>
                <w:color w:val="000000" w:themeColor="text1"/>
                <w:lang w:eastAsia="en-GB"/>
              </w:rPr>
              <w:t>–</w:t>
            </w:r>
            <w:r w:rsidRPr="00F16301">
              <w:rPr>
                <w:rFonts w:ascii="Arial" w:hAnsi="Arial" w:cs="Arial"/>
                <w:b/>
                <w:bCs/>
                <w:color w:val="000000" w:themeColor="text1"/>
                <w:lang w:eastAsia="en-GB"/>
              </w:rPr>
              <w:t xml:space="preserve"> </w:t>
            </w:r>
            <w:r w:rsidRPr="00F16301">
              <w:rPr>
                <w:rFonts w:ascii="Arial" w:hAnsi="Arial" w:cs="Arial"/>
                <w:color w:val="000000" w:themeColor="text1"/>
                <w:lang w:eastAsia="en-GB"/>
              </w:rPr>
              <w:t xml:space="preserve">A registered professional engineer must only act within their area or areas of competence, only directly supervise within that area or areas, </w:t>
            </w:r>
            <w:proofErr w:type="gramStart"/>
            <w:r w:rsidRPr="00F16301">
              <w:rPr>
                <w:rFonts w:ascii="Arial" w:hAnsi="Arial" w:cs="Arial"/>
                <w:color w:val="000000" w:themeColor="text1"/>
                <w:lang w:eastAsia="en-GB"/>
              </w:rPr>
              <w:t>seek</w:t>
            </w:r>
            <w:proofErr w:type="gramEnd"/>
            <w:r w:rsidRPr="00F16301">
              <w:rPr>
                <w:rFonts w:ascii="Arial" w:hAnsi="Arial" w:cs="Arial"/>
                <w:color w:val="000000" w:themeColor="text1"/>
                <w:lang w:eastAsia="en-GB"/>
              </w:rPr>
              <w:t xml:space="preserve"> or recommend that expert advice be sought as required and not misrepresent their professional competence.</w:t>
            </w:r>
          </w:p>
        </w:tc>
      </w:tr>
    </w:tbl>
    <w:p w14:paraId="5EB8D8AA" w14:textId="77777777" w:rsidR="003246BC" w:rsidRPr="003246BC" w:rsidRDefault="003246BC" w:rsidP="003246BC">
      <w:pPr>
        <w:tabs>
          <w:tab w:val="left" w:pos="851"/>
        </w:tabs>
        <w:snapToGrid w:val="0"/>
        <w:spacing w:after="120"/>
        <w:rPr>
          <w:rFonts w:ascii="Arial" w:hAnsi="Arial" w:cs="Arial"/>
          <w:color w:val="000000" w:themeColor="text1"/>
          <w:lang w:eastAsia="en-GB"/>
        </w:rPr>
      </w:pPr>
    </w:p>
    <w:p w14:paraId="745CE0E0" w14:textId="77777777" w:rsidR="003246BC" w:rsidRPr="003246BC" w:rsidRDefault="003246BC" w:rsidP="003246BC">
      <w:pPr>
        <w:tabs>
          <w:tab w:val="left" w:pos="851"/>
        </w:tabs>
        <w:snapToGrid w:val="0"/>
        <w:spacing w:after="120"/>
        <w:rPr>
          <w:rFonts w:ascii="Arial" w:hAnsi="Arial" w:cs="Arial"/>
          <w:color w:val="000000" w:themeColor="text1"/>
          <w:lang w:eastAsia="en-GB"/>
        </w:rPr>
        <w:sectPr w:rsidR="003246BC" w:rsidRPr="003246BC" w:rsidSect="003A24D0">
          <w:type w:val="continuous"/>
          <w:pgSz w:w="11906" w:h="16838" w:code="9"/>
          <w:pgMar w:top="1304" w:right="1134" w:bottom="1134" w:left="1134" w:header="284" w:footer="703" w:gutter="0"/>
          <w:cols w:space="709"/>
          <w:docGrid w:linePitch="360"/>
        </w:sectPr>
      </w:pPr>
    </w:p>
    <w:p w14:paraId="631B02BF" w14:textId="77777777" w:rsidR="009D2954" w:rsidRDefault="003246BC" w:rsidP="003246BC">
      <w:pPr>
        <w:tabs>
          <w:tab w:val="left" w:pos="851"/>
        </w:tabs>
        <w:snapToGrid w:val="0"/>
        <w:spacing w:after="160"/>
        <w:rPr>
          <w:rFonts w:ascii="Arial" w:hAnsi="Arial" w:cs="Arial"/>
          <w:color w:val="000000" w:themeColor="text1"/>
          <w:lang w:eastAsia="en-GB"/>
        </w:rPr>
      </w:pPr>
      <w:r w:rsidRPr="003246BC">
        <w:rPr>
          <w:rFonts w:ascii="Arial" w:hAnsi="Arial" w:cs="Arial"/>
          <w:color w:val="000000" w:themeColor="text1"/>
          <w:lang w:eastAsia="en-GB"/>
        </w:rPr>
        <w:t>You must only provide professional engineering services within your area or areas of competence.</w:t>
      </w:r>
    </w:p>
    <w:p w14:paraId="2A2BD987" w14:textId="1E45509A" w:rsidR="003246BC" w:rsidRPr="003246BC" w:rsidRDefault="003246BC" w:rsidP="003246BC">
      <w:pPr>
        <w:tabs>
          <w:tab w:val="left" w:pos="851"/>
        </w:tabs>
        <w:snapToGrid w:val="0"/>
        <w:spacing w:after="160"/>
        <w:rPr>
          <w:rFonts w:ascii="Arial" w:hAnsi="Arial" w:cs="Arial"/>
          <w:color w:val="000000" w:themeColor="text1"/>
          <w:lang w:eastAsia="en-GB"/>
        </w:rPr>
      </w:pPr>
      <w:r w:rsidRPr="003246BC">
        <w:rPr>
          <w:rFonts w:ascii="Arial" w:hAnsi="Arial" w:cs="Arial"/>
          <w:color w:val="000000" w:themeColor="text1"/>
          <w:lang w:eastAsia="en-GB"/>
        </w:rPr>
        <w:t>Your area of competence may be the area of engineering in which you are registered to practise (fire safety, civil, structural, electrical and mechanical engineering) but will more likely be a narrower area of specialisation within that area of engineering. For example, control engineering within the area of electrical engineering or piping engineering within the area of mechanical engineering.</w:t>
      </w:r>
    </w:p>
    <w:p w14:paraId="6F44D619" w14:textId="77777777" w:rsidR="003246BC" w:rsidRPr="003246BC" w:rsidRDefault="003246BC" w:rsidP="003246BC">
      <w:pPr>
        <w:pStyle w:val="ListParagraph"/>
        <w:spacing w:after="160"/>
        <w:ind w:left="0"/>
        <w:contextualSpacing w:val="0"/>
        <w:rPr>
          <w:rFonts w:ascii="Arial" w:hAnsi="Arial" w:cs="Arial"/>
          <w:color w:val="000000" w:themeColor="text1"/>
          <w:lang w:eastAsia="en-GB"/>
        </w:rPr>
      </w:pPr>
      <w:r w:rsidRPr="003246BC">
        <w:rPr>
          <w:rFonts w:ascii="Arial" w:hAnsi="Arial" w:cs="Arial"/>
          <w:color w:val="000000" w:themeColor="text1"/>
          <w:lang w:eastAsia="en-GB"/>
        </w:rPr>
        <w:t>Working in an area of competence requires you to operate within the limits of your qualifications, training and experience and to perform activities to the expected standard and in an effective manner. In addition, Clause 6 of the Code requires you to competently carry out professional engineering services, which principally requires you to apply sound judgement.</w:t>
      </w:r>
    </w:p>
    <w:p w14:paraId="3ED676EA" w14:textId="02A29DF4" w:rsidR="003246BC" w:rsidRDefault="003246BC" w:rsidP="003246BC">
      <w:pPr>
        <w:pStyle w:val="ListParagraph"/>
        <w:spacing w:after="360"/>
        <w:ind w:left="0" w:right="-72"/>
        <w:rPr>
          <w:rFonts w:ascii="Arial" w:hAnsi="Arial" w:cs="Arial"/>
        </w:rPr>
      </w:pPr>
      <w:r w:rsidRPr="003246BC">
        <w:rPr>
          <w:rFonts w:ascii="Arial" w:hAnsi="Arial" w:cs="Arial"/>
          <w:color w:val="000000" w:themeColor="text1"/>
          <w:lang w:eastAsia="en-GB"/>
        </w:rPr>
        <w:t>It is important that you understand the limits of your competence.</w:t>
      </w:r>
      <w:r w:rsidRPr="003246BC">
        <w:rPr>
          <w:rFonts w:ascii="Arial" w:hAnsi="Arial" w:cs="Arial"/>
        </w:rPr>
        <w:t xml:space="preserve"> </w:t>
      </w:r>
    </w:p>
    <w:p w14:paraId="33924C25" w14:textId="0EAC98DF" w:rsidR="009F5141" w:rsidRDefault="009F5141" w:rsidP="003246BC">
      <w:pPr>
        <w:pStyle w:val="ListParagraph"/>
        <w:spacing w:after="360"/>
        <w:ind w:left="0" w:right="-72"/>
        <w:rPr>
          <w:rFonts w:ascii="Arial" w:hAnsi="Arial" w:cs="Arial"/>
        </w:rPr>
      </w:pPr>
    </w:p>
    <w:p w14:paraId="0E716AA6" w14:textId="3015084B" w:rsidR="009F5141" w:rsidRDefault="009F5141" w:rsidP="003246BC">
      <w:pPr>
        <w:pStyle w:val="ListParagraph"/>
        <w:spacing w:after="360"/>
        <w:ind w:left="0" w:right="-72"/>
        <w:rPr>
          <w:rFonts w:ascii="Arial" w:hAnsi="Arial" w:cs="Arial"/>
        </w:rPr>
      </w:pPr>
    </w:p>
    <w:p w14:paraId="31EC029C" w14:textId="462CDA96" w:rsidR="009F5141" w:rsidRDefault="009F5141" w:rsidP="003246BC">
      <w:pPr>
        <w:pStyle w:val="ListParagraph"/>
        <w:spacing w:after="360"/>
        <w:ind w:left="0" w:right="-72"/>
        <w:rPr>
          <w:rFonts w:ascii="Arial" w:hAnsi="Arial" w:cs="Arial"/>
        </w:rPr>
      </w:pPr>
    </w:p>
    <w:p w14:paraId="41CA8402" w14:textId="11372090" w:rsidR="009F5141" w:rsidRDefault="009F5141" w:rsidP="003246BC">
      <w:pPr>
        <w:pStyle w:val="ListParagraph"/>
        <w:spacing w:after="360"/>
        <w:ind w:left="0" w:right="-72"/>
        <w:rPr>
          <w:rFonts w:ascii="Arial" w:hAnsi="Arial" w:cs="Arial"/>
        </w:rPr>
      </w:pPr>
    </w:p>
    <w:p w14:paraId="0AE8F401" w14:textId="25E58CFA" w:rsidR="009F5141" w:rsidRDefault="009F5141" w:rsidP="003246BC">
      <w:pPr>
        <w:pStyle w:val="ListParagraph"/>
        <w:spacing w:after="360"/>
        <w:ind w:left="0" w:right="-72"/>
        <w:rPr>
          <w:rFonts w:ascii="Arial" w:hAnsi="Arial" w:cs="Arial"/>
        </w:rPr>
      </w:pPr>
    </w:p>
    <w:p w14:paraId="725E18A7" w14:textId="77777777" w:rsidR="009F5141" w:rsidRPr="003246BC" w:rsidRDefault="009F5141" w:rsidP="003246BC">
      <w:pPr>
        <w:pStyle w:val="ListParagraph"/>
        <w:spacing w:after="360"/>
        <w:ind w:left="0" w:right="-72"/>
        <w:rPr>
          <w:rFonts w:ascii="Arial" w:hAnsi="Arial" w:cs="Arial"/>
        </w:rPr>
      </w:pPr>
    </w:p>
    <w:tbl>
      <w:tblPr>
        <w:tblStyle w:val="TableGrid"/>
        <w:tblW w:w="0" w:type="auto"/>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4444"/>
      </w:tblGrid>
      <w:tr w:rsidR="003246BC" w:rsidRPr="003246BC" w14:paraId="159FE893" w14:textId="77777777" w:rsidTr="00431FCA">
        <w:tc>
          <w:tcPr>
            <w:tcW w:w="4444" w:type="dxa"/>
            <w:shd w:val="clear" w:color="auto" w:fill="DEEAF6"/>
          </w:tcPr>
          <w:p w14:paraId="449CD655" w14:textId="77777777" w:rsidR="003246BC" w:rsidRPr="00F16301" w:rsidRDefault="003246BC" w:rsidP="00431FCA">
            <w:pPr>
              <w:snapToGrid w:val="0"/>
              <w:spacing w:after="120"/>
              <w:rPr>
                <w:rFonts w:ascii="Arial" w:hAnsi="Arial" w:cs="Arial"/>
                <w:color w:val="000000" w:themeColor="text1"/>
                <w:lang w:eastAsia="en-GB"/>
              </w:rPr>
            </w:pPr>
            <w:r w:rsidRPr="00F16301">
              <w:rPr>
                <w:rFonts w:ascii="Arial" w:hAnsi="Arial" w:cs="Arial"/>
                <w:color w:val="000000" w:themeColor="text1"/>
                <w:lang w:eastAsia="en-GB"/>
              </w:rPr>
              <w:t xml:space="preserve">For </w:t>
            </w:r>
            <w:proofErr w:type="gramStart"/>
            <w:r w:rsidRPr="00F16301">
              <w:rPr>
                <w:rFonts w:ascii="Arial" w:hAnsi="Arial" w:cs="Arial"/>
                <w:color w:val="000000" w:themeColor="text1"/>
                <w:lang w:eastAsia="en-GB"/>
              </w:rPr>
              <w:t>example</w:t>
            </w:r>
            <w:proofErr w:type="gramEnd"/>
            <w:r w:rsidRPr="00F16301">
              <w:rPr>
                <w:rFonts w:ascii="Arial" w:hAnsi="Arial" w:cs="Arial"/>
                <w:color w:val="000000" w:themeColor="text1"/>
                <w:lang w:eastAsia="en-GB"/>
              </w:rPr>
              <w:t xml:space="preserve"> …</w:t>
            </w:r>
          </w:p>
          <w:p w14:paraId="4FD76739" w14:textId="77777777" w:rsidR="003246BC" w:rsidRPr="003246BC" w:rsidRDefault="003246BC" w:rsidP="009F5141">
            <w:pPr>
              <w:pStyle w:val="ListParagraph"/>
              <w:numPr>
                <w:ilvl w:val="0"/>
                <w:numId w:val="31"/>
              </w:numPr>
              <w:spacing w:after="20"/>
              <w:ind w:left="425" w:hanging="425"/>
              <w:contextualSpacing w:val="0"/>
              <w:rPr>
                <w:rFonts w:ascii="Arial" w:hAnsi="Arial" w:cs="Arial"/>
                <w:i/>
                <w:iCs/>
                <w:color w:val="000000" w:themeColor="text1"/>
              </w:rPr>
            </w:pPr>
            <w:r w:rsidRPr="00F16301">
              <w:rPr>
                <w:rFonts w:ascii="Arial" w:hAnsi="Arial" w:cs="Arial"/>
                <w:color w:val="000000" w:themeColor="text1"/>
              </w:rPr>
              <w:t>An endorsed building engineer registered in the area of fire safety engineering must know the limits of their knowledge, experience and functions under the Building Code of Australia and/or the Building Act when issuing a certificate of design compliance (or undertaking other aspects of services within their expertise).</w:t>
            </w:r>
            <w:r w:rsidRPr="003246BC">
              <w:rPr>
                <w:rFonts w:ascii="Arial" w:hAnsi="Arial" w:cs="Arial"/>
                <w:i/>
                <w:iCs/>
                <w:color w:val="000000" w:themeColor="text1"/>
              </w:rPr>
              <w:t xml:space="preserve"> </w:t>
            </w:r>
          </w:p>
        </w:tc>
      </w:tr>
    </w:tbl>
    <w:p w14:paraId="32AA1456" w14:textId="28C4D860" w:rsidR="003246BC" w:rsidRPr="003246BC" w:rsidRDefault="003246BC" w:rsidP="00386A0A">
      <w:pPr>
        <w:pStyle w:val="ListParagraph"/>
        <w:spacing w:before="360" w:after="360"/>
        <w:ind w:left="0" w:right="-74"/>
        <w:contextualSpacing w:val="0"/>
        <w:rPr>
          <w:rFonts w:ascii="Arial" w:hAnsi="Arial" w:cs="Arial"/>
          <w:color w:val="000000" w:themeColor="text1"/>
          <w:lang w:eastAsia="en-GB"/>
        </w:rPr>
      </w:pPr>
      <w:r w:rsidRPr="003246BC">
        <w:rPr>
          <w:rFonts w:ascii="Arial" w:hAnsi="Arial" w:cs="Arial"/>
          <w:color w:val="000000" w:themeColor="text1"/>
          <w:lang w:eastAsia="en-GB"/>
        </w:rPr>
        <w:t xml:space="preserve">In some </w:t>
      </w:r>
      <w:r w:rsidR="009F5141" w:rsidRPr="003246BC">
        <w:rPr>
          <w:rFonts w:ascii="Arial" w:hAnsi="Arial" w:cs="Arial"/>
          <w:color w:val="000000" w:themeColor="text1"/>
          <w:lang w:eastAsia="en-GB"/>
        </w:rPr>
        <w:t>situations,</w:t>
      </w:r>
      <w:r w:rsidRPr="003246BC">
        <w:rPr>
          <w:rFonts w:ascii="Arial" w:hAnsi="Arial" w:cs="Arial"/>
          <w:color w:val="000000" w:themeColor="text1"/>
          <w:lang w:eastAsia="en-GB"/>
        </w:rPr>
        <w:t xml:space="preserve"> understanding the limits of your competence may involve a </w:t>
      </w:r>
      <w:r w:rsidRPr="003246BC">
        <w:rPr>
          <w:rFonts w:ascii="Arial" w:hAnsi="Arial" w:cs="Arial"/>
        </w:rPr>
        <w:t xml:space="preserve">self-assessment to ensure you have the necessary knowledge, skill and capability to carry out the appointed tasks. </w:t>
      </w:r>
      <w:r w:rsidRPr="003246BC">
        <w:rPr>
          <w:rFonts w:ascii="Arial" w:hAnsi="Arial" w:cs="Arial"/>
          <w:color w:val="000000" w:themeColor="text1"/>
          <w:lang w:eastAsia="en-GB"/>
        </w:rPr>
        <w:t xml:space="preserve">If you do work that is outside your area of competence you risk poor quality work and potentially damaging both your own reputation and that of the engineering profession. </w:t>
      </w:r>
    </w:p>
    <w:tbl>
      <w:tblPr>
        <w:tblStyle w:val="TableGrid"/>
        <w:tblW w:w="0" w:type="auto"/>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shd w:val="clear" w:color="auto" w:fill="C0E8FF" w:themeFill="accent1" w:themeFillTint="33"/>
        <w:tblCellMar>
          <w:top w:w="85" w:type="dxa"/>
          <w:left w:w="85" w:type="dxa"/>
          <w:bottom w:w="85" w:type="dxa"/>
          <w:right w:w="85" w:type="dxa"/>
        </w:tblCellMar>
        <w:tblLook w:val="04A0" w:firstRow="1" w:lastRow="0" w:firstColumn="1" w:lastColumn="0" w:noHBand="0" w:noVBand="1"/>
      </w:tblPr>
      <w:tblGrid>
        <w:gridCol w:w="4444"/>
      </w:tblGrid>
      <w:tr w:rsidR="003246BC" w:rsidRPr="003246BC" w14:paraId="514D345D" w14:textId="77777777" w:rsidTr="00431FCA">
        <w:tc>
          <w:tcPr>
            <w:tcW w:w="4444" w:type="dxa"/>
            <w:shd w:val="clear" w:color="auto" w:fill="DEEAF6"/>
          </w:tcPr>
          <w:p w14:paraId="41DB0547" w14:textId="77777777" w:rsidR="003246BC" w:rsidRPr="00F16301" w:rsidRDefault="003246BC" w:rsidP="00431FCA">
            <w:pPr>
              <w:pStyle w:val="ListParagraph"/>
              <w:spacing w:after="120"/>
              <w:ind w:left="0"/>
              <w:contextualSpacing w:val="0"/>
              <w:rPr>
                <w:rFonts w:ascii="Arial" w:hAnsi="Arial" w:cs="Arial"/>
                <w:color w:val="000000" w:themeColor="text1"/>
                <w:lang w:eastAsia="en-GB"/>
              </w:rPr>
            </w:pPr>
            <w:r w:rsidRPr="00F16301">
              <w:rPr>
                <w:rFonts w:ascii="Arial" w:hAnsi="Arial" w:cs="Arial"/>
                <w:color w:val="000000" w:themeColor="text1"/>
                <w:lang w:eastAsia="en-GB"/>
              </w:rPr>
              <w:t>Some examples of professional engineers working outside their area of competence …</w:t>
            </w:r>
          </w:p>
          <w:p w14:paraId="0A664D10" w14:textId="77777777" w:rsidR="003246BC" w:rsidRPr="00F16301" w:rsidRDefault="003246BC" w:rsidP="00EB3821">
            <w:pPr>
              <w:pStyle w:val="ListParagraph"/>
              <w:numPr>
                <w:ilvl w:val="0"/>
                <w:numId w:val="32"/>
              </w:numPr>
              <w:spacing w:after="20"/>
              <w:ind w:left="426" w:hanging="284"/>
              <w:contextualSpacing w:val="0"/>
              <w:rPr>
                <w:rFonts w:ascii="Arial" w:hAnsi="Arial" w:cs="Arial"/>
                <w:color w:val="000000" w:themeColor="text1"/>
                <w:lang w:eastAsia="en-GB"/>
              </w:rPr>
            </w:pPr>
            <w:r w:rsidRPr="00F16301">
              <w:rPr>
                <w:rFonts w:ascii="Arial" w:hAnsi="Arial" w:cs="Arial"/>
                <w:color w:val="000000" w:themeColor="text1"/>
                <w:lang w:eastAsia="en-GB"/>
              </w:rPr>
              <w:t>A civil engineer who does not have any qualifications and experience in traffic engineering, carries out a design for traffic signals and road markings which is outside their area of competence.</w:t>
            </w:r>
          </w:p>
          <w:p w14:paraId="42B39316" w14:textId="77777777" w:rsidR="009F5141" w:rsidRPr="00F16301" w:rsidRDefault="003246BC" w:rsidP="009F5141">
            <w:pPr>
              <w:pStyle w:val="ListParagraph"/>
              <w:numPr>
                <w:ilvl w:val="0"/>
                <w:numId w:val="32"/>
              </w:numPr>
              <w:spacing w:after="120"/>
              <w:ind w:left="426" w:hanging="284"/>
              <w:contextualSpacing w:val="0"/>
              <w:rPr>
                <w:rFonts w:ascii="Arial" w:hAnsi="Arial" w:cs="Arial"/>
                <w:color w:val="000000" w:themeColor="text1"/>
                <w:lang w:eastAsia="en-GB"/>
              </w:rPr>
            </w:pPr>
            <w:r w:rsidRPr="00F16301">
              <w:rPr>
                <w:rFonts w:ascii="Arial" w:hAnsi="Arial" w:cs="Arial"/>
                <w:color w:val="000000" w:themeColor="text1"/>
                <w:lang w:eastAsia="en-GB"/>
              </w:rPr>
              <w:lastRenderedPageBreak/>
              <w:t>An endorsed building engineer issues an engineering compliance certificate of inspection certifying compliance with the Building Code of Australia, relying on an inspection carried out by another person.</w:t>
            </w:r>
          </w:p>
          <w:p w14:paraId="11A7113E" w14:textId="4C50615A" w:rsidR="003246BC" w:rsidRPr="003246BC" w:rsidRDefault="003246BC" w:rsidP="009F5141">
            <w:pPr>
              <w:pStyle w:val="ListParagraph"/>
              <w:numPr>
                <w:ilvl w:val="0"/>
                <w:numId w:val="32"/>
              </w:numPr>
              <w:spacing w:after="20"/>
              <w:ind w:left="426" w:hanging="284"/>
              <w:contextualSpacing w:val="0"/>
              <w:rPr>
                <w:rFonts w:ascii="Arial" w:hAnsi="Arial" w:cs="Arial"/>
                <w:i/>
                <w:iCs/>
                <w:color w:val="000000" w:themeColor="text1"/>
                <w:lang w:eastAsia="en-GB"/>
              </w:rPr>
            </w:pPr>
            <w:r w:rsidRPr="00F16301">
              <w:rPr>
                <w:rFonts w:ascii="Arial" w:hAnsi="Arial" w:cs="Arial"/>
                <w:color w:val="000000" w:themeColor="text1"/>
                <w:lang w:eastAsia="en-GB"/>
              </w:rPr>
              <w:t>A fire safety engineer signs a certificate of compliance to certify the fire safety aspects of a building including the design of the sprinkler system which is outside their area of competence and registration.</w:t>
            </w:r>
          </w:p>
        </w:tc>
      </w:tr>
    </w:tbl>
    <w:p w14:paraId="19DEC082" w14:textId="77777777" w:rsidR="003246BC" w:rsidRPr="003246BC" w:rsidRDefault="003246BC" w:rsidP="009F5141">
      <w:pPr>
        <w:pStyle w:val="ListParagraph"/>
        <w:spacing w:before="360" w:after="160"/>
        <w:ind w:left="0" w:right="-74"/>
        <w:contextualSpacing w:val="0"/>
        <w:rPr>
          <w:rFonts w:ascii="Arial" w:hAnsi="Arial" w:cs="Arial"/>
          <w:color w:val="000000" w:themeColor="text1"/>
          <w:lang w:eastAsia="en-GB"/>
        </w:rPr>
      </w:pPr>
      <w:r w:rsidRPr="003246BC">
        <w:rPr>
          <w:rFonts w:ascii="Arial" w:hAnsi="Arial" w:cs="Arial"/>
          <w:color w:val="000000" w:themeColor="text1"/>
          <w:lang w:eastAsia="en-GB"/>
        </w:rPr>
        <w:lastRenderedPageBreak/>
        <w:t>Working within your area of competence and working competently means that you take personal responsibility for your work. It also includes:</w:t>
      </w:r>
    </w:p>
    <w:p w14:paraId="118C0436" w14:textId="77777777" w:rsidR="003246BC" w:rsidRPr="003246BC" w:rsidRDefault="003246BC" w:rsidP="003246BC">
      <w:pPr>
        <w:pStyle w:val="ListParagraph"/>
        <w:numPr>
          <w:ilvl w:val="0"/>
          <w:numId w:val="33"/>
        </w:numPr>
        <w:snapToGrid w:val="0"/>
        <w:spacing w:after="60"/>
        <w:ind w:left="426" w:hanging="284"/>
        <w:contextualSpacing w:val="0"/>
        <w:rPr>
          <w:rFonts w:ascii="Arial" w:hAnsi="Arial" w:cs="Arial"/>
          <w:lang w:eastAsia="en-GB"/>
        </w:rPr>
      </w:pPr>
      <w:r w:rsidRPr="003246BC">
        <w:rPr>
          <w:rFonts w:ascii="Arial" w:hAnsi="Arial" w:cs="Arial"/>
          <w:lang w:eastAsia="en-GB"/>
        </w:rPr>
        <w:t xml:space="preserve">only directly supervising an unregistered person within your area of competence </w:t>
      </w:r>
    </w:p>
    <w:p w14:paraId="438A3BF2" w14:textId="77777777" w:rsidR="003246BC" w:rsidRPr="003246BC" w:rsidRDefault="003246BC" w:rsidP="003246BC">
      <w:pPr>
        <w:pStyle w:val="ListParagraph"/>
        <w:numPr>
          <w:ilvl w:val="0"/>
          <w:numId w:val="33"/>
        </w:numPr>
        <w:snapToGrid w:val="0"/>
        <w:spacing w:after="60"/>
        <w:ind w:left="426" w:hanging="284"/>
        <w:contextualSpacing w:val="0"/>
        <w:rPr>
          <w:rFonts w:ascii="Arial" w:hAnsi="Arial" w:cs="Arial"/>
          <w:lang w:eastAsia="en-GB"/>
        </w:rPr>
      </w:pPr>
      <w:r w:rsidRPr="003246BC">
        <w:rPr>
          <w:rFonts w:ascii="Arial" w:hAnsi="Arial" w:cs="Arial"/>
          <w:lang w:eastAsia="en-GB"/>
        </w:rPr>
        <w:t>informing employers and clients, and recommending or obtaining expert advice, if any engineering work requires qualifications and experience outside your area of competence</w:t>
      </w:r>
    </w:p>
    <w:p w14:paraId="292A92D3" w14:textId="77777777" w:rsidR="003246BC" w:rsidRPr="003246BC" w:rsidRDefault="003246BC" w:rsidP="003246BC">
      <w:pPr>
        <w:pStyle w:val="ListParagraph"/>
        <w:numPr>
          <w:ilvl w:val="0"/>
          <w:numId w:val="33"/>
        </w:numPr>
        <w:snapToGrid w:val="0"/>
        <w:spacing w:after="60"/>
        <w:ind w:left="426" w:hanging="284"/>
        <w:contextualSpacing w:val="0"/>
        <w:rPr>
          <w:rFonts w:ascii="Arial" w:hAnsi="Arial" w:cs="Arial"/>
          <w:lang w:eastAsia="en-GB"/>
        </w:rPr>
      </w:pPr>
      <w:r w:rsidRPr="003246BC">
        <w:rPr>
          <w:rFonts w:ascii="Arial" w:hAnsi="Arial" w:cs="Arial"/>
          <w:lang w:eastAsia="en-GB"/>
        </w:rPr>
        <w:t>making sure you do not misrepresent your area of expertise, level of experience or competence to clients and prospective clients, in particular, not making any statements or publishing any material that misrepresents your qualifications and experience</w:t>
      </w:r>
    </w:p>
    <w:p w14:paraId="614F6F4F" w14:textId="77777777" w:rsidR="003246BC" w:rsidRPr="003246BC" w:rsidRDefault="003246BC" w:rsidP="003246BC">
      <w:pPr>
        <w:pStyle w:val="ListParagraph"/>
        <w:numPr>
          <w:ilvl w:val="0"/>
          <w:numId w:val="33"/>
        </w:numPr>
        <w:snapToGrid w:val="0"/>
        <w:spacing w:after="60"/>
        <w:ind w:left="426" w:hanging="284"/>
        <w:contextualSpacing w:val="0"/>
        <w:rPr>
          <w:rFonts w:ascii="Arial" w:hAnsi="Arial" w:cs="Arial"/>
          <w:lang w:eastAsia="en-GB"/>
        </w:rPr>
      </w:pPr>
      <w:r w:rsidRPr="003246BC">
        <w:rPr>
          <w:rFonts w:ascii="Arial" w:hAnsi="Arial" w:cs="Arial"/>
          <w:lang w:eastAsia="en-GB"/>
        </w:rPr>
        <w:t>expressing opinions and reporting or advising on professional engineering matters honestly and only in your area of competence, and</w:t>
      </w:r>
    </w:p>
    <w:p w14:paraId="3F6E0E8E" w14:textId="77777777" w:rsidR="003246BC" w:rsidRPr="003246BC" w:rsidRDefault="003246BC" w:rsidP="003246BC">
      <w:pPr>
        <w:pStyle w:val="ListParagraph"/>
        <w:numPr>
          <w:ilvl w:val="0"/>
          <w:numId w:val="33"/>
        </w:numPr>
        <w:snapToGrid w:val="0"/>
        <w:ind w:left="426" w:hanging="284"/>
        <w:contextualSpacing w:val="0"/>
        <w:rPr>
          <w:rFonts w:ascii="Arial" w:hAnsi="Arial" w:cs="Arial"/>
          <w:color w:val="000000" w:themeColor="text1"/>
          <w:lang w:eastAsia="en-GB"/>
        </w:rPr>
      </w:pPr>
      <w:r w:rsidRPr="003246BC">
        <w:rPr>
          <w:rFonts w:ascii="Arial" w:hAnsi="Arial" w:cs="Arial"/>
          <w:lang w:eastAsia="en-GB"/>
        </w:rPr>
        <w:t>maintaining competence by keeping up to date with the technical and</w:t>
      </w:r>
      <w:r w:rsidRPr="003246BC">
        <w:rPr>
          <w:rFonts w:ascii="Arial" w:hAnsi="Arial" w:cs="Arial"/>
          <w:color w:val="000000" w:themeColor="text1"/>
          <w:lang w:eastAsia="en-GB"/>
        </w:rPr>
        <w:t xml:space="preserve"> legal framework and regulations governing your work. </w:t>
      </w:r>
    </w:p>
    <w:p w14:paraId="7C3123CA" w14:textId="77777777" w:rsidR="003246BC" w:rsidRDefault="003246BC" w:rsidP="003246BC">
      <w:pPr>
        <w:tabs>
          <w:tab w:val="left" w:pos="426"/>
        </w:tabs>
        <w:spacing w:before="720" w:after="240"/>
        <w:rPr>
          <w:rFonts w:cs="Arial"/>
          <w:b/>
          <w:bCs/>
          <w:color w:val="000000" w:themeColor="text1"/>
          <w:sz w:val="24"/>
          <w:lang w:eastAsia="en-GB"/>
        </w:rPr>
        <w:sectPr w:rsidR="003246BC" w:rsidSect="003A24D0">
          <w:type w:val="continuous"/>
          <w:pgSz w:w="11906" w:h="16838" w:code="9"/>
          <w:pgMar w:top="1304" w:right="1134" w:bottom="1134" w:left="1134" w:header="284" w:footer="703" w:gutter="0"/>
          <w:cols w:num="2" w:space="709"/>
          <w:docGrid w:linePitch="360"/>
        </w:sectPr>
      </w:pPr>
    </w:p>
    <w:p w14:paraId="434D4B17" w14:textId="77777777" w:rsidR="00431FCA" w:rsidRPr="00431FCA" w:rsidRDefault="00431FCA" w:rsidP="00431FCA">
      <w:pPr>
        <w:pStyle w:val="Heading2"/>
        <w:spacing w:before="480" w:after="360" w:line="240" w:lineRule="auto"/>
        <w:ind w:left="567" w:hanging="567"/>
        <w:rPr>
          <w:lang w:eastAsia="en-GB"/>
        </w:rPr>
      </w:pPr>
      <w:bookmarkStart w:id="10" w:name="_Toc78290778"/>
      <w:r w:rsidRPr="00431FCA">
        <w:rPr>
          <w:lang w:eastAsia="en-GB"/>
        </w:rPr>
        <w:t>7</w:t>
      </w:r>
      <w:r w:rsidRPr="00431FCA">
        <w:rPr>
          <w:lang w:eastAsia="en-GB"/>
        </w:rPr>
        <w:tab/>
        <w:t>Directly supervise</w:t>
      </w:r>
      <w:bookmarkEnd w:id="10"/>
    </w:p>
    <w:tbl>
      <w:tblPr>
        <w:tblStyle w:val="TableGrid"/>
        <w:tblW w:w="9639" w:type="dxa"/>
        <w:tblInd w:w="-5" w:type="dxa"/>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shd w:val="clear" w:color="auto" w:fill="DEEAF6"/>
        <w:tblCellMar>
          <w:top w:w="113" w:type="dxa"/>
          <w:left w:w="57" w:type="dxa"/>
          <w:bottom w:w="113" w:type="dxa"/>
          <w:right w:w="57" w:type="dxa"/>
        </w:tblCellMar>
        <w:tblLook w:val="04A0" w:firstRow="1" w:lastRow="0" w:firstColumn="1" w:lastColumn="0" w:noHBand="0" w:noVBand="1"/>
      </w:tblPr>
      <w:tblGrid>
        <w:gridCol w:w="9639"/>
      </w:tblGrid>
      <w:tr w:rsidR="00431FCA" w:rsidRPr="00431FCA" w14:paraId="37E3D402" w14:textId="77777777" w:rsidTr="00431FCA">
        <w:tc>
          <w:tcPr>
            <w:tcW w:w="9639" w:type="dxa"/>
            <w:shd w:val="clear" w:color="auto" w:fill="DEEAF6"/>
          </w:tcPr>
          <w:p w14:paraId="07468833" w14:textId="77777777" w:rsidR="00431FCA" w:rsidRPr="00F16301" w:rsidRDefault="00431FCA" w:rsidP="0008345F">
            <w:pPr>
              <w:tabs>
                <w:tab w:val="left" w:pos="426"/>
              </w:tabs>
              <w:snapToGrid w:val="0"/>
              <w:rPr>
                <w:rFonts w:asciiTheme="minorHAnsi" w:hAnsiTheme="minorHAnsi" w:cstheme="minorHAnsi"/>
                <w:color w:val="000000" w:themeColor="text1"/>
                <w:lang w:eastAsia="en-GB"/>
              </w:rPr>
            </w:pPr>
            <w:r w:rsidRPr="00F16301">
              <w:rPr>
                <w:rFonts w:asciiTheme="minorHAnsi" w:hAnsiTheme="minorHAnsi" w:cstheme="minorHAnsi"/>
                <w:b/>
                <w:bCs/>
                <w:color w:val="000000" w:themeColor="text1"/>
                <w:lang w:eastAsia="en-GB"/>
              </w:rPr>
              <w:t xml:space="preserve">Summary </w:t>
            </w:r>
            <w:r w:rsidRPr="00F16301">
              <w:rPr>
                <w:rFonts w:asciiTheme="minorHAnsi" w:hAnsiTheme="minorHAnsi" w:cstheme="minorHAnsi"/>
                <w:color w:val="000000" w:themeColor="text1"/>
                <w:lang w:eastAsia="en-GB"/>
              </w:rPr>
              <w:t>–</w:t>
            </w:r>
            <w:r w:rsidRPr="00F16301">
              <w:rPr>
                <w:rFonts w:asciiTheme="minorHAnsi" w:hAnsiTheme="minorHAnsi" w:cstheme="minorHAnsi"/>
                <w:b/>
                <w:bCs/>
                <w:color w:val="000000" w:themeColor="text1"/>
                <w:lang w:eastAsia="en-GB"/>
              </w:rPr>
              <w:t xml:space="preserve"> </w:t>
            </w:r>
            <w:r w:rsidRPr="00F16301">
              <w:rPr>
                <w:rFonts w:asciiTheme="minorHAnsi" w:hAnsiTheme="minorHAnsi" w:cstheme="minorHAnsi"/>
                <w:color w:val="000000" w:themeColor="text1"/>
                <w:lang w:eastAsia="en-GB"/>
              </w:rPr>
              <w:t>A registered professional engineer who directly supervises an unregistered person must not permit the person to act outside their area of competence and must be responsible and have sufficient control to ensure that the work is carried out to the appropriate standard.</w:t>
            </w:r>
          </w:p>
        </w:tc>
      </w:tr>
    </w:tbl>
    <w:p w14:paraId="3A493581" w14:textId="77777777" w:rsidR="00431FCA" w:rsidRPr="00431FCA" w:rsidRDefault="00431FCA" w:rsidP="00431FCA">
      <w:pPr>
        <w:tabs>
          <w:tab w:val="left" w:pos="851"/>
        </w:tabs>
        <w:snapToGrid w:val="0"/>
        <w:spacing w:after="120"/>
        <w:rPr>
          <w:rFonts w:asciiTheme="minorHAnsi" w:hAnsiTheme="minorHAnsi" w:cstheme="minorHAnsi"/>
          <w:color w:val="000000" w:themeColor="text1"/>
          <w:lang w:eastAsia="en-GB"/>
        </w:rPr>
      </w:pPr>
    </w:p>
    <w:p w14:paraId="25967B78" w14:textId="77777777" w:rsidR="00431FCA" w:rsidRPr="00431FCA" w:rsidRDefault="00431FCA" w:rsidP="00431FCA">
      <w:pPr>
        <w:tabs>
          <w:tab w:val="left" w:pos="851"/>
        </w:tabs>
        <w:snapToGrid w:val="0"/>
        <w:spacing w:after="120"/>
        <w:rPr>
          <w:rFonts w:asciiTheme="minorHAnsi" w:hAnsiTheme="minorHAnsi" w:cstheme="minorHAnsi"/>
          <w:color w:val="000000" w:themeColor="text1"/>
          <w:lang w:eastAsia="en-GB"/>
        </w:rPr>
        <w:sectPr w:rsidR="00431FCA" w:rsidRPr="00431FCA" w:rsidSect="003A24D0">
          <w:type w:val="continuous"/>
          <w:pgSz w:w="11906" w:h="16838" w:code="9"/>
          <w:pgMar w:top="1304" w:right="1134" w:bottom="1134" w:left="1134" w:header="284" w:footer="703" w:gutter="0"/>
          <w:cols w:space="709"/>
          <w:docGrid w:linePitch="360"/>
        </w:sectPr>
      </w:pPr>
    </w:p>
    <w:p w14:paraId="190B69C3" w14:textId="77777777" w:rsidR="00431FCA" w:rsidRPr="00431FCA" w:rsidRDefault="00431FCA" w:rsidP="00431FCA">
      <w:pPr>
        <w:tabs>
          <w:tab w:val="left" w:pos="851"/>
        </w:tabs>
        <w:snapToGrid w:val="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Under the Professional Engineers Registration Act an unregistered person may provide professional engineering services if they work under the direct supervision of a registered practising professional engineer. The elements of direct supervision are listed in section 67 of the Professional Engineers Registration Act and in Clause 7 of the Code. </w:t>
      </w:r>
    </w:p>
    <w:p w14:paraId="65E51609" w14:textId="79F5E844" w:rsidR="00431FCA" w:rsidRPr="00431FCA" w:rsidRDefault="00431FCA" w:rsidP="00431FCA">
      <w:pPr>
        <w:tabs>
          <w:tab w:val="left" w:pos="851"/>
        </w:tabs>
        <w:snapToGrid w:val="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These elements along with the responsibilities of registered professional engineers for direct supervision </w:t>
      </w:r>
      <w:r w:rsidR="003448F8">
        <w:rPr>
          <w:rFonts w:asciiTheme="minorHAnsi" w:hAnsiTheme="minorHAnsi" w:cstheme="minorHAnsi"/>
          <w:color w:val="000000" w:themeColor="text1"/>
          <w:lang w:eastAsia="en-GB"/>
        </w:rPr>
        <w:t xml:space="preserve">and examples </w:t>
      </w:r>
      <w:r w:rsidRPr="00431FCA">
        <w:rPr>
          <w:rFonts w:asciiTheme="minorHAnsi" w:hAnsiTheme="minorHAnsi" w:cstheme="minorHAnsi"/>
          <w:color w:val="000000" w:themeColor="text1"/>
          <w:lang w:eastAsia="en-GB"/>
        </w:rPr>
        <w:t xml:space="preserve">are described in the “Guidelines on direct supervision” published on the CAV website at </w:t>
      </w:r>
      <w:hyperlink r:id="rId35" w:history="1">
        <w:r w:rsidRPr="00431FCA">
          <w:rPr>
            <w:rStyle w:val="Hyperlink"/>
            <w:rFonts w:asciiTheme="minorHAnsi" w:hAnsiTheme="minorHAnsi" w:cstheme="minorHAnsi"/>
            <w:lang w:eastAsia="en-GB"/>
          </w:rPr>
          <w:t>consumer.vic.gov.au/engineers</w:t>
        </w:r>
      </w:hyperlink>
      <w:r w:rsidRPr="00431FCA">
        <w:rPr>
          <w:rFonts w:asciiTheme="minorHAnsi" w:hAnsiTheme="minorHAnsi" w:cstheme="minorHAnsi"/>
          <w:color w:val="000000" w:themeColor="text1"/>
          <w:lang w:eastAsia="en-GB"/>
        </w:rPr>
        <w:t>.</w:t>
      </w:r>
    </w:p>
    <w:p w14:paraId="208B39F4" w14:textId="77777777" w:rsidR="00431FCA" w:rsidRPr="00431FCA" w:rsidRDefault="00431FCA" w:rsidP="00431FCA">
      <w:pPr>
        <w:tabs>
          <w:tab w:val="left" w:pos="426"/>
        </w:tabs>
        <w:spacing w:before="720" w:after="240"/>
        <w:rPr>
          <w:rFonts w:asciiTheme="minorHAnsi" w:hAnsiTheme="minorHAnsi" w:cstheme="minorHAnsi"/>
          <w:b/>
          <w:bCs/>
          <w:color w:val="000000" w:themeColor="text1"/>
          <w:sz w:val="24"/>
          <w:lang w:eastAsia="en-GB"/>
        </w:rPr>
        <w:sectPr w:rsidR="00431FCA" w:rsidRPr="00431FCA" w:rsidSect="003A24D0">
          <w:type w:val="continuous"/>
          <w:pgSz w:w="11906" w:h="16838" w:code="9"/>
          <w:pgMar w:top="1304" w:right="1134" w:bottom="1134" w:left="1134" w:header="284" w:footer="703" w:gutter="0"/>
          <w:cols w:num="2" w:space="709"/>
          <w:docGrid w:linePitch="360"/>
        </w:sectPr>
      </w:pPr>
    </w:p>
    <w:p w14:paraId="183B0196" w14:textId="77777777" w:rsidR="00431FCA" w:rsidRPr="00431FCA" w:rsidRDefault="00431FCA" w:rsidP="00431FCA">
      <w:pPr>
        <w:pStyle w:val="Heading2"/>
        <w:spacing w:before="600" w:after="360" w:line="240" w:lineRule="auto"/>
        <w:ind w:left="567" w:hanging="567"/>
        <w:rPr>
          <w:lang w:eastAsia="en-GB"/>
        </w:rPr>
      </w:pPr>
      <w:bookmarkStart w:id="11" w:name="_Toc78290779"/>
      <w:r w:rsidRPr="00431FCA">
        <w:rPr>
          <w:lang w:eastAsia="en-GB"/>
        </w:rPr>
        <w:t>8</w:t>
      </w:r>
      <w:r w:rsidRPr="00431FCA">
        <w:rPr>
          <w:lang w:eastAsia="en-GB"/>
        </w:rPr>
        <w:tab/>
        <w:t>Maintain confidentiality</w:t>
      </w:r>
      <w:bookmarkEnd w:id="11"/>
      <w:r w:rsidRPr="00431FCA">
        <w:rPr>
          <w:lang w:eastAsia="en-GB"/>
        </w:rPr>
        <w:t xml:space="preserve"> </w:t>
      </w:r>
    </w:p>
    <w:tbl>
      <w:tblPr>
        <w:tblStyle w:val="TableGrid"/>
        <w:tblW w:w="9617" w:type="dxa"/>
        <w:tblInd w:w="23" w:type="dxa"/>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shd w:val="clear" w:color="auto" w:fill="DEEAF6"/>
        <w:tblCellMar>
          <w:top w:w="113" w:type="dxa"/>
          <w:left w:w="57" w:type="dxa"/>
          <w:bottom w:w="113" w:type="dxa"/>
          <w:right w:w="57" w:type="dxa"/>
        </w:tblCellMar>
        <w:tblLook w:val="04A0" w:firstRow="1" w:lastRow="0" w:firstColumn="1" w:lastColumn="0" w:noHBand="0" w:noVBand="1"/>
      </w:tblPr>
      <w:tblGrid>
        <w:gridCol w:w="9617"/>
      </w:tblGrid>
      <w:tr w:rsidR="00431FCA" w:rsidRPr="00431FCA" w14:paraId="06840914" w14:textId="77777777" w:rsidTr="00431FCA">
        <w:tc>
          <w:tcPr>
            <w:tcW w:w="9617" w:type="dxa"/>
            <w:shd w:val="clear" w:color="auto" w:fill="DEEAF6"/>
          </w:tcPr>
          <w:p w14:paraId="2AB896F5" w14:textId="77777777" w:rsidR="00431FCA" w:rsidRPr="00F16301" w:rsidRDefault="00431FCA" w:rsidP="0008345F">
            <w:pPr>
              <w:tabs>
                <w:tab w:val="left" w:pos="426"/>
              </w:tabs>
              <w:snapToGrid w:val="0"/>
              <w:rPr>
                <w:rFonts w:asciiTheme="minorHAnsi" w:hAnsiTheme="minorHAnsi" w:cstheme="minorHAnsi"/>
                <w:color w:val="000000" w:themeColor="text1"/>
                <w:lang w:eastAsia="en-GB"/>
              </w:rPr>
            </w:pPr>
            <w:r w:rsidRPr="00F16301">
              <w:rPr>
                <w:rFonts w:asciiTheme="minorHAnsi" w:hAnsiTheme="minorHAnsi" w:cstheme="minorHAnsi"/>
                <w:b/>
                <w:bCs/>
                <w:color w:val="000000" w:themeColor="text1"/>
                <w:lang w:eastAsia="en-GB"/>
              </w:rPr>
              <w:t xml:space="preserve">Summary </w:t>
            </w:r>
            <w:r w:rsidRPr="00F16301">
              <w:rPr>
                <w:rFonts w:asciiTheme="minorHAnsi" w:hAnsiTheme="minorHAnsi" w:cstheme="minorHAnsi"/>
                <w:color w:val="000000" w:themeColor="text1"/>
                <w:lang w:eastAsia="en-GB"/>
              </w:rPr>
              <w:t>–</w:t>
            </w:r>
            <w:r w:rsidRPr="00F16301">
              <w:rPr>
                <w:rFonts w:asciiTheme="minorHAnsi" w:hAnsiTheme="minorHAnsi" w:cstheme="minorHAnsi"/>
                <w:b/>
                <w:bCs/>
                <w:color w:val="000000" w:themeColor="text1"/>
                <w:lang w:eastAsia="en-GB"/>
              </w:rPr>
              <w:t xml:space="preserve"> </w:t>
            </w:r>
            <w:r w:rsidRPr="00F16301">
              <w:rPr>
                <w:rFonts w:asciiTheme="minorHAnsi" w:hAnsiTheme="minorHAnsi" w:cstheme="minorHAnsi"/>
                <w:color w:val="000000" w:themeColor="text1"/>
                <w:lang w:eastAsia="en-GB"/>
              </w:rPr>
              <w:t>A registered professional engineer must not use or disclose a client’s or employer’s confidential information unless authorised by the client or employer or required by law.</w:t>
            </w:r>
          </w:p>
        </w:tc>
      </w:tr>
    </w:tbl>
    <w:p w14:paraId="125CF01A" w14:textId="77777777" w:rsidR="00431FCA" w:rsidRPr="00431FCA" w:rsidRDefault="00431FCA" w:rsidP="00431FCA">
      <w:pPr>
        <w:spacing w:after="120"/>
        <w:rPr>
          <w:rFonts w:asciiTheme="minorHAnsi" w:hAnsiTheme="minorHAnsi" w:cstheme="minorHAnsi"/>
          <w:color w:val="000000" w:themeColor="text1"/>
          <w:lang w:eastAsia="en-GB"/>
        </w:rPr>
        <w:sectPr w:rsidR="00431FCA" w:rsidRPr="00431FCA" w:rsidSect="003A24D0">
          <w:type w:val="continuous"/>
          <w:pgSz w:w="11906" w:h="16838" w:code="9"/>
          <w:pgMar w:top="1304" w:right="1134" w:bottom="1134" w:left="1134" w:header="284" w:footer="703" w:gutter="0"/>
          <w:cols w:space="709"/>
          <w:docGrid w:linePitch="360"/>
        </w:sectPr>
      </w:pPr>
    </w:p>
    <w:p w14:paraId="1273D2E4" w14:textId="0EE3B4F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Clients and employers often reveal confidential information to enable you to deliver the professional engineering services they require. However, unless authorised to do so, Clause 8 of the Code prohibits you from using or disclosing the confidential information of present or past clients and/or</w:t>
      </w:r>
      <w:r w:rsidR="002B0775">
        <w:rPr>
          <w:rFonts w:asciiTheme="minorHAnsi" w:hAnsiTheme="minorHAnsi" w:cstheme="minorHAnsi"/>
          <w:color w:val="000000" w:themeColor="text1"/>
          <w:lang w:eastAsia="en-GB"/>
        </w:rPr>
        <w:t xml:space="preserve"> </w:t>
      </w:r>
      <w:r w:rsidRPr="00431FCA">
        <w:rPr>
          <w:rFonts w:asciiTheme="minorHAnsi" w:hAnsiTheme="minorHAnsi" w:cstheme="minorHAnsi"/>
          <w:color w:val="000000" w:themeColor="text1"/>
          <w:lang w:eastAsia="en-GB"/>
        </w:rPr>
        <w:t>employers you obtained through providing those professional engineering services.</w:t>
      </w:r>
    </w:p>
    <w:p w14:paraId="006E2636"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The Code defines confidential information as </w:t>
      </w:r>
      <w:r w:rsidRPr="00431FCA">
        <w:rPr>
          <w:rFonts w:asciiTheme="minorHAnsi" w:hAnsiTheme="minorHAnsi" w:cstheme="minorHAnsi"/>
          <w:color w:val="000000" w:themeColor="text1"/>
        </w:rPr>
        <w:t>any information that is:</w:t>
      </w:r>
    </w:p>
    <w:p w14:paraId="1CBC8DA2" w14:textId="77777777" w:rsidR="00431FCA" w:rsidRPr="00431FCA" w:rsidRDefault="00431FCA" w:rsidP="00431FCA">
      <w:pPr>
        <w:pStyle w:val="ListParagraph"/>
        <w:numPr>
          <w:ilvl w:val="0"/>
          <w:numId w:val="33"/>
        </w:numPr>
        <w:snapToGrid w:val="0"/>
        <w:spacing w:after="120"/>
        <w:ind w:left="426" w:hanging="284"/>
        <w:contextualSpacing w:val="0"/>
        <w:rPr>
          <w:rFonts w:asciiTheme="minorHAnsi" w:hAnsiTheme="minorHAnsi" w:cstheme="minorHAnsi"/>
          <w:lang w:eastAsia="en-GB"/>
        </w:rPr>
      </w:pPr>
      <w:r w:rsidRPr="00431FCA">
        <w:rPr>
          <w:rFonts w:asciiTheme="minorHAnsi" w:hAnsiTheme="minorHAnsi" w:cstheme="minorHAnsi"/>
          <w:lang w:eastAsia="en-GB"/>
        </w:rPr>
        <w:t>acquired by or provided to a registered professional engineer in the course of providing professional engineering services or in the course of their employment, and</w:t>
      </w:r>
    </w:p>
    <w:p w14:paraId="0892332F" w14:textId="77777777" w:rsidR="00431FCA" w:rsidRPr="00431FCA" w:rsidRDefault="00431FCA" w:rsidP="00431FCA">
      <w:pPr>
        <w:pStyle w:val="ListParagraph"/>
        <w:numPr>
          <w:ilvl w:val="0"/>
          <w:numId w:val="33"/>
        </w:numPr>
        <w:snapToGrid w:val="0"/>
        <w:spacing w:after="160"/>
        <w:ind w:left="426" w:hanging="284"/>
        <w:contextualSpacing w:val="0"/>
        <w:rPr>
          <w:rFonts w:asciiTheme="minorHAnsi" w:hAnsiTheme="minorHAnsi" w:cstheme="minorHAnsi"/>
          <w:color w:val="000000" w:themeColor="text1"/>
          <w:lang w:eastAsia="en-GB"/>
        </w:rPr>
      </w:pPr>
      <w:r w:rsidRPr="00431FCA">
        <w:rPr>
          <w:rFonts w:asciiTheme="minorHAnsi" w:hAnsiTheme="minorHAnsi" w:cstheme="minorHAnsi"/>
          <w:lang w:eastAsia="en-GB"/>
        </w:rPr>
        <w:t>agreed or understood by the professional engineer and the client or the professional engineer and their employer, if employed, to be confidential, or that may reasonably be expected to be considered as confidential</w:t>
      </w:r>
      <w:r w:rsidRPr="00431FCA">
        <w:rPr>
          <w:rFonts w:asciiTheme="minorHAnsi" w:hAnsiTheme="minorHAnsi" w:cstheme="minorHAnsi"/>
          <w:color w:val="000000" w:themeColor="text1"/>
          <w:lang w:eastAsia="en-GB"/>
        </w:rPr>
        <w:t xml:space="preserve"> to that client or that employer. </w:t>
      </w:r>
    </w:p>
    <w:p w14:paraId="6BC23AF2"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Therefore, confidential information can be information relating either to the:</w:t>
      </w:r>
    </w:p>
    <w:p w14:paraId="155C4632" w14:textId="77777777" w:rsidR="00431FCA" w:rsidRPr="00431FCA" w:rsidRDefault="00431FCA" w:rsidP="00431FCA">
      <w:pPr>
        <w:pStyle w:val="ListParagraph"/>
        <w:numPr>
          <w:ilvl w:val="0"/>
          <w:numId w:val="33"/>
        </w:numPr>
        <w:spacing w:after="120"/>
        <w:ind w:left="426" w:hanging="284"/>
        <w:contextualSpacing w:val="0"/>
        <w:rPr>
          <w:rFonts w:asciiTheme="minorHAnsi" w:hAnsiTheme="minorHAnsi" w:cstheme="minorHAnsi"/>
          <w:lang w:eastAsia="en-GB"/>
        </w:rPr>
      </w:pPr>
      <w:r w:rsidRPr="00431FCA">
        <w:rPr>
          <w:rFonts w:asciiTheme="minorHAnsi" w:hAnsiTheme="minorHAnsi" w:cstheme="minorHAnsi"/>
          <w:lang w:eastAsia="en-GB"/>
        </w:rPr>
        <w:t>general business affairs of your client, for example, may include organisational structure, activities, operating procedures, products and services, finances, plans, transactions and policies, and/or</w:t>
      </w:r>
    </w:p>
    <w:p w14:paraId="0FFDBA2B" w14:textId="77777777" w:rsidR="00431FCA" w:rsidRPr="00431FCA" w:rsidRDefault="00431FCA" w:rsidP="00431FCA">
      <w:pPr>
        <w:pStyle w:val="ListParagraph"/>
        <w:numPr>
          <w:ilvl w:val="0"/>
          <w:numId w:val="33"/>
        </w:numPr>
        <w:snapToGrid w:val="0"/>
        <w:spacing w:after="160"/>
        <w:ind w:left="426" w:hanging="284"/>
        <w:contextualSpacing w:val="0"/>
        <w:rPr>
          <w:rFonts w:asciiTheme="minorHAnsi" w:hAnsiTheme="minorHAnsi" w:cstheme="minorHAnsi"/>
          <w:lang w:eastAsia="en-GB"/>
        </w:rPr>
      </w:pPr>
      <w:r w:rsidRPr="00431FCA">
        <w:rPr>
          <w:rFonts w:asciiTheme="minorHAnsi" w:hAnsiTheme="minorHAnsi" w:cstheme="minorHAnsi"/>
          <w:lang w:eastAsia="en-GB"/>
        </w:rPr>
        <w:lastRenderedPageBreak/>
        <w:t>engineering related affairs of your client, for example, the purpose of the engineering work sought, intellectual property, information about a competitor’s interests and the potential impacts of that work on the environment or community.</w:t>
      </w:r>
    </w:p>
    <w:p w14:paraId="13DBBA79"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There are two situations where you may use and disclose confidential information.</w:t>
      </w:r>
    </w:p>
    <w:p w14:paraId="6F8D65EE" w14:textId="77777777" w:rsidR="00431FCA" w:rsidRPr="00431FCA" w:rsidRDefault="00431FCA" w:rsidP="00431FCA">
      <w:pPr>
        <w:pStyle w:val="ListParagraph"/>
        <w:numPr>
          <w:ilvl w:val="0"/>
          <w:numId w:val="31"/>
        </w:numPr>
        <w:snapToGrid w:val="0"/>
        <w:spacing w:after="120"/>
        <w:ind w:left="425" w:hanging="425"/>
        <w:contextualSpacing w:val="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When you are authorised by the client or employer, as relevant, to use and disclose confidential information. For example, the client of a fire safety engineer authorises the disclosure of design information to other engineers working on the same project, such as a civil engineer who needs to design the building and surrounding carpark area to comply with the Building Code of Australia. </w:t>
      </w:r>
    </w:p>
    <w:p w14:paraId="1E8C6196" w14:textId="77777777" w:rsidR="00431FCA" w:rsidRPr="00431FCA" w:rsidRDefault="00431FCA" w:rsidP="00431FCA">
      <w:pPr>
        <w:pStyle w:val="ListParagraph"/>
        <w:numPr>
          <w:ilvl w:val="0"/>
          <w:numId w:val="31"/>
        </w:numPr>
        <w:snapToGrid w:val="0"/>
        <w:spacing w:after="160"/>
        <w:ind w:left="425" w:hanging="425"/>
        <w:contextualSpacing w:val="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When you are required by the law to use and disclose confidential information. For example, section 71 of the Professional Engineers Registration Act and section 227G of the Building Act require documents and/or information to be provided to CAV and VBA inspectors or where a court requires disclosure as part of legal proceedings.</w:t>
      </w:r>
    </w:p>
    <w:p w14:paraId="0A88705E"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The professional engineering services engagement agreement with your client may specify the confidential information for a particular project and have additional requirements around the use and disclosure of that information.</w:t>
      </w:r>
    </w:p>
    <w:p w14:paraId="2F4B7475"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If you need to use or disclose confidential information, to ensure that you comply with the Code you must first inform your client and/or employer and obtain their permission to do so. Given the significance of using and disclosing confidential information, the best practice approach is to inform your client in writing setting out the information you intend to use and/or disclose and the relevant reasons. You should also request a response in writing. If they refuse your request, you cannot use or disclose the information.</w:t>
      </w:r>
    </w:p>
    <w:p w14:paraId="7CBF69B8"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You do not need to obtain authorisation from a client and/or employer if the use or disclosure of confidential information is required by law. However, the disclosure should be made only to the extent required by law and present or past clients and employers should be advised, preferably in writing, as soon as practical. </w:t>
      </w:r>
    </w:p>
    <w:p w14:paraId="5647A10B"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Also, authorisation from a client and/or employer is not required to use or disclose information that is in the public domain such as information contained in media releases or provided on their organisation’s website.</w:t>
      </w:r>
    </w:p>
    <w:p w14:paraId="14F9FDBD" w14:textId="6D12529C" w:rsidR="00431FCA" w:rsidRPr="00431FCA" w:rsidRDefault="00431FCA" w:rsidP="00431FCA">
      <w:pPr>
        <w:rPr>
          <w:rFonts w:asciiTheme="minorHAnsi" w:hAnsiTheme="minorHAnsi" w:cstheme="minorHAnsi"/>
          <w:color w:val="000000" w:themeColor="text1"/>
          <w:lang w:eastAsia="en-GB"/>
        </w:rPr>
        <w:sectPr w:rsidR="00431FCA" w:rsidRPr="00431FCA" w:rsidSect="003A24D0">
          <w:type w:val="continuous"/>
          <w:pgSz w:w="11906" w:h="16838" w:code="9"/>
          <w:pgMar w:top="1304" w:right="1134" w:bottom="1134" w:left="1134" w:header="284" w:footer="703" w:gutter="0"/>
          <w:cols w:num="2" w:space="709"/>
          <w:docGrid w:linePitch="360"/>
        </w:sectPr>
      </w:pPr>
      <w:r w:rsidRPr="00431FCA">
        <w:rPr>
          <w:rFonts w:asciiTheme="minorHAnsi" w:hAnsiTheme="minorHAnsi" w:cstheme="minorHAnsi"/>
          <w:color w:val="000000" w:themeColor="text1"/>
          <w:lang w:eastAsia="en-GB"/>
        </w:rPr>
        <w:t xml:space="preserve">Additionally, technical knowledge gained through providing professional engineering </w:t>
      </w:r>
      <w:r w:rsidR="002B0775">
        <w:rPr>
          <w:rFonts w:asciiTheme="minorHAnsi" w:hAnsiTheme="minorHAnsi" w:cstheme="minorHAnsi"/>
          <w:color w:val="000000" w:themeColor="text1"/>
          <w:lang w:eastAsia="en-GB"/>
        </w:rPr>
        <w:t xml:space="preserve">services </w:t>
      </w:r>
      <w:r w:rsidRPr="00431FCA">
        <w:rPr>
          <w:rFonts w:asciiTheme="minorHAnsi" w:hAnsiTheme="minorHAnsi" w:cstheme="minorHAnsi"/>
          <w:color w:val="000000" w:themeColor="text1"/>
          <w:lang w:eastAsia="en-GB"/>
        </w:rPr>
        <w:t>or in the workplace is part of your professional experience and may be freely used in subsequent projects without consent from other parties provided it is not confidential information because it is intellectual property of a client or employer.</w:t>
      </w:r>
    </w:p>
    <w:p w14:paraId="5587EDDC" w14:textId="77777777" w:rsidR="00431FCA" w:rsidRPr="00431FCA" w:rsidRDefault="00431FCA" w:rsidP="00B37EFA">
      <w:pPr>
        <w:pStyle w:val="Heading2"/>
        <w:spacing w:before="360" w:after="360" w:line="240" w:lineRule="auto"/>
        <w:ind w:left="567" w:hanging="567"/>
        <w:rPr>
          <w:lang w:eastAsia="en-GB"/>
        </w:rPr>
      </w:pPr>
      <w:bookmarkStart w:id="12" w:name="_Toc78290780"/>
      <w:r w:rsidRPr="00431FCA">
        <w:rPr>
          <w:lang w:eastAsia="en-GB"/>
        </w:rPr>
        <w:t>9</w:t>
      </w:r>
      <w:r w:rsidRPr="00431FCA">
        <w:rPr>
          <w:lang w:eastAsia="en-GB"/>
        </w:rPr>
        <w:tab/>
        <w:t>Manage conflicts of interest</w:t>
      </w:r>
      <w:bookmarkEnd w:id="12"/>
      <w:r w:rsidRPr="00431FCA">
        <w:rPr>
          <w:lang w:eastAsia="en-GB"/>
        </w:rPr>
        <w:t xml:space="preserve"> </w:t>
      </w:r>
    </w:p>
    <w:tbl>
      <w:tblPr>
        <w:tblStyle w:val="TableGrid"/>
        <w:tblW w:w="9645" w:type="dxa"/>
        <w:tblInd w:w="-5" w:type="dxa"/>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shd w:val="clear" w:color="auto" w:fill="DEEAF6"/>
        <w:tblCellMar>
          <w:top w:w="113" w:type="dxa"/>
          <w:left w:w="57" w:type="dxa"/>
          <w:bottom w:w="113" w:type="dxa"/>
          <w:right w:w="57" w:type="dxa"/>
        </w:tblCellMar>
        <w:tblLook w:val="04A0" w:firstRow="1" w:lastRow="0" w:firstColumn="1" w:lastColumn="0" w:noHBand="0" w:noVBand="1"/>
      </w:tblPr>
      <w:tblGrid>
        <w:gridCol w:w="9645"/>
      </w:tblGrid>
      <w:tr w:rsidR="00431FCA" w:rsidRPr="00431FCA" w14:paraId="72B751FF" w14:textId="77777777" w:rsidTr="001E417E">
        <w:tc>
          <w:tcPr>
            <w:tcW w:w="9645" w:type="dxa"/>
            <w:shd w:val="clear" w:color="auto" w:fill="DEEAF6"/>
          </w:tcPr>
          <w:p w14:paraId="5ABD0595" w14:textId="77777777" w:rsidR="00431FCA" w:rsidRPr="00F16301" w:rsidRDefault="00431FCA" w:rsidP="0008345F">
            <w:pPr>
              <w:tabs>
                <w:tab w:val="left" w:pos="426"/>
              </w:tabs>
              <w:snapToGrid w:val="0"/>
              <w:spacing w:after="60"/>
              <w:rPr>
                <w:rFonts w:asciiTheme="minorHAnsi" w:hAnsiTheme="minorHAnsi" w:cstheme="minorHAnsi"/>
                <w:color w:val="000000" w:themeColor="text1"/>
                <w:lang w:eastAsia="en-GB"/>
              </w:rPr>
            </w:pPr>
            <w:r w:rsidRPr="00F16301">
              <w:rPr>
                <w:rFonts w:asciiTheme="minorHAnsi" w:hAnsiTheme="minorHAnsi" w:cstheme="minorHAnsi"/>
                <w:b/>
                <w:bCs/>
                <w:color w:val="000000" w:themeColor="text1"/>
                <w:lang w:eastAsia="en-GB"/>
              </w:rPr>
              <w:t xml:space="preserve">Summary – </w:t>
            </w:r>
            <w:r w:rsidRPr="00F16301">
              <w:rPr>
                <w:rFonts w:asciiTheme="minorHAnsi" w:hAnsiTheme="minorHAnsi" w:cstheme="minorHAnsi"/>
                <w:color w:val="000000" w:themeColor="text1"/>
                <w:lang w:eastAsia="en-GB"/>
              </w:rPr>
              <w:t>A registered professional engineer must disclose:</w:t>
            </w:r>
          </w:p>
          <w:p w14:paraId="208C1E37" w14:textId="77777777" w:rsidR="00431FCA" w:rsidRPr="00F16301" w:rsidRDefault="00431FCA" w:rsidP="00431FCA">
            <w:pPr>
              <w:pStyle w:val="ListParagraph"/>
              <w:numPr>
                <w:ilvl w:val="0"/>
                <w:numId w:val="33"/>
              </w:numPr>
              <w:snapToGrid w:val="0"/>
              <w:ind w:left="649" w:hanging="283"/>
              <w:contextualSpacing w:val="0"/>
              <w:rPr>
                <w:rFonts w:asciiTheme="minorHAnsi" w:hAnsiTheme="minorHAnsi" w:cstheme="minorHAnsi"/>
                <w:color w:val="000000" w:themeColor="text1"/>
                <w:lang w:eastAsia="en-GB"/>
              </w:rPr>
            </w:pPr>
            <w:r w:rsidRPr="00F16301">
              <w:rPr>
                <w:rFonts w:asciiTheme="minorHAnsi" w:hAnsiTheme="minorHAnsi" w:cstheme="minorHAnsi"/>
                <w:color w:val="000000" w:themeColor="text1"/>
                <w:lang w:eastAsia="en-GB"/>
              </w:rPr>
              <w:t xml:space="preserve">any actual, </w:t>
            </w:r>
            <w:proofErr w:type="gramStart"/>
            <w:r w:rsidRPr="00F16301">
              <w:rPr>
                <w:rFonts w:asciiTheme="minorHAnsi" w:hAnsiTheme="minorHAnsi" w:cstheme="minorHAnsi"/>
                <w:color w:val="000000" w:themeColor="text1"/>
                <w:lang w:eastAsia="en-GB"/>
              </w:rPr>
              <w:t>perceived</w:t>
            </w:r>
            <w:proofErr w:type="gramEnd"/>
            <w:r w:rsidRPr="00F16301">
              <w:rPr>
                <w:rFonts w:asciiTheme="minorHAnsi" w:hAnsiTheme="minorHAnsi" w:cstheme="minorHAnsi"/>
                <w:color w:val="000000" w:themeColor="text1"/>
                <w:lang w:eastAsia="en-GB"/>
              </w:rPr>
              <w:t xml:space="preserve"> or potential conflict of interest before providing professional engineering services and also when providing those services as soon as practical after discovering the conflict, and</w:t>
            </w:r>
          </w:p>
          <w:p w14:paraId="3A6FEBD6" w14:textId="77777777" w:rsidR="00431FCA" w:rsidRPr="00431FCA" w:rsidRDefault="00431FCA" w:rsidP="00431FCA">
            <w:pPr>
              <w:pStyle w:val="ListParagraph"/>
              <w:numPr>
                <w:ilvl w:val="0"/>
                <w:numId w:val="33"/>
              </w:numPr>
              <w:snapToGrid w:val="0"/>
              <w:ind w:left="649" w:hanging="283"/>
              <w:contextualSpacing w:val="0"/>
              <w:rPr>
                <w:rFonts w:asciiTheme="minorHAnsi" w:hAnsiTheme="minorHAnsi" w:cstheme="minorHAnsi"/>
                <w:i/>
                <w:iCs/>
                <w:color w:val="000000" w:themeColor="text1"/>
                <w:lang w:eastAsia="en-GB"/>
              </w:rPr>
            </w:pPr>
            <w:r w:rsidRPr="00F16301">
              <w:rPr>
                <w:rFonts w:asciiTheme="minorHAnsi" w:hAnsiTheme="minorHAnsi" w:cstheme="minorHAnsi"/>
                <w:color w:val="000000" w:themeColor="text1"/>
                <w:lang w:eastAsia="en-GB"/>
              </w:rPr>
              <w:t>any commercial or business relationship they have with a third party they recommend.</w:t>
            </w:r>
          </w:p>
        </w:tc>
      </w:tr>
    </w:tbl>
    <w:p w14:paraId="7DD19AFE" w14:textId="77777777" w:rsidR="00431FCA" w:rsidRPr="00431FCA" w:rsidRDefault="00431FCA" w:rsidP="001E417E">
      <w:pPr>
        <w:spacing w:after="120"/>
        <w:rPr>
          <w:rFonts w:asciiTheme="minorHAnsi" w:hAnsiTheme="minorHAnsi" w:cstheme="minorHAnsi"/>
          <w:color w:val="000000" w:themeColor="text1"/>
          <w:lang w:eastAsia="en-GB"/>
        </w:rPr>
        <w:sectPr w:rsidR="00431FCA" w:rsidRPr="00431FCA" w:rsidSect="003A24D0">
          <w:type w:val="continuous"/>
          <w:pgSz w:w="11906" w:h="16838" w:code="9"/>
          <w:pgMar w:top="1304" w:right="1134" w:bottom="1134" w:left="1134" w:header="284" w:footer="703" w:gutter="0"/>
          <w:cols w:space="709"/>
          <w:docGrid w:linePitch="360"/>
        </w:sectPr>
      </w:pPr>
    </w:p>
    <w:p w14:paraId="6D34101C"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Your conduct as a professional engineer also involves managing conflicts of interest, that is where your interest or the interests of another client are in conflict with those of your client or a party affected by the services being provided. A conflict of interest can affect your professional judgement in relation to a specific project or client, or simply create a perception that your judgement could be affected.</w:t>
      </w:r>
    </w:p>
    <w:p w14:paraId="015AFC89"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A conflict of interest is defined in the Code as any </w:t>
      </w:r>
      <w:r w:rsidRPr="00431FCA">
        <w:rPr>
          <w:rFonts w:asciiTheme="minorHAnsi" w:eastAsiaTheme="minorHAnsi" w:hAnsiTheme="minorHAnsi" w:cstheme="minorHAnsi"/>
          <w:color w:val="000000" w:themeColor="text1"/>
        </w:rPr>
        <w:t xml:space="preserve">circumstances where a registered professional engineer may be influenced or may reasonably be perceived to be influenced by a private or business interest when providing professional engineering services. </w:t>
      </w:r>
      <w:r w:rsidRPr="00431FCA">
        <w:rPr>
          <w:rFonts w:asciiTheme="minorHAnsi" w:hAnsiTheme="minorHAnsi" w:cstheme="minorHAnsi"/>
          <w:color w:val="000000" w:themeColor="text1"/>
          <w:lang w:eastAsia="en-GB"/>
        </w:rPr>
        <w:t xml:space="preserve">Conflicts of interest can be </w:t>
      </w:r>
      <w:r w:rsidRPr="00431FCA">
        <w:rPr>
          <w:rFonts w:asciiTheme="minorHAnsi" w:hAnsiTheme="minorHAnsi" w:cstheme="minorHAnsi"/>
          <w:color w:val="000000" w:themeColor="text1"/>
          <w:lang w:eastAsia="en-GB"/>
        </w:rPr>
        <w:t>financial or involve personal and business relationships. Personal and business relationships are defined in the Code to mean a family, business or fiduciary relationship, or relationship in which one person is accustomed, or obliged, to act in accordance with the directions, instructions or wishes of another person.</w:t>
      </w:r>
    </w:p>
    <w:p w14:paraId="1A96B8B6"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Under Clause 9 of the Code, you must disclose any actual, perceived or potential conflict of interest to: </w:t>
      </w:r>
    </w:p>
    <w:p w14:paraId="2338E6A7" w14:textId="77777777" w:rsidR="00431FCA" w:rsidRPr="00431FCA" w:rsidRDefault="00431FCA" w:rsidP="00431FCA">
      <w:pPr>
        <w:pStyle w:val="ListParagraph"/>
        <w:numPr>
          <w:ilvl w:val="0"/>
          <w:numId w:val="31"/>
        </w:numPr>
        <w:snapToGrid w:val="0"/>
        <w:spacing w:after="120"/>
        <w:ind w:left="425" w:hanging="425"/>
        <w:contextualSpacing w:val="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a client or an affected party before you start providing professional engineering services, and</w:t>
      </w:r>
    </w:p>
    <w:p w14:paraId="58F54D0D" w14:textId="77777777" w:rsidR="00431FCA" w:rsidRPr="00431FCA" w:rsidRDefault="00431FCA" w:rsidP="00431FCA">
      <w:pPr>
        <w:pStyle w:val="ListParagraph"/>
        <w:numPr>
          <w:ilvl w:val="0"/>
          <w:numId w:val="31"/>
        </w:numPr>
        <w:snapToGrid w:val="0"/>
        <w:spacing w:after="160"/>
        <w:ind w:left="425" w:hanging="425"/>
        <w:contextualSpacing w:val="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lastRenderedPageBreak/>
        <w:t>a client and employer, if employed, immediately on discovering the conflict when you are providing professional engineering services.</w:t>
      </w:r>
    </w:p>
    <w:p w14:paraId="5599CCA4" w14:textId="77777777" w:rsidR="00431FCA" w:rsidRPr="00431FCA" w:rsidRDefault="00431FCA" w:rsidP="00431FCA">
      <w:pPr>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If you think there may be a conflict of interest between your interests and a client’s interests, discuss it with your client. If you’re not sure, the best approach is to be open and transparent. </w:t>
      </w:r>
    </w:p>
    <w:p w14:paraId="084C9ABB" w14:textId="77777777" w:rsidR="00431FCA" w:rsidRPr="00431FCA" w:rsidRDefault="00431FCA" w:rsidP="00431FCA">
      <w:pPr>
        <w:spacing w:after="3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Following disclosure, the conflict will need to be appropriately managed.</w:t>
      </w:r>
    </w:p>
    <w:tbl>
      <w:tblPr>
        <w:tblStyle w:val="TableGrid"/>
        <w:tblW w:w="0" w:type="auto"/>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shd w:val="clear" w:color="auto" w:fill="C0E8FF" w:themeFill="accent1" w:themeFillTint="33"/>
        <w:tblCellMar>
          <w:top w:w="85" w:type="dxa"/>
          <w:left w:w="85" w:type="dxa"/>
          <w:bottom w:w="85" w:type="dxa"/>
          <w:right w:w="85" w:type="dxa"/>
        </w:tblCellMar>
        <w:tblLook w:val="04A0" w:firstRow="1" w:lastRow="0" w:firstColumn="1" w:lastColumn="0" w:noHBand="0" w:noVBand="1"/>
      </w:tblPr>
      <w:tblGrid>
        <w:gridCol w:w="4444"/>
      </w:tblGrid>
      <w:tr w:rsidR="00431FCA" w:rsidRPr="00431FCA" w14:paraId="518A3144" w14:textId="77777777" w:rsidTr="001E417E">
        <w:tc>
          <w:tcPr>
            <w:tcW w:w="4444" w:type="dxa"/>
            <w:shd w:val="clear" w:color="auto" w:fill="DEEAF6"/>
          </w:tcPr>
          <w:p w14:paraId="7DD8A1AA" w14:textId="77777777" w:rsidR="00431FCA" w:rsidRPr="00F16301" w:rsidRDefault="00431FCA" w:rsidP="00EB3821">
            <w:pPr>
              <w:spacing w:after="120"/>
              <w:rPr>
                <w:rFonts w:asciiTheme="minorHAnsi" w:hAnsiTheme="minorHAnsi" w:cstheme="minorHAnsi"/>
                <w:color w:val="000000" w:themeColor="text1"/>
                <w:lang w:eastAsia="en-GB"/>
              </w:rPr>
            </w:pPr>
            <w:r w:rsidRPr="00F16301">
              <w:rPr>
                <w:rFonts w:asciiTheme="minorHAnsi" w:hAnsiTheme="minorHAnsi" w:cstheme="minorHAnsi"/>
                <w:color w:val="000000" w:themeColor="text1"/>
                <w:lang w:eastAsia="en-GB"/>
              </w:rPr>
              <w:t>Examples of situations where conflicts of interest will arise …</w:t>
            </w:r>
          </w:p>
          <w:p w14:paraId="7ABEFDA0" w14:textId="77777777" w:rsidR="00431FCA" w:rsidRPr="00F16301" w:rsidRDefault="00431FCA" w:rsidP="00EB3821">
            <w:pPr>
              <w:pStyle w:val="ListParagraph"/>
              <w:numPr>
                <w:ilvl w:val="0"/>
                <w:numId w:val="38"/>
              </w:numPr>
              <w:snapToGrid w:val="0"/>
              <w:spacing w:after="20"/>
              <w:ind w:left="426" w:hanging="284"/>
              <w:contextualSpacing w:val="0"/>
              <w:rPr>
                <w:rFonts w:asciiTheme="minorHAnsi" w:hAnsiTheme="minorHAnsi" w:cstheme="minorHAnsi"/>
                <w:color w:val="000000" w:themeColor="text1"/>
                <w:lang w:eastAsia="en-GB"/>
              </w:rPr>
            </w:pPr>
            <w:r w:rsidRPr="00F16301">
              <w:rPr>
                <w:rFonts w:asciiTheme="minorHAnsi" w:hAnsiTheme="minorHAnsi" w:cstheme="minorHAnsi"/>
                <w:color w:val="000000" w:themeColor="text1"/>
                <w:lang w:eastAsia="en-GB"/>
              </w:rPr>
              <w:t xml:space="preserve">Not informing a client or employer of any business association, interests, or circumstances that could be construed to influence your judgment, or the quality of the professional engineering services, or might be perceived as having such an influence. </w:t>
            </w:r>
          </w:p>
          <w:p w14:paraId="0C14E188" w14:textId="77777777" w:rsidR="00431FCA" w:rsidRPr="00F16301" w:rsidRDefault="00431FCA" w:rsidP="00431FCA">
            <w:pPr>
              <w:pStyle w:val="ListParagraph"/>
              <w:numPr>
                <w:ilvl w:val="0"/>
                <w:numId w:val="38"/>
              </w:numPr>
              <w:snapToGrid w:val="0"/>
              <w:spacing w:after="120"/>
              <w:ind w:left="426" w:hanging="284"/>
              <w:contextualSpacing w:val="0"/>
              <w:rPr>
                <w:rFonts w:asciiTheme="minorHAnsi" w:hAnsiTheme="minorHAnsi" w:cstheme="minorHAnsi"/>
                <w:color w:val="000000" w:themeColor="text1"/>
                <w:lang w:eastAsia="en-GB"/>
              </w:rPr>
            </w:pPr>
            <w:r w:rsidRPr="00F16301">
              <w:rPr>
                <w:rFonts w:asciiTheme="minorHAnsi" w:hAnsiTheme="minorHAnsi" w:cstheme="minorHAnsi"/>
                <w:color w:val="000000" w:themeColor="text1"/>
                <w:lang w:eastAsia="en-GB"/>
              </w:rPr>
              <w:t>Recommending the services of a third party to a client, such as an electrician, mechanic, architect, or builder where you have a personal or business relationship with that third party without disclosing the relationship to the client.</w:t>
            </w:r>
          </w:p>
          <w:p w14:paraId="181CE25E" w14:textId="77777777" w:rsidR="00431FCA" w:rsidRPr="00F16301" w:rsidRDefault="00431FCA" w:rsidP="00431FCA">
            <w:pPr>
              <w:pStyle w:val="ListParagraph"/>
              <w:numPr>
                <w:ilvl w:val="0"/>
                <w:numId w:val="38"/>
              </w:numPr>
              <w:snapToGrid w:val="0"/>
              <w:spacing w:after="120"/>
              <w:ind w:left="426" w:hanging="284"/>
              <w:contextualSpacing w:val="0"/>
              <w:rPr>
                <w:rFonts w:asciiTheme="minorHAnsi" w:hAnsiTheme="minorHAnsi" w:cstheme="minorHAnsi"/>
                <w:color w:val="000000" w:themeColor="text1"/>
                <w:lang w:eastAsia="en-GB"/>
              </w:rPr>
            </w:pPr>
            <w:r w:rsidRPr="00F16301">
              <w:rPr>
                <w:rFonts w:asciiTheme="minorHAnsi" w:hAnsiTheme="minorHAnsi" w:cstheme="minorHAnsi"/>
                <w:color w:val="000000" w:themeColor="text1"/>
                <w:lang w:eastAsia="en-GB"/>
              </w:rPr>
              <w:t>Entering into a professional engineering services engagement agreement with a second client for the same project or services relating to the same project without disclosing the engagement to the first client.</w:t>
            </w:r>
          </w:p>
          <w:p w14:paraId="27250053" w14:textId="77777777" w:rsidR="00431FCA" w:rsidRPr="00431FCA" w:rsidRDefault="00431FCA" w:rsidP="009328BE">
            <w:pPr>
              <w:pStyle w:val="ListParagraph"/>
              <w:numPr>
                <w:ilvl w:val="0"/>
                <w:numId w:val="38"/>
              </w:numPr>
              <w:snapToGrid w:val="0"/>
              <w:spacing w:after="20"/>
              <w:ind w:left="426" w:hanging="284"/>
              <w:contextualSpacing w:val="0"/>
              <w:rPr>
                <w:rFonts w:asciiTheme="minorHAnsi" w:hAnsiTheme="minorHAnsi" w:cstheme="minorHAnsi"/>
                <w:i/>
                <w:iCs/>
                <w:color w:val="000000" w:themeColor="text1"/>
                <w:lang w:eastAsia="en-GB"/>
              </w:rPr>
            </w:pPr>
            <w:r w:rsidRPr="00F16301">
              <w:rPr>
                <w:rFonts w:asciiTheme="minorHAnsi" w:hAnsiTheme="minorHAnsi" w:cstheme="minorHAnsi"/>
                <w:color w:val="000000" w:themeColor="text1"/>
                <w:lang w:eastAsia="en-GB"/>
              </w:rPr>
              <w:t>Accepting compensation, financial or otherwise, from more than one party, for services on the same project, or services pertaining to the same project, without disclosing the existence of compensation arrangements to the affected parties.</w:t>
            </w:r>
          </w:p>
        </w:tc>
      </w:tr>
    </w:tbl>
    <w:p w14:paraId="3D90D1A0" w14:textId="77777777" w:rsidR="00431FCA" w:rsidRPr="00431FCA" w:rsidRDefault="00431FCA" w:rsidP="00431FCA">
      <w:pPr>
        <w:pStyle w:val="ListParagraph"/>
        <w:numPr>
          <w:ilvl w:val="0"/>
          <w:numId w:val="38"/>
        </w:numPr>
        <w:snapToGrid w:val="0"/>
        <w:ind w:left="426" w:hanging="284"/>
        <w:contextualSpacing w:val="0"/>
        <w:rPr>
          <w:rFonts w:asciiTheme="minorHAnsi" w:hAnsiTheme="minorHAnsi" w:cstheme="minorHAnsi"/>
          <w:color w:val="000000" w:themeColor="text1"/>
          <w:lang w:eastAsia="en-GB"/>
        </w:rPr>
        <w:sectPr w:rsidR="00431FCA" w:rsidRPr="00431FCA" w:rsidSect="003A24D0">
          <w:type w:val="continuous"/>
          <w:pgSz w:w="11906" w:h="16838" w:code="9"/>
          <w:pgMar w:top="1304" w:right="1134" w:bottom="1134" w:left="1134" w:header="284" w:footer="703" w:gutter="0"/>
          <w:cols w:num="2" w:space="709"/>
          <w:docGrid w:linePitch="360"/>
        </w:sectPr>
      </w:pPr>
    </w:p>
    <w:p w14:paraId="77C6AB62" w14:textId="77777777" w:rsidR="00431FCA" w:rsidRPr="00431FCA" w:rsidRDefault="00431FCA" w:rsidP="00A608B6">
      <w:pPr>
        <w:pStyle w:val="Heading2"/>
        <w:spacing w:before="480" w:after="360" w:line="240" w:lineRule="auto"/>
        <w:ind w:left="567" w:hanging="567"/>
        <w:rPr>
          <w:lang w:eastAsia="en-GB"/>
        </w:rPr>
      </w:pPr>
      <w:bookmarkStart w:id="13" w:name="_Toc78290781"/>
      <w:r w:rsidRPr="00431FCA">
        <w:rPr>
          <w:lang w:eastAsia="en-GB"/>
        </w:rPr>
        <w:t>10</w:t>
      </w:r>
      <w:r w:rsidRPr="00431FCA">
        <w:rPr>
          <w:lang w:eastAsia="en-GB"/>
        </w:rPr>
        <w:tab/>
        <w:t>Disclose endorsements and referrals</w:t>
      </w:r>
      <w:bookmarkEnd w:id="13"/>
    </w:p>
    <w:tbl>
      <w:tblPr>
        <w:tblStyle w:val="TableGrid"/>
        <w:tblW w:w="9701" w:type="dxa"/>
        <w:tblInd w:w="-47" w:type="dxa"/>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shd w:val="clear" w:color="auto" w:fill="DEEAF6"/>
        <w:tblCellMar>
          <w:top w:w="113" w:type="dxa"/>
          <w:left w:w="57" w:type="dxa"/>
          <w:bottom w:w="113" w:type="dxa"/>
          <w:right w:w="57" w:type="dxa"/>
        </w:tblCellMar>
        <w:tblLook w:val="04A0" w:firstRow="1" w:lastRow="0" w:firstColumn="1" w:lastColumn="0" w:noHBand="0" w:noVBand="1"/>
      </w:tblPr>
      <w:tblGrid>
        <w:gridCol w:w="9701"/>
      </w:tblGrid>
      <w:tr w:rsidR="00431FCA" w:rsidRPr="00431FCA" w14:paraId="0B35C2DD" w14:textId="77777777" w:rsidTr="001E417E">
        <w:tc>
          <w:tcPr>
            <w:tcW w:w="9701" w:type="dxa"/>
            <w:shd w:val="clear" w:color="auto" w:fill="DEEAF6"/>
          </w:tcPr>
          <w:p w14:paraId="1BA9BAA7" w14:textId="77777777" w:rsidR="00431FCA" w:rsidRPr="00F16301" w:rsidRDefault="00431FCA" w:rsidP="0008345F">
            <w:pPr>
              <w:tabs>
                <w:tab w:val="left" w:pos="426"/>
              </w:tabs>
              <w:snapToGrid w:val="0"/>
              <w:spacing w:after="60"/>
              <w:rPr>
                <w:rFonts w:asciiTheme="minorHAnsi" w:hAnsiTheme="minorHAnsi" w:cstheme="minorHAnsi"/>
                <w:color w:val="000000" w:themeColor="text1"/>
                <w:lang w:eastAsia="en-GB"/>
              </w:rPr>
            </w:pPr>
            <w:r w:rsidRPr="00F16301">
              <w:rPr>
                <w:rFonts w:asciiTheme="minorHAnsi" w:hAnsiTheme="minorHAnsi" w:cstheme="minorHAnsi"/>
                <w:b/>
                <w:bCs/>
                <w:color w:val="000000" w:themeColor="text1"/>
                <w:lang w:eastAsia="en-GB"/>
              </w:rPr>
              <w:t xml:space="preserve">Summary </w:t>
            </w:r>
            <w:r w:rsidRPr="00F16301">
              <w:rPr>
                <w:rFonts w:asciiTheme="minorHAnsi" w:hAnsiTheme="minorHAnsi" w:cstheme="minorHAnsi"/>
                <w:color w:val="000000" w:themeColor="text1"/>
                <w:lang w:eastAsia="en-GB"/>
              </w:rPr>
              <w:t>–</w:t>
            </w:r>
            <w:r w:rsidRPr="00F16301">
              <w:rPr>
                <w:rFonts w:asciiTheme="minorHAnsi" w:hAnsiTheme="minorHAnsi" w:cstheme="minorHAnsi"/>
                <w:b/>
                <w:bCs/>
                <w:color w:val="000000" w:themeColor="text1"/>
                <w:lang w:eastAsia="en-GB"/>
              </w:rPr>
              <w:t xml:space="preserve"> </w:t>
            </w:r>
            <w:r w:rsidRPr="00F16301">
              <w:rPr>
                <w:rFonts w:asciiTheme="minorHAnsi" w:hAnsiTheme="minorHAnsi" w:cstheme="minorHAnsi"/>
                <w:color w:val="000000" w:themeColor="text1"/>
                <w:lang w:eastAsia="en-GB"/>
              </w:rPr>
              <w:t>A registered professional engineer must disclose if they:</w:t>
            </w:r>
          </w:p>
          <w:p w14:paraId="596A4972" w14:textId="77777777" w:rsidR="00431FCA" w:rsidRPr="00F16301" w:rsidRDefault="00431FCA" w:rsidP="00431FCA">
            <w:pPr>
              <w:pStyle w:val="ListParagraph"/>
              <w:numPr>
                <w:ilvl w:val="0"/>
                <w:numId w:val="35"/>
              </w:numPr>
              <w:tabs>
                <w:tab w:val="left" w:pos="426"/>
              </w:tabs>
              <w:snapToGrid w:val="0"/>
              <w:ind w:left="714" w:hanging="357"/>
              <w:contextualSpacing w:val="0"/>
              <w:rPr>
                <w:rFonts w:asciiTheme="minorHAnsi" w:hAnsiTheme="minorHAnsi" w:cstheme="minorHAnsi"/>
                <w:color w:val="000000" w:themeColor="text1"/>
                <w:lang w:eastAsia="en-GB"/>
              </w:rPr>
            </w:pPr>
            <w:r w:rsidRPr="00F16301">
              <w:rPr>
                <w:rFonts w:asciiTheme="minorHAnsi" w:hAnsiTheme="minorHAnsi" w:cstheme="minorHAnsi"/>
                <w:color w:val="000000" w:themeColor="text1"/>
                <w:lang w:eastAsia="en-GB"/>
              </w:rPr>
              <w:t xml:space="preserve">will receive a payment, </w:t>
            </w:r>
            <w:proofErr w:type="gramStart"/>
            <w:r w:rsidRPr="00F16301">
              <w:rPr>
                <w:rFonts w:asciiTheme="minorHAnsi" w:hAnsiTheme="minorHAnsi" w:cstheme="minorHAnsi"/>
                <w:color w:val="000000" w:themeColor="text1"/>
                <w:lang w:eastAsia="en-GB"/>
              </w:rPr>
              <w:t>gift</w:t>
            </w:r>
            <w:proofErr w:type="gramEnd"/>
            <w:r w:rsidRPr="00F16301">
              <w:rPr>
                <w:rFonts w:asciiTheme="minorHAnsi" w:hAnsiTheme="minorHAnsi" w:cstheme="minorHAnsi"/>
                <w:color w:val="000000" w:themeColor="text1"/>
                <w:lang w:eastAsia="en-GB"/>
              </w:rPr>
              <w:t xml:space="preserve"> or other advantage from recommending or endorsing a product or service that will be used in the provision of professional engineering services for a client, or</w:t>
            </w:r>
          </w:p>
          <w:p w14:paraId="5D907DC4" w14:textId="77777777" w:rsidR="00431FCA" w:rsidRPr="00431FCA" w:rsidRDefault="00431FCA" w:rsidP="00431FCA">
            <w:pPr>
              <w:pStyle w:val="ListParagraph"/>
              <w:numPr>
                <w:ilvl w:val="0"/>
                <w:numId w:val="35"/>
              </w:numPr>
              <w:tabs>
                <w:tab w:val="left" w:pos="426"/>
              </w:tabs>
              <w:snapToGrid w:val="0"/>
              <w:ind w:left="714" w:hanging="357"/>
              <w:contextualSpacing w:val="0"/>
              <w:rPr>
                <w:rFonts w:asciiTheme="minorHAnsi" w:hAnsiTheme="minorHAnsi" w:cstheme="minorHAnsi"/>
                <w:i/>
                <w:iCs/>
                <w:color w:val="000000" w:themeColor="text1"/>
                <w:lang w:eastAsia="en-GB"/>
              </w:rPr>
            </w:pPr>
            <w:r w:rsidRPr="00F16301">
              <w:rPr>
                <w:rFonts w:asciiTheme="minorHAnsi" w:hAnsiTheme="minorHAnsi" w:cstheme="minorHAnsi"/>
                <w:color w:val="000000" w:themeColor="text1"/>
                <w:lang w:eastAsia="en-GB"/>
              </w:rPr>
              <w:t>pay a fee or reward to a third party who referred a client to them.</w:t>
            </w:r>
          </w:p>
        </w:tc>
      </w:tr>
    </w:tbl>
    <w:p w14:paraId="28815906" w14:textId="77777777" w:rsidR="00431FCA" w:rsidRPr="00431FCA" w:rsidRDefault="00431FCA" w:rsidP="001E417E">
      <w:pPr>
        <w:spacing w:after="120"/>
        <w:rPr>
          <w:rFonts w:asciiTheme="minorHAnsi" w:hAnsiTheme="minorHAnsi" w:cstheme="minorHAnsi"/>
          <w:color w:val="000000" w:themeColor="text1"/>
          <w:lang w:eastAsia="en-GB"/>
        </w:rPr>
        <w:sectPr w:rsidR="00431FCA" w:rsidRPr="00431FCA" w:rsidSect="003A24D0">
          <w:type w:val="continuous"/>
          <w:pgSz w:w="11906" w:h="16838" w:code="9"/>
          <w:pgMar w:top="1304" w:right="1134" w:bottom="1134" w:left="1134" w:header="284" w:footer="703" w:gutter="0"/>
          <w:cols w:space="709"/>
          <w:docGrid w:linePitch="360"/>
        </w:sectPr>
      </w:pPr>
    </w:p>
    <w:p w14:paraId="054112A0"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A conflict of interest may also arise if you receive a benefit from a third party to recommend or endorse a service or product, or you give a benefit to a third party for a referral.</w:t>
      </w:r>
    </w:p>
    <w:p w14:paraId="600601CD" w14:textId="77777777" w:rsidR="004517AB"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Therefore, to ensure that a client or prospective client is aware of any such arrangement that relates to the professional engineering service they have engaged, or intend to engage, you or your employer to undertake on their behalf, Clause 10 of the Code requires you to disclose the existence of </w:t>
      </w:r>
      <w:r w:rsidR="004517AB">
        <w:rPr>
          <w:rFonts w:asciiTheme="minorHAnsi" w:hAnsiTheme="minorHAnsi" w:cstheme="minorHAnsi"/>
          <w:color w:val="000000" w:themeColor="text1"/>
          <w:lang w:eastAsia="en-GB"/>
        </w:rPr>
        <w:t xml:space="preserve">the </w:t>
      </w:r>
      <w:r w:rsidRPr="00431FCA">
        <w:rPr>
          <w:rFonts w:asciiTheme="minorHAnsi" w:hAnsiTheme="minorHAnsi" w:cstheme="minorHAnsi"/>
          <w:color w:val="000000" w:themeColor="text1"/>
          <w:lang w:eastAsia="en-GB"/>
        </w:rPr>
        <w:t>arrangement.</w:t>
      </w:r>
    </w:p>
    <w:p w14:paraId="2C7436A1" w14:textId="4F67E69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 In particular, you must disclose:</w:t>
      </w:r>
    </w:p>
    <w:p w14:paraId="0160824D" w14:textId="77777777" w:rsidR="00431FCA" w:rsidRPr="00431FCA" w:rsidRDefault="00431FCA" w:rsidP="00431FCA">
      <w:pPr>
        <w:pStyle w:val="ListParagraph"/>
        <w:numPr>
          <w:ilvl w:val="0"/>
          <w:numId w:val="31"/>
        </w:numPr>
        <w:snapToGrid w:val="0"/>
        <w:spacing w:after="120"/>
        <w:ind w:left="425" w:hanging="425"/>
        <w:contextualSpacing w:val="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if you receive, are likely to receive or have been promised a payment, gift or other advantage to recommend, endorse or comment on a product or service – for example, a professional engineer receives a payment from a materials or equipment supplier to recommend their products or services to the client, and</w:t>
      </w:r>
    </w:p>
    <w:p w14:paraId="6E738635" w14:textId="77777777" w:rsidR="00431FCA" w:rsidRPr="00431FCA" w:rsidRDefault="00431FCA" w:rsidP="00431FCA">
      <w:pPr>
        <w:pStyle w:val="ListParagraph"/>
        <w:numPr>
          <w:ilvl w:val="0"/>
          <w:numId w:val="31"/>
        </w:numPr>
        <w:snapToGrid w:val="0"/>
        <w:spacing w:after="160"/>
        <w:ind w:left="425" w:hanging="425"/>
        <w:contextualSpacing w:val="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if you give or offered to give a fee or reward to a third party for referring a client or prospective client to you – for example, a professional engineer pays a ‘finders’ fee to an architect, contractor or building surveyor who refers clients to them for professional engineering services.</w:t>
      </w:r>
    </w:p>
    <w:p w14:paraId="60F08EF9" w14:textId="77777777" w:rsidR="00431FCA" w:rsidRPr="00431FCA" w:rsidRDefault="00431FCA" w:rsidP="00431FCA">
      <w:pPr>
        <w:spacing w:after="160"/>
        <w:rPr>
          <w:rFonts w:asciiTheme="minorHAnsi" w:hAnsiTheme="minorHAnsi" w:cstheme="minorHAnsi"/>
          <w:color w:val="000000" w:themeColor="text1"/>
        </w:rPr>
      </w:pPr>
      <w:r w:rsidRPr="00431FCA">
        <w:rPr>
          <w:rFonts w:asciiTheme="minorHAnsi" w:hAnsiTheme="minorHAnsi" w:cstheme="minorHAnsi"/>
          <w:color w:val="000000" w:themeColor="text1"/>
          <w:lang w:eastAsia="en-GB"/>
        </w:rPr>
        <w:t>A payment, gift, advantage fee or reward includes both monetary or non-monetary considerations such as travel, hospitality, entertainment, products and trade goods of material value.</w:t>
      </w:r>
    </w:p>
    <w:p w14:paraId="07A9C53F"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The aim of disclosing these arrangements to clients and prospective clients is to enable them to make informed decisions about the financial and other considerations relating to the provision of professional engineering services and to be confident about the factors influencing your decisions relating to those services. </w:t>
      </w:r>
    </w:p>
    <w:p w14:paraId="1700ACC0" w14:textId="787BAD14" w:rsidR="00431FCA" w:rsidRPr="00431FCA" w:rsidRDefault="00431FCA" w:rsidP="00431FCA">
      <w:pPr>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As a best practice guide, the disclosure should be as soon as practical, and to ensure you have a record,</w:t>
      </w:r>
      <w:r w:rsidR="005F3033">
        <w:rPr>
          <w:rFonts w:asciiTheme="minorHAnsi" w:hAnsiTheme="minorHAnsi" w:cstheme="minorHAnsi"/>
          <w:color w:val="000000" w:themeColor="text1"/>
          <w:lang w:eastAsia="en-GB"/>
        </w:rPr>
        <w:t xml:space="preserve"> be</w:t>
      </w:r>
      <w:r w:rsidRPr="00431FCA">
        <w:rPr>
          <w:rFonts w:asciiTheme="minorHAnsi" w:hAnsiTheme="minorHAnsi" w:cstheme="minorHAnsi"/>
          <w:color w:val="000000" w:themeColor="text1"/>
          <w:lang w:eastAsia="en-GB"/>
        </w:rPr>
        <w:t xml:space="preserve"> in writing or followed-up in writing.</w:t>
      </w:r>
    </w:p>
    <w:p w14:paraId="0FEFF155" w14:textId="77777777" w:rsidR="00431FCA" w:rsidRPr="00431FCA" w:rsidRDefault="00431FCA" w:rsidP="00431FCA">
      <w:pPr>
        <w:tabs>
          <w:tab w:val="left" w:pos="426"/>
        </w:tabs>
        <w:spacing w:before="720" w:after="240"/>
        <w:rPr>
          <w:rFonts w:asciiTheme="minorHAnsi" w:hAnsiTheme="minorHAnsi" w:cstheme="minorHAnsi"/>
          <w:b/>
          <w:bCs/>
          <w:color w:val="000000" w:themeColor="text1"/>
          <w:sz w:val="24"/>
          <w:lang w:eastAsia="en-GB"/>
        </w:rPr>
        <w:sectPr w:rsidR="00431FCA" w:rsidRPr="00431FCA" w:rsidSect="003A24D0">
          <w:type w:val="continuous"/>
          <w:pgSz w:w="11906" w:h="16838" w:code="9"/>
          <w:pgMar w:top="1304" w:right="1134" w:bottom="1134" w:left="1134" w:header="284" w:footer="703" w:gutter="0"/>
          <w:cols w:num="2" w:space="709"/>
          <w:docGrid w:linePitch="360"/>
        </w:sectPr>
      </w:pPr>
    </w:p>
    <w:p w14:paraId="030A0A79" w14:textId="77777777" w:rsidR="00431FCA" w:rsidRPr="00431FCA" w:rsidRDefault="00431FCA" w:rsidP="00A608B6">
      <w:pPr>
        <w:pStyle w:val="Heading2"/>
        <w:spacing w:before="0" w:after="360" w:line="240" w:lineRule="auto"/>
        <w:ind w:left="567" w:hanging="567"/>
        <w:rPr>
          <w:lang w:eastAsia="en-GB"/>
        </w:rPr>
      </w:pPr>
      <w:bookmarkStart w:id="14" w:name="_Toc78290782"/>
      <w:r w:rsidRPr="00431FCA">
        <w:rPr>
          <w:lang w:eastAsia="en-GB"/>
        </w:rPr>
        <w:lastRenderedPageBreak/>
        <w:t>11</w:t>
      </w:r>
      <w:r w:rsidRPr="00431FCA">
        <w:rPr>
          <w:lang w:eastAsia="en-GB"/>
        </w:rPr>
        <w:tab/>
        <w:t>Be impartial and objective</w:t>
      </w:r>
      <w:bookmarkEnd w:id="14"/>
    </w:p>
    <w:tbl>
      <w:tblPr>
        <w:tblStyle w:val="TableGrid"/>
        <w:tblW w:w="9659" w:type="dxa"/>
        <w:tblInd w:w="-5" w:type="dxa"/>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shd w:val="clear" w:color="auto" w:fill="DEEAF6"/>
        <w:tblCellMar>
          <w:top w:w="113" w:type="dxa"/>
          <w:left w:w="57" w:type="dxa"/>
          <w:bottom w:w="113" w:type="dxa"/>
          <w:right w:w="57" w:type="dxa"/>
        </w:tblCellMar>
        <w:tblLook w:val="04A0" w:firstRow="1" w:lastRow="0" w:firstColumn="1" w:lastColumn="0" w:noHBand="0" w:noVBand="1"/>
      </w:tblPr>
      <w:tblGrid>
        <w:gridCol w:w="9659"/>
      </w:tblGrid>
      <w:tr w:rsidR="00431FCA" w:rsidRPr="00431FCA" w14:paraId="48C00B31" w14:textId="77777777" w:rsidTr="00431FCA">
        <w:tc>
          <w:tcPr>
            <w:tcW w:w="9659" w:type="dxa"/>
            <w:shd w:val="clear" w:color="auto" w:fill="DEEAF6"/>
          </w:tcPr>
          <w:p w14:paraId="33406719" w14:textId="77777777" w:rsidR="00431FCA" w:rsidRPr="00F16301" w:rsidRDefault="00431FCA" w:rsidP="0008345F">
            <w:pPr>
              <w:tabs>
                <w:tab w:val="left" w:pos="426"/>
              </w:tabs>
              <w:snapToGrid w:val="0"/>
              <w:rPr>
                <w:rFonts w:asciiTheme="minorHAnsi" w:hAnsiTheme="minorHAnsi" w:cstheme="minorHAnsi"/>
                <w:color w:val="000000" w:themeColor="text1"/>
                <w:lang w:eastAsia="en-GB"/>
              </w:rPr>
            </w:pPr>
            <w:r w:rsidRPr="00F16301">
              <w:rPr>
                <w:rFonts w:asciiTheme="minorHAnsi" w:hAnsiTheme="minorHAnsi" w:cstheme="minorHAnsi"/>
                <w:b/>
                <w:bCs/>
                <w:color w:val="000000" w:themeColor="text1"/>
                <w:lang w:eastAsia="en-GB"/>
              </w:rPr>
              <w:t xml:space="preserve">Summary </w:t>
            </w:r>
            <w:r w:rsidRPr="00F16301">
              <w:rPr>
                <w:rFonts w:asciiTheme="minorHAnsi" w:hAnsiTheme="minorHAnsi" w:cstheme="minorHAnsi"/>
                <w:color w:val="000000" w:themeColor="text1"/>
                <w:lang w:eastAsia="en-GB"/>
              </w:rPr>
              <w:t>–</w:t>
            </w:r>
            <w:r w:rsidRPr="00F16301">
              <w:rPr>
                <w:rFonts w:asciiTheme="minorHAnsi" w:hAnsiTheme="minorHAnsi" w:cstheme="minorHAnsi"/>
                <w:b/>
                <w:bCs/>
                <w:color w:val="000000" w:themeColor="text1"/>
                <w:lang w:eastAsia="en-GB"/>
              </w:rPr>
              <w:t xml:space="preserve"> </w:t>
            </w:r>
            <w:r w:rsidRPr="00F16301">
              <w:rPr>
                <w:rFonts w:asciiTheme="minorHAnsi" w:hAnsiTheme="minorHAnsi" w:cstheme="minorHAnsi"/>
                <w:color w:val="000000" w:themeColor="text1"/>
                <w:lang w:eastAsia="en-GB"/>
              </w:rPr>
              <w:t xml:space="preserve">A registered professional engineer must not give or accept an inducement that would improperly influence a matter. </w:t>
            </w:r>
          </w:p>
        </w:tc>
      </w:tr>
    </w:tbl>
    <w:p w14:paraId="0A7A30DE" w14:textId="77777777" w:rsidR="00431FCA" w:rsidRPr="00431FCA" w:rsidRDefault="00431FCA" w:rsidP="00AF0391">
      <w:pPr>
        <w:spacing w:after="120"/>
        <w:rPr>
          <w:rFonts w:asciiTheme="minorHAnsi" w:hAnsiTheme="minorHAnsi" w:cstheme="minorHAnsi"/>
          <w:color w:val="000000" w:themeColor="text1"/>
          <w:lang w:eastAsia="en-GB"/>
        </w:rPr>
        <w:sectPr w:rsidR="00431FCA" w:rsidRPr="00431FCA" w:rsidSect="003A24D0">
          <w:type w:val="continuous"/>
          <w:pgSz w:w="11906" w:h="16838" w:code="9"/>
          <w:pgMar w:top="1304" w:right="1134" w:bottom="1134" w:left="1134" w:header="284" w:footer="703" w:gutter="0"/>
          <w:cols w:space="709"/>
          <w:docGrid w:linePitch="360"/>
        </w:sectPr>
      </w:pPr>
    </w:p>
    <w:p w14:paraId="0CB174DE"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Being impartial and objective means that your actions, advice and decisions are based on fact, fair and balanced and without bias, </w:t>
      </w:r>
      <w:r w:rsidRPr="00431FCA">
        <w:rPr>
          <w:rFonts w:asciiTheme="minorHAnsi" w:hAnsiTheme="minorHAnsi" w:cstheme="minorHAnsi"/>
          <w:color w:val="000000" w:themeColor="text1"/>
          <w:lang w:eastAsia="en-AU"/>
        </w:rPr>
        <w:t>as far as reasonably practicable</w:t>
      </w:r>
      <w:r w:rsidRPr="00431FCA">
        <w:rPr>
          <w:rFonts w:asciiTheme="minorHAnsi" w:hAnsiTheme="minorHAnsi" w:cstheme="minorHAnsi"/>
          <w:i/>
          <w:iCs/>
          <w:color w:val="000000" w:themeColor="text1"/>
          <w:lang w:eastAsia="en-GB"/>
        </w:rPr>
        <w:t>.</w:t>
      </w:r>
      <w:r w:rsidRPr="00431FCA">
        <w:rPr>
          <w:rFonts w:asciiTheme="minorHAnsi" w:hAnsiTheme="minorHAnsi" w:cstheme="minorHAnsi"/>
          <w:color w:val="000000" w:themeColor="text1"/>
          <w:lang w:eastAsia="en-GB"/>
        </w:rPr>
        <w:t xml:space="preserve"> Clause 11 of the Code applies these principles by prohibiting you from giving or accepting inducements to improperly influence an action or outcome. </w:t>
      </w:r>
    </w:p>
    <w:p w14:paraId="0EDD0F51" w14:textId="0573CD7E" w:rsidR="00431FCA" w:rsidRPr="00431FCA" w:rsidRDefault="00431FCA" w:rsidP="00431FCA">
      <w:pPr>
        <w:spacing w:after="160"/>
        <w:rPr>
          <w:rFonts w:asciiTheme="minorHAnsi" w:hAnsiTheme="minorHAnsi" w:cstheme="minorHAnsi"/>
          <w:lang w:eastAsia="en-GB"/>
        </w:rPr>
      </w:pPr>
      <w:r w:rsidRPr="00431FCA">
        <w:rPr>
          <w:rFonts w:asciiTheme="minorHAnsi" w:hAnsiTheme="minorHAnsi" w:cstheme="minorHAnsi"/>
          <w:color w:val="000000" w:themeColor="text1"/>
          <w:lang w:eastAsia="en-GB"/>
        </w:rPr>
        <w:t>An inducement is an action or situation used to influence another person while an improper influence induces or intend</w:t>
      </w:r>
      <w:r w:rsidR="009C78DD">
        <w:rPr>
          <w:rFonts w:asciiTheme="minorHAnsi" w:hAnsiTheme="minorHAnsi" w:cstheme="minorHAnsi"/>
          <w:color w:val="000000" w:themeColor="text1"/>
          <w:lang w:eastAsia="en-GB"/>
        </w:rPr>
        <w:t>s</w:t>
      </w:r>
      <w:r w:rsidRPr="00431FCA">
        <w:rPr>
          <w:rFonts w:asciiTheme="minorHAnsi" w:hAnsiTheme="minorHAnsi" w:cstheme="minorHAnsi"/>
          <w:color w:val="000000" w:themeColor="text1"/>
          <w:lang w:eastAsia="en-GB"/>
        </w:rPr>
        <w:t xml:space="preserve"> to induce a person to act or consider action other than on a merit basis. Inducements can include monetary payments and non-monetary consideration of a material value such as </w:t>
      </w:r>
      <w:r w:rsidRPr="00431FCA">
        <w:rPr>
          <w:rFonts w:asciiTheme="minorHAnsi" w:hAnsiTheme="minorHAnsi" w:cstheme="minorHAnsi"/>
          <w:lang w:eastAsia="en-GB"/>
        </w:rPr>
        <w:t>gifts, travel, entertainment, hospitality, conferences, training or sponsoring appointments to boards/committees.</w:t>
      </w:r>
    </w:p>
    <w:p w14:paraId="51A13F69" w14:textId="77777777" w:rsidR="00431FCA" w:rsidRPr="00431FCA" w:rsidRDefault="00431FCA" w:rsidP="00431FCA">
      <w:pPr>
        <w:snapToGrid w:val="0"/>
        <w:spacing w:after="160"/>
        <w:rPr>
          <w:rFonts w:asciiTheme="minorHAnsi" w:hAnsiTheme="minorHAnsi" w:cstheme="minorHAnsi"/>
          <w:color w:val="000000" w:themeColor="text1"/>
          <w:lang w:eastAsia="en-GB"/>
        </w:rPr>
      </w:pPr>
      <w:r w:rsidRPr="00431FCA">
        <w:rPr>
          <w:rFonts w:asciiTheme="minorHAnsi" w:hAnsiTheme="minorHAnsi" w:cstheme="minorHAnsi"/>
          <w:i/>
          <w:iCs/>
          <w:color w:val="000000" w:themeColor="text1"/>
          <w:lang w:eastAsia="en-GB"/>
        </w:rPr>
        <w:t>Giving inducements</w:t>
      </w:r>
      <w:r w:rsidRPr="00431FCA">
        <w:rPr>
          <w:rFonts w:asciiTheme="minorHAnsi" w:hAnsiTheme="minorHAnsi" w:cstheme="minorHAnsi"/>
          <w:color w:val="000000" w:themeColor="text1"/>
          <w:lang w:eastAsia="en-GB"/>
        </w:rPr>
        <w:t xml:space="preserve"> – You must not give, or </w:t>
      </w:r>
      <w:r w:rsidRPr="00431FCA">
        <w:rPr>
          <w:rFonts w:asciiTheme="minorHAnsi" w:hAnsiTheme="minorHAnsi" w:cstheme="minorHAnsi"/>
          <w:lang w:eastAsia="en-GB"/>
        </w:rPr>
        <w:t>promise</w:t>
      </w:r>
      <w:r w:rsidRPr="00431FCA">
        <w:rPr>
          <w:rFonts w:asciiTheme="minorHAnsi" w:hAnsiTheme="minorHAnsi" w:cstheme="minorHAnsi"/>
          <w:color w:val="000000" w:themeColor="text1"/>
          <w:lang w:eastAsia="en-GB"/>
        </w:rPr>
        <w:t xml:space="preserve"> to give, a client or prospective client an inducement to improperly influence them to:</w:t>
      </w:r>
    </w:p>
    <w:p w14:paraId="320A86B2" w14:textId="40EAAD4E" w:rsidR="00431FCA" w:rsidRPr="00431FCA" w:rsidRDefault="00431FCA" w:rsidP="00431FCA">
      <w:pPr>
        <w:pStyle w:val="ListParagraph"/>
        <w:numPr>
          <w:ilvl w:val="0"/>
          <w:numId w:val="38"/>
        </w:numPr>
        <w:snapToGrid w:val="0"/>
        <w:spacing w:after="120"/>
        <w:ind w:left="426" w:hanging="284"/>
        <w:contextualSpacing w:val="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engage you or the business you are employed by to provide professional </w:t>
      </w:r>
      <w:r w:rsidR="009C78DD">
        <w:rPr>
          <w:rFonts w:asciiTheme="minorHAnsi" w:hAnsiTheme="minorHAnsi" w:cstheme="minorHAnsi"/>
          <w:color w:val="000000" w:themeColor="text1"/>
          <w:lang w:eastAsia="en-GB"/>
        </w:rPr>
        <w:t xml:space="preserve">engineering </w:t>
      </w:r>
      <w:r w:rsidRPr="00431FCA">
        <w:rPr>
          <w:rFonts w:asciiTheme="minorHAnsi" w:hAnsiTheme="minorHAnsi" w:cstheme="minorHAnsi"/>
          <w:color w:val="000000" w:themeColor="text1"/>
          <w:lang w:eastAsia="en-GB"/>
        </w:rPr>
        <w:t>services, or</w:t>
      </w:r>
    </w:p>
    <w:p w14:paraId="58DE358D" w14:textId="77777777" w:rsidR="00431FCA" w:rsidRPr="00431FCA" w:rsidRDefault="00431FCA" w:rsidP="00431FCA">
      <w:pPr>
        <w:pStyle w:val="ListParagraph"/>
        <w:numPr>
          <w:ilvl w:val="0"/>
          <w:numId w:val="38"/>
        </w:numPr>
        <w:snapToGrid w:val="0"/>
        <w:spacing w:after="160"/>
        <w:ind w:left="426" w:hanging="284"/>
        <w:contextualSpacing w:val="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agree to matters affecting the professional engineering services being provided – for example, a payment or gift to agree to a specialist service provided by you or the engineering business, or for a particular change to the services being provided or for particular materials, products or other requirement to be specified in a design.</w:t>
      </w:r>
    </w:p>
    <w:p w14:paraId="5FB948B9"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i/>
          <w:iCs/>
          <w:color w:val="000000" w:themeColor="text1"/>
          <w:lang w:eastAsia="en-GB"/>
        </w:rPr>
        <w:t>Accepting inducements</w:t>
      </w:r>
      <w:r w:rsidRPr="00431FCA">
        <w:rPr>
          <w:rFonts w:asciiTheme="minorHAnsi" w:hAnsiTheme="minorHAnsi" w:cstheme="minorHAnsi"/>
          <w:color w:val="000000" w:themeColor="text1"/>
          <w:lang w:eastAsia="en-GB"/>
        </w:rPr>
        <w:t xml:space="preserve"> – You must not accept an inducement from any person to improperly influence the advice you provide or decisions you make – for example, from a: </w:t>
      </w:r>
    </w:p>
    <w:p w14:paraId="6227CDA0" w14:textId="77777777" w:rsidR="00431FCA" w:rsidRPr="00431FCA" w:rsidRDefault="00431FCA" w:rsidP="00431FCA">
      <w:pPr>
        <w:pStyle w:val="ListParagraph"/>
        <w:numPr>
          <w:ilvl w:val="0"/>
          <w:numId w:val="38"/>
        </w:numPr>
        <w:snapToGrid w:val="0"/>
        <w:spacing w:after="120"/>
        <w:ind w:left="426" w:hanging="284"/>
        <w:contextualSpacing w:val="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developer or builder to issue engineering reports and certificates, or</w:t>
      </w:r>
    </w:p>
    <w:p w14:paraId="2C086CF6" w14:textId="77777777" w:rsidR="00431FCA" w:rsidRPr="00431FCA" w:rsidRDefault="00431FCA" w:rsidP="00431FCA">
      <w:pPr>
        <w:pStyle w:val="ListParagraph"/>
        <w:numPr>
          <w:ilvl w:val="0"/>
          <w:numId w:val="38"/>
        </w:numPr>
        <w:snapToGrid w:val="0"/>
        <w:spacing w:after="120"/>
        <w:ind w:left="426" w:hanging="284"/>
        <w:contextualSpacing w:val="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contractor to secure a favourable decision in a tender process you are managing.</w:t>
      </w:r>
    </w:p>
    <w:p w14:paraId="5A48DA2E" w14:textId="77777777" w:rsidR="00431FCA" w:rsidRPr="00431FCA" w:rsidRDefault="00431FCA" w:rsidP="00431FCA">
      <w:pPr>
        <w:snapToGrid w:val="0"/>
        <w:rPr>
          <w:rFonts w:asciiTheme="minorHAnsi" w:hAnsiTheme="minorHAnsi" w:cstheme="minorHAnsi"/>
          <w:color w:val="000000" w:themeColor="text1"/>
          <w:lang w:eastAsia="en-GB"/>
        </w:rPr>
        <w:sectPr w:rsidR="00431FCA" w:rsidRPr="00431FCA" w:rsidSect="003A24D0">
          <w:type w:val="continuous"/>
          <w:pgSz w:w="11906" w:h="16838" w:code="9"/>
          <w:pgMar w:top="1304" w:right="1134" w:bottom="1134" w:left="1134" w:header="284" w:footer="703" w:gutter="0"/>
          <w:cols w:num="2" w:space="709"/>
          <w:docGrid w:linePitch="360"/>
        </w:sectPr>
      </w:pPr>
    </w:p>
    <w:p w14:paraId="32567B02" w14:textId="77777777" w:rsidR="00431FCA" w:rsidRPr="00431FCA" w:rsidRDefault="00431FCA" w:rsidP="00AF0391">
      <w:pPr>
        <w:pStyle w:val="Heading2"/>
        <w:spacing w:after="360" w:line="240" w:lineRule="auto"/>
        <w:ind w:left="567" w:hanging="567"/>
        <w:rPr>
          <w:lang w:eastAsia="en-GB"/>
        </w:rPr>
      </w:pPr>
      <w:bookmarkStart w:id="15" w:name="_Toc78290783"/>
      <w:r w:rsidRPr="00431FCA">
        <w:rPr>
          <w:lang w:eastAsia="en-GB"/>
        </w:rPr>
        <w:t>12</w:t>
      </w:r>
      <w:r w:rsidRPr="00431FCA">
        <w:rPr>
          <w:lang w:eastAsia="en-GB"/>
        </w:rPr>
        <w:tab/>
        <w:t>Inform and communicate with clients</w:t>
      </w:r>
      <w:bookmarkEnd w:id="15"/>
    </w:p>
    <w:tbl>
      <w:tblPr>
        <w:tblStyle w:val="TableGrid"/>
        <w:tblW w:w="0" w:type="auto"/>
        <w:tblInd w:w="9" w:type="dxa"/>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shd w:val="clear" w:color="auto" w:fill="DEEAF6"/>
        <w:tblCellMar>
          <w:top w:w="113" w:type="dxa"/>
          <w:left w:w="57" w:type="dxa"/>
          <w:bottom w:w="113" w:type="dxa"/>
          <w:right w:w="57" w:type="dxa"/>
        </w:tblCellMar>
        <w:tblLook w:val="04A0" w:firstRow="1" w:lastRow="0" w:firstColumn="1" w:lastColumn="0" w:noHBand="0" w:noVBand="1"/>
      </w:tblPr>
      <w:tblGrid>
        <w:gridCol w:w="9609"/>
      </w:tblGrid>
      <w:tr w:rsidR="00431FCA" w:rsidRPr="00431FCA" w14:paraId="030432BA" w14:textId="77777777" w:rsidTr="00431FCA">
        <w:tc>
          <w:tcPr>
            <w:tcW w:w="9617" w:type="dxa"/>
            <w:shd w:val="clear" w:color="auto" w:fill="DEEAF6"/>
          </w:tcPr>
          <w:p w14:paraId="3AB9BFE9" w14:textId="77777777" w:rsidR="00431FCA" w:rsidRPr="00F16301" w:rsidRDefault="00431FCA" w:rsidP="0008345F">
            <w:pPr>
              <w:tabs>
                <w:tab w:val="left" w:pos="426"/>
              </w:tabs>
              <w:snapToGrid w:val="0"/>
              <w:rPr>
                <w:rFonts w:asciiTheme="minorHAnsi" w:hAnsiTheme="minorHAnsi" w:cstheme="minorHAnsi"/>
                <w:color w:val="000000" w:themeColor="text1"/>
                <w:lang w:eastAsia="en-GB"/>
              </w:rPr>
            </w:pPr>
            <w:r w:rsidRPr="00F16301">
              <w:rPr>
                <w:rFonts w:asciiTheme="minorHAnsi" w:hAnsiTheme="minorHAnsi" w:cstheme="minorHAnsi"/>
                <w:b/>
                <w:bCs/>
                <w:color w:val="000000" w:themeColor="text1"/>
                <w:lang w:eastAsia="en-GB"/>
              </w:rPr>
              <w:t xml:space="preserve">Summary </w:t>
            </w:r>
            <w:r w:rsidRPr="00F16301">
              <w:rPr>
                <w:rFonts w:asciiTheme="minorHAnsi" w:hAnsiTheme="minorHAnsi" w:cstheme="minorHAnsi"/>
                <w:color w:val="000000" w:themeColor="text1"/>
                <w:lang w:eastAsia="en-GB"/>
              </w:rPr>
              <w:t>–</w:t>
            </w:r>
            <w:r w:rsidRPr="00F16301">
              <w:rPr>
                <w:rFonts w:asciiTheme="minorHAnsi" w:hAnsiTheme="minorHAnsi" w:cstheme="minorHAnsi"/>
                <w:b/>
                <w:bCs/>
                <w:color w:val="000000" w:themeColor="text1"/>
                <w:lang w:eastAsia="en-GB"/>
              </w:rPr>
              <w:t xml:space="preserve"> </w:t>
            </w:r>
            <w:r w:rsidRPr="00F16301">
              <w:rPr>
                <w:rFonts w:asciiTheme="minorHAnsi" w:hAnsiTheme="minorHAnsi" w:cstheme="minorHAnsi"/>
                <w:color w:val="000000" w:themeColor="text1"/>
                <w:lang w:eastAsia="en-GB"/>
              </w:rPr>
              <w:t>A registered professional engineer must communicate with a client and, in certain circumstances a prospective client, in an effective and timely manner.</w:t>
            </w:r>
          </w:p>
        </w:tc>
      </w:tr>
    </w:tbl>
    <w:p w14:paraId="531ABE52" w14:textId="77777777" w:rsidR="00431FCA" w:rsidRPr="00431FCA" w:rsidRDefault="00431FCA" w:rsidP="00431FCA">
      <w:pPr>
        <w:tabs>
          <w:tab w:val="left" w:pos="426"/>
        </w:tabs>
        <w:spacing w:after="120"/>
        <w:rPr>
          <w:rFonts w:asciiTheme="minorHAnsi" w:hAnsiTheme="minorHAnsi" w:cstheme="minorHAnsi"/>
          <w:b/>
          <w:bCs/>
          <w:color w:val="000000" w:themeColor="text1"/>
          <w:sz w:val="24"/>
          <w:lang w:eastAsia="en-GB"/>
        </w:rPr>
        <w:sectPr w:rsidR="00431FCA" w:rsidRPr="00431FCA" w:rsidSect="003A24D0">
          <w:type w:val="continuous"/>
          <w:pgSz w:w="11906" w:h="16838" w:code="9"/>
          <w:pgMar w:top="1304" w:right="1134" w:bottom="1134" w:left="1134" w:header="284" w:footer="703" w:gutter="0"/>
          <w:cols w:space="709"/>
          <w:docGrid w:linePitch="360"/>
        </w:sectPr>
      </w:pPr>
    </w:p>
    <w:p w14:paraId="440424D6" w14:textId="77777777" w:rsidR="00431FCA" w:rsidRPr="00431FCA" w:rsidRDefault="00431FCA" w:rsidP="00431FCA">
      <w:pPr>
        <w:tabs>
          <w:tab w:val="left" w:pos="426"/>
        </w:tabs>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To meet your obligations under Clause 12 of the Code you need to have strong communication relationships with your clients. In particular, this means:</w:t>
      </w:r>
    </w:p>
    <w:p w14:paraId="6E05F670" w14:textId="77777777" w:rsidR="00431FCA" w:rsidRPr="00431FCA" w:rsidRDefault="00431FCA" w:rsidP="00431FCA">
      <w:pPr>
        <w:pStyle w:val="ListParagraph"/>
        <w:numPr>
          <w:ilvl w:val="0"/>
          <w:numId w:val="36"/>
        </w:numPr>
        <w:snapToGrid w:val="0"/>
        <w:spacing w:after="120"/>
        <w:ind w:left="426" w:hanging="284"/>
        <w:contextualSpacing w:val="0"/>
        <w:rPr>
          <w:rFonts w:asciiTheme="minorHAnsi" w:hAnsiTheme="minorHAnsi" w:cstheme="minorHAnsi"/>
        </w:rPr>
      </w:pPr>
      <w:r w:rsidRPr="00431FCA">
        <w:rPr>
          <w:rFonts w:asciiTheme="minorHAnsi" w:hAnsiTheme="minorHAnsi" w:cstheme="minorHAnsi"/>
        </w:rPr>
        <w:t>ensuring that your clients are informed of the decisions they need to make</w:t>
      </w:r>
    </w:p>
    <w:p w14:paraId="75CC1893" w14:textId="77777777" w:rsidR="00431FCA" w:rsidRPr="00431FCA" w:rsidRDefault="00431FCA" w:rsidP="00431FCA">
      <w:pPr>
        <w:pStyle w:val="ListParagraph"/>
        <w:numPr>
          <w:ilvl w:val="0"/>
          <w:numId w:val="36"/>
        </w:numPr>
        <w:snapToGrid w:val="0"/>
        <w:spacing w:after="120"/>
        <w:ind w:left="426" w:hanging="284"/>
        <w:contextualSpacing w:val="0"/>
        <w:rPr>
          <w:rFonts w:asciiTheme="minorHAnsi" w:hAnsiTheme="minorHAnsi" w:cstheme="minorHAnsi"/>
        </w:rPr>
      </w:pPr>
      <w:r w:rsidRPr="00431FCA">
        <w:rPr>
          <w:rFonts w:asciiTheme="minorHAnsi" w:hAnsiTheme="minorHAnsi" w:cstheme="minorHAnsi"/>
        </w:rPr>
        <w:t>providing them with sufficient information to make informed decisions</w:t>
      </w:r>
    </w:p>
    <w:p w14:paraId="31D7C334" w14:textId="77777777" w:rsidR="00431FCA" w:rsidRPr="00431FCA" w:rsidRDefault="00431FCA" w:rsidP="00431FCA">
      <w:pPr>
        <w:pStyle w:val="ListParagraph"/>
        <w:numPr>
          <w:ilvl w:val="0"/>
          <w:numId w:val="36"/>
        </w:numPr>
        <w:snapToGrid w:val="0"/>
        <w:spacing w:after="120"/>
        <w:ind w:left="426" w:hanging="284"/>
        <w:contextualSpacing w:val="0"/>
        <w:rPr>
          <w:rFonts w:asciiTheme="minorHAnsi" w:hAnsiTheme="minorHAnsi" w:cstheme="minorHAnsi"/>
        </w:rPr>
      </w:pPr>
      <w:r w:rsidRPr="00431FCA">
        <w:rPr>
          <w:rFonts w:asciiTheme="minorHAnsi" w:hAnsiTheme="minorHAnsi" w:cstheme="minorHAnsi"/>
        </w:rPr>
        <w:t xml:space="preserve">providing information that is accurate and unambiguous about fees, costs, outcomes and risks, and </w:t>
      </w:r>
    </w:p>
    <w:p w14:paraId="3D6868D9" w14:textId="77777777" w:rsidR="00431FCA" w:rsidRPr="00431FCA" w:rsidRDefault="00431FCA" w:rsidP="00431FCA">
      <w:pPr>
        <w:pStyle w:val="ListParagraph"/>
        <w:numPr>
          <w:ilvl w:val="0"/>
          <w:numId w:val="36"/>
        </w:numPr>
        <w:snapToGrid w:val="0"/>
        <w:spacing w:after="160"/>
        <w:ind w:left="426" w:hanging="284"/>
        <w:contextualSpacing w:val="0"/>
        <w:rPr>
          <w:rFonts w:asciiTheme="minorHAnsi" w:hAnsiTheme="minorHAnsi" w:cstheme="minorHAnsi"/>
        </w:rPr>
      </w:pPr>
      <w:r w:rsidRPr="00431FCA">
        <w:rPr>
          <w:rFonts w:asciiTheme="minorHAnsi" w:hAnsiTheme="minorHAnsi" w:cstheme="minorHAnsi"/>
        </w:rPr>
        <w:t xml:space="preserve">responding within a reasonable* time to requests for information. </w:t>
      </w:r>
    </w:p>
    <w:p w14:paraId="698B2731"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It also involves effectively communicating with prospective clients and also providing them with information about </w:t>
      </w:r>
      <w:r w:rsidRPr="00431FCA">
        <w:rPr>
          <w:rFonts w:asciiTheme="minorHAnsi" w:hAnsiTheme="minorHAnsi" w:cstheme="minorHAnsi"/>
          <w:lang w:eastAsia="en-GB"/>
        </w:rPr>
        <w:t>fees, costs, outcomes and risks.</w:t>
      </w:r>
    </w:p>
    <w:p w14:paraId="1A6B8541"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Effective and timely communication with a client can assist in minimising complaints and misunderstandings about the deliverables and </w:t>
      </w:r>
      <w:r w:rsidRPr="00431FCA">
        <w:rPr>
          <w:rFonts w:asciiTheme="minorHAnsi" w:hAnsiTheme="minorHAnsi" w:cstheme="minorHAnsi"/>
          <w:color w:val="000000" w:themeColor="text1"/>
          <w:lang w:eastAsia="en-GB"/>
        </w:rPr>
        <w:t>outcomes of professional engineering services. Complaints can arise where a client feels inadequately informed of the progress of a project or feels that what actually happened was very different from what they felt they were led to expect.</w:t>
      </w:r>
    </w:p>
    <w:p w14:paraId="29E3CB28"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The following checklist is a best practice guide to effective communications.</w:t>
      </w:r>
    </w:p>
    <w:p w14:paraId="22F58E62" w14:textId="19368A9A" w:rsidR="00431FCA" w:rsidRDefault="00431FCA" w:rsidP="00431FCA">
      <w:pPr>
        <w:pStyle w:val="ListParagraph"/>
        <w:numPr>
          <w:ilvl w:val="0"/>
          <w:numId w:val="36"/>
        </w:numPr>
        <w:snapToGrid w:val="0"/>
        <w:spacing w:after="120"/>
        <w:ind w:left="426" w:hanging="284"/>
        <w:contextualSpacing w:val="0"/>
        <w:rPr>
          <w:rFonts w:asciiTheme="minorHAnsi" w:hAnsiTheme="minorHAnsi" w:cstheme="minorHAnsi"/>
        </w:rPr>
      </w:pPr>
      <w:r w:rsidRPr="00431FCA">
        <w:rPr>
          <w:rFonts w:asciiTheme="minorHAnsi" w:hAnsiTheme="minorHAnsi" w:cstheme="minorHAnsi"/>
          <w:i/>
          <w:iCs/>
        </w:rPr>
        <w:t>Clarify your client’s expectations</w:t>
      </w:r>
      <w:r w:rsidRPr="00431FCA">
        <w:rPr>
          <w:rFonts w:asciiTheme="minorHAnsi" w:hAnsiTheme="minorHAnsi" w:cstheme="minorHAnsi"/>
        </w:rPr>
        <w:t xml:space="preserve"> –</w:t>
      </w:r>
      <w:r w:rsidRPr="00431FCA">
        <w:rPr>
          <w:rFonts w:asciiTheme="minorHAnsi" w:hAnsiTheme="minorHAnsi" w:cstheme="minorHAnsi"/>
          <w:color w:val="0070C0"/>
          <w:lang w:eastAsia="en-GB"/>
        </w:rPr>
        <w:t xml:space="preserve"> </w:t>
      </w:r>
      <w:r w:rsidRPr="00431FCA">
        <w:rPr>
          <w:rFonts w:asciiTheme="minorHAnsi" w:hAnsiTheme="minorHAnsi" w:cstheme="minorHAnsi"/>
        </w:rPr>
        <w:t xml:space="preserve">Establish expectations early and continuously throughout the project. It is imperative that you understand what outcomes your client believes can be delivered as well as their expectations, and also that your client understands what expectations you may have of them, and what they will be required to do to ensure their project progresses satisfactorily. </w:t>
      </w:r>
    </w:p>
    <w:p w14:paraId="5C6FE36D" w14:textId="77777777" w:rsidR="00AF0391" w:rsidRPr="00431FCA" w:rsidRDefault="00AF0391" w:rsidP="00AF0391">
      <w:pPr>
        <w:pStyle w:val="ListParagraph"/>
        <w:snapToGrid w:val="0"/>
        <w:spacing w:after="120"/>
        <w:ind w:left="426"/>
        <w:contextualSpacing w:val="0"/>
        <w:rPr>
          <w:rFonts w:asciiTheme="minorHAnsi" w:hAnsiTheme="minorHAnsi" w:cstheme="minorHAnsi"/>
        </w:rPr>
      </w:pPr>
    </w:p>
    <w:p w14:paraId="4163F8B4" w14:textId="77777777" w:rsidR="00431FCA" w:rsidRPr="00431FCA" w:rsidRDefault="00431FCA" w:rsidP="00431FCA">
      <w:pPr>
        <w:pStyle w:val="ListParagraph"/>
        <w:numPr>
          <w:ilvl w:val="0"/>
          <w:numId w:val="36"/>
        </w:numPr>
        <w:snapToGrid w:val="0"/>
        <w:spacing w:after="120"/>
        <w:ind w:left="426" w:hanging="284"/>
        <w:contextualSpacing w:val="0"/>
        <w:rPr>
          <w:rFonts w:asciiTheme="minorHAnsi" w:hAnsiTheme="minorHAnsi" w:cstheme="minorHAnsi"/>
        </w:rPr>
      </w:pPr>
      <w:r w:rsidRPr="00431FCA">
        <w:rPr>
          <w:rFonts w:asciiTheme="minorHAnsi" w:hAnsiTheme="minorHAnsi" w:cstheme="minorHAnsi"/>
          <w:i/>
          <w:iCs/>
        </w:rPr>
        <w:lastRenderedPageBreak/>
        <w:t>Communicate with your client at regular and/or appropriate times as a project progresses</w:t>
      </w:r>
      <w:r w:rsidRPr="00431FCA">
        <w:rPr>
          <w:rFonts w:asciiTheme="minorHAnsi" w:hAnsiTheme="minorHAnsi" w:cstheme="minorHAnsi"/>
        </w:rPr>
        <w:t xml:space="preserve"> – Notify them of any developments and updates to progress. The objective of regular client communications throughout a project is to ensure the client receives essential information, is able to follow and understand the progress being made and is aware of any changes to the service being provided or the costs, risks and outcomes of a project.</w:t>
      </w:r>
    </w:p>
    <w:p w14:paraId="3348E696" w14:textId="003B494C" w:rsidR="00431FCA" w:rsidRDefault="00431FCA" w:rsidP="00431FCA">
      <w:pPr>
        <w:pStyle w:val="ListParagraph"/>
        <w:numPr>
          <w:ilvl w:val="0"/>
          <w:numId w:val="36"/>
        </w:numPr>
        <w:snapToGrid w:val="0"/>
        <w:spacing w:after="120"/>
        <w:ind w:left="426" w:hanging="284"/>
        <w:contextualSpacing w:val="0"/>
        <w:rPr>
          <w:rFonts w:asciiTheme="minorHAnsi" w:hAnsiTheme="minorHAnsi" w:cstheme="minorHAnsi"/>
          <w:lang w:eastAsia="en-GB"/>
        </w:rPr>
      </w:pPr>
      <w:r w:rsidRPr="00431FCA">
        <w:rPr>
          <w:rFonts w:asciiTheme="minorHAnsi" w:hAnsiTheme="minorHAnsi" w:cstheme="minorHAnsi"/>
          <w:i/>
          <w:iCs/>
        </w:rPr>
        <w:t>Make every effort to explain things clearly</w:t>
      </w:r>
      <w:r w:rsidRPr="00431FCA">
        <w:rPr>
          <w:rFonts w:asciiTheme="minorHAnsi" w:hAnsiTheme="minorHAnsi" w:cstheme="minorHAnsi"/>
        </w:rPr>
        <w:t xml:space="preserve"> – Some clients may be unfamiliar with engineering terms and processes and need them to be explained. Seek feedback that demonstrates clients have understood key terms or processes.</w:t>
      </w:r>
    </w:p>
    <w:p w14:paraId="7D77A79F" w14:textId="66AB763D" w:rsidR="00AF0391" w:rsidRDefault="00AF0391" w:rsidP="00AF0391">
      <w:pPr>
        <w:snapToGrid w:val="0"/>
        <w:spacing w:after="120"/>
        <w:rPr>
          <w:rFonts w:asciiTheme="minorHAnsi" w:hAnsiTheme="minorHAnsi" w:cstheme="minorHAnsi"/>
          <w:lang w:eastAsia="en-GB"/>
        </w:rPr>
      </w:pPr>
    </w:p>
    <w:p w14:paraId="5AE3E870" w14:textId="77777777" w:rsidR="00AF0391" w:rsidRPr="00AF0391" w:rsidRDefault="00AF0391" w:rsidP="00AF0391">
      <w:pPr>
        <w:snapToGrid w:val="0"/>
        <w:spacing w:after="120"/>
        <w:rPr>
          <w:rFonts w:asciiTheme="minorHAnsi" w:hAnsiTheme="minorHAnsi" w:cstheme="minorHAnsi"/>
          <w:lang w:eastAsia="en-GB"/>
        </w:rPr>
      </w:pPr>
    </w:p>
    <w:p w14:paraId="0EC2D021" w14:textId="77777777" w:rsidR="00431FCA" w:rsidRPr="00431FCA" w:rsidRDefault="00431FCA" w:rsidP="00431FCA">
      <w:pPr>
        <w:pStyle w:val="ListParagraph"/>
        <w:numPr>
          <w:ilvl w:val="0"/>
          <w:numId w:val="36"/>
        </w:numPr>
        <w:snapToGrid w:val="0"/>
        <w:spacing w:after="120"/>
        <w:ind w:left="426" w:hanging="284"/>
        <w:contextualSpacing w:val="0"/>
        <w:rPr>
          <w:rFonts w:asciiTheme="minorHAnsi" w:hAnsiTheme="minorHAnsi" w:cstheme="minorHAnsi"/>
        </w:rPr>
      </w:pPr>
      <w:r w:rsidRPr="00431FCA">
        <w:rPr>
          <w:rFonts w:asciiTheme="minorHAnsi" w:hAnsiTheme="minorHAnsi" w:cstheme="minorHAnsi"/>
          <w:i/>
          <w:iCs/>
        </w:rPr>
        <w:t>Establish management systems that enable efficient responses to requests for information, queries and complaints</w:t>
      </w:r>
      <w:r w:rsidRPr="00431FCA">
        <w:rPr>
          <w:rFonts w:asciiTheme="minorHAnsi" w:hAnsiTheme="minorHAnsi" w:cstheme="minorHAnsi"/>
        </w:rPr>
        <w:t xml:space="preserve"> – This will assist you to meet your obligations under Clause 12 of the Code to respond to requests for information within a reasonable* time, the timing of which will depend on the nature of the project and the circumstances of the request, and under Clause 14 of the Code to resolve complaints.</w:t>
      </w:r>
    </w:p>
    <w:p w14:paraId="62B727FA" w14:textId="77777777" w:rsidR="00431FCA" w:rsidRPr="00431FCA" w:rsidRDefault="00431FCA" w:rsidP="00AF0391">
      <w:pPr>
        <w:pStyle w:val="ListParagraph"/>
        <w:numPr>
          <w:ilvl w:val="0"/>
          <w:numId w:val="36"/>
        </w:numPr>
        <w:snapToGrid w:val="0"/>
        <w:spacing w:after="160"/>
        <w:ind w:left="426" w:hanging="284"/>
        <w:contextualSpacing w:val="0"/>
        <w:rPr>
          <w:rFonts w:asciiTheme="minorHAnsi" w:hAnsiTheme="minorHAnsi" w:cstheme="minorHAnsi"/>
        </w:rPr>
      </w:pPr>
      <w:r w:rsidRPr="00431FCA">
        <w:rPr>
          <w:rFonts w:asciiTheme="minorHAnsi" w:hAnsiTheme="minorHAnsi" w:cstheme="minorHAnsi"/>
          <w:i/>
          <w:iCs/>
        </w:rPr>
        <w:t>Support written communications with discussions</w:t>
      </w:r>
      <w:r w:rsidRPr="00431FCA">
        <w:rPr>
          <w:rFonts w:asciiTheme="minorHAnsi" w:hAnsiTheme="minorHAnsi" w:cstheme="minorHAnsi"/>
        </w:rPr>
        <w:t xml:space="preserve"> – Particularly for complex and critical matters this will confirm that both you and your client have a common understanding of what has been written and will assist with ensuring that essential information is not lost in the fine print. </w:t>
      </w:r>
    </w:p>
    <w:p w14:paraId="27857F2F" w14:textId="77777777" w:rsidR="00431FCA" w:rsidRPr="00431FCA" w:rsidRDefault="00431FCA" w:rsidP="00431FCA">
      <w:pPr>
        <w:snapToGrid w:val="0"/>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Reasonable is defined in the Code to mean an action or conduct that would be considered by an average person to be just, rational, appropriate, ordinary or usual in a particular situation</w:t>
      </w:r>
    </w:p>
    <w:p w14:paraId="476CEDFD" w14:textId="77777777" w:rsidR="00431FCA" w:rsidRPr="00431FCA" w:rsidRDefault="00431FCA" w:rsidP="00431FCA">
      <w:pPr>
        <w:tabs>
          <w:tab w:val="left" w:pos="426"/>
        </w:tabs>
        <w:spacing w:after="160"/>
        <w:rPr>
          <w:rFonts w:asciiTheme="minorHAnsi" w:hAnsiTheme="minorHAnsi" w:cstheme="minorHAnsi"/>
          <w:b/>
          <w:bCs/>
          <w:color w:val="000000" w:themeColor="text1"/>
          <w:sz w:val="24"/>
          <w:lang w:eastAsia="en-GB"/>
        </w:rPr>
        <w:sectPr w:rsidR="00431FCA" w:rsidRPr="00431FCA" w:rsidSect="003A24D0">
          <w:type w:val="continuous"/>
          <w:pgSz w:w="11906" w:h="16838" w:code="9"/>
          <w:pgMar w:top="1304" w:right="1134" w:bottom="1134" w:left="1134" w:header="284" w:footer="703" w:gutter="0"/>
          <w:cols w:num="2" w:space="709"/>
          <w:docGrid w:linePitch="360"/>
        </w:sectPr>
      </w:pPr>
    </w:p>
    <w:p w14:paraId="38F2DA6D" w14:textId="77777777" w:rsidR="00431FCA" w:rsidRPr="00431FCA" w:rsidRDefault="00431FCA" w:rsidP="00AF0391">
      <w:pPr>
        <w:pStyle w:val="Heading2"/>
        <w:spacing w:after="360" w:line="240" w:lineRule="auto"/>
        <w:ind w:left="567" w:hanging="567"/>
        <w:rPr>
          <w:lang w:eastAsia="en-GB"/>
        </w:rPr>
      </w:pPr>
      <w:bookmarkStart w:id="16" w:name="_Toc78290784"/>
      <w:r w:rsidRPr="00431FCA">
        <w:rPr>
          <w:lang w:eastAsia="en-GB"/>
        </w:rPr>
        <w:t>13</w:t>
      </w:r>
      <w:r w:rsidRPr="00431FCA">
        <w:rPr>
          <w:lang w:eastAsia="en-GB"/>
        </w:rPr>
        <w:tab/>
        <w:t>Maintain client records</w:t>
      </w:r>
      <w:bookmarkEnd w:id="16"/>
      <w:r w:rsidRPr="00431FCA">
        <w:rPr>
          <w:lang w:eastAsia="en-GB"/>
        </w:rPr>
        <w:t xml:space="preserve"> </w:t>
      </w:r>
    </w:p>
    <w:tbl>
      <w:tblPr>
        <w:tblStyle w:val="TableGrid"/>
        <w:tblW w:w="9631" w:type="dxa"/>
        <w:tblInd w:w="23" w:type="dxa"/>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shd w:val="clear" w:color="auto" w:fill="DEEAF6"/>
        <w:tblCellMar>
          <w:top w:w="113" w:type="dxa"/>
          <w:left w:w="57" w:type="dxa"/>
          <w:bottom w:w="113" w:type="dxa"/>
          <w:right w:w="57" w:type="dxa"/>
        </w:tblCellMar>
        <w:tblLook w:val="04A0" w:firstRow="1" w:lastRow="0" w:firstColumn="1" w:lastColumn="0" w:noHBand="0" w:noVBand="1"/>
      </w:tblPr>
      <w:tblGrid>
        <w:gridCol w:w="9631"/>
      </w:tblGrid>
      <w:tr w:rsidR="00431FCA" w:rsidRPr="00431FCA" w14:paraId="7236CD03" w14:textId="77777777" w:rsidTr="00431FCA">
        <w:tc>
          <w:tcPr>
            <w:tcW w:w="9631" w:type="dxa"/>
            <w:shd w:val="clear" w:color="auto" w:fill="DEEAF6"/>
          </w:tcPr>
          <w:p w14:paraId="57B2676E" w14:textId="77777777" w:rsidR="00431FCA" w:rsidRPr="00F16301" w:rsidRDefault="00431FCA" w:rsidP="0008345F">
            <w:pPr>
              <w:tabs>
                <w:tab w:val="left" w:pos="426"/>
              </w:tabs>
              <w:snapToGrid w:val="0"/>
              <w:rPr>
                <w:rFonts w:asciiTheme="minorHAnsi" w:hAnsiTheme="minorHAnsi" w:cstheme="minorHAnsi"/>
                <w:color w:val="000000" w:themeColor="text1"/>
                <w:lang w:eastAsia="en-GB"/>
              </w:rPr>
            </w:pPr>
            <w:r w:rsidRPr="00F16301">
              <w:rPr>
                <w:rFonts w:asciiTheme="minorHAnsi" w:hAnsiTheme="minorHAnsi" w:cstheme="minorHAnsi"/>
                <w:b/>
                <w:bCs/>
                <w:color w:val="000000" w:themeColor="text1"/>
                <w:lang w:eastAsia="en-GB"/>
              </w:rPr>
              <w:t xml:space="preserve">Summary </w:t>
            </w:r>
            <w:r w:rsidRPr="00F16301">
              <w:rPr>
                <w:rFonts w:asciiTheme="minorHAnsi" w:hAnsiTheme="minorHAnsi" w:cstheme="minorHAnsi"/>
                <w:color w:val="000000" w:themeColor="text1"/>
                <w:lang w:eastAsia="en-GB"/>
              </w:rPr>
              <w:t>–</w:t>
            </w:r>
            <w:r w:rsidRPr="00F16301">
              <w:rPr>
                <w:rFonts w:asciiTheme="minorHAnsi" w:hAnsiTheme="minorHAnsi" w:cstheme="minorHAnsi"/>
                <w:b/>
                <w:bCs/>
                <w:color w:val="000000" w:themeColor="text1"/>
                <w:lang w:eastAsia="en-GB"/>
              </w:rPr>
              <w:t xml:space="preserve"> </w:t>
            </w:r>
            <w:r w:rsidRPr="00F16301">
              <w:rPr>
                <w:rFonts w:asciiTheme="minorHAnsi" w:hAnsiTheme="minorHAnsi" w:cstheme="minorHAnsi"/>
                <w:color w:val="000000" w:themeColor="text1"/>
                <w:lang w:eastAsia="en-GB"/>
              </w:rPr>
              <w:t xml:space="preserve">A registered professional engineer must take reasonable steps to adequately protect, secure and store a client's paper and electronic records relating to professional engineering services. </w:t>
            </w:r>
          </w:p>
        </w:tc>
      </w:tr>
    </w:tbl>
    <w:p w14:paraId="3B63D511" w14:textId="77777777" w:rsidR="00431FCA" w:rsidRPr="00431FCA" w:rsidRDefault="00431FCA" w:rsidP="00431FCA">
      <w:pPr>
        <w:spacing w:after="120"/>
        <w:rPr>
          <w:rFonts w:asciiTheme="minorHAnsi" w:hAnsiTheme="minorHAnsi" w:cstheme="minorHAnsi"/>
          <w:color w:val="000000" w:themeColor="text1"/>
          <w:lang w:eastAsia="en-GB"/>
        </w:rPr>
        <w:sectPr w:rsidR="00431FCA" w:rsidRPr="00431FCA" w:rsidSect="003A24D0">
          <w:type w:val="continuous"/>
          <w:pgSz w:w="11906" w:h="16838" w:code="9"/>
          <w:pgMar w:top="1304" w:right="1134" w:bottom="1134" w:left="1134" w:header="284" w:footer="703" w:gutter="0"/>
          <w:cols w:space="709"/>
          <w:docGrid w:linePitch="360"/>
        </w:sectPr>
      </w:pPr>
    </w:p>
    <w:p w14:paraId="7FF1B315" w14:textId="4F47BF18"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Professional engineers produce many records when carrying out professional engineering services. Generally, these records belong to clients and/or to the professional engineer</w:t>
      </w:r>
      <w:r w:rsidR="000E30A8">
        <w:rPr>
          <w:rFonts w:asciiTheme="minorHAnsi" w:hAnsiTheme="minorHAnsi" w:cstheme="minorHAnsi"/>
          <w:color w:val="000000" w:themeColor="text1"/>
          <w:lang w:eastAsia="en-GB"/>
        </w:rPr>
        <w:t>s</w:t>
      </w:r>
      <w:r w:rsidRPr="00431FCA">
        <w:rPr>
          <w:rFonts w:asciiTheme="minorHAnsi" w:hAnsiTheme="minorHAnsi" w:cstheme="minorHAnsi"/>
          <w:color w:val="000000" w:themeColor="text1"/>
          <w:lang w:eastAsia="en-GB"/>
        </w:rPr>
        <w:t xml:space="preserve"> and/or engineering business</w:t>
      </w:r>
      <w:r w:rsidR="000E30A8">
        <w:rPr>
          <w:rFonts w:asciiTheme="minorHAnsi" w:hAnsiTheme="minorHAnsi" w:cstheme="minorHAnsi"/>
          <w:color w:val="000000" w:themeColor="text1"/>
          <w:lang w:eastAsia="en-GB"/>
        </w:rPr>
        <w:t>es</w:t>
      </w:r>
      <w:r w:rsidRPr="00431FCA">
        <w:rPr>
          <w:rFonts w:asciiTheme="minorHAnsi" w:hAnsiTheme="minorHAnsi" w:cstheme="minorHAnsi"/>
          <w:color w:val="000000" w:themeColor="text1"/>
          <w:lang w:eastAsia="en-GB"/>
        </w:rPr>
        <w:t xml:space="preserve"> that created them. Clause 13 of the Code requires you to “take reasonable steps to adequately protect, secure and store a client's paper and electronic records”.</w:t>
      </w:r>
    </w:p>
    <w:p w14:paraId="76701886" w14:textId="31E9E0EC"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Clause 13 does not require</w:t>
      </w:r>
      <w:r w:rsidR="000E30A8">
        <w:rPr>
          <w:rFonts w:asciiTheme="minorHAnsi" w:hAnsiTheme="minorHAnsi" w:cstheme="minorHAnsi"/>
          <w:color w:val="000000" w:themeColor="text1"/>
          <w:lang w:eastAsia="en-GB"/>
        </w:rPr>
        <w:t xml:space="preserve"> a</w:t>
      </w:r>
      <w:r w:rsidRPr="00431FCA">
        <w:rPr>
          <w:rFonts w:asciiTheme="minorHAnsi" w:hAnsiTheme="minorHAnsi" w:cstheme="minorHAnsi"/>
          <w:color w:val="000000" w:themeColor="text1"/>
          <w:lang w:eastAsia="en-GB"/>
        </w:rPr>
        <w:t xml:space="preserve"> professional engineer</w:t>
      </w:r>
      <w:r w:rsidR="000E30A8">
        <w:rPr>
          <w:rFonts w:asciiTheme="minorHAnsi" w:hAnsiTheme="minorHAnsi" w:cstheme="minorHAnsi"/>
          <w:color w:val="000000" w:themeColor="text1"/>
          <w:lang w:eastAsia="en-GB"/>
        </w:rPr>
        <w:t xml:space="preserve"> </w:t>
      </w:r>
      <w:r w:rsidRPr="00431FCA">
        <w:rPr>
          <w:rFonts w:asciiTheme="minorHAnsi" w:hAnsiTheme="minorHAnsi" w:cstheme="minorHAnsi"/>
          <w:color w:val="000000" w:themeColor="text1"/>
          <w:lang w:eastAsia="en-GB"/>
        </w:rPr>
        <w:t>to take responsibility for records kept by their employer beyond complying with good records management practice. In particular, it does not require you to keep personal records of engineering records owned by your employer.</w:t>
      </w:r>
    </w:p>
    <w:p w14:paraId="0FCFDBC0" w14:textId="77777777" w:rsidR="00AF0391" w:rsidRPr="00AB52B8" w:rsidRDefault="00431FCA" w:rsidP="00AF0391">
      <w:pPr>
        <w:spacing w:after="160"/>
        <w:rPr>
          <w:rFonts w:cs="Arial"/>
          <w:color w:val="000000" w:themeColor="text1"/>
          <w:lang w:eastAsia="en-GB"/>
        </w:rPr>
      </w:pPr>
      <w:r w:rsidRPr="00431FCA">
        <w:rPr>
          <w:rFonts w:asciiTheme="minorHAnsi" w:hAnsiTheme="minorHAnsi" w:cstheme="minorHAnsi"/>
          <w:color w:val="000000" w:themeColor="text1"/>
          <w:lang w:eastAsia="en-GB"/>
        </w:rPr>
        <w:t xml:space="preserve">As the Professional Engineers Registration Act has no record keeping requirements, it is a matter for a professional engineer or an engineering business to determine how best to protect, secure and store client records, how long to retain those records and how to dispose of them. </w:t>
      </w:r>
      <w:r w:rsidR="00AF0391" w:rsidRPr="00AF0391">
        <w:rPr>
          <w:rFonts w:asciiTheme="minorHAnsi" w:hAnsiTheme="minorHAnsi" w:cstheme="minorHAnsi"/>
          <w:color w:val="000000" w:themeColor="text1"/>
          <w:lang w:eastAsia="en-GB"/>
        </w:rPr>
        <w:t>Professional engineers should also be aware of any other applicable requirement (including other Acts) that may have record keeping requirements.</w:t>
      </w:r>
    </w:p>
    <w:p w14:paraId="0461E8D2"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A documented records management policy including storage and disposal arrangements will ensure that records are available when needed by you or your client, for example if an issue arises or for insurance or legal proceedings. It will also ensure that you can confidently dispose of those </w:t>
      </w:r>
      <w:r w:rsidRPr="00431FCA">
        <w:rPr>
          <w:rFonts w:asciiTheme="minorHAnsi" w:hAnsiTheme="minorHAnsi" w:cstheme="minorHAnsi"/>
          <w:color w:val="000000" w:themeColor="text1"/>
          <w:lang w:eastAsia="en-GB"/>
        </w:rPr>
        <w:t>records you no longer require. When developing your records management policy think about the different categories of records and the requirements for those records. Examples of some of the client records you may have for professional engineering services are:</w:t>
      </w:r>
    </w:p>
    <w:p w14:paraId="3B2D7CAF" w14:textId="77777777" w:rsidR="00431FCA" w:rsidRPr="00431FCA" w:rsidRDefault="00431FCA" w:rsidP="00431FCA">
      <w:pPr>
        <w:pStyle w:val="ListParagraph"/>
        <w:numPr>
          <w:ilvl w:val="0"/>
          <w:numId w:val="37"/>
        </w:numPr>
        <w:snapToGrid w:val="0"/>
        <w:spacing w:after="120"/>
        <w:ind w:left="426" w:hanging="284"/>
        <w:contextualSpacing w:val="0"/>
        <w:rPr>
          <w:rFonts w:asciiTheme="minorHAnsi" w:hAnsiTheme="minorHAnsi" w:cstheme="minorHAnsi"/>
          <w:lang w:eastAsia="en-GB"/>
        </w:rPr>
      </w:pPr>
      <w:r w:rsidRPr="00431FCA">
        <w:rPr>
          <w:rFonts w:asciiTheme="minorHAnsi" w:hAnsiTheme="minorHAnsi" w:cstheme="minorHAnsi"/>
          <w:lang w:eastAsia="en-GB"/>
        </w:rPr>
        <w:t xml:space="preserve">professional engineering services engagement agreements or contracts </w:t>
      </w:r>
    </w:p>
    <w:p w14:paraId="5B15087C" w14:textId="77777777" w:rsidR="00431FCA" w:rsidRPr="00431FCA" w:rsidRDefault="00431FCA" w:rsidP="00431FCA">
      <w:pPr>
        <w:pStyle w:val="ListParagraph"/>
        <w:numPr>
          <w:ilvl w:val="0"/>
          <w:numId w:val="37"/>
        </w:numPr>
        <w:snapToGrid w:val="0"/>
        <w:spacing w:after="120"/>
        <w:ind w:left="426" w:hanging="284"/>
        <w:contextualSpacing w:val="0"/>
        <w:rPr>
          <w:rFonts w:asciiTheme="minorHAnsi" w:hAnsiTheme="minorHAnsi" w:cstheme="minorHAnsi"/>
          <w:lang w:eastAsia="en-GB"/>
        </w:rPr>
      </w:pPr>
      <w:r w:rsidRPr="00431FCA">
        <w:rPr>
          <w:rFonts w:asciiTheme="minorHAnsi" w:hAnsiTheme="minorHAnsi" w:cstheme="minorHAnsi"/>
          <w:lang w:eastAsia="en-GB"/>
        </w:rPr>
        <w:t xml:space="preserve">drawings, designs, plans and specifications </w:t>
      </w:r>
    </w:p>
    <w:p w14:paraId="50F35EC1" w14:textId="77777777" w:rsidR="00431FCA" w:rsidRPr="00431FCA" w:rsidRDefault="00431FCA" w:rsidP="00431FCA">
      <w:pPr>
        <w:pStyle w:val="ListParagraph"/>
        <w:numPr>
          <w:ilvl w:val="0"/>
          <w:numId w:val="37"/>
        </w:numPr>
        <w:snapToGrid w:val="0"/>
        <w:spacing w:after="120"/>
        <w:ind w:left="426" w:hanging="284"/>
        <w:contextualSpacing w:val="0"/>
        <w:rPr>
          <w:rFonts w:asciiTheme="minorHAnsi" w:hAnsiTheme="minorHAnsi" w:cstheme="minorHAnsi"/>
          <w:lang w:eastAsia="en-GB"/>
        </w:rPr>
      </w:pPr>
      <w:r w:rsidRPr="00431FCA">
        <w:rPr>
          <w:rFonts w:asciiTheme="minorHAnsi" w:hAnsiTheme="minorHAnsi" w:cstheme="minorHAnsi"/>
          <w:lang w:eastAsia="en-GB"/>
        </w:rPr>
        <w:t xml:space="preserve">studies and reports </w:t>
      </w:r>
    </w:p>
    <w:p w14:paraId="2386E68F" w14:textId="77777777" w:rsidR="00431FCA" w:rsidRPr="00431FCA" w:rsidRDefault="00431FCA" w:rsidP="00431FCA">
      <w:pPr>
        <w:pStyle w:val="ListParagraph"/>
        <w:numPr>
          <w:ilvl w:val="0"/>
          <w:numId w:val="37"/>
        </w:numPr>
        <w:snapToGrid w:val="0"/>
        <w:spacing w:after="120"/>
        <w:ind w:left="426" w:hanging="284"/>
        <w:contextualSpacing w:val="0"/>
        <w:rPr>
          <w:rFonts w:asciiTheme="minorHAnsi" w:hAnsiTheme="minorHAnsi" w:cstheme="minorHAnsi"/>
          <w:lang w:eastAsia="en-GB"/>
        </w:rPr>
      </w:pPr>
      <w:r w:rsidRPr="00431FCA">
        <w:rPr>
          <w:rFonts w:asciiTheme="minorHAnsi" w:hAnsiTheme="minorHAnsi" w:cstheme="minorHAnsi"/>
          <w:lang w:eastAsia="en-GB"/>
        </w:rPr>
        <w:t xml:space="preserve">calculations and design notes </w:t>
      </w:r>
    </w:p>
    <w:p w14:paraId="0947CAA1" w14:textId="77777777" w:rsidR="00431FCA" w:rsidRPr="00431FCA" w:rsidRDefault="00431FCA" w:rsidP="00431FCA">
      <w:pPr>
        <w:pStyle w:val="ListParagraph"/>
        <w:numPr>
          <w:ilvl w:val="0"/>
          <w:numId w:val="37"/>
        </w:numPr>
        <w:snapToGrid w:val="0"/>
        <w:spacing w:after="120"/>
        <w:ind w:left="426" w:hanging="284"/>
        <w:contextualSpacing w:val="0"/>
        <w:rPr>
          <w:rFonts w:asciiTheme="minorHAnsi" w:hAnsiTheme="minorHAnsi" w:cstheme="minorHAnsi"/>
          <w:lang w:eastAsia="en-GB"/>
        </w:rPr>
      </w:pPr>
      <w:r w:rsidRPr="00431FCA">
        <w:rPr>
          <w:rFonts w:asciiTheme="minorHAnsi" w:hAnsiTheme="minorHAnsi" w:cstheme="minorHAnsi"/>
          <w:lang w:eastAsia="en-GB"/>
        </w:rPr>
        <w:t>construction documents</w:t>
      </w:r>
    </w:p>
    <w:p w14:paraId="22352B54" w14:textId="77777777" w:rsidR="00431FCA" w:rsidRPr="00431FCA" w:rsidRDefault="00431FCA" w:rsidP="00431FCA">
      <w:pPr>
        <w:pStyle w:val="ListParagraph"/>
        <w:numPr>
          <w:ilvl w:val="0"/>
          <w:numId w:val="37"/>
        </w:numPr>
        <w:snapToGrid w:val="0"/>
        <w:spacing w:after="120"/>
        <w:ind w:left="426" w:hanging="284"/>
        <w:contextualSpacing w:val="0"/>
        <w:rPr>
          <w:rFonts w:asciiTheme="minorHAnsi" w:hAnsiTheme="minorHAnsi" w:cstheme="minorHAnsi"/>
          <w:lang w:eastAsia="en-GB"/>
        </w:rPr>
      </w:pPr>
      <w:r w:rsidRPr="00431FCA">
        <w:rPr>
          <w:rFonts w:asciiTheme="minorHAnsi" w:hAnsiTheme="minorHAnsi" w:cstheme="minorHAnsi"/>
          <w:lang w:eastAsia="en-GB"/>
        </w:rPr>
        <w:t>meeting minutes and records</w:t>
      </w:r>
    </w:p>
    <w:p w14:paraId="6CCBE8C4" w14:textId="77777777" w:rsidR="00431FCA" w:rsidRPr="00431FCA" w:rsidRDefault="00431FCA" w:rsidP="00431FCA">
      <w:pPr>
        <w:pStyle w:val="ListParagraph"/>
        <w:numPr>
          <w:ilvl w:val="0"/>
          <w:numId w:val="37"/>
        </w:numPr>
        <w:snapToGrid w:val="0"/>
        <w:spacing w:after="120"/>
        <w:ind w:left="426" w:hanging="284"/>
        <w:contextualSpacing w:val="0"/>
        <w:rPr>
          <w:rFonts w:asciiTheme="minorHAnsi" w:hAnsiTheme="minorHAnsi" w:cstheme="minorHAnsi"/>
          <w:lang w:eastAsia="en-GB"/>
        </w:rPr>
      </w:pPr>
      <w:r w:rsidRPr="00431FCA">
        <w:rPr>
          <w:rFonts w:asciiTheme="minorHAnsi" w:hAnsiTheme="minorHAnsi" w:cstheme="minorHAnsi"/>
          <w:lang w:eastAsia="en-GB"/>
        </w:rPr>
        <w:t>approvals and reviews, and</w:t>
      </w:r>
    </w:p>
    <w:p w14:paraId="65AD8A55" w14:textId="77777777" w:rsidR="00431FCA" w:rsidRPr="00431FCA" w:rsidRDefault="00431FCA" w:rsidP="00431FCA">
      <w:pPr>
        <w:pStyle w:val="ListParagraph"/>
        <w:numPr>
          <w:ilvl w:val="0"/>
          <w:numId w:val="37"/>
        </w:numPr>
        <w:snapToGrid w:val="0"/>
        <w:spacing w:after="160"/>
        <w:ind w:left="426" w:hanging="284"/>
        <w:contextualSpacing w:val="0"/>
        <w:rPr>
          <w:rFonts w:asciiTheme="minorHAnsi" w:hAnsiTheme="minorHAnsi" w:cstheme="minorHAnsi"/>
          <w:lang w:eastAsia="en-GB"/>
        </w:rPr>
      </w:pPr>
      <w:r w:rsidRPr="00431FCA">
        <w:rPr>
          <w:rFonts w:asciiTheme="minorHAnsi" w:hAnsiTheme="minorHAnsi" w:cstheme="minorHAnsi"/>
          <w:lang w:eastAsia="en-GB"/>
        </w:rPr>
        <w:t>correspondence.</w:t>
      </w:r>
    </w:p>
    <w:p w14:paraId="4DA0C4B5"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While records can be securely kept in a paper format, they may also be stored electronically.   To ensure the security of electronic records the format should prohibit the records being changed, they should be regularly backed-up and consideration should be given to off-site storage of backups. </w:t>
      </w:r>
    </w:p>
    <w:p w14:paraId="2BA727D3"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While the focus of Clause 13 of the Code is on securing and storing records, a good records management policy would also detail how records </w:t>
      </w:r>
      <w:r w:rsidRPr="00431FCA">
        <w:rPr>
          <w:rFonts w:asciiTheme="minorHAnsi" w:hAnsiTheme="minorHAnsi" w:cstheme="minorHAnsi"/>
          <w:color w:val="000000" w:themeColor="text1"/>
          <w:lang w:eastAsia="en-GB"/>
        </w:rPr>
        <w:lastRenderedPageBreak/>
        <w:t>should be routinely and securely destroyed. The Australian Taxation Office and the Commonwealth Corporations Act 2001 specify the periods for keeping taxation and financial records. AS ISO 15489.1:2017 “Information and documentation - Records management, Part 1: Concepts and principles” is an international standard that provides guidance on contemporary recordkeeping requirements with an emphasis on the digital environment.</w:t>
      </w:r>
    </w:p>
    <w:p w14:paraId="46AF9BD9" w14:textId="77777777" w:rsidR="00431FCA" w:rsidRPr="00431FCA" w:rsidRDefault="00431FCA" w:rsidP="00431FCA">
      <w:pPr>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It is good practice to inform your clients about your records management policy or those of the engineering business and discuss whether they have any special requirements. Any such requirements may need to be specified in the professional engineering services engagement agreement before the project commences.</w:t>
      </w:r>
    </w:p>
    <w:p w14:paraId="59FAB7A3" w14:textId="77777777" w:rsidR="00431FCA" w:rsidRPr="00431FCA" w:rsidRDefault="00431FCA" w:rsidP="00431FCA">
      <w:pPr>
        <w:tabs>
          <w:tab w:val="left" w:pos="426"/>
        </w:tabs>
        <w:spacing w:after="160"/>
        <w:rPr>
          <w:rFonts w:asciiTheme="minorHAnsi" w:hAnsiTheme="minorHAnsi" w:cstheme="minorHAnsi"/>
          <w:b/>
          <w:bCs/>
          <w:color w:val="000000" w:themeColor="text1"/>
          <w:sz w:val="24"/>
          <w:lang w:eastAsia="en-GB"/>
        </w:rPr>
        <w:sectPr w:rsidR="00431FCA" w:rsidRPr="00431FCA" w:rsidSect="003A24D0">
          <w:type w:val="continuous"/>
          <w:pgSz w:w="11906" w:h="16838" w:code="9"/>
          <w:pgMar w:top="1304" w:right="1134" w:bottom="1134" w:left="1134" w:header="284" w:footer="703" w:gutter="0"/>
          <w:cols w:num="2" w:space="709"/>
          <w:docGrid w:linePitch="360"/>
        </w:sectPr>
      </w:pPr>
    </w:p>
    <w:p w14:paraId="0263BFF6" w14:textId="77777777" w:rsidR="00431FCA" w:rsidRPr="00431FCA" w:rsidRDefault="00431FCA" w:rsidP="000E30A8">
      <w:pPr>
        <w:pStyle w:val="Heading2"/>
        <w:spacing w:before="360" w:after="360" w:line="240" w:lineRule="auto"/>
        <w:ind w:left="567" w:hanging="567"/>
        <w:rPr>
          <w:lang w:eastAsia="en-GB"/>
        </w:rPr>
      </w:pPr>
      <w:bookmarkStart w:id="17" w:name="_Toc78290785"/>
      <w:r w:rsidRPr="00431FCA">
        <w:rPr>
          <w:lang w:eastAsia="en-GB"/>
        </w:rPr>
        <w:t>14</w:t>
      </w:r>
      <w:r w:rsidRPr="00431FCA">
        <w:rPr>
          <w:lang w:eastAsia="en-GB"/>
        </w:rPr>
        <w:tab/>
        <w:t>Resolve disputes</w:t>
      </w:r>
      <w:bookmarkEnd w:id="17"/>
    </w:p>
    <w:tbl>
      <w:tblPr>
        <w:tblStyle w:val="TableGrid"/>
        <w:tblW w:w="0" w:type="auto"/>
        <w:tblInd w:w="23" w:type="dxa"/>
        <w:tblBorders>
          <w:top w:val="single" w:sz="8" w:space="0" w:color="C0E8FF" w:themeColor="accent1" w:themeTint="33"/>
          <w:left w:val="single" w:sz="8" w:space="0" w:color="C0E8FF" w:themeColor="accent1" w:themeTint="33"/>
          <w:bottom w:val="single" w:sz="8" w:space="0" w:color="C0E8FF" w:themeColor="accent1" w:themeTint="33"/>
          <w:right w:val="single" w:sz="8" w:space="0" w:color="C0E8FF" w:themeColor="accent1" w:themeTint="33"/>
          <w:insideH w:val="none" w:sz="0" w:space="0" w:color="auto"/>
          <w:insideV w:val="none" w:sz="0" w:space="0" w:color="auto"/>
        </w:tblBorders>
        <w:shd w:val="clear" w:color="auto" w:fill="DEEAF6"/>
        <w:tblCellMar>
          <w:top w:w="113" w:type="dxa"/>
          <w:left w:w="57" w:type="dxa"/>
          <w:bottom w:w="113" w:type="dxa"/>
          <w:right w:w="57" w:type="dxa"/>
        </w:tblCellMar>
        <w:tblLook w:val="04A0" w:firstRow="1" w:lastRow="0" w:firstColumn="1" w:lastColumn="0" w:noHBand="0" w:noVBand="1"/>
      </w:tblPr>
      <w:tblGrid>
        <w:gridCol w:w="9595"/>
      </w:tblGrid>
      <w:tr w:rsidR="00431FCA" w:rsidRPr="00431FCA" w14:paraId="5B2AAAEE" w14:textId="77777777" w:rsidTr="00D66D0B">
        <w:tc>
          <w:tcPr>
            <w:tcW w:w="9605" w:type="dxa"/>
            <w:shd w:val="clear" w:color="auto" w:fill="DEEAF6"/>
          </w:tcPr>
          <w:p w14:paraId="47C7E861" w14:textId="77777777" w:rsidR="00431FCA" w:rsidRPr="00F16301" w:rsidRDefault="00431FCA" w:rsidP="0008345F">
            <w:pPr>
              <w:tabs>
                <w:tab w:val="left" w:pos="426"/>
              </w:tabs>
              <w:snapToGrid w:val="0"/>
              <w:rPr>
                <w:rFonts w:asciiTheme="minorHAnsi" w:hAnsiTheme="minorHAnsi" w:cstheme="minorHAnsi"/>
                <w:color w:val="000000" w:themeColor="text1"/>
                <w:lang w:eastAsia="en-GB"/>
              </w:rPr>
            </w:pPr>
            <w:r w:rsidRPr="00F16301">
              <w:rPr>
                <w:rFonts w:asciiTheme="minorHAnsi" w:hAnsiTheme="minorHAnsi" w:cstheme="minorHAnsi"/>
                <w:b/>
                <w:bCs/>
                <w:color w:val="000000" w:themeColor="text1"/>
                <w:lang w:eastAsia="en-GB"/>
              </w:rPr>
              <w:t xml:space="preserve">Summary </w:t>
            </w:r>
            <w:r w:rsidRPr="00F16301">
              <w:rPr>
                <w:rFonts w:asciiTheme="minorHAnsi" w:hAnsiTheme="minorHAnsi" w:cstheme="minorHAnsi"/>
                <w:color w:val="000000" w:themeColor="text1"/>
                <w:lang w:eastAsia="en-GB"/>
              </w:rPr>
              <w:t>–</w:t>
            </w:r>
            <w:r w:rsidRPr="00F16301">
              <w:rPr>
                <w:rFonts w:asciiTheme="minorHAnsi" w:hAnsiTheme="minorHAnsi" w:cstheme="minorHAnsi"/>
                <w:b/>
                <w:bCs/>
                <w:color w:val="000000" w:themeColor="text1"/>
                <w:lang w:eastAsia="en-GB"/>
              </w:rPr>
              <w:t xml:space="preserve"> </w:t>
            </w:r>
            <w:r w:rsidRPr="00F16301">
              <w:rPr>
                <w:rFonts w:asciiTheme="minorHAnsi" w:hAnsiTheme="minorHAnsi" w:cstheme="minorHAnsi"/>
                <w:color w:val="000000" w:themeColor="text1"/>
                <w:lang w:eastAsia="en-GB"/>
              </w:rPr>
              <w:t>A registered professional engineer must make every effort to minimise and resolve complaints and disputes with a client about the provision of professional engineering services and to inform a client of the resolution process when a complaint is made or dispute arises.</w:t>
            </w:r>
          </w:p>
        </w:tc>
      </w:tr>
    </w:tbl>
    <w:p w14:paraId="0EEC4734" w14:textId="77777777" w:rsidR="00431FCA" w:rsidRPr="00431FCA" w:rsidRDefault="00431FCA" w:rsidP="00D66D0B">
      <w:pPr>
        <w:spacing w:after="120"/>
        <w:rPr>
          <w:rFonts w:asciiTheme="minorHAnsi" w:hAnsiTheme="minorHAnsi" w:cstheme="minorHAnsi"/>
          <w:color w:val="000000" w:themeColor="text1"/>
          <w:lang w:eastAsia="en-GB"/>
        </w:rPr>
        <w:sectPr w:rsidR="00431FCA" w:rsidRPr="00431FCA" w:rsidSect="003A24D0">
          <w:type w:val="continuous"/>
          <w:pgSz w:w="11906" w:h="16838" w:code="9"/>
          <w:pgMar w:top="1304" w:right="1134" w:bottom="1134" w:left="1134" w:header="284" w:footer="703" w:gutter="0"/>
          <w:cols w:space="709"/>
          <w:docGrid w:linePitch="360"/>
        </w:sectPr>
      </w:pPr>
    </w:p>
    <w:p w14:paraId="19744818" w14:textId="77777777" w:rsidR="00431FCA" w:rsidRPr="00431FCA" w:rsidRDefault="00431FCA" w:rsidP="00431FCA">
      <w:pPr>
        <w:spacing w:after="160"/>
        <w:ind w:right="-74"/>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The Code obliges you to make every effort to minimise and resolve complaints and also to inform a client of the process for resolving complaints and disputes as soon as practical after a complaint is made. </w:t>
      </w:r>
    </w:p>
    <w:p w14:paraId="1CFE8F05" w14:textId="77777777" w:rsidR="00431FCA" w:rsidRPr="00431FCA" w:rsidRDefault="00431FCA" w:rsidP="00431FCA">
      <w:pPr>
        <w:spacing w:after="160"/>
        <w:ind w:right="-74"/>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Complying with the obligations in the Code will support you to minimise disputes with clients, in particular, Clause 12 to regularly communicate and keep clients informed. However, minimising disputes does not mean that you cannot professionally respond to claims and issues as they arise.</w:t>
      </w:r>
    </w:p>
    <w:p w14:paraId="6CC18589" w14:textId="497F046B" w:rsidR="00431FCA" w:rsidRPr="00431FCA" w:rsidRDefault="00431FCA" w:rsidP="00431FCA">
      <w:pPr>
        <w:spacing w:after="160"/>
        <w:ind w:right="-74"/>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To meet the obligation to inform a client of the process for resolving complaints you or the engineering business need to have a complaint-handling and dispute resolution process in place.</w:t>
      </w:r>
      <w:r w:rsidRPr="00431FCA">
        <w:rPr>
          <w:rFonts w:asciiTheme="minorHAnsi" w:hAnsiTheme="minorHAnsi" w:cstheme="minorHAnsi"/>
          <w:color w:val="000000" w:themeColor="text1"/>
        </w:rPr>
        <w:t xml:space="preserve"> However, if you are </w:t>
      </w:r>
      <w:r w:rsidR="00D66D0B">
        <w:rPr>
          <w:rFonts w:asciiTheme="minorHAnsi" w:hAnsiTheme="minorHAnsi" w:cstheme="minorHAnsi"/>
          <w:color w:val="000000" w:themeColor="text1"/>
        </w:rPr>
        <w:t>employed as a</w:t>
      </w:r>
      <w:r w:rsidRPr="00431FCA">
        <w:rPr>
          <w:rFonts w:asciiTheme="minorHAnsi" w:hAnsiTheme="minorHAnsi" w:cstheme="minorHAnsi"/>
          <w:color w:val="000000" w:themeColor="text1"/>
        </w:rPr>
        <w:t xml:space="preserve"> professional engineer </w:t>
      </w:r>
      <w:r w:rsidR="00D66D0B">
        <w:rPr>
          <w:rFonts w:asciiTheme="minorHAnsi" w:hAnsiTheme="minorHAnsi" w:cstheme="minorHAnsi"/>
          <w:color w:val="000000" w:themeColor="text1"/>
        </w:rPr>
        <w:t>and you are providing</w:t>
      </w:r>
      <w:r w:rsidRPr="00431FCA">
        <w:rPr>
          <w:rFonts w:asciiTheme="minorHAnsi" w:hAnsiTheme="minorHAnsi" w:cstheme="minorHAnsi"/>
          <w:color w:val="000000" w:themeColor="text1"/>
        </w:rPr>
        <w:t xml:space="preserve"> professional engineering services to other employees in the same business, any complaints and disputes should be handled through normal employment arrangements.</w:t>
      </w:r>
    </w:p>
    <w:p w14:paraId="572CC6FD"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It is good business practice to have a documented process for handling complaints and resolving disputes. Dealing with complaints professionally is essential to ensuring issues are dealt with before they become a significant problem and can help maintain trust in a professional engineer, an engineering business and the professional engineering service being provided.</w:t>
      </w:r>
      <w:r w:rsidRPr="00431FCA">
        <w:rPr>
          <w:rFonts w:asciiTheme="minorHAnsi" w:hAnsiTheme="minorHAnsi" w:cstheme="minorHAnsi"/>
          <w:color w:val="373737"/>
          <w:lang w:eastAsia="en-GB"/>
        </w:rPr>
        <w:t xml:space="preserve"> </w:t>
      </w:r>
    </w:p>
    <w:p w14:paraId="6BDAB93D" w14:textId="19B7A9FA" w:rsidR="00431FCA" w:rsidRPr="00431FCA" w:rsidRDefault="00431FCA" w:rsidP="00431FCA">
      <w:pPr>
        <w:spacing w:after="160"/>
        <w:ind w:right="-72"/>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In many circumstances the complaint-handling and dispute resolution process will be set out in the agreement engaging a professional engineer or a professional engineering business. Where this is the case, and you are the professional engineer providing or managing the service, you should be familiar with that process and ensure that it is followed when a complaint is </w:t>
      </w:r>
      <w:r w:rsidR="00CD0366" w:rsidRPr="00431FCA">
        <w:rPr>
          <w:rFonts w:asciiTheme="minorHAnsi" w:hAnsiTheme="minorHAnsi" w:cstheme="minorHAnsi"/>
          <w:color w:val="000000" w:themeColor="text1"/>
          <w:lang w:eastAsia="en-GB"/>
        </w:rPr>
        <w:t>made,</w:t>
      </w:r>
      <w:r w:rsidRPr="00431FCA">
        <w:rPr>
          <w:rFonts w:asciiTheme="minorHAnsi" w:hAnsiTheme="minorHAnsi" w:cstheme="minorHAnsi"/>
          <w:color w:val="000000" w:themeColor="text1"/>
          <w:lang w:eastAsia="en-GB"/>
        </w:rPr>
        <w:t xml:space="preserve"> or a dispute arises. </w:t>
      </w:r>
    </w:p>
    <w:p w14:paraId="4101577D" w14:textId="77777777"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Where the professional engineering services engagement agreement does not include a complaint-handling and dispute resolution process or does not include all of the key elements of such a process, then it is important that such a process be developed and implemented. Documenting the process and having a dedicated officer who can receive and manage complaints will make the process transparent for both professional engineers and their clients.</w:t>
      </w:r>
    </w:p>
    <w:p w14:paraId="6B8639D6" w14:textId="20E8E0C6"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The type of complaint-handling and dispute resolution process you have will depend on the complexity of your business. A simple process would include </w:t>
      </w:r>
      <w:r w:rsidR="00241A04">
        <w:rPr>
          <w:rFonts w:asciiTheme="minorHAnsi" w:hAnsiTheme="minorHAnsi" w:cstheme="minorHAnsi"/>
          <w:color w:val="000000" w:themeColor="text1"/>
          <w:lang w:eastAsia="en-GB"/>
        </w:rPr>
        <w:t xml:space="preserve">the following </w:t>
      </w:r>
      <w:r w:rsidRPr="00431FCA">
        <w:rPr>
          <w:rFonts w:asciiTheme="minorHAnsi" w:hAnsiTheme="minorHAnsi" w:cstheme="minorHAnsi"/>
          <w:color w:val="000000" w:themeColor="text1"/>
          <w:lang w:eastAsia="en-GB"/>
        </w:rPr>
        <w:t>information</w:t>
      </w:r>
      <w:r w:rsidR="00241A04">
        <w:rPr>
          <w:rFonts w:asciiTheme="minorHAnsi" w:hAnsiTheme="minorHAnsi" w:cstheme="minorHAnsi"/>
          <w:color w:val="000000" w:themeColor="text1"/>
          <w:lang w:eastAsia="en-GB"/>
        </w:rPr>
        <w:t>.</w:t>
      </w:r>
    </w:p>
    <w:p w14:paraId="1765C85F" w14:textId="1FD80E91" w:rsidR="00431FCA" w:rsidRPr="00F16301" w:rsidRDefault="00241A04" w:rsidP="00431FCA">
      <w:pPr>
        <w:pStyle w:val="ListParagraph"/>
        <w:numPr>
          <w:ilvl w:val="0"/>
          <w:numId w:val="36"/>
        </w:numPr>
        <w:snapToGrid w:val="0"/>
        <w:spacing w:after="120"/>
        <w:ind w:left="426" w:hanging="284"/>
        <w:contextualSpacing w:val="0"/>
        <w:rPr>
          <w:rFonts w:asciiTheme="minorHAnsi" w:hAnsiTheme="minorHAnsi" w:cstheme="minorHAnsi"/>
          <w:lang w:eastAsia="en-GB"/>
        </w:rPr>
      </w:pPr>
      <w:r w:rsidRPr="00F16301">
        <w:rPr>
          <w:rFonts w:asciiTheme="minorHAnsi" w:hAnsiTheme="minorHAnsi" w:cstheme="minorHAnsi"/>
          <w:b/>
          <w:bCs/>
          <w:lang w:eastAsia="en-GB"/>
        </w:rPr>
        <w:t>H</w:t>
      </w:r>
      <w:r w:rsidR="00431FCA" w:rsidRPr="00F16301">
        <w:rPr>
          <w:rFonts w:asciiTheme="minorHAnsi" w:hAnsiTheme="minorHAnsi" w:cstheme="minorHAnsi"/>
          <w:b/>
          <w:bCs/>
          <w:lang w:eastAsia="en-GB"/>
        </w:rPr>
        <w:t>ow to make a complaint</w:t>
      </w:r>
      <w:r w:rsidR="00431FCA" w:rsidRPr="00F16301">
        <w:rPr>
          <w:rFonts w:asciiTheme="minorHAnsi" w:hAnsiTheme="minorHAnsi" w:cstheme="minorHAnsi"/>
          <w:lang w:eastAsia="en-GB"/>
        </w:rPr>
        <w:t xml:space="preserve"> – </w:t>
      </w:r>
      <w:r w:rsidRPr="00F16301">
        <w:rPr>
          <w:rFonts w:asciiTheme="minorHAnsi" w:hAnsiTheme="minorHAnsi" w:cstheme="minorHAnsi"/>
          <w:lang w:eastAsia="en-GB"/>
        </w:rPr>
        <w:t>F</w:t>
      </w:r>
      <w:r w:rsidR="00431FCA" w:rsidRPr="00F16301">
        <w:rPr>
          <w:rFonts w:asciiTheme="minorHAnsi" w:hAnsiTheme="minorHAnsi" w:cstheme="minorHAnsi"/>
          <w:lang w:eastAsia="en-GB"/>
        </w:rPr>
        <w:t xml:space="preserve">or example, by providing full details of the complaint by telephone, </w:t>
      </w:r>
      <w:proofErr w:type="gramStart"/>
      <w:r w:rsidR="00431FCA" w:rsidRPr="00F16301">
        <w:rPr>
          <w:rFonts w:asciiTheme="minorHAnsi" w:hAnsiTheme="minorHAnsi" w:cstheme="minorHAnsi"/>
          <w:lang w:eastAsia="en-GB"/>
        </w:rPr>
        <w:t>email</w:t>
      </w:r>
      <w:proofErr w:type="gramEnd"/>
      <w:r w:rsidR="00431FCA" w:rsidRPr="00F16301">
        <w:rPr>
          <w:rFonts w:asciiTheme="minorHAnsi" w:hAnsiTheme="minorHAnsi" w:cstheme="minorHAnsi"/>
          <w:lang w:eastAsia="en-GB"/>
        </w:rPr>
        <w:t xml:space="preserve"> or post along with the outcome sought and confirmation that the matter has been raised with the professional engineer concerned</w:t>
      </w:r>
      <w:r w:rsidRPr="00F16301">
        <w:rPr>
          <w:rFonts w:asciiTheme="minorHAnsi" w:hAnsiTheme="minorHAnsi" w:cstheme="minorHAnsi"/>
          <w:lang w:eastAsia="en-GB"/>
        </w:rPr>
        <w:t>.</w:t>
      </w:r>
    </w:p>
    <w:p w14:paraId="36C4A148" w14:textId="033DCB60" w:rsidR="00431FCA" w:rsidRPr="00F16301" w:rsidRDefault="00241A04" w:rsidP="00431FCA">
      <w:pPr>
        <w:pStyle w:val="ListParagraph"/>
        <w:numPr>
          <w:ilvl w:val="0"/>
          <w:numId w:val="36"/>
        </w:numPr>
        <w:snapToGrid w:val="0"/>
        <w:spacing w:after="120"/>
        <w:ind w:left="426" w:hanging="284"/>
        <w:contextualSpacing w:val="0"/>
        <w:rPr>
          <w:rFonts w:asciiTheme="minorHAnsi" w:hAnsiTheme="minorHAnsi" w:cstheme="minorHAnsi"/>
          <w:lang w:eastAsia="en-GB"/>
        </w:rPr>
      </w:pPr>
      <w:r w:rsidRPr="00F16301">
        <w:rPr>
          <w:rFonts w:asciiTheme="minorHAnsi" w:hAnsiTheme="minorHAnsi" w:cstheme="minorHAnsi"/>
          <w:b/>
          <w:bCs/>
          <w:lang w:eastAsia="en-GB"/>
        </w:rPr>
        <w:t>W</w:t>
      </w:r>
      <w:r w:rsidR="00431FCA" w:rsidRPr="00F16301">
        <w:rPr>
          <w:rFonts w:asciiTheme="minorHAnsi" w:hAnsiTheme="minorHAnsi" w:cstheme="minorHAnsi"/>
          <w:b/>
          <w:bCs/>
          <w:lang w:eastAsia="en-GB"/>
        </w:rPr>
        <w:t>ho to make the complaint to</w:t>
      </w:r>
      <w:r w:rsidR="00431FCA" w:rsidRPr="00F16301">
        <w:rPr>
          <w:rFonts w:asciiTheme="minorHAnsi" w:hAnsiTheme="minorHAnsi" w:cstheme="minorHAnsi"/>
          <w:lang w:eastAsia="en-GB"/>
        </w:rPr>
        <w:t xml:space="preserve"> – </w:t>
      </w:r>
      <w:r w:rsidRPr="00F16301">
        <w:rPr>
          <w:rFonts w:asciiTheme="minorHAnsi" w:hAnsiTheme="minorHAnsi" w:cstheme="minorHAnsi"/>
          <w:lang w:eastAsia="en-GB"/>
        </w:rPr>
        <w:t>F</w:t>
      </w:r>
      <w:r w:rsidR="00431FCA" w:rsidRPr="00F16301">
        <w:rPr>
          <w:rFonts w:asciiTheme="minorHAnsi" w:hAnsiTheme="minorHAnsi" w:cstheme="minorHAnsi"/>
          <w:lang w:eastAsia="en-GB"/>
        </w:rPr>
        <w:t xml:space="preserve">or example, nominate a complaints handling officer who will oversee the complaints process and be responsible for ensuring that the matter raised is fully </w:t>
      </w:r>
      <w:proofErr w:type="gramStart"/>
      <w:r w:rsidR="00431FCA" w:rsidRPr="00F16301">
        <w:rPr>
          <w:rFonts w:asciiTheme="minorHAnsi" w:hAnsiTheme="minorHAnsi" w:cstheme="minorHAnsi"/>
          <w:lang w:eastAsia="en-GB"/>
        </w:rPr>
        <w:t>examined</w:t>
      </w:r>
      <w:r w:rsidRPr="00F16301">
        <w:rPr>
          <w:rFonts w:asciiTheme="minorHAnsi" w:hAnsiTheme="minorHAnsi" w:cstheme="minorHAnsi"/>
          <w:lang w:eastAsia="en-GB"/>
        </w:rPr>
        <w:t>.</w:t>
      </w:r>
      <w:proofErr w:type="gramEnd"/>
    </w:p>
    <w:p w14:paraId="306C068C" w14:textId="1CE5A2A8" w:rsidR="00431FCA" w:rsidRPr="00F16301" w:rsidRDefault="00241A04" w:rsidP="00431FCA">
      <w:pPr>
        <w:pStyle w:val="ListParagraph"/>
        <w:numPr>
          <w:ilvl w:val="0"/>
          <w:numId w:val="36"/>
        </w:numPr>
        <w:snapToGrid w:val="0"/>
        <w:spacing w:after="120"/>
        <w:ind w:left="426" w:right="-74" w:hanging="284"/>
        <w:contextualSpacing w:val="0"/>
        <w:rPr>
          <w:rFonts w:asciiTheme="minorHAnsi" w:hAnsiTheme="minorHAnsi" w:cstheme="minorHAnsi"/>
          <w:lang w:eastAsia="en-GB"/>
        </w:rPr>
      </w:pPr>
      <w:r w:rsidRPr="00465933">
        <w:rPr>
          <w:rFonts w:asciiTheme="minorHAnsi" w:hAnsiTheme="minorHAnsi" w:cstheme="minorHAnsi"/>
          <w:b/>
          <w:bCs/>
          <w:lang w:eastAsia="en-GB"/>
        </w:rPr>
        <w:t>H</w:t>
      </w:r>
      <w:r w:rsidR="00431FCA" w:rsidRPr="00465933">
        <w:rPr>
          <w:rFonts w:asciiTheme="minorHAnsi" w:hAnsiTheme="minorHAnsi" w:cstheme="minorHAnsi"/>
          <w:b/>
          <w:bCs/>
          <w:lang w:eastAsia="en-GB"/>
        </w:rPr>
        <w:t>ow the complaint will be handled</w:t>
      </w:r>
      <w:r w:rsidR="00431FCA" w:rsidRPr="00F16301">
        <w:rPr>
          <w:rFonts w:asciiTheme="minorHAnsi" w:hAnsiTheme="minorHAnsi" w:cstheme="minorHAnsi"/>
          <w:lang w:eastAsia="en-GB"/>
        </w:rPr>
        <w:t xml:space="preserve"> – </w:t>
      </w:r>
      <w:r w:rsidRPr="00F16301">
        <w:rPr>
          <w:rFonts w:asciiTheme="minorHAnsi" w:hAnsiTheme="minorHAnsi" w:cstheme="minorHAnsi"/>
          <w:lang w:eastAsia="en-GB"/>
        </w:rPr>
        <w:t>F</w:t>
      </w:r>
      <w:r w:rsidR="00431FCA" w:rsidRPr="00F16301">
        <w:rPr>
          <w:rFonts w:asciiTheme="minorHAnsi" w:hAnsiTheme="minorHAnsi" w:cstheme="minorHAnsi"/>
          <w:lang w:eastAsia="en-GB"/>
        </w:rPr>
        <w:t>or example, the complaint will be handled in confidence, with consent if discussion with a third party is needed and may involve a request for further information or for a meeting</w:t>
      </w:r>
      <w:r w:rsidRPr="00F16301">
        <w:rPr>
          <w:rFonts w:asciiTheme="minorHAnsi" w:hAnsiTheme="minorHAnsi" w:cstheme="minorHAnsi"/>
          <w:lang w:eastAsia="en-GB"/>
        </w:rPr>
        <w:t>.</w:t>
      </w:r>
    </w:p>
    <w:p w14:paraId="3B43F5F6" w14:textId="7A649061" w:rsidR="00431FCA" w:rsidRPr="00F16301" w:rsidRDefault="00241A04" w:rsidP="00431FCA">
      <w:pPr>
        <w:pStyle w:val="ListParagraph"/>
        <w:numPr>
          <w:ilvl w:val="0"/>
          <w:numId w:val="36"/>
        </w:numPr>
        <w:snapToGrid w:val="0"/>
        <w:spacing w:after="120"/>
        <w:ind w:left="426" w:hanging="284"/>
        <w:contextualSpacing w:val="0"/>
        <w:rPr>
          <w:rFonts w:asciiTheme="minorHAnsi" w:hAnsiTheme="minorHAnsi" w:cstheme="minorHAnsi"/>
          <w:lang w:eastAsia="en-GB"/>
        </w:rPr>
      </w:pPr>
      <w:r w:rsidRPr="00465933">
        <w:rPr>
          <w:rFonts w:asciiTheme="minorHAnsi" w:hAnsiTheme="minorHAnsi" w:cstheme="minorHAnsi"/>
          <w:b/>
          <w:bCs/>
          <w:lang w:eastAsia="en-GB"/>
        </w:rPr>
        <w:t>H</w:t>
      </w:r>
      <w:r w:rsidR="00431FCA" w:rsidRPr="00465933">
        <w:rPr>
          <w:rFonts w:asciiTheme="minorHAnsi" w:hAnsiTheme="minorHAnsi" w:cstheme="minorHAnsi"/>
          <w:b/>
          <w:bCs/>
          <w:lang w:eastAsia="en-GB"/>
        </w:rPr>
        <w:t>ow long it will take</w:t>
      </w:r>
      <w:r w:rsidR="00431FCA" w:rsidRPr="00F16301">
        <w:rPr>
          <w:rFonts w:asciiTheme="minorHAnsi" w:hAnsiTheme="minorHAnsi" w:cstheme="minorHAnsi"/>
          <w:lang w:eastAsia="en-GB"/>
        </w:rPr>
        <w:t xml:space="preserve"> – </w:t>
      </w:r>
      <w:r w:rsidRPr="00F16301">
        <w:rPr>
          <w:rFonts w:asciiTheme="minorHAnsi" w:hAnsiTheme="minorHAnsi" w:cstheme="minorHAnsi"/>
          <w:lang w:eastAsia="en-GB"/>
        </w:rPr>
        <w:t>F</w:t>
      </w:r>
      <w:r w:rsidR="00431FCA" w:rsidRPr="00F16301">
        <w:rPr>
          <w:rFonts w:asciiTheme="minorHAnsi" w:hAnsiTheme="minorHAnsi" w:cstheme="minorHAnsi"/>
          <w:lang w:eastAsia="en-GB"/>
        </w:rPr>
        <w:t xml:space="preserve">or example, receipt of the complaint will be acknowledged within a specified </w:t>
      </w:r>
      <w:proofErr w:type="gramStart"/>
      <w:r w:rsidR="00431FCA" w:rsidRPr="00F16301">
        <w:rPr>
          <w:rFonts w:asciiTheme="minorHAnsi" w:hAnsiTheme="minorHAnsi" w:cstheme="minorHAnsi"/>
          <w:lang w:eastAsia="en-GB"/>
        </w:rPr>
        <w:t>period of time</w:t>
      </w:r>
      <w:proofErr w:type="gramEnd"/>
      <w:r w:rsidR="00431FCA" w:rsidRPr="00F16301">
        <w:rPr>
          <w:rFonts w:asciiTheme="minorHAnsi" w:hAnsiTheme="minorHAnsi" w:cstheme="minorHAnsi"/>
          <w:lang w:eastAsia="en-GB"/>
        </w:rPr>
        <w:t xml:space="preserve"> and it will be resolved as soon as possible based on its complexity</w:t>
      </w:r>
      <w:r w:rsidRPr="00F16301">
        <w:rPr>
          <w:rFonts w:asciiTheme="minorHAnsi" w:hAnsiTheme="minorHAnsi" w:cstheme="minorHAnsi"/>
          <w:lang w:eastAsia="en-GB"/>
        </w:rPr>
        <w:t>.</w:t>
      </w:r>
      <w:r w:rsidR="00431FCA" w:rsidRPr="00F16301">
        <w:rPr>
          <w:rFonts w:asciiTheme="minorHAnsi" w:hAnsiTheme="minorHAnsi" w:cstheme="minorHAnsi"/>
          <w:lang w:eastAsia="en-GB"/>
        </w:rPr>
        <w:t xml:space="preserve"> </w:t>
      </w:r>
    </w:p>
    <w:p w14:paraId="523670C9" w14:textId="1D7B6CBC" w:rsidR="00CD0366" w:rsidRDefault="00CD0366" w:rsidP="00CD0366">
      <w:pPr>
        <w:snapToGrid w:val="0"/>
        <w:spacing w:after="120"/>
        <w:rPr>
          <w:rFonts w:asciiTheme="minorHAnsi" w:hAnsiTheme="minorHAnsi" w:cstheme="minorHAnsi"/>
          <w:lang w:eastAsia="en-GB"/>
        </w:rPr>
      </w:pPr>
    </w:p>
    <w:p w14:paraId="230717CE" w14:textId="77777777" w:rsidR="00CD0366" w:rsidRPr="00CD0366" w:rsidRDefault="00CD0366" w:rsidP="00CD0366">
      <w:pPr>
        <w:snapToGrid w:val="0"/>
        <w:spacing w:after="120"/>
        <w:rPr>
          <w:rFonts w:asciiTheme="minorHAnsi" w:hAnsiTheme="minorHAnsi" w:cstheme="minorHAnsi"/>
          <w:lang w:eastAsia="en-GB"/>
        </w:rPr>
      </w:pPr>
    </w:p>
    <w:p w14:paraId="393FB4AF" w14:textId="04E4EC63" w:rsidR="00431FCA" w:rsidRPr="00465933" w:rsidRDefault="00241A04" w:rsidP="00431FCA">
      <w:pPr>
        <w:pStyle w:val="ListParagraph"/>
        <w:numPr>
          <w:ilvl w:val="0"/>
          <w:numId w:val="36"/>
        </w:numPr>
        <w:snapToGrid w:val="0"/>
        <w:spacing w:after="120"/>
        <w:ind w:left="426" w:hanging="284"/>
        <w:contextualSpacing w:val="0"/>
        <w:rPr>
          <w:rFonts w:asciiTheme="minorHAnsi" w:hAnsiTheme="minorHAnsi" w:cstheme="minorHAnsi"/>
        </w:rPr>
      </w:pPr>
      <w:r w:rsidRPr="00465933">
        <w:rPr>
          <w:rFonts w:asciiTheme="minorHAnsi" w:hAnsiTheme="minorHAnsi" w:cstheme="minorHAnsi"/>
          <w:b/>
          <w:bCs/>
          <w:lang w:eastAsia="en-GB"/>
        </w:rPr>
        <w:lastRenderedPageBreak/>
        <w:t>W</w:t>
      </w:r>
      <w:r w:rsidR="00431FCA" w:rsidRPr="00465933">
        <w:rPr>
          <w:rFonts w:asciiTheme="minorHAnsi" w:hAnsiTheme="minorHAnsi" w:cstheme="minorHAnsi"/>
          <w:b/>
          <w:bCs/>
          <w:lang w:eastAsia="en-GB"/>
        </w:rPr>
        <w:t>hat action will be taken</w:t>
      </w:r>
      <w:r w:rsidR="00431FCA" w:rsidRPr="00465933">
        <w:rPr>
          <w:rFonts w:asciiTheme="minorHAnsi" w:hAnsiTheme="minorHAnsi" w:cstheme="minorHAnsi"/>
          <w:lang w:eastAsia="en-GB"/>
        </w:rPr>
        <w:t xml:space="preserve"> –</w:t>
      </w:r>
      <w:r w:rsidR="00465933">
        <w:rPr>
          <w:rFonts w:asciiTheme="minorHAnsi" w:hAnsiTheme="minorHAnsi" w:cstheme="minorHAnsi"/>
          <w:lang w:eastAsia="en-GB"/>
        </w:rPr>
        <w:t xml:space="preserve"> F</w:t>
      </w:r>
      <w:r w:rsidR="00431FCA" w:rsidRPr="00465933">
        <w:rPr>
          <w:rFonts w:asciiTheme="minorHAnsi" w:hAnsiTheme="minorHAnsi" w:cstheme="minorHAnsi"/>
          <w:lang w:eastAsia="en-GB"/>
        </w:rPr>
        <w:t>or example, where a complaint is justified steps will be taken to rectify the matter and change business policies and procedures if a problem is identified</w:t>
      </w:r>
      <w:r w:rsidRPr="00465933">
        <w:rPr>
          <w:rFonts w:asciiTheme="minorHAnsi" w:hAnsiTheme="minorHAnsi" w:cstheme="minorHAnsi"/>
          <w:lang w:eastAsia="en-GB"/>
        </w:rPr>
        <w:t>.</w:t>
      </w:r>
    </w:p>
    <w:p w14:paraId="5C038101" w14:textId="0E0A5E28" w:rsidR="00431FCA" w:rsidRPr="00465933" w:rsidRDefault="00241A04" w:rsidP="00431FCA">
      <w:pPr>
        <w:pStyle w:val="ListParagraph"/>
        <w:numPr>
          <w:ilvl w:val="0"/>
          <w:numId w:val="36"/>
        </w:numPr>
        <w:snapToGrid w:val="0"/>
        <w:spacing w:after="160"/>
        <w:ind w:left="426" w:hanging="284"/>
        <w:contextualSpacing w:val="0"/>
        <w:rPr>
          <w:rFonts w:asciiTheme="minorHAnsi" w:hAnsiTheme="minorHAnsi" w:cstheme="minorHAnsi"/>
        </w:rPr>
      </w:pPr>
      <w:r w:rsidRPr="00465933">
        <w:rPr>
          <w:rFonts w:asciiTheme="minorHAnsi" w:hAnsiTheme="minorHAnsi" w:cstheme="minorHAnsi"/>
          <w:b/>
          <w:bCs/>
        </w:rPr>
        <w:t>H</w:t>
      </w:r>
      <w:r w:rsidR="00431FCA" w:rsidRPr="00465933">
        <w:rPr>
          <w:rFonts w:asciiTheme="minorHAnsi" w:hAnsiTheme="minorHAnsi" w:cstheme="minorHAnsi"/>
          <w:b/>
          <w:bCs/>
        </w:rPr>
        <w:t>ow a complaint can be escalated</w:t>
      </w:r>
      <w:r w:rsidR="00431FCA" w:rsidRPr="00465933">
        <w:rPr>
          <w:rFonts w:asciiTheme="minorHAnsi" w:hAnsiTheme="minorHAnsi" w:cstheme="minorHAnsi"/>
        </w:rPr>
        <w:t xml:space="preserve"> – </w:t>
      </w:r>
      <w:r w:rsidR="00465933">
        <w:rPr>
          <w:rFonts w:asciiTheme="minorHAnsi" w:hAnsiTheme="minorHAnsi" w:cstheme="minorHAnsi"/>
        </w:rPr>
        <w:t>F</w:t>
      </w:r>
      <w:r w:rsidR="00431FCA" w:rsidRPr="00465933">
        <w:rPr>
          <w:rFonts w:asciiTheme="minorHAnsi" w:hAnsiTheme="minorHAnsi" w:cstheme="minorHAnsi"/>
        </w:rPr>
        <w:t>or example, if a complaint cannot be resolved, it should be raised with CAV or the VBA.</w:t>
      </w:r>
    </w:p>
    <w:p w14:paraId="546BB7B9" w14:textId="77777777" w:rsidR="00CD0366"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In line with standard complaint-handling protocols, a complainant should first attempt to resolve their concerns with the relevant professional engineer or engineering business before escalating the matter.</w:t>
      </w:r>
      <w:r w:rsidR="00CD0366">
        <w:rPr>
          <w:rFonts w:asciiTheme="minorHAnsi" w:hAnsiTheme="minorHAnsi" w:cstheme="minorHAnsi"/>
          <w:color w:val="000000" w:themeColor="text1"/>
          <w:lang w:eastAsia="en-GB"/>
        </w:rPr>
        <w:t xml:space="preserve"> </w:t>
      </w:r>
    </w:p>
    <w:p w14:paraId="7101831A" w14:textId="69F418E3" w:rsidR="00431FCA" w:rsidRPr="00431FCA" w:rsidRDefault="00431FCA" w:rsidP="00431FCA">
      <w:pPr>
        <w:spacing w:after="160"/>
        <w:rPr>
          <w:rFonts w:asciiTheme="minorHAnsi" w:hAnsiTheme="minorHAnsi" w:cstheme="minorHAnsi"/>
          <w:color w:val="000000" w:themeColor="text1"/>
          <w:lang w:eastAsia="en-GB"/>
        </w:rPr>
      </w:pPr>
      <w:r w:rsidRPr="00431FCA">
        <w:rPr>
          <w:rFonts w:asciiTheme="minorHAnsi" w:hAnsiTheme="minorHAnsi" w:cstheme="minorHAnsi"/>
          <w:color w:val="000000" w:themeColor="text1"/>
          <w:lang w:eastAsia="en-GB"/>
        </w:rPr>
        <w:t xml:space="preserve">For further guidance on developing and implementing an efficient complaint-handling and dispute resolution process see the International Standard ISO 10002:2018 “Quality management </w:t>
      </w:r>
      <w:r w:rsidR="00CD0366">
        <w:rPr>
          <w:rFonts w:asciiTheme="minorHAnsi" w:hAnsiTheme="minorHAnsi" w:cstheme="minorHAnsi"/>
          <w:color w:val="000000" w:themeColor="text1"/>
          <w:lang w:eastAsia="en-GB"/>
        </w:rPr>
        <w:t xml:space="preserve">– </w:t>
      </w:r>
      <w:r w:rsidRPr="00431FCA">
        <w:rPr>
          <w:rFonts w:asciiTheme="minorHAnsi" w:hAnsiTheme="minorHAnsi" w:cstheme="minorHAnsi"/>
          <w:color w:val="000000" w:themeColor="text1"/>
          <w:lang w:eastAsia="en-GB"/>
        </w:rPr>
        <w:t xml:space="preserve"> Customer satisfaction </w:t>
      </w:r>
      <w:r w:rsidR="00CD0366">
        <w:rPr>
          <w:rFonts w:asciiTheme="minorHAnsi" w:hAnsiTheme="minorHAnsi" w:cstheme="minorHAnsi"/>
          <w:color w:val="000000" w:themeColor="text1"/>
          <w:lang w:eastAsia="en-GB"/>
        </w:rPr>
        <w:t xml:space="preserve">– </w:t>
      </w:r>
      <w:r w:rsidRPr="00431FCA">
        <w:rPr>
          <w:rFonts w:asciiTheme="minorHAnsi" w:hAnsiTheme="minorHAnsi" w:cstheme="minorHAnsi"/>
          <w:color w:val="000000" w:themeColor="text1"/>
          <w:lang w:eastAsia="en-GB"/>
        </w:rPr>
        <w:t xml:space="preserve">Guidelines for complaints handling in organizations” and/or the Australian and New Zealand Standard AS/NZS 10002:2014 “Guidelines for complaint management in organizations”. </w:t>
      </w:r>
    </w:p>
    <w:p w14:paraId="620F7A9F" w14:textId="5B9FD8E9" w:rsidR="00431FCA" w:rsidRPr="00D66D0B" w:rsidRDefault="00431FCA" w:rsidP="00431FCA">
      <w:pPr>
        <w:rPr>
          <w:rFonts w:ascii="Arial" w:hAnsi="Arial" w:cs="Arial"/>
          <w:color w:val="000000" w:themeColor="text1"/>
          <w:lang w:eastAsia="en-GB"/>
        </w:rPr>
        <w:sectPr w:rsidR="00431FCA" w:rsidRPr="00D66D0B" w:rsidSect="003A24D0">
          <w:type w:val="continuous"/>
          <w:pgSz w:w="11906" w:h="16838" w:code="9"/>
          <w:pgMar w:top="1304" w:right="1134" w:bottom="1134" w:left="1134" w:header="284" w:footer="703" w:gutter="0"/>
          <w:cols w:num="2" w:space="709"/>
          <w:docGrid w:linePitch="360"/>
        </w:sectPr>
      </w:pPr>
      <w:r w:rsidRPr="00D66D0B">
        <w:rPr>
          <w:rFonts w:ascii="Arial" w:hAnsi="Arial" w:cs="Arial"/>
          <w:color w:val="000000" w:themeColor="text1"/>
          <w:lang w:eastAsia="en-GB"/>
        </w:rPr>
        <w:t xml:space="preserve">ISO standards reflect the needs of both businesses and customers and are available for purchase from Standards Australia at </w:t>
      </w:r>
      <w:bookmarkStart w:id="18" w:name="_Hlk78288278"/>
      <w:r w:rsidR="000415E3">
        <w:fldChar w:fldCharType="begin"/>
      </w:r>
      <w:r w:rsidR="000415E3">
        <w:instrText xml:space="preserve"> HYPERLINK "https://www.standards.org.au" </w:instrText>
      </w:r>
      <w:r w:rsidR="000415E3">
        <w:fldChar w:fldCharType="separate"/>
      </w:r>
      <w:hyperlink r:id="rId36" w:history="1">
        <w:r w:rsidR="00D66D0B" w:rsidRPr="00D66D0B">
          <w:rPr>
            <w:rStyle w:val="Hyperlink"/>
            <w:rFonts w:ascii="Arial" w:hAnsi="Arial" w:cs="Arial"/>
          </w:rPr>
          <w:t>store.standards.org.au</w:t>
        </w:r>
      </w:hyperlink>
      <w:r w:rsidR="000415E3">
        <w:rPr>
          <w:rStyle w:val="Hyperlink"/>
          <w:rFonts w:ascii="Arial" w:hAnsi="Arial" w:cs="Arial"/>
        </w:rPr>
        <w:fldChar w:fldCharType="end"/>
      </w:r>
      <w:r w:rsidRPr="00D66D0B">
        <w:rPr>
          <w:rFonts w:ascii="Arial" w:hAnsi="Arial" w:cs="Arial"/>
          <w:color w:val="000000" w:themeColor="text1"/>
          <w:lang w:eastAsia="en-GB"/>
        </w:rPr>
        <w:t xml:space="preserve"> </w:t>
      </w:r>
      <w:bookmarkEnd w:id="18"/>
      <w:r w:rsidRPr="00D66D0B">
        <w:rPr>
          <w:rFonts w:ascii="Arial" w:hAnsi="Arial" w:cs="Arial"/>
          <w:color w:val="000000" w:themeColor="text1"/>
          <w:lang w:eastAsia="en-GB"/>
        </w:rPr>
        <w:t>or SAI Globa</w:t>
      </w:r>
      <w:r w:rsidR="00CD0366">
        <w:rPr>
          <w:rFonts w:ascii="Arial" w:hAnsi="Arial" w:cs="Arial"/>
          <w:color w:val="000000" w:themeColor="text1"/>
          <w:lang w:eastAsia="en-GB"/>
        </w:rPr>
        <w:t>l.</w:t>
      </w:r>
    </w:p>
    <w:p w14:paraId="77BA5722" w14:textId="30DBA0E1" w:rsidR="00F05CDE" w:rsidRPr="003072C6" w:rsidRDefault="00F05CDE" w:rsidP="00CD0366"/>
    <w:sectPr w:rsidR="00F05CDE" w:rsidRPr="003072C6" w:rsidSect="003A24D0">
      <w:type w:val="continuous"/>
      <w:pgSz w:w="11906" w:h="16838" w:code="9"/>
      <w:pgMar w:top="1304" w:right="1134" w:bottom="1134" w:left="1134" w:header="284" w:footer="70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87428" w14:textId="77777777" w:rsidR="00BD243D" w:rsidRDefault="00BD243D">
      <w:r>
        <w:separator/>
      </w:r>
    </w:p>
    <w:p w14:paraId="038CDC85" w14:textId="77777777" w:rsidR="00BD243D" w:rsidRDefault="00BD243D"/>
  </w:endnote>
  <w:endnote w:type="continuationSeparator" w:id="0">
    <w:p w14:paraId="3B0B99AE" w14:textId="77777777" w:rsidR="00BD243D" w:rsidRDefault="00BD243D">
      <w:r>
        <w:continuationSeparator/>
      </w:r>
    </w:p>
    <w:p w14:paraId="47137E87" w14:textId="77777777" w:rsidR="00BD243D" w:rsidRDefault="00BD2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45B34" w14:textId="77777777" w:rsidR="00AB30D6" w:rsidRDefault="00AB3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BDC6F" w14:textId="77777777" w:rsidR="00BD243D" w:rsidRDefault="00BD243D" w:rsidP="00E8487C">
    <w:pPr>
      <w:pStyle w:val="DJCSfooter"/>
      <w:tabs>
        <w:tab w:val="left" w:pos="567"/>
        <w:tab w:val="left" w:pos="1418"/>
        <w:tab w:val="left" w:pos="439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DCD35" w14:textId="77777777" w:rsidR="00AB30D6" w:rsidRDefault="00AB30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33349" w14:textId="77777777" w:rsidR="00BD243D" w:rsidRDefault="00BD243D" w:rsidP="00E8487C">
    <w:pPr>
      <w:pStyle w:val="DJCSfooter"/>
      <w:tabs>
        <w:tab w:val="left" w:pos="567"/>
        <w:tab w:val="left" w:pos="1418"/>
        <w:tab w:val="left" w:pos="439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C6974" w14:textId="77777777" w:rsidR="00BD243D" w:rsidRDefault="00BD243D" w:rsidP="00840B9F">
    <w:pPr>
      <w:pStyle w:val="DJCSfooter"/>
      <w:tabs>
        <w:tab w:val="left" w:pos="567"/>
        <w:tab w:val="left" w:pos="1418"/>
        <w:tab w:val="left" w:pos="4536"/>
      </w:tabs>
    </w:pPr>
    <w:r>
      <w:rPr>
        <w:noProof/>
        <w:lang w:eastAsia="en-AU"/>
      </w:rPr>
      <w:drawing>
        <wp:anchor distT="0" distB="0" distL="114300" distR="114300" simplePos="0" relativeHeight="251670528" behindDoc="1" locked="0" layoutInCell="1" allowOverlap="1" wp14:anchorId="0F555E08" wp14:editId="5904FFDE">
          <wp:simplePos x="0" y="0"/>
          <wp:positionH relativeFrom="margin">
            <wp:posOffset>5012690</wp:posOffset>
          </wp:positionH>
          <wp:positionV relativeFrom="page">
            <wp:posOffset>9934575</wp:posOffset>
          </wp:positionV>
          <wp:extent cx="1562100" cy="428625"/>
          <wp:effectExtent l="0" t="0" r="0" b="9525"/>
          <wp:wrapNone/>
          <wp:docPr id="20" name="Picture 20" descr="Victoria State Gove DJCS right PMS2945 rgb_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ia State Gove DJCS right PMS2945 rgb_out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t>TRIM ID: &lt;Enter TRIM ID&gt;</w:t>
    </w:r>
  </w:p>
  <w:p w14:paraId="15E65AEA" w14:textId="77777777" w:rsidR="00BD243D" w:rsidRDefault="00BD243D" w:rsidP="00840B9F">
    <w:pPr>
      <w:pStyle w:val="DJCSfooter"/>
      <w:tabs>
        <w:tab w:val="left" w:pos="567"/>
        <w:tab w:val="left" w:pos="1418"/>
        <w:tab w:val="left" w:pos="3969"/>
      </w:tabs>
    </w:pPr>
    <w:r>
      <w:t xml:space="preserve">Page </w:t>
    </w:r>
    <w:r w:rsidRPr="00424153">
      <w:rPr>
        <w:bCs/>
        <w:sz w:val="24"/>
        <w:szCs w:val="24"/>
      </w:rPr>
      <w:fldChar w:fldCharType="begin"/>
    </w:r>
    <w:r w:rsidRPr="00424153">
      <w:rPr>
        <w:bCs/>
      </w:rPr>
      <w:instrText xml:space="preserve"> PAGE </w:instrText>
    </w:r>
    <w:r w:rsidRPr="00424153">
      <w:rPr>
        <w:bCs/>
        <w:sz w:val="24"/>
        <w:szCs w:val="24"/>
      </w:rPr>
      <w:fldChar w:fldCharType="separate"/>
    </w:r>
    <w:r>
      <w:rPr>
        <w:bCs/>
        <w:noProof/>
      </w:rPr>
      <w:t>3</w:t>
    </w:r>
    <w:r w:rsidRPr="00424153">
      <w:rPr>
        <w:bCs/>
        <w:sz w:val="24"/>
        <w:szCs w:val="24"/>
      </w:rPr>
      <w:fldChar w:fldCharType="end"/>
    </w:r>
    <w:r>
      <w:t xml:space="preserve"> of </w:t>
    </w:r>
    <w:r w:rsidRPr="00424153">
      <w:rPr>
        <w:bCs/>
        <w:sz w:val="24"/>
        <w:szCs w:val="24"/>
      </w:rPr>
      <w:fldChar w:fldCharType="begin"/>
    </w:r>
    <w:r w:rsidRPr="00424153">
      <w:rPr>
        <w:bCs/>
      </w:rPr>
      <w:instrText xml:space="preserve"> NUMPAGES  </w:instrText>
    </w:r>
    <w:r w:rsidRPr="00424153">
      <w:rPr>
        <w:bCs/>
        <w:sz w:val="24"/>
        <w:szCs w:val="24"/>
      </w:rPr>
      <w:fldChar w:fldCharType="separate"/>
    </w:r>
    <w:r>
      <w:rPr>
        <w:bCs/>
        <w:noProof/>
      </w:rPr>
      <w:t>5</w:t>
    </w:r>
    <w:r w:rsidRPr="00424153">
      <w:rPr>
        <w:bCs/>
        <w:sz w:val="24"/>
        <w:szCs w:val="24"/>
      </w:rPr>
      <w:fldChar w:fldCharType="end"/>
    </w:r>
    <w:r>
      <w:tab/>
      <w:t xml:space="preserve">Date: &lt;Enter date&gt; </w:t>
    </w:r>
    <w:r>
      <w:tab/>
      <w:t>&lt;Enter draft number or type final&gt;</w:t>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C52DA" w14:textId="6763DC92" w:rsidR="006E4A11" w:rsidRDefault="006E4A11" w:rsidP="003A24D0">
    <w:pPr>
      <w:pStyle w:val="DJCSfooter"/>
      <w:tabs>
        <w:tab w:val="clear" w:pos="9299"/>
        <w:tab w:val="left" w:pos="3943"/>
        <w:tab w:val="left" w:pos="8186"/>
      </w:tabs>
    </w:pPr>
    <w:r>
      <w:rPr>
        <w:noProof/>
        <w:lang w:eastAsia="en-AU"/>
      </w:rPr>
      <w:drawing>
        <wp:anchor distT="0" distB="0" distL="114300" distR="114300" simplePos="0" relativeHeight="251678720" behindDoc="1" locked="0" layoutInCell="1" allowOverlap="1" wp14:anchorId="1F31F4B4" wp14:editId="1751EB9C">
          <wp:simplePos x="0" y="0"/>
          <wp:positionH relativeFrom="margin">
            <wp:posOffset>4548505</wp:posOffset>
          </wp:positionH>
          <wp:positionV relativeFrom="page">
            <wp:posOffset>10062210</wp:posOffset>
          </wp:positionV>
          <wp:extent cx="1562100" cy="426027"/>
          <wp:effectExtent l="0" t="0" r="0" b="635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1562100" cy="426027"/>
                  </a:xfrm>
                  <a:prstGeom prst="rect">
                    <a:avLst/>
                  </a:prstGeom>
                  <a:noFill/>
                  <a:ln>
                    <a:noFill/>
                  </a:ln>
                </pic:spPr>
              </pic:pic>
            </a:graphicData>
          </a:graphic>
          <wp14:sizeRelH relativeFrom="page">
            <wp14:pctWidth>0</wp14:pctWidth>
          </wp14:sizeRelH>
          <wp14:sizeRelV relativeFrom="page">
            <wp14:pctHeight>0</wp14:pctHeight>
          </wp14:sizeRelV>
        </wp:anchor>
      </w:drawing>
    </w:r>
    <w:r w:rsidR="003A24D0">
      <w:tab/>
    </w:r>
    <w:r w:rsidR="003A24D0">
      <w:tab/>
    </w:r>
  </w:p>
  <w:p w14:paraId="50F341D9" w14:textId="77777777" w:rsidR="006E4A11" w:rsidRPr="003A24D0" w:rsidRDefault="006E4A11" w:rsidP="006E4A11">
    <w:pPr>
      <w:pStyle w:val="DJCSfooter"/>
      <w:tabs>
        <w:tab w:val="left" w:pos="567"/>
        <w:tab w:val="left" w:pos="1418"/>
        <w:tab w:val="left" w:pos="3969"/>
      </w:tabs>
      <w:rPr>
        <w:sz w:val="18"/>
      </w:rPr>
    </w:pPr>
    <w:r w:rsidRPr="003A24D0">
      <w:rPr>
        <w:sz w:val="18"/>
      </w:rPr>
      <w:t xml:space="preserve">Page </w:t>
    </w:r>
    <w:r w:rsidRPr="003A24D0">
      <w:rPr>
        <w:bCs/>
        <w:sz w:val="18"/>
      </w:rPr>
      <w:fldChar w:fldCharType="begin"/>
    </w:r>
    <w:r w:rsidRPr="003A24D0">
      <w:rPr>
        <w:bCs/>
        <w:sz w:val="18"/>
      </w:rPr>
      <w:instrText xml:space="preserve"> PAGE </w:instrText>
    </w:r>
    <w:r w:rsidRPr="003A24D0">
      <w:rPr>
        <w:bCs/>
        <w:sz w:val="18"/>
      </w:rPr>
      <w:fldChar w:fldCharType="separate"/>
    </w:r>
    <w:r w:rsidRPr="003A24D0">
      <w:rPr>
        <w:bCs/>
        <w:sz w:val="18"/>
      </w:rPr>
      <w:t>4</w:t>
    </w:r>
    <w:r w:rsidRPr="003A24D0">
      <w:rPr>
        <w:bCs/>
        <w:sz w:val="18"/>
      </w:rPr>
      <w:fldChar w:fldCharType="end"/>
    </w:r>
    <w:r w:rsidRPr="003A24D0">
      <w:rPr>
        <w:sz w:val="18"/>
      </w:rPr>
      <w:t xml:space="preserve"> of </w:t>
    </w:r>
    <w:r w:rsidRPr="003A24D0">
      <w:rPr>
        <w:bCs/>
        <w:sz w:val="18"/>
      </w:rPr>
      <w:fldChar w:fldCharType="begin"/>
    </w:r>
    <w:r w:rsidRPr="003A24D0">
      <w:rPr>
        <w:bCs/>
        <w:sz w:val="18"/>
      </w:rPr>
      <w:instrText xml:space="preserve"> NUMPAGES  </w:instrText>
    </w:r>
    <w:r w:rsidRPr="003A24D0">
      <w:rPr>
        <w:bCs/>
        <w:sz w:val="18"/>
      </w:rPr>
      <w:fldChar w:fldCharType="separate"/>
    </w:r>
    <w:r w:rsidRPr="003A24D0">
      <w:rPr>
        <w:bCs/>
        <w:sz w:val="18"/>
      </w:rPr>
      <w:t>15</w:t>
    </w:r>
    <w:r w:rsidRPr="003A24D0">
      <w:rPr>
        <w:bCs/>
        <w:sz w:val="18"/>
      </w:rPr>
      <w:fldChar w:fldCharType="end"/>
    </w:r>
    <w:r w:rsidRPr="003A24D0">
      <w:rPr>
        <w:sz w:val="18"/>
      </w:rPr>
      <w:tab/>
      <w:t xml:space="preserve"> </w:t>
    </w:r>
    <w:r w:rsidRPr="003A24D0">
      <w:rPr>
        <w:sz w:val="18"/>
      </w:rPr>
      <w:tab/>
    </w:r>
    <w:r w:rsidRPr="003A24D0">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E655E" w14:textId="77777777" w:rsidR="00BD243D" w:rsidRDefault="00BD243D">
      <w:r>
        <w:separator/>
      </w:r>
    </w:p>
    <w:p w14:paraId="26239B72" w14:textId="77777777" w:rsidR="00BD243D" w:rsidRDefault="00BD243D"/>
  </w:footnote>
  <w:footnote w:type="continuationSeparator" w:id="0">
    <w:p w14:paraId="4311209C" w14:textId="77777777" w:rsidR="00BD243D" w:rsidRDefault="00BD243D">
      <w:r>
        <w:continuationSeparator/>
      </w:r>
    </w:p>
    <w:p w14:paraId="031CD98A" w14:textId="77777777" w:rsidR="00BD243D" w:rsidRDefault="00BD2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ABD44" w14:textId="77777777" w:rsidR="00AB30D6" w:rsidRDefault="00AB30D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FF7D6" w14:textId="5B7A4C0B" w:rsidR="00BD243D" w:rsidRDefault="00BD243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9913D" w14:textId="19863A59" w:rsidR="00BD243D" w:rsidRDefault="00C35BD9" w:rsidP="00FA5AE1">
    <w:pPr>
      <w:pStyle w:val="DJCSheader"/>
      <w:tabs>
        <w:tab w:val="clear" w:pos="8505"/>
        <w:tab w:val="left" w:pos="7008"/>
      </w:tabs>
    </w:pPr>
    <w:r>
      <w:rPr>
        <w:noProof/>
        <w:lang w:eastAsia="en-AU"/>
      </w:rPr>
      <w:drawing>
        <wp:anchor distT="0" distB="0" distL="114300" distR="114300" simplePos="0" relativeHeight="251672576" behindDoc="1" locked="0" layoutInCell="1" allowOverlap="1" wp14:anchorId="2FD8D2DF" wp14:editId="15702144">
          <wp:simplePos x="0" y="0"/>
          <wp:positionH relativeFrom="page">
            <wp:posOffset>190500</wp:posOffset>
          </wp:positionH>
          <wp:positionV relativeFrom="page">
            <wp:posOffset>-304800</wp:posOffset>
          </wp:positionV>
          <wp:extent cx="7223760" cy="1003935"/>
          <wp:effectExtent l="0" t="0" r="0" b="571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7223760" cy="1003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5AE1">
      <w:tab/>
    </w:r>
  </w:p>
  <w:p w14:paraId="7D054C04" w14:textId="37EBDBD5" w:rsidR="00BD243D" w:rsidRDefault="00F05CDE" w:rsidP="00FA5AE1">
    <w:pPr>
      <w:pStyle w:val="DJCSheader"/>
      <w:tabs>
        <w:tab w:val="right" w:pos="9638"/>
      </w:tabs>
    </w:pPr>
    <w:r>
      <w:rPr>
        <w:noProof/>
        <w:lang w:eastAsia="en-AU"/>
      </w:rPr>
      <w:t xml:space="preserve">Guide to the </w:t>
    </w:r>
    <w:r w:rsidR="00BD243D">
      <w:rPr>
        <w:noProof/>
        <w:lang w:eastAsia="en-AU"/>
      </w:rPr>
      <w:t>Code of Conduct for Professional Engineers</w:t>
    </w:r>
    <w:r w:rsidR="00BD243D">
      <w:tab/>
    </w:r>
    <w:r w:rsidR="00FA5AE1">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19846" w14:textId="6669AEFD" w:rsidR="00BD243D" w:rsidRDefault="00BD2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461BE" w14:textId="6191FABF" w:rsidR="00BD243D" w:rsidRDefault="00BD243D" w:rsidP="004B65F7">
    <w:pPr>
      <w:pStyle w:val="DJCSheader"/>
    </w:pPr>
    <w:r>
      <w:t>R Header</w:t>
    </w:r>
  </w:p>
  <w:p w14:paraId="7B76A5D0" w14:textId="77777777" w:rsidR="00BD243D" w:rsidRDefault="00BD24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4CAD9" w14:textId="648318C9" w:rsidR="00BD243D" w:rsidRDefault="00BD243D">
    <w:pPr>
      <w:pStyle w:val="Header"/>
    </w:pPr>
    <w:r>
      <w:rPr>
        <w:noProof/>
        <w:lang w:eastAsia="en-AU"/>
      </w:rPr>
      <w:drawing>
        <wp:anchor distT="0" distB="0" distL="114300" distR="114300" simplePos="0" relativeHeight="251676672" behindDoc="1" locked="0" layoutInCell="1" allowOverlap="1" wp14:anchorId="51CB1396" wp14:editId="05B50D02">
          <wp:simplePos x="0" y="0"/>
          <wp:positionH relativeFrom="page">
            <wp:posOffset>-3175</wp:posOffset>
          </wp:positionH>
          <wp:positionV relativeFrom="paragraph">
            <wp:posOffset>-172230</wp:posOffset>
          </wp:positionV>
          <wp:extent cx="7549200" cy="10670400"/>
          <wp:effectExtent l="0" t="0" r="0" b="0"/>
          <wp:wrapNone/>
          <wp:docPr id="1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549200" cy="1067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48F67" w14:textId="010C0FEA" w:rsidR="00BD243D" w:rsidRDefault="00BD24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047FC" w14:textId="4F162414" w:rsidR="00BD243D" w:rsidRDefault="00BD243D" w:rsidP="004B65F7">
    <w:pPr>
      <w:pStyle w:val="DJCSheader"/>
    </w:pPr>
    <w:r>
      <w:t>R Header</w:t>
    </w:r>
  </w:p>
  <w:p w14:paraId="1FB6514F" w14:textId="77777777" w:rsidR="00BD243D" w:rsidRDefault="00BD243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51AC5" w14:textId="34EC1B68" w:rsidR="00BD243D" w:rsidRDefault="00BD24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A4244" w14:textId="3893490C" w:rsidR="00BD243D" w:rsidRDefault="00BD243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E9621" w14:textId="16C35F7F" w:rsidR="00BD243D" w:rsidRDefault="00BD243D" w:rsidP="004B65F7">
    <w:pPr>
      <w:pStyle w:val="DJCSheader"/>
    </w:pPr>
    <w:r>
      <w:rPr>
        <w:noProof/>
        <w:lang w:eastAsia="en-AU"/>
      </w:rPr>
      <w:drawing>
        <wp:anchor distT="0" distB="0" distL="114300" distR="114300" simplePos="0" relativeHeight="251668480" behindDoc="1" locked="0" layoutInCell="1" allowOverlap="1" wp14:anchorId="58FE2DE4" wp14:editId="2A335BCC">
          <wp:simplePos x="0" y="0"/>
          <wp:positionH relativeFrom="page">
            <wp:posOffset>0</wp:posOffset>
          </wp:positionH>
          <wp:positionV relativeFrom="page">
            <wp:posOffset>0</wp:posOffset>
          </wp:positionV>
          <wp:extent cx="7560000" cy="988891"/>
          <wp:effectExtent l="0" t="0" r="0" b="1905"/>
          <wp:wrapNone/>
          <wp:docPr id="19" name="Picture 1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JR_REport tiny body banner NO TEXT.png"/>
                  <pic:cNvPicPr/>
                </pic:nvPicPr>
                <pic:blipFill rotWithShape="1">
                  <a:blip r:embed="rId1"/>
                  <a:srcRect b="31126"/>
                  <a:stretch/>
                </pic:blipFill>
                <pic:spPr bwMode="auto">
                  <a:xfrm>
                    <a:off x="0" y="0"/>
                    <a:ext cx="7560000" cy="98889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Document title</w:t>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DFF81" w14:textId="0CECD5BE" w:rsidR="00BD243D" w:rsidRDefault="00BD2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E5BA6"/>
    <w:multiLevelType w:val="hybridMultilevel"/>
    <w:tmpl w:val="8FB46702"/>
    <w:lvl w:ilvl="0" w:tplc="4A668956">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166DB4"/>
    <w:multiLevelType w:val="hybridMultilevel"/>
    <w:tmpl w:val="AC8A97C8"/>
    <w:lvl w:ilvl="0" w:tplc="FED4C72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AD2E30"/>
    <w:multiLevelType w:val="multilevel"/>
    <w:tmpl w:val="15F6F55C"/>
    <w:styleLink w:val="ZZNumbersloweralpha"/>
    <w:lvl w:ilvl="0">
      <w:start w:val="1"/>
      <w:numFmt w:val="lowerLetter"/>
      <w:pStyle w:val="DJCSlist-loweralphalevel1"/>
      <w:lvlText w:val="(%1)"/>
      <w:lvlJc w:val="left"/>
      <w:pPr>
        <w:ind w:left="107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BB6A7D"/>
    <w:multiLevelType w:val="multilevel"/>
    <w:tmpl w:val="7072468A"/>
    <w:styleLink w:val="zznumberloweralpharoman"/>
    <w:lvl w:ilvl="0">
      <w:start w:val="1"/>
      <w:numFmt w:val="lowerRoman"/>
      <w:pStyle w:val="DJCSlist-lowerromanlevel1"/>
      <w:lvlText w:val="(%1)"/>
      <w:lvlJc w:val="left"/>
      <w:pPr>
        <w:ind w:left="107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9D6D96"/>
    <w:multiLevelType w:val="multilevel"/>
    <w:tmpl w:val="AD06323A"/>
    <w:numStyleLink w:val="zzDJRbullets"/>
  </w:abstractNum>
  <w:abstractNum w:abstractNumId="5" w15:restartNumberingAfterBreak="0">
    <w:nsid w:val="127B3C12"/>
    <w:multiLevelType w:val="hybridMultilevel"/>
    <w:tmpl w:val="7D9A2136"/>
    <w:lvl w:ilvl="0" w:tplc="90407162">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EB4ABF"/>
    <w:multiLevelType w:val="hybridMultilevel"/>
    <w:tmpl w:val="80303152"/>
    <w:lvl w:ilvl="0" w:tplc="C9BA90D8">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89223F"/>
    <w:multiLevelType w:val="hybridMultilevel"/>
    <w:tmpl w:val="09C4F74C"/>
    <w:lvl w:ilvl="0" w:tplc="61D4972C">
      <w:start w:val="1"/>
      <w:numFmt w:val="bullet"/>
      <w:lvlText w:val="û"/>
      <w:lvlJc w:val="left"/>
      <w:pPr>
        <w:ind w:left="720" w:hanging="360"/>
      </w:pPr>
      <w:rPr>
        <w:rFonts w:ascii="Wingdings" w:hAnsi="Wingdings" w:hint="default"/>
        <w:caps w:val="0"/>
        <w:strike w:val="0"/>
        <w:dstrike w:val="0"/>
        <w:vanish w:val="0"/>
        <w:sz w:val="24"/>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6472D"/>
    <w:multiLevelType w:val="multilevel"/>
    <w:tmpl w:val="4ED4A9DA"/>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940421"/>
    <w:multiLevelType w:val="hybridMultilevel"/>
    <w:tmpl w:val="3DFC6DA0"/>
    <w:lvl w:ilvl="0" w:tplc="0C09000F">
      <w:start w:val="1"/>
      <w:numFmt w:val="decimal"/>
      <w:lvlText w:val="%1."/>
      <w:lvlJc w:val="left"/>
      <w:pPr>
        <w:ind w:left="720" w:hanging="360"/>
      </w:pPr>
    </w:lvl>
    <w:lvl w:ilvl="1" w:tplc="CD1EB78A">
      <w:start w:val="1"/>
      <w:numFmt w:val="lowerLetter"/>
      <w:lvlText w:val="(%2)"/>
      <w:lvlJc w:val="left"/>
      <w:pPr>
        <w:ind w:left="1956" w:hanging="876"/>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A2465CE"/>
    <w:multiLevelType w:val="hybridMultilevel"/>
    <w:tmpl w:val="AACE250A"/>
    <w:lvl w:ilvl="0" w:tplc="4088119C">
      <w:start w:val="1"/>
      <w:numFmt w:val="bullet"/>
      <w:pStyle w:val="DJCS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FD143D"/>
    <w:multiLevelType w:val="hybridMultilevel"/>
    <w:tmpl w:val="4928F8E4"/>
    <w:lvl w:ilvl="0" w:tplc="D152F518">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6756AD"/>
    <w:multiLevelType w:val="multilevel"/>
    <w:tmpl w:val="3330239A"/>
    <w:styleLink w:val="ZZNumberslowerromanindent"/>
    <w:lvl w:ilvl="0">
      <w:start w:val="1"/>
      <w:numFmt w:val="lowerRoman"/>
      <w:pStyle w:val="DJCSlist-lowerromanlevel2"/>
      <w:lvlText w:val="(%1)"/>
      <w:lvlJc w:val="left"/>
      <w:pPr>
        <w:ind w:left="1474"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32B17FDE"/>
    <w:multiLevelType w:val="hybridMultilevel"/>
    <w:tmpl w:val="895C2384"/>
    <w:lvl w:ilvl="0" w:tplc="88441492">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EE641B"/>
    <w:multiLevelType w:val="hybridMultilevel"/>
    <w:tmpl w:val="438838C6"/>
    <w:lvl w:ilvl="0" w:tplc="08090001">
      <w:start w:val="1"/>
      <w:numFmt w:val="bullet"/>
      <w:lvlText w:val=""/>
      <w:lvlJc w:val="left"/>
      <w:pPr>
        <w:ind w:left="1069" w:hanging="360"/>
      </w:pPr>
      <w:rPr>
        <w:rFonts w:ascii="Symbol" w:hAnsi="Symbol" w:hint="default"/>
        <w:b/>
        <w:i w:val="0"/>
        <w:caps w:val="0"/>
        <w:strike w:val="0"/>
        <w:dstrike w:val="0"/>
        <w:vanish w:val="0"/>
        <w:sz w:val="24"/>
        <w:vertAlign w:val="baseline"/>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5" w15:restartNumberingAfterBreak="0">
    <w:nsid w:val="3DB57F54"/>
    <w:multiLevelType w:val="multilevel"/>
    <w:tmpl w:val="416AEF98"/>
    <w:styleLink w:val="DJRHeadingnumber"/>
    <w:lvl w:ilvl="0">
      <w:start w:val="1"/>
      <w:numFmt w:val="decimal"/>
      <w:lvlText w:val="%1."/>
      <w:lvlJc w:val="left"/>
      <w:pPr>
        <w:ind w:left="680" w:hanging="680"/>
      </w:pPr>
      <w:rPr>
        <w:rFonts w:hint="default"/>
        <w:b/>
        <w:i w:val="0"/>
      </w:rPr>
    </w:lvl>
    <w:lvl w:ilvl="1">
      <w:start w:val="1"/>
      <w:numFmt w:val="decimal"/>
      <w:lvlText w:val="%1.%2"/>
      <w:lvlJc w:val="left"/>
      <w:pPr>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6C68D4"/>
    <w:multiLevelType w:val="multilevel"/>
    <w:tmpl w:val="5DFE3624"/>
    <w:styleLink w:val="ZZNumbersdigit"/>
    <w:lvl w:ilvl="0">
      <w:start w:val="1"/>
      <w:numFmt w:val="bullet"/>
      <w:pStyle w:val="DJCSlist-bulletsafterlevel1numberromanoralpha"/>
      <w:lvlText w:val="•"/>
      <w:lvlJc w:val="left"/>
      <w:pPr>
        <w:ind w:left="1361" w:hanging="284"/>
      </w:pPr>
      <w:rPr>
        <w:rFonts w:ascii="Calibri" w:hAnsi="Calibri" w:hint="default"/>
        <w:color w:val="auto"/>
      </w:rPr>
    </w:lvl>
    <w:lvl w:ilvl="1">
      <w:start w:val="1"/>
      <w:numFmt w:val="bullet"/>
      <w:lvlRestart w:val="0"/>
      <w:pStyle w:val="DJCSlist-bulletsafterlevel2numberromanoralpha"/>
      <w:lvlText w:val="–"/>
      <w:lvlJc w:val="left"/>
      <w:pPr>
        <w:ind w:left="1701" w:hanging="283"/>
      </w:pPr>
      <w:rPr>
        <w:rFonts w:ascii="Calibri" w:hAnsi="Calibri" w:hint="default"/>
        <w:color w:val="auto"/>
      </w:rPr>
    </w:lvl>
    <w:lvl w:ilvl="2">
      <w:start w:val="1"/>
      <w:numFmt w:val="none"/>
      <w:lvlRestart w:val="0"/>
      <w:lvlText w:val=""/>
      <w:lvlJc w:val="left"/>
      <w:pPr>
        <w:ind w:left="0" w:firstLine="0"/>
      </w:pPr>
      <w:rPr>
        <w:rFonts w:hint="default"/>
        <w:color w:val="auto"/>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F431C37"/>
    <w:multiLevelType w:val="hybridMultilevel"/>
    <w:tmpl w:val="F0AA6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3A471D"/>
    <w:multiLevelType w:val="hybridMultilevel"/>
    <w:tmpl w:val="C81ED176"/>
    <w:lvl w:ilvl="0" w:tplc="6CF802B0">
      <w:start w:val="1"/>
      <w:numFmt w:val="bullet"/>
      <w:lvlText w:val=""/>
      <w:lvlJc w:val="left"/>
      <w:pPr>
        <w:ind w:left="3905" w:hanging="360"/>
      </w:pPr>
      <w:rPr>
        <w:rFonts w:ascii="Wingdings" w:hAnsi="Wingdings" w:hint="default"/>
        <w:b/>
        <w:i w:val="0"/>
        <w:caps w:val="0"/>
        <w:strike w:val="0"/>
        <w:dstrike w:val="0"/>
        <w:vanish w:val="0"/>
        <w:sz w:val="24"/>
        <w:vertAlign w:val="baseline"/>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9" w15:restartNumberingAfterBreak="0">
    <w:nsid w:val="4A5736D7"/>
    <w:multiLevelType w:val="hybridMultilevel"/>
    <w:tmpl w:val="14B6C8C2"/>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4B1E7B8E"/>
    <w:multiLevelType w:val="hybridMultilevel"/>
    <w:tmpl w:val="72E2A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116657"/>
    <w:multiLevelType w:val="multilevel"/>
    <w:tmpl w:val="2D5C735A"/>
    <w:styleLink w:val="DJRHeading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C6571F5"/>
    <w:multiLevelType w:val="hybridMultilevel"/>
    <w:tmpl w:val="F3E88BD8"/>
    <w:lvl w:ilvl="0" w:tplc="91CCC520">
      <w:start w:val="9"/>
      <w:numFmt w:val="lowerLetter"/>
      <w:lvlText w:val="(%1)"/>
      <w:lvlJc w:val="left"/>
      <w:pPr>
        <w:ind w:left="1443" w:hanging="876"/>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4D230B69"/>
    <w:multiLevelType w:val="hybridMultilevel"/>
    <w:tmpl w:val="B8148F26"/>
    <w:lvl w:ilvl="0" w:tplc="08090001">
      <w:start w:val="1"/>
      <w:numFmt w:val="bullet"/>
      <w:lvlText w:val=""/>
      <w:lvlJc w:val="left"/>
      <w:pPr>
        <w:ind w:left="1571" w:hanging="360"/>
      </w:pPr>
      <w:rPr>
        <w:rFonts w:ascii="Symbol" w:hAnsi="Symbol" w:hint="default"/>
      </w:rPr>
    </w:lvl>
    <w:lvl w:ilvl="1" w:tplc="23FAB7C0">
      <w:start w:val="1"/>
      <w:numFmt w:val="bullet"/>
      <w:lvlText w:val=""/>
      <w:lvlJc w:val="left"/>
      <w:pPr>
        <w:ind w:left="2291" w:hanging="360"/>
      </w:pPr>
      <w:rPr>
        <w:rFonts w:ascii="Symbol" w:hAnsi="Symbol" w:hint="default"/>
        <w:color w:val="auto"/>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541611C2"/>
    <w:multiLevelType w:val="multilevel"/>
    <w:tmpl w:val="D2ACAA5A"/>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21984544"/>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5A92EA04"/>
    <w:styleLink w:val="ZZQuotebullets"/>
    <w:lvl w:ilvl="0">
      <w:start w:val="1"/>
      <w:numFmt w:val="bullet"/>
      <w:pStyle w:val="DJCSquotebullet1"/>
      <w:lvlText w:val="•"/>
      <w:lvlJc w:val="left"/>
      <w:pPr>
        <w:tabs>
          <w:tab w:val="num" w:pos="1304"/>
        </w:tabs>
        <w:ind w:left="1418" w:hanging="341"/>
      </w:pPr>
      <w:rPr>
        <w:rFonts w:ascii="Calibri" w:hAnsi="Calibri" w:hint="default"/>
        <w:color w:val="auto"/>
      </w:rPr>
    </w:lvl>
    <w:lvl w:ilvl="1">
      <w:start w:val="1"/>
      <w:numFmt w:val="bullet"/>
      <w:lvlRestart w:val="0"/>
      <w:pStyle w:val="DJCSquotebullet2"/>
      <w:lvlText w:val="–"/>
      <w:lvlJc w:val="left"/>
      <w:pPr>
        <w:ind w:left="1758"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89268CA"/>
    <w:multiLevelType w:val="hybridMultilevel"/>
    <w:tmpl w:val="C434AB4E"/>
    <w:lvl w:ilvl="0" w:tplc="3DC4D892">
      <w:start w:val="2"/>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2602FA"/>
    <w:multiLevelType w:val="hybridMultilevel"/>
    <w:tmpl w:val="DE30563C"/>
    <w:lvl w:ilvl="0" w:tplc="79621D50">
      <w:start w:val="1"/>
      <w:numFmt w:val="decimal"/>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B295750"/>
    <w:multiLevelType w:val="hybridMultilevel"/>
    <w:tmpl w:val="A22CED4A"/>
    <w:lvl w:ilvl="0" w:tplc="0C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B6023C"/>
    <w:multiLevelType w:val="hybridMultilevel"/>
    <w:tmpl w:val="92E2600A"/>
    <w:lvl w:ilvl="0" w:tplc="08090001">
      <w:start w:val="1"/>
      <w:numFmt w:val="bullet"/>
      <w:lvlText w:val=""/>
      <w:lvlJc w:val="left"/>
      <w:pPr>
        <w:ind w:left="1571" w:hanging="360"/>
      </w:pPr>
      <w:rPr>
        <w:rFonts w:ascii="Symbol" w:hAnsi="Symbol" w:hint="default"/>
      </w:rPr>
    </w:lvl>
    <w:lvl w:ilvl="1" w:tplc="85DE1880">
      <w:start w:val="1"/>
      <w:numFmt w:val="bullet"/>
      <w:lvlText w:val=""/>
      <w:lvlJc w:val="left"/>
      <w:pPr>
        <w:ind w:left="2291" w:hanging="360"/>
      </w:pPr>
      <w:rPr>
        <w:rFonts w:ascii="Wingdings" w:hAnsi="Wingdings" w:hint="default"/>
        <w:color w:val="auto"/>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72BE34FC"/>
    <w:multiLevelType w:val="multilevel"/>
    <w:tmpl w:val="A93E5F58"/>
    <w:styleLink w:val="zzDJRnumberdigit"/>
    <w:lvl w:ilvl="0">
      <w:start w:val="1"/>
      <w:numFmt w:val="decimal"/>
      <w:pStyle w:val="DJCSlist-numberdigitlevel1"/>
      <w:lvlText w:val="%1."/>
      <w:lvlJc w:val="left"/>
      <w:pPr>
        <w:tabs>
          <w:tab w:val="num" w:pos="680"/>
        </w:tabs>
        <w:ind w:left="1077" w:hanging="397"/>
      </w:pPr>
      <w:rPr>
        <w:rFonts w:hint="default"/>
      </w:rPr>
    </w:lvl>
    <w:lvl w:ilvl="1">
      <w:start w:val="1"/>
      <w:numFmt w:val="decimal"/>
      <w:lvlRestart w:val="0"/>
      <w:lvlText w:val="%2."/>
      <w:lvlJc w:val="left"/>
      <w:pPr>
        <w:tabs>
          <w:tab w:val="num" w:pos="907"/>
        </w:tabs>
        <w:ind w:left="794" w:firstLine="31975"/>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73B94262"/>
    <w:multiLevelType w:val="hybridMultilevel"/>
    <w:tmpl w:val="CE3A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7B53A8"/>
    <w:multiLevelType w:val="multilevel"/>
    <w:tmpl w:val="AD06323A"/>
    <w:styleLink w:val="zzDJRbullets"/>
    <w:lvl w:ilvl="0">
      <w:start w:val="1"/>
      <w:numFmt w:val="bullet"/>
      <w:pStyle w:val="DJCSlist-bulletlevel1"/>
      <w:lvlText w:val="•"/>
      <w:lvlJc w:val="left"/>
      <w:pPr>
        <w:tabs>
          <w:tab w:val="num" w:pos="680"/>
        </w:tabs>
        <w:ind w:left="964" w:hanging="284"/>
      </w:pPr>
      <w:rPr>
        <w:rFonts w:ascii="Calibri" w:hAnsi="Calibri" w:hint="default"/>
      </w:rPr>
    </w:lvl>
    <w:lvl w:ilvl="1">
      <w:start w:val="1"/>
      <w:numFmt w:val="bullet"/>
      <w:pStyle w:val="DJCSlist-bulletlevel2"/>
      <w:lvlText w:val="–"/>
      <w:lvlJc w:val="left"/>
      <w:pPr>
        <w:ind w:left="1304" w:hanging="34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C5D5FA7"/>
    <w:multiLevelType w:val="hybridMultilevel"/>
    <w:tmpl w:val="8D44D438"/>
    <w:lvl w:ilvl="0" w:tplc="69CC26FC">
      <w:start w:val="1"/>
      <w:numFmt w:val="bullet"/>
      <w:lvlText w:val=""/>
      <w:lvlJc w:val="left"/>
      <w:pPr>
        <w:ind w:left="784" w:hanging="360"/>
      </w:pPr>
      <w:rPr>
        <w:rFonts w:ascii="Wingdings" w:hAnsi="Wingdings" w:hint="default"/>
        <w:b/>
        <w:i w:val="0"/>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5" w15:restartNumberingAfterBreak="0">
    <w:nsid w:val="7DAD21FC"/>
    <w:multiLevelType w:val="multilevel"/>
    <w:tmpl w:val="45125736"/>
    <w:styleLink w:val="zzzznumberloweralphaindent"/>
    <w:lvl w:ilvl="0">
      <w:start w:val="1"/>
      <w:numFmt w:val="lowerLetter"/>
      <w:pStyle w:val="DJCSlist-loweralphalevel2"/>
      <w:lvlText w:val="%1)"/>
      <w:lvlJc w:val="left"/>
      <w:pPr>
        <w:ind w:left="1474"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5"/>
  </w:num>
  <w:num w:numId="2">
    <w:abstractNumId w:val="16"/>
  </w:num>
  <w:num w:numId="3">
    <w:abstractNumId w:val="2"/>
  </w:num>
  <w:num w:numId="4">
    <w:abstractNumId w:val="12"/>
  </w:num>
  <w:num w:numId="5">
    <w:abstractNumId w:val="26"/>
  </w:num>
  <w:num w:numId="6">
    <w:abstractNumId w:val="24"/>
  </w:num>
  <w:num w:numId="7">
    <w:abstractNumId w:val="21"/>
  </w:num>
  <w:num w:numId="8">
    <w:abstractNumId w:val="15"/>
  </w:num>
  <w:num w:numId="9">
    <w:abstractNumId w:val="35"/>
  </w:num>
  <w:num w:numId="10">
    <w:abstractNumId w:val="33"/>
  </w:num>
  <w:num w:numId="11">
    <w:abstractNumId w:val="3"/>
  </w:num>
  <w:num w:numId="12">
    <w:abstractNumId w:val="31"/>
    <w:lvlOverride w:ilvl="0">
      <w:lvl w:ilvl="0">
        <w:start w:val="1"/>
        <w:numFmt w:val="decimal"/>
        <w:pStyle w:val="DJCSlist-numberdigitlevel1"/>
        <w:lvlText w:val="%1."/>
        <w:lvlJc w:val="left"/>
        <w:pPr>
          <w:tabs>
            <w:tab w:val="num" w:pos="680"/>
          </w:tabs>
          <w:ind w:left="1077" w:hanging="397"/>
        </w:pPr>
        <w:rPr>
          <w:rFonts w:cs="Times New Roman"/>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31"/>
  </w:num>
  <w:num w:numId="14">
    <w:abstractNumId w:val="24"/>
  </w:num>
  <w:num w:numId="15">
    <w:abstractNumId w:val="8"/>
  </w:num>
  <w:num w:numId="16">
    <w:abstractNumId w:val="4"/>
  </w:num>
  <w:num w:numId="17">
    <w:abstractNumId w:val="10"/>
  </w:num>
  <w:num w:numId="18">
    <w:abstractNumId w:val="19"/>
  </w:num>
  <w:num w:numId="19">
    <w:abstractNumId w:val="30"/>
  </w:num>
  <w:num w:numId="20">
    <w:abstractNumId w:val="27"/>
  </w:num>
  <w:num w:numId="21">
    <w:abstractNumId w:val="0"/>
  </w:num>
  <w:num w:numId="22">
    <w:abstractNumId w:val="1"/>
  </w:num>
  <w:num w:numId="23">
    <w:abstractNumId w:val="13"/>
  </w:num>
  <w:num w:numId="24">
    <w:abstractNumId w:val="5"/>
  </w:num>
  <w:num w:numId="25">
    <w:abstractNumId w:val="6"/>
  </w:num>
  <w:num w:numId="26">
    <w:abstractNumId w:val="11"/>
  </w:num>
  <w:num w:numId="27">
    <w:abstractNumId w:val="28"/>
  </w:num>
  <w:num w:numId="28">
    <w:abstractNumId w:val="23"/>
  </w:num>
  <w:num w:numId="29">
    <w:abstractNumId w:val="9"/>
  </w:num>
  <w:num w:numId="30">
    <w:abstractNumId w:val="22"/>
  </w:num>
  <w:num w:numId="31">
    <w:abstractNumId w:val="34"/>
  </w:num>
  <w:num w:numId="32">
    <w:abstractNumId w:val="18"/>
  </w:num>
  <w:num w:numId="33">
    <w:abstractNumId w:val="17"/>
  </w:num>
  <w:num w:numId="34">
    <w:abstractNumId w:val="14"/>
  </w:num>
  <w:num w:numId="35">
    <w:abstractNumId w:val="32"/>
  </w:num>
  <w:num w:numId="36">
    <w:abstractNumId w:val="29"/>
  </w:num>
  <w:num w:numId="37">
    <w:abstractNumId w:val="20"/>
  </w:num>
  <w:num w:numId="38">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728"/>
    <w:rsid w:val="000024CD"/>
    <w:rsid w:val="00002990"/>
    <w:rsid w:val="000033B3"/>
    <w:rsid w:val="000048AC"/>
    <w:rsid w:val="00007D1F"/>
    <w:rsid w:val="00012943"/>
    <w:rsid w:val="000140BF"/>
    <w:rsid w:val="00014FC4"/>
    <w:rsid w:val="00015E16"/>
    <w:rsid w:val="00020AAB"/>
    <w:rsid w:val="000223A4"/>
    <w:rsid w:val="00022E60"/>
    <w:rsid w:val="00023F65"/>
    <w:rsid w:val="00024960"/>
    <w:rsid w:val="00026C19"/>
    <w:rsid w:val="0002753E"/>
    <w:rsid w:val="00031263"/>
    <w:rsid w:val="000368BD"/>
    <w:rsid w:val="00037350"/>
    <w:rsid w:val="00037406"/>
    <w:rsid w:val="000413FB"/>
    <w:rsid w:val="000415E3"/>
    <w:rsid w:val="00042180"/>
    <w:rsid w:val="00042371"/>
    <w:rsid w:val="00043C76"/>
    <w:rsid w:val="0004780B"/>
    <w:rsid w:val="000518FC"/>
    <w:rsid w:val="0005587D"/>
    <w:rsid w:val="00060E93"/>
    <w:rsid w:val="00064936"/>
    <w:rsid w:val="00073486"/>
    <w:rsid w:val="000734F8"/>
    <w:rsid w:val="000736B8"/>
    <w:rsid w:val="0007404C"/>
    <w:rsid w:val="000758B0"/>
    <w:rsid w:val="00077C02"/>
    <w:rsid w:val="000817CB"/>
    <w:rsid w:val="000873EF"/>
    <w:rsid w:val="00091AD7"/>
    <w:rsid w:val="00091F17"/>
    <w:rsid w:val="000A12D5"/>
    <w:rsid w:val="000A1A03"/>
    <w:rsid w:val="000B1380"/>
    <w:rsid w:val="000B1B83"/>
    <w:rsid w:val="000B273A"/>
    <w:rsid w:val="000B3792"/>
    <w:rsid w:val="000B78B9"/>
    <w:rsid w:val="000C1552"/>
    <w:rsid w:val="000C2594"/>
    <w:rsid w:val="000C2608"/>
    <w:rsid w:val="000C6242"/>
    <w:rsid w:val="000C68DB"/>
    <w:rsid w:val="000D0281"/>
    <w:rsid w:val="000D0562"/>
    <w:rsid w:val="000D1962"/>
    <w:rsid w:val="000D2C32"/>
    <w:rsid w:val="000E30A8"/>
    <w:rsid w:val="000E3EDE"/>
    <w:rsid w:val="000E6964"/>
    <w:rsid w:val="000E6F72"/>
    <w:rsid w:val="000E7BFA"/>
    <w:rsid w:val="000F0478"/>
    <w:rsid w:val="000F0A50"/>
    <w:rsid w:val="000F25C8"/>
    <w:rsid w:val="000F6399"/>
    <w:rsid w:val="000F6D1A"/>
    <w:rsid w:val="00102CCC"/>
    <w:rsid w:val="00103D5E"/>
    <w:rsid w:val="00104EA7"/>
    <w:rsid w:val="00105FAD"/>
    <w:rsid w:val="0011155B"/>
    <w:rsid w:val="00111A4A"/>
    <w:rsid w:val="00111A6A"/>
    <w:rsid w:val="001131D6"/>
    <w:rsid w:val="00121BF1"/>
    <w:rsid w:val="001224C1"/>
    <w:rsid w:val="001240B7"/>
    <w:rsid w:val="0012433B"/>
    <w:rsid w:val="00125B59"/>
    <w:rsid w:val="001270A5"/>
    <w:rsid w:val="00127A8B"/>
    <w:rsid w:val="00134BE5"/>
    <w:rsid w:val="00140BA7"/>
    <w:rsid w:val="001412D1"/>
    <w:rsid w:val="001423E3"/>
    <w:rsid w:val="00146795"/>
    <w:rsid w:val="001475EA"/>
    <w:rsid w:val="00147EE4"/>
    <w:rsid w:val="001504F5"/>
    <w:rsid w:val="001517BD"/>
    <w:rsid w:val="00155109"/>
    <w:rsid w:val="001625D1"/>
    <w:rsid w:val="0016626C"/>
    <w:rsid w:val="0017248D"/>
    <w:rsid w:val="00173626"/>
    <w:rsid w:val="00173A34"/>
    <w:rsid w:val="0017614A"/>
    <w:rsid w:val="0018177B"/>
    <w:rsid w:val="001817CD"/>
    <w:rsid w:val="0018235E"/>
    <w:rsid w:val="00186699"/>
    <w:rsid w:val="0018768C"/>
    <w:rsid w:val="00191355"/>
    <w:rsid w:val="001914FA"/>
    <w:rsid w:val="00192BA0"/>
    <w:rsid w:val="00197303"/>
    <w:rsid w:val="00197EFA"/>
    <w:rsid w:val="001A17EA"/>
    <w:rsid w:val="001A1D17"/>
    <w:rsid w:val="001A22AA"/>
    <w:rsid w:val="001A2CB0"/>
    <w:rsid w:val="001A7A18"/>
    <w:rsid w:val="001A7F80"/>
    <w:rsid w:val="001B1565"/>
    <w:rsid w:val="001B166D"/>
    <w:rsid w:val="001B1AD9"/>
    <w:rsid w:val="001B28B5"/>
    <w:rsid w:val="001B2975"/>
    <w:rsid w:val="001B5E16"/>
    <w:rsid w:val="001B6398"/>
    <w:rsid w:val="001B6636"/>
    <w:rsid w:val="001B7DB6"/>
    <w:rsid w:val="001C08A9"/>
    <w:rsid w:val="001C0E31"/>
    <w:rsid w:val="001C122D"/>
    <w:rsid w:val="001C17CA"/>
    <w:rsid w:val="001C5DD7"/>
    <w:rsid w:val="001D2A2D"/>
    <w:rsid w:val="001D2A82"/>
    <w:rsid w:val="001D569B"/>
    <w:rsid w:val="001D6ECF"/>
    <w:rsid w:val="001E0EA3"/>
    <w:rsid w:val="001E417E"/>
    <w:rsid w:val="001E4995"/>
    <w:rsid w:val="001E6DAC"/>
    <w:rsid w:val="001E7A42"/>
    <w:rsid w:val="001F09DC"/>
    <w:rsid w:val="001F43E6"/>
    <w:rsid w:val="002064C7"/>
    <w:rsid w:val="002101E2"/>
    <w:rsid w:val="00213772"/>
    <w:rsid w:val="00215AED"/>
    <w:rsid w:val="00215D68"/>
    <w:rsid w:val="002161E0"/>
    <w:rsid w:val="00216CE8"/>
    <w:rsid w:val="0021794B"/>
    <w:rsid w:val="00220749"/>
    <w:rsid w:val="00221188"/>
    <w:rsid w:val="00223DA2"/>
    <w:rsid w:val="0022422C"/>
    <w:rsid w:val="00224BBD"/>
    <w:rsid w:val="0022724E"/>
    <w:rsid w:val="00230666"/>
    <w:rsid w:val="00230AD8"/>
    <w:rsid w:val="002310FF"/>
    <w:rsid w:val="00231153"/>
    <w:rsid w:val="0023252E"/>
    <w:rsid w:val="00241A04"/>
    <w:rsid w:val="00241C31"/>
    <w:rsid w:val="00242551"/>
    <w:rsid w:val="002426DF"/>
    <w:rsid w:val="002430EB"/>
    <w:rsid w:val="0024451B"/>
    <w:rsid w:val="002447FF"/>
    <w:rsid w:val="00246AB1"/>
    <w:rsid w:val="00250007"/>
    <w:rsid w:val="00250D70"/>
    <w:rsid w:val="00256E7C"/>
    <w:rsid w:val="002619D9"/>
    <w:rsid w:val="002645BC"/>
    <w:rsid w:val="00264D6B"/>
    <w:rsid w:val="002659E3"/>
    <w:rsid w:val="002679D5"/>
    <w:rsid w:val="00270DC8"/>
    <w:rsid w:val="002714FD"/>
    <w:rsid w:val="0027333E"/>
    <w:rsid w:val="00275F94"/>
    <w:rsid w:val="002768C4"/>
    <w:rsid w:val="00281B9C"/>
    <w:rsid w:val="00284C9B"/>
    <w:rsid w:val="002906E9"/>
    <w:rsid w:val="00290F83"/>
    <w:rsid w:val="00292635"/>
    <w:rsid w:val="00295285"/>
    <w:rsid w:val="002974CD"/>
    <w:rsid w:val="002A03AB"/>
    <w:rsid w:val="002A0DBB"/>
    <w:rsid w:val="002A141B"/>
    <w:rsid w:val="002A26B6"/>
    <w:rsid w:val="002A2EBB"/>
    <w:rsid w:val="002A3423"/>
    <w:rsid w:val="002A6A4E"/>
    <w:rsid w:val="002B06F4"/>
    <w:rsid w:val="002B0775"/>
    <w:rsid w:val="002B124B"/>
    <w:rsid w:val="002B1C8F"/>
    <w:rsid w:val="002B2622"/>
    <w:rsid w:val="002B271E"/>
    <w:rsid w:val="002B34CA"/>
    <w:rsid w:val="002B381A"/>
    <w:rsid w:val="002B55C8"/>
    <w:rsid w:val="002B5A85"/>
    <w:rsid w:val="002B63A7"/>
    <w:rsid w:val="002C202D"/>
    <w:rsid w:val="002C22E6"/>
    <w:rsid w:val="002C2583"/>
    <w:rsid w:val="002C3BBB"/>
    <w:rsid w:val="002C42BA"/>
    <w:rsid w:val="002C5543"/>
    <w:rsid w:val="002D0F7F"/>
    <w:rsid w:val="002D2D7E"/>
    <w:rsid w:val="002D3BC7"/>
    <w:rsid w:val="002D71A3"/>
    <w:rsid w:val="002E0198"/>
    <w:rsid w:val="002E1D7C"/>
    <w:rsid w:val="002E4A35"/>
    <w:rsid w:val="002E6159"/>
    <w:rsid w:val="002F1F5B"/>
    <w:rsid w:val="002F449B"/>
    <w:rsid w:val="002F4D86"/>
    <w:rsid w:val="002F5D69"/>
    <w:rsid w:val="002F66D4"/>
    <w:rsid w:val="002F7C77"/>
    <w:rsid w:val="002F7CC5"/>
    <w:rsid w:val="00300C38"/>
    <w:rsid w:val="00300CB3"/>
    <w:rsid w:val="0030394B"/>
    <w:rsid w:val="003039F9"/>
    <w:rsid w:val="00304110"/>
    <w:rsid w:val="003072C6"/>
    <w:rsid w:val="00310D8E"/>
    <w:rsid w:val="0031189E"/>
    <w:rsid w:val="00315BBD"/>
    <w:rsid w:val="00316AB8"/>
    <w:rsid w:val="00317505"/>
    <w:rsid w:val="0031753A"/>
    <w:rsid w:val="003201DA"/>
    <w:rsid w:val="00320293"/>
    <w:rsid w:val="00322CC2"/>
    <w:rsid w:val="003246BC"/>
    <w:rsid w:val="00324D53"/>
    <w:rsid w:val="003271DC"/>
    <w:rsid w:val="0032722F"/>
    <w:rsid w:val="00327ED2"/>
    <w:rsid w:val="00330F36"/>
    <w:rsid w:val="00334B54"/>
    <w:rsid w:val="0033503B"/>
    <w:rsid w:val="0033739E"/>
    <w:rsid w:val="00340934"/>
    <w:rsid w:val="00342142"/>
    <w:rsid w:val="00343733"/>
    <w:rsid w:val="003448F8"/>
    <w:rsid w:val="00344C58"/>
    <w:rsid w:val="00346ABE"/>
    <w:rsid w:val="003476BF"/>
    <w:rsid w:val="00355886"/>
    <w:rsid w:val="00356769"/>
    <w:rsid w:val="00356814"/>
    <w:rsid w:val="003701FE"/>
    <w:rsid w:val="0037100E"/>
    <w:rsid w:val="003741AD"/>
    <w:rsid w:val="00374F85"/>
    <w:rsid w:val="0038019F"/>
    <w:rsid w:val="0038082D"/>
    <w:rsid w:val="00382071"/>
    <w:rsid w:val="003823AE"/>
    <w:rsid w:val="00382402"/>
    <w:rsid w:val="00384469"/>
    <w:rsid w:val="00386A0A"/>
    <w:rsid w:val="003A24D0"/>
    <w:rsid w:val="003A2F25"/>
    <w:rsid w:val="003A6604"/>
    <w:rsid w:val="003A7077"/>
    <w:rsid w:val="003B2807"/>
    <w:rsid w:val="003B4011"/>
    <w:rsid w:val="003C58CB"/>
    <w:rsid w:val="003C68F2"/>
    <w:rsid w:val="003D12C5"/>
    <w:rsid w:val="003D16DF"/>
    <w:rsid w:val="003D491D"/>
    <w:rsid w:val="003D58B8"/>
    <w:rsid w:val="003D5CFB"/>
    <w:rsid w:val="003E02FC"/>
    <w:rsid w:val="003E11A1"/>
    <w:rsid w:val="003E2636"/>
    <w:rsid w:val="003E2E12"/>
    <w:rsid w:val="003E574D"/>
    <w:rsid w:val="003E7A1A"/>
    <w:rsid w:val="003F39CE"/>
    <w:rsid w:val="00400BA3"/>
    <w:rsid w:val="00401108"/>
    <w:rsid w:val="00402927"/>
    <w:rsid w:val="00407993"/>
    <w:rsid w:val="00410AFD"/>
    <w:rsid w:val="00411833"/>
    <w:rsid w:val="00412F64"/>
    <w:rsid w:val="00413E67"/>
    <w:rsid w:val="004149B4"/>
    <w:rsid w:val="00417BEB"/>
    <w:rsid w:val="00417CC6"/>
    <w:rsid w:val="00431FCA"/>
    <w:rsid w:val="004324FF"/>
    <w:rsid w:val="00432A55"/>
    <w:rsid w:val="00432D53"/>
    <w:rsid w:val="00434920"/>
    <w:rsid w:val="0043579D"/>
    <w:rsid w:val="00435F39"/>
    <w:rsid w:val="004372B7"/>
    <w:rsid w:val="00440533"/>
    <w:rsid w:val="004424B2"/>
    <w:rsid w:val="0044260A"/>
    <w:rsid w:val="00442939"/>
    <w:rsid w:val="00442A6C"/>
    <w:rsid w:val="00443606"/>
    <w:rsid w:val="00444B07"/>
    <w:rsid w:val="00444D82"/>
    <w:rsid w:val="004517AB"/>
    <w:rsid w:val="00451DBF"/>
    <w:rsid w:val="004526A0"/>
    <w:rsid w:val="00452768"/>
    <w:rsid w:val="00454418"/>
    <w:rsid w:val="004564C6"/>
    <w:rsid w:val="004603F2"/>
    <w:rsid w:val="004610CC"/>
    <w:rsid w:val="00461C14"/>
    <w:rsid w:val="00465464"/>
    <w:rsid w:val="00465933"/>
    <w:rsid w:val="00465E87"/>
    <w:rsid w:val="00472A1D"/>
    <w:rsid w:val="0047786A"/>
    <w:rsid w:val="00477A65"/>
    <w:rsid w:val="00477FD8"/>
    <w:rsid w:val="004820EC"/>
    <w:rsid w:val="00482DB3"/>
    <w:rsid w:val="00485D9E"/>
    <w:rsid w:val="0049005D"/>
    <w:rsid w:val="00493A39"/>
    <w:rsid w:val="00495FDC"/>
    <w:rsid w:val="004A0236"/>
    <w:rsid w:val="004A369A"/>
    <w:rsid w:val="004A3B3E"/>
    <w:rsid w:val="004A6967"/>
    <w:rsid w:val="004A6F7B"/>
    <w:rsid w:val="004A7217"/>
    <w:rsid w:val="004A79C4"/>
    <w:rsid w:val="004B2729"/>
    <w:rsid w:val="004B65F7"/>
    <w:rsid w:val="004B67A5"/>
    <w:rsid w:val="004C07D1"/>
    <w:rsid w:val="004C1361"/>
    <w:rsid w:val="004C5777"/>
    <w:rsid w:val="004D0173"/>
    <w:rsid w:val="004D1056"/>
    <w:rsid w:val="004D2B7B"/>
    <w:rsid w:val="004D3577"/>
    <w:rsid w:val="004D6F07"/>
    <w:rsid w:val="004E1EDE"/>
    <w:rsid w:val="004E21E2"/>
    <w:rsid w:val="004E293F"/>
    <w:rsid w:val="004E3250"/>
    <w:rsid w:val="004E380D"/>
    <w:rsid w:val="004E634F"/>
    <w:rsid w:val="004E6790"/>
    <w:rsid w:val="004E7922"/>
    <w:rsid w:val="004E7D1E"/>
    <w:rsid w:val="004F0DFC"/>
    <w:rsid w:val="004F3441"/>
    <w:rsid w:val="004F41B2"/>
    <w:rsid w:val="004F4AFC"/>
    <w:rsid w:val="004F52A5"/>
    <w:rsid w:val="00500C8C"/>
    <w:rsid w:val="00501375"/>
    <w:rsid w:val="00501D3B"/>
    <w:rsid w:val="005022C9"/>
    <w:rsid w:val="00502B8F"/>
    <w:rsid w:val="0050779D"/>
    <w:rsid w:val="00511B7D"/>
    <w:rsid w:val="005139EA"/>
    <w:rsid w:val="00520BBB"/>
    <w:rsid w:val="00520C72"/>
    <w:rsid w:val="00521BAD"/>
    <w:rsid w:val="00523E32"/>
    <w:rsid w:val="00524310"/>
    <w:rsid w:val="00525456"/>
    <w:rsid w:val="005257D4"/>
    <w:rsid w:val="00525F0E"/>
    <w:rsid w:val="00527634"/>
    <w:rsid w:val="00527A64"/>
    <w:rsid w:val="00530548"/>
    <w:rsid w:val="00531328"/>
    <w:rsid w:val="00532236"/>
    <w:rsid w:val="0053279D"/>
    <w:rsid w:val="005338EA"/>
    <w:rsid w:val="00534673"/>
    <w:rsid w:val="00541DFE"/>
    <w:rsid w:val="00543E6C"/>
    <w:rsid w:val="00544184"/>
    <w:rsid w:val="00547A8B"/>
    <w:rsid w:val="00550740"/>
    <w:rsid w:val="00551789"/>
    <w:rsid w:val="00553F68"/>
    <w:rsid w:val="005552FD"/>
    <w:rsid w:val="005600E5"/>
    <w:rsid w:val="00564B26"/>
    <w:rsid w:val="00564E8F"/>
    <w:rsid w:val="00565F69"/>
    <w:rsid w:val="00566080"/>
    <w:rsid w:val="00571508"/>
    <w:rsid w:val="00572089"/>
    <w:rsid w:val="005728A4"/>
    <w:rsid w:val="00573F2C"/>
    <w:rsid w:val="00574029"/>
    <w:rsid w:val="00575097"/>
    <w:rsid w:val="005763FC"/>
    <w:rsid w:val="00576EB4"/>
    <w:rsid w:val="00577B30"/>
    <w:rsid w:val="00582768"/>
    <w:rsid w:val="00583461"/>
    <w:rsid w:val="005856A4"/>
    <w:rsid w:val="00585C87"/>
    <w:rsid w:val="005863DA"/>
    <w:rsid w:val="00587164"/>
    <w:rsid w:val="00590730"/>
    <w:rsid w:val="005A3051"/>
    <w:rsid w:val="005A53FE"/>
    <w:rsid w:val="005A74C7"/>
    <w:rsid w:val="005B7D22"/>
    <w:rsid w:val="005C029E"/>
    <w:rsid w:val="005C478B"/>
    <w:rsid w:val="005C5592"/>
    <w:rsid w:val="005C5E06"/>
    <w:rsid w:val="005D1823"/>
    <w:rsid w:val="005D2879"/>
    <w:rsid w:val="005D2EED"/>
    <w:rsid w:val="005D2FF1"/>
    <w:rsid w:val="005D4D7C"/>
    <w:rsid w:val="005E085D"/>
    <w:rsid w:val="005E10DC"/>
    <w:rsid w:val="005E3DFD"/>
    <w:rsid w:val="005E3FA7"/>
    <w:rsid w:val="005E786A"/>
    <w:rsid w:val="005E794E"/>
    <w:rsid w:val="005E7963"/>
    <w:rsid w:val="005F218C"/>
    <w:rsid w:val="005F3033"/>
    <w:rsid w:val="005F4523"/>
    <w:rsid w:val="005F692A"/>
    <w:rsid w:val="005F6D5C"/>
    <w:rsid w:val="00600FCE"/>
    <w:rsid w:val="00601460"/>
    <w:rsid w:val="00601C26"/>
    <w:rsid w:val="00601D4D"/>
    <w:rsid w:val="006021B4"/>
    <w:rsid w:val="00604B8A"/>
    <w:rsid w:val="00605B5B"/>
    <w:rsid w:val="006062D8"/>
    <w:rsid w:val="00606827"/>
    <w:rsid w:val="00616F25"/>
    <w:rsid w:val="00620262"/>
    <w:rsid w:val="00621361"/>
    <w:rsid w:val="00621B4C"/>
    <w:rsid w:val="00621B9D"/>
    <w:rsid w:val="0062265D"/>
    <w:rsid w:val="006266B9"/>
    <w:rsid w:val="00627501"/>
    <w:rsid w:val="00627C52"/>
    <w:rsid w:val="00630937"/>
    <w:rsid w:val="00631BAA"/>
    <w:rsid w:val="00634974"/>
    <w:rsid w:val="00635DA7"/>
    <w:rsid w:val="006433E1"/>
    <w:rsid w:val="00644842"/>
    <w:rsid w:val="00645985"/>
    <w:rsid w:val="00653B84"/>
    <w:rsid w:val="00653E0D"/>
    <w:rsid w:val="00657DB5"/>
    <w:rsid w:val="006602B6"/>
    <w:rsid w:val="00660CED"/>
    <w:rsid w:val="0066110D"/>
    <w:rsid w:val="006616E5"/>
    <w:rsid w:val="006624A5"/>
    <w:rsid w:val="006627F7"/>
    <w:rsid w:val="00667AD7"/>
    <w:rsid w:val="0067356B"/>
    <w:rsid w:val="00674448"/>
    <w:rsid w:val="0067587A"/>
    <w:rsid w:val="006805A4"/>
    <w:rsid w:val="00681EC2"/>
    <w:rsid w:val="00681F9C"/>
    <w:rsid w:val="00685366"/>
    <w:rsid w:val="006865C8"/>
    <w:rsid w:val="00686B48"/>
    <w:rsid w:val="00687038"/>
    <w:rsid w:val="0068714E"/>
    <w:rsid w:val="006872F5"/>
    <w:rsid w:val="0069161A"/>
    <w:rsid w:val="00691F41"/>
    <w:rsid w:val="006929F7"/>
    <w:rsid w:val="0069374A"/>
    <w:rsid w:val="00694AB8"/>
    <w:rsid w:val="00695C29"/>
    <w:rsid w:val="00695EF7"/>
    <w:rsid w:val="0069699D"/>
    <w:rsid w:val="006A2DB2"/>
    <w:rsid w:val="006A673F"/>
    <w:rsid w:val="006A7445"/>
    <w:rsid w:val="006B21C0"/>
    <w:rsid w:val="006B2C51"/>
    <w:rsid w:val="006B6231"/>
    <w:rsid w:val="006B6361"/>
    <w:rsid w:val="006C0D04"/>
    <w:rsid w:val="006C5977"/>
    <w:rsid w:val="006D07D6"/>
    <w:rsid w:val="006D24CE"/>
    <w:rsid w:val="006D360C"/>
    <w:rsid w:val="006D5AC9"/>
    <w:rsid w:val="006D66ED"/>
    <w:rsid w:val="006E4A11"/>
    <w:rsid w:val="006E5DBA"/>
    <w:rsid w:val="006E786B"/>
    <w:rsid w:val="006E7C59"/>
    <w:rsid w:val="006F1EF7"/>
    <w:rsid w:val="006F3CF2"/>
    <w:rsid w:val="006F3E0E"/>
    <w:rsid w:val="007002B1"/>
    <w:rsid w:val="0070031A"/>
    <w:rsid w:val="00702F29"/>
    <w:rsid w:val="00704EB7"/>
    <w:rsid w:val="00705742"/>
    <w:rsid w:val="00705C12"/>
    <w:rsid w:val="00706AA1"/>
    <w:rsid w:val="007077EE"/>
    <w:rsid w:val="007104FE"/>
    <w:rsid w:val="00711B0C"/>
    <w:rsid w:val="007121A2"/>
    <w:rsid w:val="00713981"/>
    <w:rsid w:val="00716968"/>
    <w:rsid w:val="007176D6"/>
    <w:rsid w:val="00727B25"/>
    <w:rsid w:val="00727D54"/>
    <w:rsid w:val="00730644"/>
    <w:rsid w:val="0073083A"/>
    <w:rsid w:val="00731EF2"/>
    <w:rsid w:val="00731EF4"/>
    <w:rsid w:val="00733869"/>
    <w:rsid w:val="007344C5"/>
    <w:rsid w:val="00734959"/>
    <w:rsid w:val="00735137"/>
    <w:rsid w:val="0073520D"/>
    <w:rsid w:val="00735CF5"/>
    <w:rsid w:val="007400BC"/>
    <w:rsid w:val="007443E8"/>
    <w:rsid w:val="00744DB1"/>
    <w:rsid w:val="00747AA3"/>
    <w:rsid w:val="0075181C"/>
    <w:rsid w:val="007617CF"/>
    <w:rsid w:val="007626F4"/>
    <w:rsid w:val="00766A17"/>
    <w:rsid w:val="007722AD"/>
    <w:rsid w:val="00776111"/>
    <w:rsid w:val="00777E11"/>
    <w:rsid w:val="00780226"/>
    <w:rsid w:val="00780D17"/>
    <w:rsid w:val="00781AB4"/>
    <w:rsid w:val="00782117"/>
    <w:rsid w:val="00787751"/>
    <w:rsid w:val="007910BF"/>
    <w:rsid w:val="007923B7"/>
    <w:rsid w:val="00792616"/>
    <w:rsid w:val="007926BB"/>
    <w:rsid w:val="0079344C"/>
    <w:rsid w:val="00794C59"/>
    <w:rsid w:val="00795031"/>
    <w:rsid w:val="00795D5E"/>
    <w:rsid w:val="007968AE"/>
    <w:rsid w:val="00796CDC"/>
    <w:rsid w:val="00797416"/>
    <w:rsid w:val="00797C96"/>
    <w:rsid w:val="007A0283"/>
    <w:rsid w:val="007A3279"/>
    <w:rsid w:val="007A3566"/>
    <w:rsid w:val="007A3BBD"/>
    <w:rsid w:val="007B2B6C"/>
    <w:rsid w:val="007B55E1"/>
    <w:rsid w:val="007B7239"/>
    <w:rsid w:val="007B7846"/>
    <w:rsid w:val="007C02C7"/>
    <w:rsid w:val="007C184A"/>
    <w:rsid w:val="007C21EE"/>
    <w:rsid w:val="007D0525"/>
    <w:rsid w:val="007D3A2E"/>
    <w:rsid w:val="007D5D1B"/>
    <w:rsid w:val="007D6652"/>
    <w:rsid w:val="007E0020"/>
    <w:rsid w:val="007E3247"/>
    <w:rsid w:val="007E343D"/>
    <w:rsid w:val="007E61CA"/>
    <w:rsid w:val="007E66FC"/>
    <w:rsid w:val="007F330B"/>
    <w:rsid w:val="007F4383"/>
    <w:rsid w:val="007F5858"/>
    <w:rsid w:val="007F6862"/>
    <w:rsid w:val="00801601"/>
    <w:rsid w:val="0080169A"/>
    <w:rsid w:val="00801951"/>
    <w:rsid w:val="008036A7"/>
    <w:rsid w:val="00804D50"/>
    <w:rsid w:val="00810991"/>
    <w:rsid w:val="00811FF0"/>
    <w:rsid w:val="008127AF"/>
    <w:rsid w:val="00814A9B"/>
    <w:rsid w:val="00814F66"/>
    <w:rsid w:val="00815E03"/>
    <w:rsid w:val="00817C9E"/>
    <w:rsid w:val="008205AF"/>
    <w:rsid w:val="008225E5"/>
    <w:rsid w:val="008243C4"/>
    <w:rsid w:val="00826215"/>
    <w:rsid w:val="00826F79"/>
    <w:rsid w:val="00831053"/>
    <w:rsid w:val="008314D2"/>
    <w:rsid w:val="008324A7"/>
    <w:rsid w:val="0083254D"/>
    <w:rsid w:val="00835BA2"/>
    <w:rsid w:val="00836249"/>
    <w:rsid w:val="00836293"/>
    <w:rsid w:val="0083689C"/>
    <w:rsid w:val="00836F00"/>
    <w:rsid w:val="00840B9F"/>
    <w:rsid w:val="00840F6F"/>
    <w:rsid w:val="00846192"/>
    <w:rsid w:val="0084739D"/>
    <w:rsid w:val="0084768A"/>
    <w:rsid w:val="00850806"/>
    <w:rsid w:val="00854669"/>
    <w:rsid w:val="00854FD5"/>
    <w:rsid w:val="008553C8"/>
    <w:rsid w:val="0085615D"/>
    <w:rsid w:val="00856A1B"/>
    <w:rsid w:val="00860B24"/>
    <w:rsid w:val="008621C3"/>
    <w:rsid w:val="00865486"/>
    <w:rsid w:val="008669BE"/>
    <w:rsid w:val="00876275"/>
    <w:rsid w:val="00881B41"/>
    <w:rsid w:val="00882B30"/>
    <w:rsid w:val="00882B99"/>
    <w:rsid w:val="00883952"/>
    <w:rsid w:val="00886121"/>
    <w:rsid w:val="00887489"/>
    <w:rsid w:val="00894371"/>
    <w:rsid w:val="008A295B"/>
    <w:rsid w:val="008A390A"/>
    <w:rsid w:val="008A5B97"/>
    <w:rsid w:val="008A6604"/>
    <w:rsid w:val="008B1C73"/>
    <w:rsid w:val="008B38B6"/>
    <w:rsid w:val="008B48B1"/>
    <w:rsid w:val="008B5482"/>
    <w:rsid w:val="008B7009"/>
    <w:rsid w:val="008C11F4"/>
    <w:rsid w:val="008C2BEC"/>
    <w:rsid w:val="008C33D6"/>
    <w:rsid w:val="008C616E"/>
    <w:rsid w:val="008C6523"/>
    <w:rsid w:val="008C6D0E"/>
    <w:rsid w:val="008D09D2"/>
    <w:rsid w:val="008D1DFC"/>
    <w:rsid w:val="008D39C5"/>
    <w:rsid w:val="008E0D26"/>
    <w:rsid w:val="008E1D89"/>
    <w:rsid w:val="008E3E3E"/>
    <w:rsid w:val="008E5250"/>
    <w:rsid w:val="008F1474"/>
    <w:rsid w:val="008F234A"/>
    <w:rsid w:val="008F5F87"/>
    <w:rsid w:val="008F676D"/>
    <w:rsid w:val="00900A34"/>
    <w:rsid w:val="00900E2F"/>
    <w:rsid w:val="0090172F"/>
    <w:rsid w:val="00906132"/>
    <w:rsid w:val="00907073"/>
    <w:rsid w:val="0090748D"/>
    <w:rsid w:val="00911976"/>
    <w:rsid w:val="00912929"/>
    <w:rsid w:val="009146FB"/>
    <w:rsid w:val="0091717F"/>
    <w:rsid w:val="009208F5"/>
    <w:rsid w:val="0092109A"/>
    <w:rsid w:val="00927D51"/>
    <w:rsid w:val="009303F7"/>
    <w:rsid w:val="00932272"/>
    <w:rsid w:val="00932862"/>
    <w:rsid w:val="009328BE"/>
    <w:rsid w:val="00934EB6"/>
    <w:rsid w:val="0093554C"/>
    <w:rsid w:val="00935BC3"/>
    <w:rsid w:val="00935D60"/>
    <w:rsid w:val="009402EA"/>
    <w:rsid w:val="009419AF"/>
    <w:rsid w:val="00943E7A"/>
    <w:rsid w:val="009447BB"/>
    <w:rsid w:val="00944C48"/>
    <w:rsid w:val="00946335"/>
    <w:rsid w:val="009464C5"/>
    <w:rsid w:val="009506B4"/>
    <w:rsid w:val="009513C4"/>
    <w:rsid w:val="00952D29"/>
    <w:rsid w:val="00955E55"/>
    <w:rsid w:val="00962200"/>
    <w:rsid w:val="00962D9A"/>
    <w:rsid w:val="009636D8"/>
    <w:rsid w:val="00963855"/>
    <w:rsid w:val="009642AD"/>
    <w:rsid w:val="009665B7"/>
    <w:rsid w:val="00966F54"/>
    <w:rsid w:val="009715A2"/>
    <w:rsid w:val="00973242"/>
    <w:rsid w:val="00975E61"/>
    <w:rsid w:val="00976E31"/>
    <w:rsid w:val="0097739C"/>
    <w:rsid w:val="00977C63"/>
    <w:rsid w:val="00980087"/>
    <w:rsid w:val="00980C0B"/>
    <w:rsid w:val="009849F9"/>
    <w:rsid w:val="0098524F"/>
    <w:rsid w:val="0098658A"/>
    <w:rsid w:val="00987ABE"/>
    <w:rsid w:val="00987EEA"/>
    <w:rsid w:val="009906C7"/>
    <w:rsid w:val="00991AE9"/>
    <w:rsid w:val="00993B77"/>
    <w:rsid w:val="009963CD"/>
    <w:rsid w:val="00997FFE"/>
    <w:rsid w:val="009A3F63"/>
    <w:rsid w:val="009A5B48"/>
    <w:rsid w:val="009A68E4"/>
    <w:rsid w:val="009A7F8E"/>
    <w:rsid w:val="009B0A8B"/>
    <w:rsid w:val="009B266D"/>
    <w:rsid w:val="009B5CBF"/>
    <w:rsid w:val="009B7411"/>
    <w:rsid w:val="009C184A"/>
    <w:rsid w:val="009C2CA5"/>
    <w:rsid w:val="009C3BD1"/>
    <w:rsid w:val="009C78DD"/>
    <w:rsid w:val="009C7E59"/>
    <w:rsid w:val="009D0487"/>
    <w:rsid w:val="009D0CDA"/>
    <w:rsid w:val="009D2954"/>
    <w:rsid w:val="009D3E45"/>
    <w:rsid w:val="009D4788"/>
    <w:rsid w:val="009E0305"/>
    <w:rsid w:val="009E2768"/>
    <w:rsid w:val="009E5612"/>
    <w:rsid w:val="009E5A41"/>
    <w:rsid w:val="009E7876"/>
    <w:rsid w:val="009E7B87"/>
    <w:rsid w:val="009F080B"/>
    <w:rsid w:val="009F351F"/>
    <w:rsid w:val="009F3F89"/>
    <w:rsid w:val="009F480E"/>
    <w:rsid w:val="009F5141"/>
    <w:rsid w:val="00A022A2"/>
    <w:rsid w:val="00A02D15"/>
    <w:rsid w:val="00A062B1"/>
    <w:rsid w:val="00A11403"/>
    <w:rsid w:val="00A12925"/>
    <w:rsid w:val="00A14773"/>
    <w:rsid w:val="00A15E86"/>
    <w:rsid w:val="00A229C1"/>
    <w:rsid w:val="00A26B0D"/>
    <w:rsid w:val="00A34527"/>
    <w:rsid w:val="00A3633F"/>
    <w:rsid w:val="00A3735A"/>
    <w:rsid w:val="00A41FD9"/>
    <w:rsid w:val="00A42F1B"/>
    <w:rsid w:val="00A44EBE"/>
    <w:rsid w:val="00A501C5"/>
    <w:rsid w:val="00A5038B"/>
    <w:rsid w:val="00A510C8"/>
    <w:rsid w:val="00A546BC"/>
    <w:rsid w:val="00A55989"/>
    <w:rsid w:val="00A5694A"/>
    <w:rsid w:val="00A608B6"/>
    <w:rsid w:val="00A62FB6"/>
    <w:rsid w:val="00A63DA4"/>
    <w:rsid w:val="00A65D9E"/>
    <w:rsid w:val="00A6633A"/>
    <w:rsid w:val="00A7023B"/>
    <w:rsid w:val="00A710B8"/>
    <w:rsid w:val="00A71A70"/>
    <w:rsid w:val="00A74108"/>
    <w:rsid w:val="00A74495"/>
    <w:rsid w:val="00A751F4"/>
    <w:rsid w:val="00A752BE"/>
    <w:rsid w:val="00A75CD5"/>
    <w:rsid w:val="00A7630E"/>
    <w:rsid w:val="00A763D5"/>
    <w:rsid w:val="00A7790B"/>
    <w:rsid w:val="00A830CC"/>
    <w:rsid w:val="00A83DF3"/>
    <w:rsid w:val="00A85915"/>
    <w:rsid w:val="00A86270"/>
    <w:rsid w:val="00A8692F"/>
    <w:rsid w:val="00A90758"/>
    <w:rsid w:val="00A911E9"/>
    <w:rsid w:val="00A952AB"/>
    <w:rsid w:val="00A974F0"/>
    <w:rsid w:val="00A9783D"/>
    <w:rsid w:val="00A97EE6"/>
    <w:rsid w:val="00AA2D35"/>
    <w:rsid w:val="00AA45E6"/>
    <w:rsid w:val="00AA5A37"/>
    <w:rsid w:val="00AB0BB6"/>
    <w:rsid w:val="00AB30D6"/>
    <w:rsid w:val="00AB489C"/>
    <w:rsid w:val="00AB50C1"/>
    <w:rsid w:val="00AB6936"/>
    <w:rsid w:val="00AB7AB9"/>
    <w:rsid w:val="00AC0C3B"/>
    <w:rsid w:val="00AC24F5"/>
    <w:rsid w:val="00AC2B20"/>
    <w:rsid w:val="00AC2D63"/>
    <w:rsid w:val="00AC5008"/>
    <w:rsid w:val="00AC5983"/>
    <w:rsid w:val="00AC5EE6"/>
    <w:rsid w:val="00AC6CE4"/>
    <w:rsid w:val="00AD00BB"/>
    <w:rsid w:val="00AD03D8"/>
    <w:rsid w:val="00AD0711"/>
    <w:rsid w:val="00AD3187"/>
    <w:rsid w:val="00AD5176"/>
    <w:rsid w:val="00AD704E"/>
    <w:rsid w:val="00AD7AE6"/>
    <w:rsid w:val="00AE252F"/>
    <w:rsid w:val="00AE5FE0"/>
    <w:rsid w:val="00AE60B7"/>
    <w:rsid w:val="00AE649B"/>
    <w:rsid w:val="00AE73AC"/>
    <w:rsid w:val="00AF0391"/>
    <w:rsid w:val="00AF1354"/>
    <w:rsid w:val="00AF2AB7"/>
    <w:rsid w:val="00AF2B1C"/>
    <w:rsid w:val="00AF4D3F"/>
    <w:rsid w:val="00AF4FE5"/>
    <w:rsid w:val="00AF5978"/>
    <w:rsid w:val="00AF6031"/>
    <w:rsid w:val="00B0078A"/>
    <w:rsid w:val="00B00D9E"/>
    <w:rsid w:val="00B02352"/>
    <w:rsid w:val="00B0300B"/>
    <w:rsid w:val="00B04468"/>
    <w:rsid w:val="00B05159"/>
    <w:rsid w:val="00B05457"/>
    <w:rsid w:val="00B057F5"/>
    <w:rsid w:val="00B05AA2"/>
    <w:rsid w:val="00B128A0"/>
    <w:rsid w:val="00B1331D"/>
    <w:rsid w:val="00B15D5E"/>
    <w:rsid w:val="00B15D79"/>
    <w:rsid w:val="00B20240"/>
    <w:rsid w:val="00B22A25"/>
    <w:rsid w:val="00B23281"/>
    <w:rsid w:val="00B26CD9"/>
    <w:rsid w:val="00B27571"/>
    <w:rsid w:val="00B32B63"/>
    <w:rsid w:val="00B37EFA"/>
    <w:rsid w:val="00B40AC4"/>
    <w:rsid w:val="00B4164B"/>
    <w:rsid w:val="00B454D1"/>
    <w:rsid w:val="00B461C5"/>
    <w:rsid w:val="00B53728"/>
    <w:rsid w:val="00B5409A"/>
    <w:rsid w:val="00B55574"/>
    <w:rsid w:val="00B6525D"/>
    <w:rsid w:val="00B65ABA"/>
    <w:rsid w:val="00B67097"/>
    <w:rsid w:val="00B6790F"/>
    <w:rsid w:val="00B70DBF"/>
    <w:rsid w:val="00B71B3B"/>
    <w:rsid w:val="00B7755A"/>
    <w:rsid w:val="00B808C4"/>
    <w:rsid w:val="00B840B0"/>
    <w:rsid w:val="00B8502A"/>
    <w:rsid w:val="00B853DB"/>
    <w:rsid w:val="00B857CA"/>
    <w:rsid w:val="00B86295"/>
    <w:rsid w:val="00B876F2"/>
    <w:rsid w:val="00B87D61"/>
    <w:rsid w:val="00B93948"/>
    <w:rsid w:val="00BA17F1"/>
    <w:rsid w:val="00BA4BC7"/>
    <w:rsid w:val="00BA55B7"/>
    <w:rsid w:val="00BA5A04"/>
    <w:rsid w:val="00BA5E47"/>
    <w:rsid w:val="00BA7D57"/>
    <w:rsid w:val="00BA7E79"/>
    <w:rsid w:val="00BB156E"/>
    <w:rsid w:val="00BB1A41"/>
    <w:rsid w:val="00BB3330"/>
    <w:rsid w:val="00BB47D7"/>
    <w:rsid w:val="00BB4A62"/>
    <w:rsid w:val="00BB72CE"/>
    <w:rsid w:val="00BC01C1"/>
    <w:rsid w:val="00BC028E"/>
    <w:rsid w:val="00BC05C6"/>
    <w:rsid w:val="00BC42D4"/>
    <w:rsid w:val="00BC45A1"/>
    <w:rsid w:val="00BC5A34"/>
    <w:rsid w:val="00BD1409"/>
    <w:rsid w:val="00BD1590"/>
    <w:rsid w:val="00BD17F5"/>
    <w:rsid w:val="00BD243D"/>
    <w:rsid w:val="00BD5543"/>
    <w:rsid w:val="00BD6E05"/>
    <w:rsid w:val="00BE31B5"/>
    <w:rsid w:val="00BE519A"/>
    <w:rsid w:val="00BE54D0"/>
    <w:rsid w:val="00BE6A62"/>
    <w:rsid w:val="00BF0751"/>
    <w:rsid w:val="00BF2295"/>
    <w:rsid w:val="00BF5212"/>
    <w:rsid w:val="00BF6B6C"/>
    <w:rsid w:val="00BF6D23"/>
    <w:rsid w:val="00BF7251"/>
    <w:rsid w:val="00BF72CE"/>
    <w:rsid w:val="00BF7F28"/>
    <w:rsid w:val="00C01909"/>
    <w:rsid w:val="00C05787"/>
    <w:rsid w:val="00C11871"/>
    <w:rsid w:val="00C12883"/>
    <w:rsid w:val="00C12D2F"/>
    <w:rsid w:val="00C13059"/>
    <w:rsid w:val="00C14527"/>
    <w:rsid w:val="00C152C6"/>
    <w:rsid w:val="00C156D4"/>
    <w:rsid w:val="00C167A3"/>
    <w:rsid w:val="00C2062C"/>
    <w:rsid w:val="00C2181C"/>
    <w:rsid w:val="00C2297D"/>
    <w:rsid w:val="00C2657D"/>
    <w:rsid w:val="00C26A87"/>
    <w:rsid w:val="00C26A99"/>
    <w:rsid w:val="00C274D0"/>
    <w:rsid w:val="00C34184"/>
    <w:rsid w:val="00C35BD9"/>
    <w:rsid w:val="00C3745D"/>
    <w:rsid w:val="00C40BFD"/>
    <w:rsid w:val="00C416E1"/>
    <w:rsid w:val="00C45AFC"/>
    <w:rsid w:val="00C45F23"/>
    <w:rsid w:val="00C471F6"/>
    <w:rsid w:val="00C474E1"/>
    <w:rsid w:val="00C47BF8"/>
    <w:rsid w:val="00C500BC"/>
    <w:rsid w:val="00C51B1C"/>
    <w:rsid w:val="00C53DCE"/>
    <w:rsid w:val="00C5670C"/>
    <w:rsid w:val="00C629A0"/>
    <w:rsid w:val="00C655F2"/>
    <w:rsid w:val="00C65B4C"/>
    <w:rsid w:val="00C65B61"/>
    <w:rsid w:val="00C70E53"/>
    <w:rsid w:val="00C72979"/>
    <w:rsid w:val="00C74528"/>
    <w:rsid w:val="00C74EB4"/>
    <w:rsid w:val="00C75883"/>
    <w:rsid w:val="00C76B8C"/>
    <w:rsid w:val="00C81529"/>
    <w:rsid w:val="00C81BA6"/>
    <w:rsid w:val="00C82ACA"/>
    <w:rsid w:val="00C8377C"/>
    <w:rsid w:val="00C877CD"/>
    <w:rsid w:val="00C902E9"/>
    <w:rsid w:val="00C908B7"/>
    <w:rsid w:val="00C91D81"/>
    <w:rsid w:val="00C92A42"/>
    <w:rsid w:val="00C9384B"/>
    <w:rsid w:val="00C968B9"/>
    <w:rsid w:val="00CA18F2"/>
    <w:rsid w:val="00CA4871"/>
    <w:rsid w:val="00CA55DD"/>
    <w:rsid w:val="00CA6722"/>
    <w:rsid w:val="00CA6D4E"/>
    <w:rsid w:val="00CA7B4B"/>
    <w:rsid w:val="00CB36A8"/>
    <w:rsid w:val="00CB3AB5"/>
    <w:rsid w:val="00CB4FC7"/>
    <w:rsid w:val="00CC02DC"/>
    <w:rsid w:val="00CC0F15"/>
    <w:rsid w:val="00CC139A"/>
    <w:rsid w:val="00CC1E7A"/>
    <w:rsid w:val="00CC3398"/>
    <w:rsid w:val="00CC4F64"/>
    <w:rsid w:val="00CC5051"/>
    <w:rsid w:val="00CC7361"/>
    <w:rsid w:val="00CD0366"/>
    <w:rsid w:val="00CD058C"/>
    <w:rsid w:val="00CD39C6"/>
    <w:rsid w:val="00CD3B98"/>
    <w:rsid w:val="00CD405D"/>
    <w:rsid w:val="00CD4216"/>
    <w:rsid w:val="00CD518C"/>
    <w:rsid w:val="00CD733F"/>
    <w:rsid w:val="00CD7C65"/>
    <w:rsid w:val="00CE0942"/>
    <w:rsid w:val="00CE17C7"/>
    <w:rsid w:val="00CE2276"/>
    <w:rsid w:val="00CE6326"/>
    <w:rsid w:val="00CE640F"/>
    <w:rsid w:val="00CE7745"/>
    <w:rsid w:val="00CE7CA5"/>
    <w:rsid w:val="00CF02AB"/>
    <w:rsid w:val="00CF1539"/>
    <w:rsid w:val="00CF1D81"/>
    <w:rsid w:val="00CF1F92"/>
    <w:rsid w:val="00CF2DC9"/>
    <w:rsid w:val="00CF7CB6"/>
    <w:rsid w:val="00D03540"/>
    <w:rsid w:val="00D137B0"/>
    <w:rsid w:val="00D1385C"/>
    <w:rsid w:val="00D15BB2"/>
    <w:rsid w:val="00D160BA"/>
    <w:rsid w:val="00D17321"/>
    <w:rsid w:val="00D1762D"/>
    <w:rsid w:val="00D20090"/>
    <w:rsid w:val="00D213F0"/>
    <w:rsid w:val="00D24075"/>
    <w:rsid w:val="00D241AC"/>
    <w:rsid w:val="00D24317"/>
    <w:rsid w:val="00D311AB"/>
    <w:rsid w:val="00D3143F"/>
    <w:rsid w:val="00D32290"/>
    <w:rsid w:val="00D325A8"/>
    <w:rsid w:val="00D34416"/>
    <w:rsid w:val="00D4007C"/>
    <w:rsid w:val="00D436BB"/>
    <w:rsid w:val="00D442AD"/>
    <w:rsid w:val="00D521A7"/>
    <w:rsid w:val="00D55041"/>
    <w:rsid w:val="00D5618A"/>
    <w:rsid w:val="00D5784B"/>
    <w:rsid w:val="00D57F33"/>
    <w:rsid w:val="00D63EFB"/>
    <w:rsid w:val="00D658AF"/>
    <w:rsid w:val="00D66D0B"/>
    <w:rsid w:val="00D70289"/>
    <w:rsid w:val="00D70852"/>
    <w:rsid w:val="00D70A79"/>
    <w:rsid w:val="00D7267F"/>
    <w:rsid w:val="00D72C43"/>
    <w:rsid w:val="00D77F0F"/>
    <w:rsid w:val="00D83DE9"/>
    <w:rsid w:val="00D8450D"/>
    <w:rsid w:val="00D9237A"/>
    <w:rsid w:val="00D94DF0"/>
    <w:rsid w:val="00D95AF9"/>
    <w:rsid w:val="00D964A7"/>
    <w:rsid w:val="00D972E1"/>
    <w:rsid w:val="00DA09C9"/>
    <w:rsid w:val="00DA1822"/>
    <w:rsid w:val="00DA2A7C"/>
    <w:rsid w:val="00DA752C"/>
    <w:rsid w:val="00DB1AD1"/>
    <w:rsid w:val="00DB5147"/>
    <w:rsid w:val="00DB5E1F"/>
    <w:rsid w:val="00DB703B"/>
    <w:rsid w:val="00DB76D3"/>
    <w:rsid w:val="00DB7DEF"/>
    <w:rsid w:val="00DC19D8"/>
    <w:rsid w:val="00DC2613"/>
    <w:rsid w:val="00DC375A"/>
    <w:rsid w:val="00DC4512"/>
    <w:rsid w:val="00DC4AE4"/>
    <w:rsid w:val="00DC6466"/>
    <w:rsid w:val="00DC6646"/>
    <w:rsid w:val="00DD3691"/>
    <w:rsid w:val="00DD4B55"/>
    <w:rsid w:val="00DD5DD5"/>
    <w:rsid w:val="00DE1E90"/>
    <w:rsid w:val="00DE24E6"/>
    <w:rsid w:val="00DE2896"/>
    <w:rsid w:val="00DE29A4"/>
    <w:rsid w:val="00DE44A8"/>
    <w:rsid w:val="00DE5064"/>
    <w:rsid w:val="00DE5C8A"/>
    <w:rsid w:val="00DF07AD"/>
    <w:rsid w:val="00DF07C4"/>
    <w:rsid w:val="00DF3364"/>
    <w:rsid w:val="00DF4C50"/>
    <w:rsid w:val="00DF504C"/>
    <w:rsid w:val="00E021A3"/>
    <w:rsid w:val="00E03330"/>
    <w:rsid w:val="00E03486"/>
    <w:rsid w:val="00E055BB"/>
    <w:rsid w:val="00E11988"/>
    <w:rsid w:val="00E122FC"/>
    <w:rsid w:val="00E12D92"/>
    <w:rsid w:val="00E1405C"/>
    <w:rsid w:val="00E1421F"/>
    <w:rsid w:val="00E1559E"/>
    <w:rsid w:val="00E15DA9"/>
    <w:rsid w:val="00E17427"/>
    <w:rsid w:val="00E2095D"/>
    <w:rsid w:val="00E26B5D"/>
    <w:rsid w:val="00E30414"/>
    <w:rsid w:val="00E31171"/>
    <w:rsid w:val="00E40769"/>
    <w:rsid w:val="00E42BE4"/>
    <w:rsid w:val="00E42C90"/>
    <w:rsid w:val="00E42E8B"/>
    <w:rsid w:val="00E479B2"/>
    <w:rsid w:val="00E512EE"/>
    <w:rsid w:val="00E57CEA"/>
    <w:rsid w:val="00E6002C"/>
    <w:rsid w:val="00E60F12"/>
    <w:rsid w:val="00E6148A"/>
    <w:rsid w:val="00E64BB7"/>
    <w:rsid w:val="00E652FB"/>
    <w:rsid w:val="00E66994"/>
    <w:rsid w:val="00E66C20"/>
    <w:rsid w:val="00E71C46"/>
    <w:rsid w:val="00E731B7"/>
    <w:rsid w:val="00E75ED2"/>
    <w:rsid w:val="00E8280C"/>
    <w:rsid w:val="00E83E4C"/>
    <w:rsid w:val="00E8487C"/>
    <w:rsid w:val="00E8662D"/>
    <w:rsid w:val="00E91933"/>
    <w:rsid w:val="00E92A81"/>
    <w:rsid w:val="00E95CCA"/>
    <w:rsid w:val="00E969B1"/>
    <w:rsid w:val="00EA1660"/>
    <w:rsid w:val="00EA2EF1"/>
    <w:rsid w:val="00EA7757"/>
    <w:rsid w:val="00EB2210"/>
    <w:rsid w:val="00EB2749"/>
    <w:rsid w:val="00EB2E19"/>
    <w:rsid w:val="00EB300B"/>
    <w:rsid w:val="00EB3821"/>
    <w:rsid w:val="00EB445A"/>
    <w:rsid w:val="00EB57C1"/>
    <w:rsid w:val="00EB6552"/>
    <w:rsid w:val="00EC18E6"/>
    <w:rsid w:val="00EC1984"/>
    <w:rsid w:val="00EC234C"/>
    <w:rsid w:val="00EC2AE9"/>
    <w:rsid w:val="00EC48B7"/>
    <w:rsid w:val="00EC70C1"/>
    <w:rsid w:val="00ED3529"/>
    <w:rsid w:val="00ED4362"/>
    <w:rsid w:val="00ED4D17"/>
    <w:rsid w:val="00ED7615"/>
    <w:rsid w:val="00EE3E2D"/>
    <w:rsid w:val="00EE47D5"/>
    <w:rsid w:val="00EE6CD3"/>
    <w:rsid w:val="00EF20D7"/>
    <w:rsid w:val="00EF2AC5"/>
    <w:rsid w:val="00EF3419"/>
    <w:rsid w:val="00EF5AD7"/>
    <w:rsid w:val="00EF76EE"/>
    <w:rsid w:val="00F0119C"/>
    <w:rsid w:val="00F01884"/>
    <w:rsid w:val="00F02BDB"/>
    <w:rsid w:val="00F03B78"/>
    <w:rsid w:val="00F03D93"/>
    <w:rsid w:val="00F0441B"/>
    <w:rsid w:val="00F05CDE"/>
    <w:rsid w:val="00F06C0F"/>
    <w:rsid w:val="00F070E5"/>
    <w:rsid w:val="00F07623"/>
    <w:rsid w:val="00F07D0B"/>
    <w:rsid w:val="00F15688"/>
    <w:rsid w:val="00F16301"/>
    <w:rsid w:val="00F2073E"/>
    <w:rsid w:val="00F21528"/>
    <w:rsid w:val="00F3136B"/>
    <w:rsid w:val="00F314F1"/>
    <w:rsid w:val="00F327EA"/>
    <w:rsid w:val="00F33641"/>
    <w:rsid w:val="00F33E3A"/>
    <w:rsid w:val="00F42842"/>
    <w:rsid w:val="00F43EE0"/>
    <w:rsid w:val="00F44108"/>
    <w:rsid w:val="00F44DC1"/>
    <w:rsid w:val="00F46E40"/>
    <w:rsid w:val="00F4760A"/>
    <w:rsid w:val="00F47BEA"/>
    <w:rsid w:val="00F529FE"/>
    <w:rsid w:val="00F52B8E"/>
    <w:rsid w:val="00F53CFD"/>
    <w:rsid w:val="00F54AF5"/>
    <w:rsid w:val="00F557E3"/>
    <w:rsid w:val="00F61A60"/>
    <w:rsid w:val="00F61E78"/>
    <w:rsid w:val="00F62353"/>
    <w:rsid w:val="00F635C5"/>
    <w:rsid w:val="00F648B1"/>
    <w:rsid w:val="00F70CEF"/>
    <w:rsid w:val="00F736E3"/>
    <w:rsid w:val="00F74C05"/>
    <w:rsid w:val="00F75F82"/>
    <w:rsid w:val="00F767E8"/>
    <w:rsid w:val="00F807FF"/>
    <w:rsid w:val="00F8443A"/>
    <w:rsid w:val="00F86A3F"/>
    <w:rsid w:val="00F91297"/>
    <w:rsid w:val="00F9133B"/>
    <w:rsid w:val="00F921F3"/>
    <w:rsid w:val="00F92A34"/>
    <w:rsid w:val="00F9359A"/>
    <w:rsid w:val="00F95057"/>
    <w:rsid w:val="00F97730"/>
    <w:rsid w:val="00F97F01"/>
    <w:rsid w:val="00FA1792"/>
    <w:rsid w:val="00FA4A58"/>
    <w:rsid w:val="00FA5AE1"/>
    <w:rsid w:val="00FA7E88"/>
    <w:rsid w:val="00FB32A4"/>
    <w:rsid w:val="00FB4A22"/>
    <w:rsid w:val="00FB4A8D"/>
    <w:rsid w:val="00FB594D"/>
    <w:rsid w:val="00FC49BB"/>
    <w:rsid w:val="00FC7718"/>
    <w:rsid w:val="00FD28D8"/>
    <w:rsid w:val="00FD47EC"/>
    <w:rsid w:val="00FD544D"/>
    <w:rsid w:val="00FD616B"/>
    <w:rsid w:val="00FE07C2"/>
    <w:rsid w:val="00FE10B9"/>
    <w:rsid w:val="00FE1D5D"/>
    <w:rsid w:val="00FE23CB"/>
    <w:rsid w:val="00FE367F"/>
    <w:rsid w:val="00FE6A13"/>
    <w:rsid w:val="00FF0DAE"/>
    <w:rsid w:val="00FF29DC"/>
    <w:rsid w:val="00FF385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33C18419"/>
  <w15:docId w15:val="{EF11BAE7-8071-BE40-BEFB-3D312D61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216CE8"/>
    <w:rPr>
      <w:rFonts w:ascii="Cambria" w:hAnsi="Cambria"/>
      <w:lang w:eastAsia="en-US"/>
    </w:rPr>
  </w:style>
  <w:style w:type="paragraph" w:styleId="Heading1">
    <w:name w:val="heading 1"/>
    <w:next w:val="DJCSbody"/>
    <w:link w:val="Heading1Char"/>
    <w:uiPriority w:val="1"/>
    <w:qFormat/>
    <w:rsid w:val="00AC24F5"/>
    <w:pPr>
      <w:keepNext/>
      <w:keepLines/>
      <w:spacing w:before="360" w:after="240" w:line="260" w:lineRule="atLeast"/>
      <w:outlineLvl w:val="0"/>
    </w:pPr>
    <w:rPr>
      <w:rFonts w:ascii="Arial" w:eastAsia="MS Gothic" w:hAnsi="Arial" w:cs="Arial"/>
      <w:b/>
      <w:bCs/>
      <w:color w:val="16145F" w:themeColor="accent3"/>
      <w:kern w:val="32"/>
      <w:sz w:val="32"/>
      <w:szCs w:val="40"/>
      <w:lang w:eastAsia="en-US"/>
    </w:rPr>
  </w:style>
  <w:style w:type="paragraph" w:styleId="Heading2">
    <w:name w:val="heading 2"/>
    <w:next w:val="DJCSbody"/>
    <w:link w:val="Heading2Char"/>
    <w:uiPriority w:val="1"/>
    <w:qFormat/>
    <w:rsid w:val="00AC24F5"/>
    <w:pPr>
      <w:keepNext/>
      <w:keepLines/>
      <w:spacing w:before="240" w:after="120" w:line="320" w:lineRule="atLeast"/>
      <w:outlineLvl w:val="1"/>
    </w:pPr>
    <w:rPr>
      <w:rFonts w:ascii="Arial" w:eastAsiaTheme="majorEastAsia" w:hAnsi="Arial" w:cstheme="majorBidi"/>
      <w:b/>
      <w:color w:val="16145F" w:themeColor="accent3"/>
      <w:sz w:val="28"/>
      <w:szCs w:val="28"/>
      <w:lang w:eastAsia="en-US"/>
    </w:rPr>
  </w:style>
  <w:style w:type="paragraph" w:styleId="Heading3">
    <w:name w:val="heading 3"/>
    <w:next w:val="DJCSbody"/>
    <w:link w:val="Heading3Char"/>
    <w:uiPriority w:val="1"/>
    <w:unhideWhenUsed/>
    <w:qFormat/>
    <w:rsid w:val="00BA5A04"/>
    <w:pPr>
      <w:keepNext/>
      <w:keepLines/>
      <w:spacing w:before="280" w:after="120" w:line="200" w:lineRule="atLeast"/>
      <w:outlineLvl w:val="2"/>
    </w:pPr>
    <w:rPr>
      <w:rFonts w:ascii="Arial" w:eastAsia="MS Gothic" w:hAnsi="Arial" w:cstheme="majorBidi"/>
      <w:b/>
      <w:bCs/>
      <w:color w:val="808080" w:themeColor="background1" w:themeShade="80"/>
      <w:sz w:val="24"/>
      <w:szCs w:val="26"/>
      <w:lang w:eastAsia="en-US"/>
    </w:rPr>
  </w:style>
  <w:style w:type="paragraph" w:styleId="Heading4">
    <w:name w:val="heading 4"/>
    <w:next w:val="DJCSbody"/>
    <w:link w:val="Heading4Char"/>
    <w:uiPriority w:val="1"/>
    <w:unhideWhenUsed/>
    <w:qFormat/>
    <w:rsid w:val="00BA5A04"/>
    <w:pPr>
      <w:keepNext/>
      <w:keepLines/>
      <w:spacing w:before="240" w:after="120" w:line="240" w:lineRule="atLeast"/>
      <w:ind w:left="851"/>
      <w:outlineLvl w:val="3"/>
    </w:pPr>
    <w:rPr>
      <w:rFonts w:ascii="Arial" w:eastAsia="MS Mincho" w:hAnsi="Arial" w:cstheme="majorBidi"/>
      <w:b/>
      <w:bCs/>
      <w:color w:val="808080" w:themeColor="background1" w:themeShade="80"/>
      <w:sz w:val="22"/>
      <w:lang w:eastAsia="en-US"/>
    </w:rPr>
  </w:style>
  <w:style w:type="paragraph" w:styleId="Heading5">
    <w:name w:val="heading 5"/>
    <w:basedOn w:val="Normal"/>
    <w:next w:val="Normal"/>
    <w:link w:val="Heading5Char"/>
    <w:uiPriority w:val="9"/>
    <w:semiHidden/>
    <w:rsid w:val="00A062B1"/>
    <w:pPr>
      <w:spacing w:before="240" w:after="60"/>
      <w:ind w:left="680"/>
      <w:outlineLvl w:val="4"/>
    </w:pPr>
    <w:rPr>
      <w:rFonts w:ascii="Arial" w:eastAsia="MS Mincho" w:hAnsi="Arial" w:cstheme="majorBidi"/>
      <w:bCs/>
      <w:i/>
      <w:iCs/>
      <w:color w:val="16145F" w:themeColor="accent3"/>
      <w:sz w:val="22"/>
      <w:szCs w:val="26"/>
    </w:rPr>
  </w:style>
  <w:style w:type="paragraph" w:styleId="Heading6">
    <w:name w:val="heading 6"/>
    <w:basedOn w:val="Normal"/>
    <w:next w:val="Normal"/>
    <w:link w:val="Heading6Char"/>
    <w:uiPriority w:val="9"/>
    <w:semiHidden/>
    <w:unhideWhenUsed/>
    <w:qFormat/>
    <w:rsid w:val="00C40BFD"/>
    <w:pPr>
      <w:keepNext/>
      <w:keepLines/>
      <w:spacing w:before="40"/>
      <w:outlineLvl w:val="5"/>
    </w:pPr>
    <w:rPr>
      <w:rFonts w:asciiTheme="majorHAnsi" w:eastAsiaTheme="majorEastAsia" w:hAnsiTheme="majorHAnsi" w:cstheme="majorBidi"/>
      <w:color w:val="003E61" w:themeColor="accent1" w:themeShade="7F"/>
    </w:rPr>
  </w:style>
  <w:style w:type="paragraph" w:styleId="Heading7">
    <w:name w:val="heading 7"/>
    <w:basedOn w:val="Normal"/>
    <w:next w:val="Normal"/>
    <w:link w:val="Heading7Char"/>
    <w:uiPriority w:val="9"/>
    <w:semiHidden/>
    <w:unhideWhenUsed/>
    <w:qFormat/>
    <w:rsid w:val="00C40BFD"/>
    <w:pPr>
      <w:keepNext/>
      <w:keepLines/>
      <w:spacing w:before="40"/>
      <w:outlineLvl w:val="6"/>
    </w:pPr>
    <w:rPr>
      <w:rFonts w:asciiTheme="majorHAnsi" w:eastAsiaTheme="majorEastAsia" w:hAnsiTheme="majorHAnsi" w:cstheme="majorBidi"/>
      <w:i/>
      <w:iCs/>
      <w:color w:val="003E61" w:themeColor="accent1" w:themeShade="7F"/>
    </w:rPr>
  </w:style>
  <w:style w:type="paragraph" w:styleId="Heading8">
    <w:name w:val="heading 8"/>
    <w:basedOn w:val="Normal"/>
    <w:next w:val="Normal"/>
    <w:link w:val="Heading8Char"/>
    <w:uiPriority w:val="9"/>
    <w:semiHidden/>
    <w:unhideWhenUsed/>
    <w:qFormat/>
    <w:rsid w:val="00C40BF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0BF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C24F5"/>
    <w:rPr>
      <w:rFonts w:ascii="Arial" w:eastAsia="MS Gothic" w:hAnsi="Arial" w:cs="Arial"/>
      <w:b/>
      <w:bCs/>
      <w:color w:val="16145F" w:themeColor="accent3"/>
      <w:kern w:val="32"/>
      <w:sz w:val="32"/>
      <w:szCs w:val="40"/>
      <w:lang w:eastAsia="en-US"/>
    </w:rPr>
  </w:style>
  <w:style w:type="character" w:customStyle="1" w:styleId="Heading2Char">
    <w:name w:val="Heading 2 Char"/>
    <w:link w:val="Heading2"/>
    <w:uiPriority w:val="1"/>
    <w:rsid w:val="00AC24F5"/>
    <w:rPr>
      <w:rFonts w:ascii="Arial" w:eastAsiaTheme="majorEastAsia" w:hAnsi="Arial" w:cstheme="majorBidi"/>
      <w:b/>
      <w:color w:val="16145F" w:themeColor="accent3"/>
      <w:sz w:val="28"/>
      <w:szCs w:val="28"/>
      <w:lang w:eastAsia="en-US"/>
    </w:rPr>
  </w:style>
  <w:style w:type="character" w:customStyle="1" w:styleId="Heading3Char">
    <w:name w:val="Heading 3 Char"/>
    <w:link w:val="Heading3"/>
    <w:uiPriority w:val="1"/>
    <w:rsid w:val="00BA5A04"/>
    <w:rPr>
      <w:rFonts w:ascii="Arial" w:eastAsia="MS Gothic" w:hAnsi="Arial" w:cstheme="majorBidi"/>
      <w:b/>
      <w:bCs/>
      <w:color w:val="808080" w:themeColor="background1" w:themeShade="80"/>
      <w:sz w:val="24"/>
      <w:szCs w:val="26"/>
      <w:lang w:eastAsia="en-US"/>
    </w:rPr>
  </w:style>
  <w:style w:type="character" w:customStyle="1" w:styleId="Heading4Char">
    <w:name w:val="Heading 4 Char"/>
    <w:link w:val="Heading4"/>
    <w:uiPriority w:val="1"/>
    <w:rsid w:val="00BA5A04"/>
    <w:rPr>
      <w:rFonts w:ascii="Arial" w:eastAsia="MS Mincho" w:hAnsi="Arial" w:cstheme="majorBidi"/>
      <w:b/>
      <w:bCs/>
      <w:color w:val="808080" w:themeColor="background1" w:themeShade="80"/>
      <w:sz w:val="22"/>
      <w:lang w:eastAsia="en-US"/>
    </w:rPr>
  </w:style>
  <w:style w:type="paragraph" w:customStyle="1" w:styleId="DJCSbodynospace">
    <w:name w:val="DJCS body no space"/>
    <w:basedOn w:val="DJCSbody"/>
    <w:rsid w:val="00BE6A62"/>
    <w:pPr>
      <w:spacing w:after="0"/>
    </w:pPr>
  </w:style>
  <w:style w:type="character" w:styleId="FollowedHyperlink">
    <w:name w:val="FollowedHyperlink"/>
    <w:uiPriority w:val="99"/>
    <w:rsid w:val="00DC6466"/>
    <w:rPr>
      <w:color w:val="00529B" w:themeColor="accent2"/>
      <w:u w:val="dotted"/>
    </w:rPr>
  </w:style>
  <w:style w:type="paragraph" w:styleId="Subtitle">
    <w:name w:val="Subtitle"/>
    <w:basedOn w:val="Normal"/>
    <w:next w:val="Normal"/>
    <w:link w:val="SubtitleChar"/>
    <w:uiPriority w:val="11"/>
    <w:semiHidden/>
    <w:rsid w:val="00EF5AD7"/>
    <w:pPr>
      <w:spacing w:after="60"/>
      <w:jc w:val="center"/>
    </w:pPr>
    <w:rPr>
      <w:rFonts w:ascii="Calibri Light" w:eastAsiaTheme="majorEastAsia" w:hAnsi="Calibri Light" w:cstheme="majorBidi"/>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2310F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JCSreportsubtitlecover">
    <w:name w:val="DJCS report subtitle cover"/>
    <w:basedOn w:val="Normal"/>
    <w:uiPriority w:val="4"/>
    <w:rsid w:val="00AC24F5"/>
    <w:pPr>
      <w:spacing w:after="120" w:line="380" w:lineRule="atLeast"/>
    </w:pPr>
    <w:rPr>
      <w:rFonts w:ascii="Arial" w:hAnsi="Arial"/>
      <w:color w:val="808080" w:themeColor="background1" w:themeShade="80"/>
      <w:sz w:val="32"/>
      <w:szCs w:val="30"/>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BE6A62"/>
    <w:pPr>
      <w:keepNext/>
      <w:keepLines/>
      <w:tabs>
        <w:tab w:val="left" w:pos="567"/>
        <w:tab w:val="right" w:leader="dot" w:pos="10204"/>
      </w:tabs>
      <w:spacing w:before="160" w:after="60" w:line="270" w:lineRule="atLeast"/>
    </w:pPr>
    <w:rPr>
      <w:rFonts w:ascii="Arial" w:hAnsi="Arial"/>
      <w:b/>
      <w:noProof/>
      <w:color w:val="000000" w:themeColor="text1"/>
    </w:rPr>
  </w:style>
  <w:style w:type="paragraph" w:styleId="TOC2">
    <w:name w:val="toc 2"/>
    <w:basedOn w:val="Normal"/>
    <w:next w:val="Normal"/>
    <w:uiPriority w:val="39"/>
    <w:rsid w:val="00BE6A62"/>
    <w:pPr>
      <w:keepNext/>
      <w:keepLines/>
      <w:tabs>
        <w:tab w:val="left" w:pos="567"/>
        <w:tab w:val="right" w:leader="dot" w:pos="10204"/>
      </w:tabs>
      <w:spacing w:after="60" w:line="270" w:lineRule="atLeast"/>
    </w:pPr>
    <w:rPr>
      <w:rFonts w:ascii="Arial" w:hAnsi="Arial"/>
      <w:noProof/>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JCSreportmaintitlecover">
    <w:name w:val="DJCS report main title cover"/>
    <w:uiPriority w:val="4"/>
    <w:rsid w:val="00AC24F5"/>
    <w:pPr>
      <w:keepLines/>
      <w:spacing w:after="240" w:line="580" w:lineRule="atLeast"/>
    </w:pPr>
    <w:rPr>
      <w:rFonts w:ascii="Arial" w:hAnsi="Arial"/>
      <w:b/>
      <w:bCs/>
      <w:color w:val="16145F" w:themeColor="accent3"/>
      <w:sz w:val="52"/>
      <w:szCs w:val="50"/>
      <w:lang w:eastAsia="en-US"/>
    </w:rPr>
  </w:style>
  <w:style w:type="character" w:customStyle="1" w:styleId="Heading5Char">
    <w:name w:val="Heading 5 Char"/>
    <w:link w:val="Heading5"/>
    <w:uiPriority w:val="9"/>
    <w:semiHidden/>
    <w:rsid w:val="00A062B1"/>
    <w:rPr>
      <w:rFonts w:ascii="Arial" w:eastAsia="MS Mincho" w:hAnsi="Arial" w:cstheme="majorBidi"/>
      <w:bCs/>
      <w:i/>
      <w:iCs/>
      <w:color w:val="16145F" w:themeColor="accent3"/>
      <w:sz w:val="22"/>
      <w:szCs w:val="26"/>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DC6466"/>
    <w:rPr>
      <w:color w:val="007DC3" w:themeColor="accent1"/>
      <w:u w:val="dotted"/>
    </w:rPr>
  </w:style>
  <w:style w:type="numbering" w:customStyle="1" w:styleId="DJRHeading1">
    <w:name w:val="DJR Heading 1"/>
    <w:uiPriority w:val="99"/>
    <w:rsid w:val="000B1B83"/>
    <w:pPr>
      <w:numPr>
        <w:numId w:val="7"/>
      </w:numPr>
    </w:pPr>
  </w:style>
  <w:style w:type="paragraph" w:styleId="BodyText">
    <w:name w:val="Body Text"/>
    <w:basedOn w:val="Normal"/>
    <w:link w:val="BodyTextChar"/>
    <w:uiPriority w:val="1"/>
    <w:semiHidden/>
    <w:unhideWhenUsed/>
    <w:qFormat/>
    <w:rsid w:val="00C40BFD"/>
    <w:pPr>
      <w:spacing w:after="120"/>
    </w:pPr>
  </w:style>
  <w:style w:type="character" w:customStyle="1" w:styleId="BodyTextChar">
    <w:name w:val="Body Text Char"/>
    <w:basedOn w:val="DefaultParagraphFont"/>
    <w:link w:val="BodyText"/>
    <w:uiPriority w:val="1"/>
    <w:semiHidden/>
    <w:rsid w:val="00C40BFD"/>
    <w:rPr>
      <w:rFonts w:ascii="Cambria" w:hAnsi="Cambria"/>
      <w:lang w:eastAsia="en-US"/>
    </w:rPr>
  </w:style>
  <w:style w:type="paragraph" w:customStyle="1" w:styleId="DJCSfooter">
    <w:name w:val="DJCS footer"/>
    <w:uiPriority w:val="11"/>
    <w:rsid w:val="00140BA7"/>
    <w:pPr>
      <w:tabs>
        <w:tab w:val="right" w:pos="9299"/>
      </w:tabs>
      <w:spacing w:after="40"/>
    </w:pPr>
    <w:rPr>
      <w:rFonts w:ascii="Arial" w:hAnsi="Arial" w:cs="Arial"/>
      <w:szCs w:val="18"/>
      <w:lang w:eastAsia="en-US"/>
    </w:rPr>
  </w:style>
  <w:style w:type="character" w:customStyle="1" w:styleId="Heading6Char">
    <w:name w:val="Heading 6 Char"/>
    <w:basedOn w:val="DefaultParagraphFont"/>
    <w:link w:val="Heading6"/>
    <w:uiPriority w:val="9"/>
    <w:semiHidden/>
    <w:rsid w:val="00C40BFD"/>
    <w:rPr>
      <w:rFonts w:asciiTheme="majorHAnsi" w:eastAsiaTheme="majorEastAsia" w:hAnsiTheme="majorHAnsi" w:cstheme="majorBidi"/>
      <w:color w:val="003E61" w:themeColor="accent1" w:themeShade="7F"/>
      <w:lang w:eastAsia="en-US"/>
    </w:rPr>
  </w:style>
  <w:style w:type="paragraph" w:customStyle="1" w:styleId="DJCSheader">
    <w:name w:val="DJCS header"/>
    <w:basedOn w:val="DJCSfooter"/>
    <w:uiPriority w:val="11"/>
    <w:rsid w:val="004B65F7"/>
    <w:pPr>
      <w:tabs>
        <w:tab w:val="clear" w:pos="9299"/>
        <w:tab w:val="right" w:pos="8505"/>
      </w:tabs>
      <w:ind w:left="284"/>
    </w:pPr>
    <w:rPr>
      <w:color w:val="FFFFFF" w:themeColor="background1"/>
    </w:rPr>
  </w:style>
  <w:style w:type="character" w:styleId="Strong">
    <w:name w:val="Strong"/>
    <w:uiPriority w:val="22"/>
    <w:qFormat/>
    <w:rsid w:val="00EF5AD7"/>
    <w:rPr>
      <w:b/>
      <w:bCs/>
    </w:rPr>
  </w:style>
  <w:style w:type="character" w:customStyle="1" w:styleId="Heading7Char">
    <w:name w:val="Heading 7 Char"/>
    <w:basedOn w:val="DefaultParagraphFont"/>
    <w:link w:val="Heading7"/>
    <w:uiPriority w:val="9"/>
    <w:semiHidden/>
    <w:rsid w:val="00C40BFD"/>
    <w:rPr>
      <w:rFonts w:asciiTheme="majorHAnsi" w:eastAsiaTheme="majorEastAsia" w:hAnsiTheme="majorHAnsi" w:cstheme="majorBidi"/>
      <w:i/>
      <w:iCs/>
      <w:color w:val="003E61" w:themeColor="accent1" w:themeShade="7F"/>
      <w:lang w:eastAsia="en-US"/>
    </w:rPr>
  </w:style>
  <w:style w:type="paragraph" w:customStyle="1" w:styleId="DJRTOCheadingreport">
    <w:name w:val="DJR TOC heading report"/>
    <w:link w:val="DJRTOCheadingreportChar"/>
    <w:uiPriority w:val="5"/>
    <w:rsid w:val="00BA5A04"/>
    <w:rPr>
      <w:rFonts w:ascii="Arial" w:eastAsia="MS Gothic" w:hAnsi="Arial" w:cs="Arial"/>
      <w:b/>
      <w:bCs/>
      <w:color w:val="808080" w:themeColor="background1" w:themeShade="80"/>
      <w:kern w:val="32"/>
      <w:sz w:val="40"/>
      <w:szCs w:val="40"/>
      <w:lang w:eastAsia="en-US"/>
    </w:rPr>
  </w:style>
  <w:style w:type="character" w:customStyle="1" w:styleId="DJRTOCheadingreportChar">
    <w:name w:val="DJR TOC heading report Char"/>
    <w:link w:val="DJRTOCheadingreport"/>
    <w:uiPriority w:val="5"/>
    <w:rsid w:val="00BA5A04"/>
    <w:rPr>
      <w:rFonts w:ascii="Arial" w:eastAsia="MS Gothic" w:hAnsi="Arial" w:cs="Arial"/>
      <w:b/>
      <w:bCs/>
      <w:color w:val="808080" w:themeColor="background1" w:themeShade="80"/>
      <w:kern w:val="32"/>
      <w:sz w:val="40"/>
      <w:szCs w:val="40"/>
      <w:lang w:eastAsia="en-US"/>
    </w:rPr>
  </w:style>
  <w:style w:type="character" w:customStyle="1" w:styleId="Heading8Char">
    <w:name w:val="Heading 8 Char"/>
    <w:basedOn w:val="DefaultParagraphFont"/>
    <w:link w:val="Heading8"/>
    <w:uiPriority w:val="9"/>
    <w:semiHidden/>
    <w:rsid w:val="00C40BF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40BFD"/>
    <w:rPr>
      <w:rFonts w:asciiTheme="majorHAnsi" w:eastAsiaTheme="majorEastAsia" w:hAnsiTheme="majorHAnsi" w:cstheme="majorBidi"/>
      <w:i/>
      <w:iCs/>
      <w:color w:val="272727" w:themeColor="text1" w:themeTint="D8"/>
      <w:sz w:val="21"/>
      <w:szCs w:val="21"/>
      <w:lang w:eastAsia="en-US"/>
    </w:rPr>
  </w:style>
  <w:style w:type="numbering" w:customStyle="1" w:styleId="ZZBullets">
    <w:name w:val="ZZ Bullets"/>
    <w:rsid w:val="00B1331D"/>
    <w:pPr>
      <w:numPr>
        <w:numId w:val="1"/>
      </w:numPr>
    </w:pPr>
  </w:style>
  <w:style w:type="numbering" w:customStyle="1" w:styleId="DJRHeadingnumber">
    <w:name w:val="DJR Heading number"/>
    <w:uiPriority w:val="99"/>
    <w:rsid w:val="00CE640F"/>
    <w:pPr>
      <w:numPr>
        <w:numId w:val="8"/>
      </w:numPr>
    </w:pPr>
  </w:style>
  <w:style w:type="character" w:customStyle="1" w:styleId="SubtitleChar">
    <w:name w:val="Subtitle Char"/>
    <w:link w:val="Subtitle"/>
    <w:uiPriority w:val="11"/>
    <w:semiHidden/>
    <w:rsid w:val="00024960"/>
    <w:rPr>
      <w:rFonts w:ascii="Calibri Light" w:eastAsiaTheme="majorEastAsia" w:hAnsi="Calibri Light" w:cstheme="majorBidi"/>
      <w:sz w:val="24"/>
      <w:szCs w:val="24"/>
      <w:lang w:eastAsia="en-US"/>
    </w:rPr>
  </w:style>
  <w:style w:type="numbering" w:customStyle="1" w:styleId="ZZNumbersdigit">
    <w:name w:val="ZZ Numbers digit"/>
    <w:rsid w:val="00AF5978"/>
    <w:pPr>
      <w:numPr>
        <w:numId w:val="2"/>
      </w:numPr>
    </w:pPr>
  </w:style>
  <w:style w:type="numbering" w:customStyle="1" w:styleId="ZZNumbersloweralpha">
    <w:name w:val="ZZ Numbers lower alpha"/>
    <w:basedOn w:val="NoList"/>
    <w:rsid w:val="00EF76EE"/>
    <w:pPr>
      <w:numPr>
        <w:numId w:val="3"/>
      </w:numPr>
    </w:pPr>
  </w:style>
  <w:style w:type="numbering" w:customStyle="1" w:styleId="ZZQuotebullets">
    <w:name w:val="ZZ Quote bullets"/>
    <w:basedOn w:val="ZZNumbersdigit"/>
    <w:rsid w:val="00317505"/>
    <w:pPr>
      <w:numPr>
        <w:numId w:val="5"/>
      </w:numPr>
    </w:pPr>
  </w:style>
  <w:style w:type="numbering" w:customStyle="1" w:styleId="ZZNumberslowerromanindent">
    <w:name w:val="ZZ Numbers lower roman indent"/>
    <w:basedOn w:val="ZZQuotebullets"/>
    <w:rsid w:val="00575097"/>
    <w:pPr>
      <w:numPr>
        <w:numId w:val="4"/>
      </w:numPr>
    </w:pPr>
  </w:style>
  <w:style w:type="numbering" w:customStyle="1" w:styleId="ZZTablebullets">
    <w:name w:val="ZZ Table bullets"/>
    <w:basedOn w:val="NoList"/>
    <w:rsid w:val="008669BE"/>
    <w:pPr>
      <w:numPr>
        <w:numId w:val="6"/>
      </w:numPr>
    </w:pPr>
  </w:style>
  <w:style w:type="paragraph" w:customStyle="1" w:styleId="DJCSbody">
    <w:name w:val="DJCS body"/>
    <w:link w:val="DJCSbodyChar"/>
    <w:qFormat/>
    <w:rsid w:val="00BE6A62"/>
    <w:pPr>
      <w:spacing w:after="120" w:line="250" w:lineRule="atLeast"/>
      <w:ind w:left="851"/>
    </w:pPr>
    <w:rPr>
      <w:rFonts w:ascii="Arial" w:eastAsia="Times" w:hAnsi="Arial"/>
      <w:sz w:val="22"/>
      <w:lang w:eastAsia="en-US"/>
    </w:rPr>
  </w:style>
  <w:style w:type="paragraph" w:customStyle="1" w:styleId="DJCSlist-bulletlevel1">
    <w:name w:val="DJCS list - bullet level 1"/>
    <w:basedOn w:val="DJCSbody"/>
    <w:qFormat/>
    <w:rsid w:val="00BE6A62"/>
    <w:pPr>
      <w:numPr>
        <w:numId w:val="16"/>
      </w:numPr>
      <w:tabs>
        <w:tab w:val="clear" w:pos="680"/>
        <w:tab w:val="num" w:pos="1134"/>
      </w:tabs>
      <w:spacing w:after="40"/>
      <w:ind w:left="1134"/>
    </w:pPr>
  </w:style>
  <w:style w:type="paragraph" w:customStyle="1" w:styleId="DJCStabletext">
    <w:name w:val="DJCS table text"/>
    <w:uiPriority w:val="3"/>
    <w:qFormat/>
    <w:rsid w:val="00C40BFD"/>
    <w:pPr>
      <w:spacing w:before="80" w:after="60"/>
    </w:pPr>
    <w:rPr>
      <w:rFonts w:ascii="Arial" w:hAnsi="Arial"/>
      <w:sz w:val="22"/>
      <w:lang w:eastAsia="en-US"/>
    </w:rPr>
  </w:style>
  <w:style w:type="paragraph" w:customStyle="1" w:styleId="DJCStablecaption">
    <w:name w:val="DJCS table caption"/>
    <w:next w:val="DJCSbody"/>
    <w:uiPriority w:val="3"/>
    <w:qFormat/>
    <w:rsid w:val="00BE6A62"/>
    <w:pPr>
      <w:keepNext/>
      <w:keepLines/>
      <w:spacing w:before="240" w:after="120" w:line="240" w:lineRule="atLeast"/>
      <w:ind w:left="851"/>
    </w:pPr>
    <w:rPr>
      <w:rFonts w:ascii="Arial" w:hAnsi="Arial"/>
      <w:i/>
      <w:color w:val="000000" w:themeColor="text1"/>
      <w:sz w:val="22"/>
      <w:lang w:eastAsia="en-US"/>
    </w:rPr>
  </w:style>
  <w:style w:type="paragraph" w:customStyle="1" w:styleId="DJCSbody-introbold115">
    <w:name w:val="DJCS body - intro bold 11.5"/>
    <w:basedOn w:val="DJCSbody"/>
    <w:uiPriority w:val="11"/>
    <w:rsid w:val="00BE6A62"/>
    <w:pPr>
      <w:spacing w:after="240"/>
    </w:pPr>
    <w:rPr>
      <w:b/>
      <w:sz w:val="23"/>
    </w:rPr>
  </w:style>
  <w:style w:type="paragraph" w:customStyle="1" w:styleId="DJCSfigurecaption">
    <w:name w:val="DJCS figure caption"/>
    <w:next w:val="DJCSbody"/>
    <w:rsid w:val="00BE6A62"/>
    <w:pPr>
      <w:keepNext/>
      <w:keepLines/>
      <w:spacing w:before="240" w:after="120"/>
      <w:ind w:left="851"/>
    </w:pPr>
    <w:rPr>
      <w:rFonts w:ascii="Arial" w:hAnsi="Arial"/>
      <w:i/>
      <w:color w:val="000000" w:themeColor="text1"/>
      <w:sz w:val="22"/>
      <w:lang w:eastAsia="en-US"/>
    </w:rPr>
  </w:style>
  <w:style w:type="paragraph" w:customStyle="1" w:styleId="DJCSlist-bulletlevel2">
    <w:name w:val="DJCS list - bullet level 2"/>
    <w:basedOn w:val="DJCSbody"/>
    <w:uiPriority w:val="2"/>
    <w:qFormat/>
    <w:rsid w:val="00BE6A62"/>
    <w:pPr>
      <w:numPr>
        <w:ilvl w:val="1"/>
        <w:numId w:val="16"/>
      </w:numPr>
      <w:spacing w:after="40"/>
      <w:ind w:left="1701"/>
    </w:pPr>
  </w:style>
  <w:style w:type="paragraph" w:customStyle="1" w:styleId="DJCSbodyafterbullets">
    <w:name w:val="DJCS body after bullets"/>
    <w:basedOn w:val="DJCSbody"/>
    <w:uiPriority w:val="11"/>
    <w:rsid w:val="00BE6A62"/>
    <w:pPr>
      <w:spacing w:before="120"/>
    </w:pPr>
  </w:style>
  <w:style w:type="paragraph" w:customStyle="1" w:styleId="DJCStablebullet2">
    <w:name w:val="DJCS table bullet 2"/>
    <w:basedOn w:val="DJCStabletext"/>
    <w:uiPriority w:val="11"/>
    <w:rsid w:val="00BE6A62"/>
    <w:pPr>
      <w:numPr>
        <w:ilvl w:val="1"/>
        <w:numId w:val="14"/>
      </w:numPr>
      <w:tabs>
        <w:tab w:val="clear" w:pos="227"/>
        <w:tab w:val="num" w:pos="369"/>
      </w:tabs>
      <w:ind w:left="596"/>
    </w:pPr>
  </w:style>
  <w:style w:type="paragraph" w:customStyle="1" w:styleId="DJCStablebullet1">
    <w:name w:val="DJCS table bullet 1"/>
    <w:basedOn w:val="DJCStabletext"/>
    <w:uiPriority w:val="3"/>
    <w:qFormat/>
    <w:rsid w:val="00BE6A62"/>
    <w:pPr>
      <w:numPr>
        <w:numId w:val="17"/>
      </w:numPr>
      <w:ind w:left="312" w:hanging="283"/>
    </w:pPr>
  </w:style>
  <w:style w:type="paragraph" w:customStyle="1" w:styleId="DJCSlist-bulletsafterlevel1numberromanoralpha">
    <w:name w:val="DJCS list - bullets after level 1 number roman or alpha"/>
    <w:basedOn w:val="DJCSbody"/>
    <w:uiPriority w:val="4"/>
    <w:rsid w:val="00BE6A62"/>
    <w:pPr>
      <w:numPr>
        <w:numId w:val="2"/>
      </w:numPr>
      <w:ind w:left="1560"/>
    </w:pPr>
  </w:style>
  <w:style w:type="character" w:customStyle="1" w:styleId="FootnoteTextChar">
    <w:name w:val="Footnote Text Char"/>
    <w:link w:val="FootnoteText"/>
    <w:uiPriority w:val="8"/>
    <w:rsid w:val="00F95057"/>
    <w:rPr>
      <w:rFonts w:ascii="Arial" w:eastAsia="MS Gothic" w:hAnsi="Arial" w:cs="Arial"/>
      <w:sz w:val="16"/>
      <w:szCs w:val="16"/>
      <w:lang w:eastAsia="en-US"/>
    </w:rPr>
  </w:style>
  <w:style w:type="paragraph" w:customStyle="1" w:styleId="DJCSlist-numberdigitlevel1">
    <w:name w:val="DJCS list - number digit level 1"/>
    <w:basedOn w:val="DJCSbody"/>
    <w:uiPriority w:val="2"/>
    <w:rsid w:val="00BE6A62"/>
    <w:pPr>
      <w:numPr>
        <w:numId w:val="12"/>
      </w:numPr>
      <w:tabs>
        <w:tab w:val="clear" w:pos="680"/>
        <w:tab w:val="num" w:pos="1276"/>
      </w:tabs>
      <w:ind w:left="1276"/>
    </w:pPr>
  </w:style>
  <w:style w:type="paragraph" w:customStyle="1" w:styleId="DJCSlist-loweralphalevel2">
    <w:name w:val="DJCS list - lower alpha level 2"/>
    <w:basedOn w:val="DJCSbody"/>
    <w:uiPriority w:val="3"/>
    <w:rsid w:val="00BE6A62"/>
    <w:pPr>
      <w:numPr>
        <w:numId w:val="9"/>
      </w:numPr>
      <w:ind w:left="1701"/>
    </w:pPr>
  </w:style>
  <w:style w:type="paragraph" w:customStyle="1" w:styleId="DJCSlist-numberdigitlevel2">
    <w:name w:val="DJCS list - number digit level 2"/>
    <w:basedOn w:val="DJCSlist-loweralphalevel2"/>
    <w:uiPriority w:val="3"/>
    <w:rsid w:val="00BE6A62"/>
  </w:style>
  <w:style w:type="paragraph" w:customStyle="1" w:styleId="DJCSlist-loweralphalevel1">
    <w:name w:val="DJCS list - lower alpha level 1"/>
    <w:basedOn w:val="DJCSbody"/>
    <w:uiPriority w:val="3"/>
    <w:rsid w:val="00BE6A62"/>
    <w:pPr>
      <w:numPr>
        <w:numId w:val="3"/>
      </w:numPr>
      <w:tabs>
        <w:tab w:val="num" w:pos="1276"/>
      </w:tabs>
      <w:ind w:left="1276"/>
    </w:pPr>
  </w:style>
  <w:style w:type="paragraph" w:customStyle="1" w:styleId="DJCSlist-lowerromanlevel1">
    <w:name w:val="DJCS list - lower roman level 1"/>
    <w:basedOn w:val="DJCSbody"/>
    <w:uiPriority w:val="3"/>
    <w:rsid w:val="00BE6A62"/>
    <w:pPr>
      <w:numPr>
        <w:numId w:val="11"/>
      </w:numPr>
      <w:ind w:left="1276"/>
    </w:pPr>
  </w:style>
  <w:style w:type="paragraph" w:customStyle="1" w:styleId="DJCSlist-lowerromanlevel2">
    <w:name w:val="DJCS list - lower roman level 2"/>
    <w:basedOn w:val="DJCSbody"/>
    <w:uiPriority w:val="3"/>
    <w:rsid w:val="00BE6A62"/>
    <w:pPr>
      <w:numPr>
        <w:numId w:val="4"/>
      </w:numPr>
      <w:ind w:left="1701"/>
    </w:pPr>
  </w:style>
  <w:style w:type="paragraph" w:customStyle="1" w:styleId="DJCSquote">
    <w:name w:val="DJCS quote"/>
    <w:basedOn w:val="DJCSbody"/>
    <w:uiPriority w:val="4"/>
    <w:rsid w:val="00BE6A62"/>
    <w:pPr>
      <w:ind w:left="1276"/>
    </w:pPr>
    <w:rPr>
      <w:i/>
      <w:szCs w:val="18"/>
    </w:rPr>
  </w:style>
  <w:style w:type="paragraph" w:customStyle="1" w:styleId="DJCStablefigurenote">
    <w:name w:val="DJCS table/figure note"/>
    <w:uiPriority w:val="4"/>
    <w:rsid w:val="00BE6A62"/>
    <w:pPr>
      <w:spacing w:before="60" w:after="60" w:line="220" w:lineRule="exact"/>
      <w:ind w:left="851"/>
    </w:pPr>
    <w:rPr>
      <w:rFonts w:ascii="Arial" w:hAnsi="Arial"/>
      <w:sz w:val="18"/>
      <w:lang w:eastAsia="en-US"/>
    </w:rPr>
  </w:style>
  <w:style w:type="paragraph" w:customStyle="1" w:styleId="DJCSbodyaftertablefigure">
    <w:name w:val="DJCS body after table/figure"/>
    <w:basedOn w:val="DJCSbody"/>
    <w:next w:val="DJCSbody"/>
    <w:uiPriority w:val="1"/>
    <w:rsid w:val="00BE6A62"/>
    <w:pPr>
      <w:spacing w:before="240"/>
    </w:pPr>
  </w:style>
  <w:style w:type="paragraph" w:customStyle="1" w:styleId="DJCSlist-bulletsafterlevel2numberromanoralpha">
    <w:name w:val="DJCS list - bullets after level 2 number roman or alpha"/>
    <w:basedOn w:val="DJCSbody"/>
    <w:rsid w:val="00BE6A62"/>
    <w:pPr>
      <w:numPr>
        <w:ilvl w:val="1"/>
        <w:numId w:val="2"/>
      </w:numPr>
      <w:ind w:left="1985"/>
    </w:pPr>
  </w:style>
  <w:style w:type="paragraph" w:customStyle="1" w:styleId="DJCSquotebullet1">
    <w:name w:val="DJCS quote bullet 1"/>
    <w:basedOn w:val="DJCSquote"/>
    <w:rsid w:val="00BE6A62"/>
    <w:pPr>
      <w:numPr>
        <w:numId w:val="5"/>
      </w:numPr>
      <w:tabs>
        <w:tab w:val="clear" w:pos="1304"/>
        <w:tab w:val="num" w:pos="1701"/>
      </w:tabs>
      <w:ind w:left="1701"/>
    </w:pPr>
  </w:style>
  <w:style w:type="paragraph" w:customStyle="1" w:styleId="DJCSquotebullet2">
    <w:name w:val="DJCS quote bullet 2"/>
    <w:basedOn w:val="DJCSquote"/>
    <w:rsid w:val="00BE6A62"/>
    <w:pPr>
      <w:numPr>
        <w:ilvl w:val="1"/>
        <w:numId w:val="5"/>
      </w:numPr>
      <w:ind w:left="2127"/>
    </w:pPr>
  </w:style>
  <w:style w:type="paragraph" w:customStyle="1" w:styleId="DJCStablecolumnheadwhite">
    <w:name w:val="DJCS table column head white"/>
    <w:basedOn w:val="Normal"/>
    <w:uiPriority w:val="11"/>
    <w:qFormat/>
    <w:rsid w:val="00BE6A62"/>
    <w:pPr>
      <w:spacing w:before="80" w:after="60"/>
    </w:pPr>
    <w:rPr>
      <w:rFonts w:ascii="Arial" w:hAnsi="Arial"/>
      <w:color w:val="FFFFFF" w:themeColor="background1"/>
      <w:sz w:val="22"/>
    </w:rPr>
  </w:style>
  <w:style w:type="table" w:customStyle="1" w:styleId="DJRtablestyleNavy">
    <w:name w:val="DJR table style Navy"/>
    <w:basedOn w:val="TableNormal"/>
    <w:uiPriority w:val="99"/>
    <w:rsid w:val="00B70DBF"/>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table" w:customStyle="1" w:styleId="DJRReporttablestyleNavy">
    <w:name w:val="DJR Report table style Navy"/>
    <w:basedOn w:val="TableNormal"/>
    <w:uiPriority w:val="99"/>
    <w:rsid w:val="00BE6A62"/>
    <w:pPr>
      <w:spacing w:before="80" w:after="60"/>
    </w:pPr>
    <w:rPr>
      <w:rFonts w:ascii="Arial" w:hAnsi="Arial"/>
    </w:rPr>
    <w:tblPr>
      <w:tblInd w:w="680" w:type="dxa"/>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blStylePr w:type="firstRow">
      <w:rPr>
        <w:rFonts w:ascii="Arial" w:hAnsi="Arial"/>
        <w:b/>
        <w:sz w:val="22"/>
      </w:rPr>
      <w:tblPr/>
      <w:tcPr>
        <w:tcBorders>
          <w:insideV w:val="single" w:sz="4" w:space="0" w:color="FFFFFF" w:themeColor="background1"/>
        </w:tcBorders>
        <w:shd w:val="clear" w:color="auto" w:fill="16145F" w:themeFill="text2"/>
      </w:tcPr>
    </w:tblStylePr>
  </w:style>
  <w:style w:type="numbering" w:customStyle="1" w:styleId="zzzznumberloweralphaindent">
    <w:name w:val="zzzz number lower alpha indent"/>
    <w:uiPriority w:val="99"/>
    <w:rsid w:val="008E5250"/>
    <w:pPr>
      <w:numPr>
        <w:numId w:val="9"/>
      </w:numPr>
    </w:pPr>
  </w:style>
  <w:style w:type="paragraph" w:customStyle="1" w:styleId="Heading2notappearinginTOC">
    <w:name w:val="Heading 2 (not appearing in TOC)"/>
    <w:next w:val="DJCSbody"/>
    <w:qFormat/>
    <w:rsid w:val="00BA5A04"/>
    <w:pPr>
      <w:spacing w:before="160" w:after="120"/>
      <w:ind w:left="851"/>
    </w:pPr>
    <w:rPr>
      <w:rFonts w:ascii="Arial" w:hAnsi="Arial"/>
      <w:b/>
      <w:color w:val="808080" w:themeColor="background1" w:themeShade="80"/>
      <w:sz w:val="28"/>
      <w:szCs w:val="28"/>
      <w:lang w:eastAsia="en-US"/>
    </w:rPr>
  </w:style>
  <w:style w:type="paragraph" w:customStyle="1" w:styleId="DJCSsmallgapbetweentables">
    <w:name w:val="DJCS small gap between tables"/>
    <w:basedOn w:val="DJCSbodynospace"/>
    <w:rsid w:val="002E4A35"/>
    <w:pPr>
      <w:spacing w:line="120" w:lineRule="atLeast"/>
    </w:pPr>
    <w:rPr>
      <w:sz w:val="12"/>
    </w:rPr>
  </w:style>
  <w:style w:type="numbering" w:customStyle="1" w:styleId="zzDJRbullets">
    <w:name w:val="zz DJR bullets"/>
    <w:uiPriority w:val="99"/>
    <w:rsid w:val="00246AB1"/>
    <w:pPr>
      <w:numPr>
        <w:numId w:val="10"/>
      </w:numPr>
    </w:pPr>
  </w:style>
  <w:style w:type="numbering" w:customStyle="1" w:styleId="zznumberloweralpharoman">
    <w:name w:val="zz number lower alpha roman"/>
    <w:uiPriority w:val="99"/>
    <w:rsid w:val="00BD1590"/>
    <w:pPr>
      <w:numPr>
        <w:numId w:val="11"/>
      </w:numPr>
    </w:pPr>
  </w:style>
  <w:style w:type="numbering" w:customStyle="1" w:styleId="zzDJRnumberdigit">
    <w:name w:val="zz DJR number digit"/>
    <w:uiPriority w:val="99"/>
    <w:rsid w:val="0092109A"/>
    <w:pPr>
      <w:numPr>
        <w:numId w:val="13"/>
      </w:numPr>
    </w:pPr>
  </w:style>
  <w:style w:type="character" w:customStyle="1" w:styleId="DJCSbodyincontentcontrolbox">
    <w:name w:val="DJCS body in content control box"/>
    <w:basedOn w:val="DefaultParagraphFont"/>
    <w:uiPriority w:val="1"/>
    <w:rsid w:val="004E634F"/>
    <w:rPr>
      <w:rFonts w:ascii="Arial" w:hAnsi="Arial"/>
      <w:b w:val="0"/>
      <w:caps w:val="0"/>
      <w:smallCaps w:val="0"/>
      <w:color w:val="000000" w:themeColor="text1"/>
      <w:sz w:val="20"/>
    </w:rPr>
  </w:style>
  <w:style w:type="paragraph" w:styleId="Caption">
    <w:name w:val="caption"/>
    <w:basedOn w:val="Normal"/>
    <w:next w:val="Normal"/>
    <w:uiPriority w:val="35"/>
    <w:semiHidden/>
    <w:unhideWhenUsed/>
    <w:qFormat/>
    <w:rsid w:val="00C40BFD"/>
    <w:pPr>
      <w:spacing w:after="200"/>
    </w:pPr>
    <w:rPr>
      <w:i/>
      <w:iCs/>
      <w:color w:val="16145F" w:themeColor="text2"/>
      <w:sz w:val="18"/>
      <w:szCs w:val="18"/>
    </w:rPr>
  </w:style>
  <w:style w:type="paragraph" w:styleId="IntenseQuote">
    <w:name w:val="Intense Quote"/>
    <w:basedOn w:val="Normal"/>
    <w:next w:val="Normal"/>
    <w:link w:val="IntenseQuoteChar"/>
    <w:uiPriority w:val="60"/>
    <w:semiHidden/>
    <w:rsid w:val="004E634F"/>
    <w:pPr>
      <w:pBdr>
        <w:top w:val="single" w:sz="4" w:space="10" w:color="007DC3" w:themeColor="accent1"/>
        <w:bottom w:val="single" w:sz="4" w:space="10" w:color="007DC3" w:themeColor="accent1"/>
      </w:pBdr>
      <w:spacing w:before="360" w:after="360"/>
      <w:ind w:left="864" w:right="864"/>
      <w:jc w:val="center"/>
    </w:pPr>
    <w:rPr>
      <w:rFonts w:eastAsiaTheme="majorEastAsia" w:cstheme="majorBidi"/>
      <w:i/>
      <w:iCs/>
      <w:color w:val="007DC3" w:themeColor="accent1"/>
    </w:rPr>
  </w:style>
  <w:style w:type="character" w:customStyle="1" w:styleId="IntenseQuoteChar">
    <w:name w:val="Intense Quote Char"/>
    <w:basedOn w:val="DefaultParagraphFont"/>
    <w:link w:val="IntenseQuote"/>
    <w:uiPriority w:val="60"/>
    <w:semiHidden/>
    <w:rsid w:val="00024960"/>
    <w:rPr>
      <w:rFonts w:ascii="Cambria" w:eastAsiaTheme="majorEastAsia" w:hAnsi="Cambria" w:cstheme="majorBidi"/>
      <w:i/>
      <w:iCs/>
      <w:color w:val="007DC3" w:themeColor="accent1"/>
      <w:lang w:eastAsia="en-US"/>
    </w:rPr>
  </w:style>
  <w:style w:type="character" w:styleId="SubtleEmphasis">
    <w:name w:val="Subtle Emphasis"/>
    <w:basedOn w:val="DefaultParagraphFont"/>
    <w:uiPriority w:val="65"/>
    <w:semiHidden/>
    <w:rsid w:val="004E634F"/>
    <w:rPr>
      <w:i/>
      <w:iCs/>
      <w:color w:val="404040" w:themeColor="text1" w:themeTint="BF"/>
    </w:rPr>
  </w:style>
  <w:style w:type="character" w:styleId="IntenseEmphasis">
    <w:name w:val="Intense Emphasis"/>
    <w:basedOn w:val="DefaultParagraphFont"/>
    <w:uiPriority w:val="66"/>
    <w:semiHidden/>
    <w:rsid w:val="004E634F"/>
    <w:rPr>
      <w:i/>
      <w:iCs/>
      <w:color w:val="007DC3" w:themeColor="accent1"/>
    </w:rPr>
  </w:style>
  <w:style w:type="character" w:styleId="SubtleReference">
    <w:name w:val="Subtle Reference"/>
    <w:basedOn w:val="DefaultParagraphFont"/>
    <w:uiPriority w:val="67"/>
    <w:semiHidden/>
    <w:rsid w:val="004E634F"/>
    <w:rPr>
      <w:smallCaps/>
      <w:color w:val="5A5A5A" w:themeColor="text1" w:themeTint="A5"/>
    </w:rPr>
  </w:style>
  <w:style w:type="character" w:styleId="IntenseReference">
    <w:name w:val="Intense Reference"/>
    <w:basedOn w:val="DefaultParagraphFont"/>
    <w:uiPriority w:val="68"/>
    <w:semiHidden/>
    <w:qFormat/>
    <w:rsid w:val="00C40BFD"/>
    <w:rPr>
      <w:b/>
      <w:bCs/>
      <w:smallCaps/>
      <w:color w:val="007DC3" w:themeColor="accent1"/>
      <w:spacing w:val="5"/>
    </w:rPr>
  </w:style>
  <w:style w:type="character" w:styleId="BookTitle">
    <w:name w:val="Book Title"/>
    <w:basedOn w:val="DefaultParagraphFont"/>
    <w:uiPriority w:val="69"/>
    <w:semiHidden/>
    <w:qFormat/>
    <w:rsid w:val="00C40BFD"/>
    <w:rPr>
      <w:b/>
      <w:bCs/>
      <w:i/>
      <w:iCs/>
      <w:spacing w:val="5"/>
    </w:rPr>
  </w:style>
  <w:style w:type="paragraph" w:styleId="TOCHeading">
    <w:name w:val="TOC Heading"/>
    <w:basedOn w:val="Heading1"/>
    <w:next w:val="Normal"/>
    <w:uiPriority w:val="71"/>
    <w:semiHidden/>
    <w:unhideWhenUsed/>
    <w:qFormat/>
    <w:rsid w:val="00C40BFD"/>
    <w:pPr>
      <w:spacing w:before="240" w:after="0" w:line="240" w:lineRule="auto"/>
      <w:outlineLvl w:val="9"/>
    </w:pPr>
    <w:rPr>
      <w:rFonts w:asciiTheme="majorHAnsi" w:eastAsiaTheme="majorEastAsia" w:hAnsiTheme="majorHAnsi" w:cstheme="majorBidi"/>
      <w:b w:val="0"/>
      <w:bCs w:val="0"/>
      <w:color w:val="005D92" w:themeColor="accent1" w:themeShade="BF"/>
      <w:kern w:val="0"/>
      <w:szCs w:val="32"/>
    </w:rPr>
  </w:style>
  <w:style w:type="paragraph" w:styleId="BalloonText">
    <w:name w:val="Balloon Text"/>
    <w:basedOn w:val="Normal"/>
    <w:link w:val="BalloonTextChar"/>
    <w:uiPriority w:val="99"/>
    <w:semiHidden/>
    <w:unhideWhenUsed/>
    <w:rsid w:val="00432D53"/>
    <w:rPr>
      <w:rFonts w:ascii="Tahoma" w:hAnsi="Tahoma" w:cs="Tahoma"/>
      <w:sz w:val="16"/>
      <w:szCs w:val="16"/>
    </w:rPr>
  </w:style>
  <w:style w:type="character" w:customStyle="1" w:styleId="BalloonTextChar">
    <w:name w:val="Balloon Text Char"/>
    <w:basedOn w:val="DefaultParagraphFont"/>
    <w:link w:val="BalloonText"/>
    <w:uiPriority w:val="99"/>
    <w:semiHidden/>
    <w:rsid w:val="00432D53"/>
    <w:rPr>
      <w:rFonts w:ascii="Tahoma" w:hAnsi="Tahoma" w:cs="Tahoma"/>
      <w:sz w:val="16"/>
      <w:szCs w:val="16"/>
      <w:lang w:eastAsia="en-US"/>
    </w:rPr>
  </w:style>
  <w:style w:type="character" w:styleId="PlaceholderText">
    <w:name w:val="Placeholder Text"/>
    <w:basedOn w:val="DefaultParagraphFont"/>
    <w:uiPriority w:val="99"/>
    <w:semiHidden/>
    <w:rsid w:val="002645BC"/>
    <w:rPr>
      <w:color w:val="808080"/>
    </w:rPr>
  </w:style>
  <w:style w:type="paragraph" w:styleId="Header">
    <w:name w:val="header"/>
    <w:basedOn w:val="Normal"/>
    <w:link w:val="HeaderChar"/>
    <w:uiPriority w:val="99"/>
    <w:unhideWhenUsed/>
    <w:rsid w:val="00B876F2"/>
    <w:pPr>
      <w:tabs>
        <w:tab w:val="center" w:pos="4513"/>
        <w:tab w:val="right" w:pos="9026"/>
      </w:tabs>
    </w:pPr>
  </w:style>
  <w:style w:type="character" w:customStyle="1" w:styleId="HeaderChar">
    <w:name w:val="Header Char"/>
    <w:basedOn w:val="DefaultParagraphFont"/>
    <w:link w:val="Header"/>
    <w:uiPriority w:val="99"/>
    <w:rsid w:val="00B876F2"/>
    <w:rPr>
      <w:rFonts w:ascii="Cambria" w:hAnsi="Cambria"/>
      <w:lang w:eastAsia="en-US"/>
    </w:rPr>
  </w:style>
  <w:style w:type="paragraph" w:styleId="Footer">
    <w:name w:val="footer"/>
    <w:basedOn w:val="Normal"/>
    <w:link w:val="FooterChar"/>
    <w:uiPriority w:val="99"/>
    <w:unhideWhenUsed/>
    <w:rsid w:val="00B876F2"/>
    <w:pPr>
      <w:tabs>
        <w:tab w:val="center" w:pos="4513"/>
        <w:tab w:val="right" w:pos="9026"/>
      </w:tabs>
    </w:pPr>
  </w:style>
  <w:style w:type="character" w:customStyle="1" w:styleId="FooterChar">
    <w:name w:val="Footer Char"/>
    <w:basedOn w:val="DefaultParagraphFont"/>
    <w:link w:val="Footer"/>
    <w:uiPriority w:val="99"/>
    <w:rsid w:val="00B876F2"/>
    <w:rPr>
      <w:rFonts w:ascii="Cambria" w:hAnsi="Cambria"/>
      <w:lang w:eastAsia="en-US"/>
    </w:rPr>
  </w:style>
  <w:style w:type="paragraph" w:styleId="TOC3">
    <w:name w:val="toc 3"/>
    <w:basedOn w:val="Normal"/>
    <w:next w:val="Normal"/>
    <w:autoRedefine/>
    <w:uiPriority w:val="39"/>
    <w:unhideWhenUsed/>
    <w:rsid w:val="00BE6A62"/>
    <w:pPr>
      <w:tabs>
        <w:tab w:val="left" w:pos="567"/>
        <w:tab w:val="right" w:leader="dot" w:pos="10206"/>
      </w:tabs>
      <w:spacing w:after="100"/>
      <w:ind w:right="142"/>
    </w:pPr>
    <w:rPr>
      <w:rFonts w:ascii="Arial" w:hAnsi="Arial" w:cs="Arial"/>
      <w:noProof/>
    </w:rPr>
  </w:style>
  <w:style w:type="paragraph" w:customStyle="1" w:styleId="DJCSguidancetext">
    <w:name w:val="DJCS guidance text"/>
    <w:basedOn w:val="DJCSbody"/>
    <w:link w:val="DJCSguidancetextChar"/>
    <w:qFormat/>
    <w:rsid w:val="00695C29"/>
    <w:pPr>
      <w:spacing w:before="60" w:after="60"/>
    </w:pPr>
    <w:rPr>
      <w:i/>
      <w:vanish/>
      <w:color w:val="000000" w:themeColor="text1"/>
      <w:sz w:val="20"/>
    </w:rPr>
  </w:style>
  <w:style w:type="paragraph" w:customStyle="1" w:styleId="DJRtablebullet2">
    <w:name w:val="DJR table bullet 2"/>
    <w:basedOn w:val="DJCStabletext"/>
    <w:uiPriority w:val="11"/>
    <w:rsid w:val="00216CE8"/>
    <w:pPr>
      <w:tabs>
        <w:tab w:val="num" w:pos="227"/>
      </w:tabs>
      <w:ind w:left="454" w:hanging="227"/>
    </w:pPr>
  </w:style>
  <w:style w:type="character" w:customStyle="1" w:styleId="DJCSbodyChar">
    <w:name w:val="DJCS body Char"/>
    <w:basedOn w:val="DefaultParagraphFont"/>
    <w:link w:val="DJCSbody"/>
    <w:rsid w:val="00216CE8"/>
    <w:rPr>
      <w:rFonts w:ascii="Arial" w:eastAsia="Times" w:hAnsi="Arial"/>
      <w:sz w:val="22"/>
      <w:lang w:eastAsia="en-US"/>
    </w:rPr>
  </w:style>
  <w:style w:type="character" w:customStyle="1" w:styleId="DJCSguidancetextChar">
    <w:name w:val="DJCS guidance text Char"/>
    <w:basedOn w:val="DJCSbodyChar"/>
    <w:link w:val="DJCSguidancetext"/>
    <w:rsid w:val="00695C29"/>
    <w:rPr>
      <w:rFonts w:ascii="Arial" w:eastAsia="Times" w:hAnsi="Arial"/>
      <w:i/>
      <w:vanish/>
      <w:color w:val="000000" w:themeColor="text1"/>
      <w:sz w:val="22"/>
      <w:lang w:eastAsia="en-US"/>
    </w:rPr>
  </w:style>
  <w:style w:type="paragraph" w:customStyle="1" w:styleId="DJCSbody-landscape">
    <w:name w:val="DJCS body - landscape"/>
    <w:basedOn w:val="DJCSbody"/>
    <w:link w:val="DJCSbody-landscapeChar"/>
    <w:qFormat/>
    <w:rsid w:val="00705C12"/>
    <w:pPr>
      <w:ind w:left="0"/>
    </w:pPr>
  </w:style>
  <w:style w:type="character" w:customStyle="1" w:styleId="DJCSbody-landscapeChar">
    <w:name w:val="DJCS body - landscape Char"/>
    <w:basedOn w:val="DJCSbodyChar"/>
    <w:link w:val="DJCSbody-landscape"/>
    <w:rsid w:val="00705C12"/>
    <w:rPr>
      <w:rFonts w:ascii="Arial" w:eastAsia="Times" w:hAnsi="Arial"/>
      <w:sz w:val="22"/>
      <w:lang w:eastAsia="en-US"/>
    </w:rPr>
  </w:style>
  <w:style w:type="paragraph" w:styleId="ListParagraph">
    <w:name w:val="List Paragraph"/>
    <w:basedOn w:val="Normal"/>
    <w:uiPriority w:val="34"/>
    <w:qFormat/>
    <w:rsid w:val="00D72C43"/>
    <w:pPr>
      <w:ind w:left="720"/>
      <w:contextualSpacing/>
    </w:pPr>
  </w:style>
  <w:style w:type="paragraph" w:customStyle="1" w:styleId="DJRauthor">
    <w:name w:val="DJR author"/>
    <w:basedOn w:val="Normal"/>
    <w:next w:val="Normal"/>
    <w:uiPriority w:val="11"/>
    <w:rsid w:val="00727B25"/>
    <w:pPr>
      <w:spacing w:after="40" w:line="270" w:lineRule="atLeast"/>
    </w:pPr>
    <w:rPr>
      <w:rFonts w:ascii="Arial" w:eastAsia="Times" w:hAnsi="Arial"/>
      <w:b/>
      <w:sz w:val="22"/>
    </w:rPr>
  </w:style>
  <w:style w:type="paragraph" w:customStyle="1" w:styleId="Nostyle">
    <w:name w:val="No style"/>
    <w:rsid w:val="00727B25"/>
    <w:rPr>
      <w:rFonts w:ascii="Arial" w:hAnsi="Arial"/>
      <w:sz w:val="22"/>
      <w:szCs w:val="24"/>
    </w:rPr>
  </w:style>
  <w:style w:type="character" w:customStyle="1" w:styleId="apple-converted-space">
    <w:name w:val="apple-converted-space"/>
    <w:basedOn w:val="DefaultParagraphFont"/>
    <w:rsid w:val="004820EC"/>
  </w:style>
  <w:style w:type="paragraph" w:customStyle="1" w:styleId="heading2notappearingintoc0">
    <w:name w:val="heading2notappearingintoc"/>
    <w:basedOn w:val="Normal"/>
    <w:rsid w:val="004820EC"/>
    <w:pPr>
      <w:spacing w:before="100" w:beforeAutospacing="1" w:after="100" w:afterAutospacing="1"/>
    </w:pPr>
    <w:rPr>
      <w:rFonts w:ascii="Times New Roman" w:hAnsi="Times New Roman"/>
      <w:sz w:val="24"/>
      <w:szCs w:val="24"/>
      <w:lang w:eastAsia="en-GB"/>
    </w:rPr>
  </w:style>
  <w:style w:type="paragraph" w:customStyle="1" w:styleId="djcstablecolumnheadwhite0">
    <w:name w:val="djcstablecolumnheadwhite"/>
    <w:basedOn w:val="Normal"/>
    <w:rsid w:val="004820EC"/>
    <w:pPr>
      <w:spacing w:before="100" w:beforeAutospacing="1" w:after="100" w:afterAutospacing="1"/>
    </w:pPr>
    <w:rPr>
      <w:rFonts w:ascii="Times New Roman" w:hAnsi="Times New Roman"/>
      <w:sz w:val="24"/>
      <w:szCs w:val="24"/>
      <w:lang w:eastAsia="en-GB"/>
    </w:rPr>
  </w:style>
  <w:style w:type="paragraph" w:customStyle="1" w:styleId="djcstabletext0">
    <w:name w:val="djcstabletext"/>
    <w:basedOn w:val="Normal"/>
    <w:rsid w:val="004820EC"/>
    <w:pPr>
      <w:spacing w:before="100" w:beforeAutospacing="1" w:after="100" w:afterAutospacing="1"/>
    </w:pPr>
    <w:rPr>
      <w:rFonts w:ascii="Times New Roman" w:hAnsi="Times New Roman"/>
      <w:sz w:val="24"/>
      <w:szCs w:val="24"/>
      <w:lang w:eastAsia="en-GB"/>
    </w:rPr>
  </w:style>
  <w:style w:type="paragraph" w:customStyle="1" w:styleId="djcsbody0">
    <w:name w:val="djcsbody"/>
    <w:basedOn w:val="Normal"/>
    <w:rsid w:val="004820EC"/>
    <w:pPr>
      <w:spacing w:before="100" w:beforeAutospacing="1" w:after="100" w:afterAutospacing="1"/>
    </w:pPr>
    <w:rPr>
      <w:rFonts w:ascii="Times New Roman" w:hAnsi="Times New Roman"/>
      <w:sz w:val="24"/>
      <w:szCs w:val="24"/>
      <w:lang w:eastAsia="en-GB"/>
    </w:rPr>
  </w:style>
  <w:style w:type="paragraph" w:customStyle="1" w:styleId="djcsbodynospace0">
    <w:name w:val="djcsbodynospace"/>
    <w:basedOn w:val="Normal"/>
    <w:rsid w:val="004820EC"/>
    <w:pPr>
      <w:spacing w:before="100" w:beforeAutospacing="1" w:after="100" w:afterAutospacing="1"/>
    </w:pPr>
    <w:rPr>
      <w:rFonts w:ascii="Times New Roman" w:hAnsi="Times New Roman"/>
      <w:sz w:val="24"/>
      <w:szCs w:val="24"/>
      <w:lang w:eastAsia="en-GB"/>
    </w:rPr>
  </w:style>
  <w:style w:type="paragraph" w:customStyle="1" w:styleId="djcssmallgapbetweentables0">
    <w:name w:val="djcssmallgapbetweentables"/>
    <w:basedOn w:val="Normal"/>
    <w:rsid w:val="004820EC"/>
    <w:pPr>
      <w:spacing w:before="100" w:beforeAutospacing="1" w:after="100" w:afterAutospacing="1"/>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DA752C"/>
    <w:rPr>
      <w:color w:val="605E5C"/>
      <w:shd w:val="clear" w:color="auto" w:fill="E1DFDD"/>
    </w:rPr>
  </w:style>
  <w:style w:type="paragraph" w:styleId="NormalWeb">
    <w:name w:val="Normal (Web)"/>
    <w:uiPriority w:val="99"/>
    <w:unhideWhenUsed/>
    <w:rsid w:val="00F05CDE"/>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701204321">
      <w:bodyDiv w:val="1"/>
      <w:marLeft w:val="0"/>
      <w:marRight w:val="0"/>
      <w:marTop w:val="0"/>
      <w:marBottom w:val="0"/>
      <w:divBdr>
        <w:top w:val="none" w:sz="0" w:space="0" w:color="auto"/>
        <w:left w:val="none" w:sz="0" w:space="0" w:color="auto"/>
        <w:bottom w:val="none" w:sz="0" w:space="0" w:color="auto"/>
        <w:right w:val="none" w:sz="0" w:space="0" w:color="auto"/>
      </w:divBdr>
    </w:div>
    <w:div w:id="1746296874">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www.vba.vic.gov.au" TargetMode="External"/><Relationship Id="rId3" Type="http://schemas.openxmlformats.org/officeDocument/2006/relationships/customXml" Target="../customXml/item3.xml"/><Relationship Id="rId21" Type="http://schemas.openxmlformats.org/officeDocument/2006/relationships/header" Target="header7.xml"/><Relationship Id="rId34" Type="http://schemas.openxmlformats.org/officeDocument/2006/relationships/hyperlink" Target="http://www.consumer.vic.gov.au/engineer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consumer.vic.gov.au/engineers" TargetMode="External"/><Relationship Id="rId33" Type="http://schemas.openxmlformats.org/officeDocument/2006/relationships/hyperlink" Target="http://www.abcb.gov.au"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yperlink" Target="http://www.abcb.gov.au/"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header" Target="header11.xml"/><Relationship Id="rId36" Type="http://schemas.openxmlformats.org/officeDocument/2006/relationships/hyperlink" Target="https://store.standards.org.au/"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www.legislation.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yperlink" Target="http://www.consumer.vic.gov.au//engineers"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footer6.xml.rels><?xml version="1.0" encoding="UTF-8" standalone="yes"?>
<Relationships xmlns="http://schemas.openxmlformats.org/package/2006/relationships"><Relationship Id="rId1" Type="http://schemas.openxmlformats.org/officeDocument/2006/relationships/image" Target="media/image5.jp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JR theme">
  <a:themeElements>
    <a:clrScheme name="DJR report">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7BD2E3B4CC74A941B9E0C95C3E281" ma:contentTypeVersion="5" ma:contentTypeDescription="Create a new document." ma:contentTypeScope="" ma:versionID="d798d8c0cdf93cd91dcea01e085b1bfe">
  <xsd:schema xmlns:xsd="http://www.w3.org/2001/XMLSchema" xmlns:xs="http://www.w3.org/2001/XMLSchema" xmlns:p="http://schemas.microsoft.com/office/2006/metadata/properties" xmlns:ns1="http://schemas.microsoft.com/sharepoint/v3" xmlns:ns2="eb89641a-f720-40e5-a9dd-c0735411bf6d" targetNamespace="http://schemas.microsoft.com/office/2006/metadata/properties" ma:root="true" ma:fieldsID="aadd33a05a17327a3f8592ed25eca6cd" ns1:_="" ns2:_="">
    <xsd:import namespace="http://schemas.microsoft.com/sharepoint/v3"/>
    <xsd:import namespace="eb89641a-f720-40e5-a9dd-c0735411bf6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89641a-f720-40e5-a9dd-c0735411bf6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AC0402-256E-4252-A8D0-C3ED40D18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89641a-f720-40e5-a9dd-c0735411b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8916F-538A-4A35-8D6B-F790DFF132FD}">
  <ds:schemaRefs>
    <ds:schemaRef ds:uri="http://schemas.microsoft.com/sharepoint/v3/contenttype/forms"/>
  </ds:schemaRefs>
</ds:datastoreItem>
</file>

<file path=customXml/itemProps3.xml><?xml version="1.0" encoding="utf-8"?>
<ds:datastoreItem xmlns:ds="http://schemas.openxmlformats.org/officeDocument/2006/customXml" ds:itemID="{A6072575-0782-4E02-9FDB-3EA1D13942E2}">
  <ds:schemaRefs>
    <ds:schemaRef ds:uri="http://schemas.openxmlformats.org/officeDocument/2006/bibliography"/>
  </ds:schemaRefs>
</ds:datastoreItem>
</file>

<file path=customXml/itemProps4.xml><?xml version="1.0" encoding="utf-8"?>
<ds:datastoreItem xmlns:ds="http://schemas.openxmlformats.org/officeDocument/2006/customXml" ds:itemID="{BA862887-0F19-4E4F-946C-B663BAC8FA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b89641a-f720-40e5-a9dd-c0735411bf6d"/>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7423</Words>
  <Characters>42509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49833</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Consumer Affairs Victoria</dc:creator>
  <cp:lastModifiedBy>David M Darragh (DJCS)</cp:lastModifiedBy>
  <cp:revision>3</cp:revision>
  <cp:lastPrinted>2017-07-07T00:32:00Z</cp:lastPrinted>
  <dcterms:created xsi:type="dcterms:W3CDTF">2021-07-27T23:42:00Z</dcterms:created>
  <dcterms:modified xsi:type="dcterms:W3CDTF">2021-07-27T23:42:00Z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0x0101007D97BD2E3B4CC74A941B9E0C95C3E281</vt:lpwstr>
  </property>
  <property fmtid="{D5CDD505-2E9C-101B-9397-08002B2CF9AE}" pid="4" name="_dlc_DocIdItemGuid">
    <vt:lpwstr>942d3f31-2267-4432-bd16-fa4f59bf4bc8</vt:lpwstr>
  </property>
</Properties>
</file>