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3713C" w14:textId="77777777" w:rsidR="004815CA" w:rsidRPr="004815CA" w:rsidRDefault="004815CA" w:rsidP="00C93CD6">
      <w:pPr>
        <w:pStyle w:val="Sectionbreakfirstpage"/>
        <w:widowControl w:val="0"/>
        <w:spacing w:before="600"/>
        <w:rPr>
          <w:rFonts w:eastAsia="MS Gothic" w:cs="Arial"/>
          <w:b/>
          <w:color w:val="16145F" w:themeColor="accent3"/>
          <w:kern w:val="32"/>
          <w:sz w:val="36"/>
          <w:szCs w:val="36"/>
        </w:rPr>
      </w:pPr>
      <w:r w:rsidRPr="004815CA">
        <w:rPr>
          <w:rFonts w:eastAsia="MS Gothic" w:cs="Arial"/>
          <w:b/>
          <w:color w:val="16145F" w:themeColor="accent3"/>
          <w:kern w:val="32"/>
          <w:sz w:val="36"/>
          <w:szCs w:val="36"/>
        </w:rPr>
        <w:t>Guidelines on the extraterritorial application of the Act</w:t>
      </w:r>
    </w:p>
    <w:p w14:paraId="766BBD85"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Purpose</w:t>
      </w:r>
    </w:p>
    <w:p w14:paraId="1E529666" w14:textId="77777777" w:rsidR="004815CA" w:rsidRPr="004815CA" w:rsidRDefault="004815CA" w:rsidP="00C93CD6">
      <w:pPr>
        <w:spacing w:after="120"/>
        <w:rPr>
          <w:rFonts w:asciiTheme="majorHAnsi" w:hAnsiTheme="majorHAnsi" w:cstheme="majorHAnsi"/>
          <w:sz w:val="22"/>
          <w:szCs w:val="22"/>
        </w:rPr>
      </w:pPr>
      <w:r w:rsidRPr="004815CA">
        <w:rPr>
          <w:rFonts w:asciiTheme="majorHAnsi" w:hAnsiTheme="majorHAnsi" w:cstheme="majorHAnsi"/>
          <w:color w:val="000000" w:themeColor="text1"/>
          <w:sz w:val="22"/>
          <w:szCs w:val="22"/>
        </w:rPr>
        <w:t xml:space="preserve">These Guidelines provide an explanation of </w:t>
      </w:r>
      <w:r w:rsidRPr="004815CA">
        <w:rPr>
          <w:rFonts w:asciiTheme="majorHAnsi" w:hAnsiTheme="majorHAnsi" w:cstheme="majorHAnsi"/>
          <w:sz w:val="22"/>
          <w:szCs w:val="22"/>
        </w:rPr>
        <w:t xml:space="preserve">the extraterritorial application of the </w:t>
      </w:r>
      <w:r w:rsidRPr="004815CA">
        <w:rPr>
          <w:rFonts w:asciiTheme="majorHAnsi" w:hAnsiTheme="majorHAnsi" w:cstheme="majorHAnsi"/>
          <w:i/>
          <w:iCs/>
          <w:sz w:val="22"/>
          <w:szCs w:val="22"/>
        </w:rPr>
        <w:t>Professional Engineers Registration Act 2019</w:t>
      </w:r>
      <w:r w:rsidRPr="004815CA">
        <w:rPr>
          <w:rFonts w:asciiTheme="majorHAnsi" w:hAnsiTheme="majorHAnsi" w:cstheme="majorHAnsi"/>
          <w:sz w:val="22"/>
          <w:szCs w:val="22"/>
        </w:rPr>
        <w:t xml:space="preserve"> (the Act).</w:t>
      </w:r>
    </w:p>
    <w:p w14:paraId="61607CED" w14:textId="77777777" w:rsidR="004815CA" w:rsidRPr="004815CA" w:rsidRDefault="004815CA" w:rsidP="00C93CD6">
      <w:pPr>
        <w:spacing w:after="120"/>
        <w:rPr>
          <w:rFonts w:asciiTheme="majorHAnsi" w:hAnsiTheme="majorHAnsi" w:cstheme="majorHAnsi"/>
          <w:sz w:val="22"/>
          <w:szCs w:val="22"/>
        </w:rPr>
      </w:pPr>
      <w:r w:rsidRPr="004815CA">
        <w:rPr>
          <w:rFonts w:asciiTheme="majorHAnsi" w:hAnsiTheme="majorHAnsi" w:cstheme="majorHAnsi"/>
          <w:sz w:val="22"/>
          <w:szCs w:val="22"/>
        </w:rPr>
        <w:t xml:space="preserve">They cover the registration requirements for providing professional engineering services in Victoria and for Victoria. </w:t>
      </w:r>
    </w:p>
    <w:p w14:paraId="4DA580F0" w14:textId="77777777" w:rsidR="004815CA" w:rsidRPr="004815CA" w:rsidRDefault="004815CA" w:rsidP="00C93CD6">
      <w:pPr>
        <w:spacing w:after="120"/>
        <w:rPr>
          <w:rFonts w:asciiTheme="majorHAnsi" w:hAnsiTheme="majorHAnsi" w:cstheme="majorHAnsi"/>
          <w:sz w:val="22"/>
          <w:szCs w:val="22"/>
        </w:rPr>
      </w:pPr>
      <w:r w:rsidRPr="004815CA">
        <w:rPr>
          <w:rFonts w:asciiTheme="majorHAnsi" w:hAnsiTheme="majorHAnsi" w:cstheme="majorHAnsi"/>
          <w:sz w:val="22"/>
          <w:szCs w:val="22"/>
        </w:rPr>
        <w:t>These Guidelines also include a checklist for determining when the Act applies to the provision of professional engineering services.</w:t>
      </w:r>
    </w:p>
    <w:p w14:paraId="61506628"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What the Act requires</w:t>
      </w:r>
    </w:p>
    <w:p w14:paraId="646BE6BE" w14:textId="77777777" w:rsidR="004815CA" w:rsidRPr="004815CA" w:rsidRDefault="004815CA" w:rsidP="00C93CD6">
      <w:pPr>
        <w:widowControl w:val="0"/>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The Act requires a professional engineer to be registered with the Business Licensing Authority (BLA) to provide professional engineering services within Victoria, and also outside Victoria if the services are intended for Victoria.</w:t>
      </w:r>
      <w:r w:rsidRPr="004815CA">
        <w:rPr>
          <w:rFonts w:asciiTheme="majorHAnsi" w:hAnsiTheme="majorHAnsi" w:cstheme="majorHAnsi"/>
          <w:color w:val="000000" w:themeColor="text1"/>
          <w:sz w:val="22"/>
          <w:szCs w:val="22"/>
          <w:vertAlign w:val="superscript"/>
        </w:rPr>
        <w:footnoteReference w:id="2"/>
      </w:r>
    </w:p>
    <w:p w14:paraId="04274311" w14:textId="77777777" w:rsidR="00C93CD6" w:rsidRPr="00935DA4" w:rsidRDefault="00C93CD6" w:rsidP="00C93CD6">
      <w:pPr>
        <w:pStyle w:val="DJCStablecaption"/>
        <w:spacing w:before="0" w:line="240" w:lineRule="auto"/>
        <w:rPr>
          <w:rFonts w:eastAsia="Times"/>
          <w:b w:val="0"/>
          <w:color w:val="auto"/>
        </w:rPr>
      </w:pPr>
      <w:r w:rsidRPr="00935DA4">
        <w:rPr>
          <w:rFonts w:eastAsia="Times"/>
          <w:b w:val="0"/>
          <w:color w:val="auto"/>
        </w:rPr>
        <w:t xml:space="preserve">For guidance on the meaning of professional engineering services see the “Guidelines on providing professional engineering services” at </w:t>
      </w:r>
      <w:hyperlink r:id="rId11" w:history="1">
        <w:r w:rsidRPr="00935DA4">
          <w:rPr>
            <w:rStyle w:val="Hyperlink"/>
            <w:rFonts w:eastAsia="Times"/>
            <w:b w:val="0"/>
          </w:rPr>
          <w:t>consumer.vic.gov.au/engineers</w:t>
        </w:r>
      </w:hyperlink>
      <w:r w:rsidRPr="00935DA4">
        <w:rPr>
          <w:rFonts w:eastAsia="Times"/>
          <w:b w:val="0"/>
          <w:color w:val="auto"/>
        </w:rPr>
        <w:t xml:space="preserve">. </w:t>
      </w:r>
    </w:p>
    <w:p w14:paraId="3AE1A1EB"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When the Act applies</w:t>
      </w:r>
    </w:p>
    <w:p w14:paraId="7D0D8477"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The Act applies to the provision of professional engineering services in three situations. These are where a person:</w:t>
      </w:r>
    </w:p>
    <w:p w14:paraId="0A9FD01B" w14:textId="77777777" w:rsidR="004815CA" w:rsidRPr="00C93CD6" w:rsidRDefault="004815CA" w:rsidP="00C93CD6">
      <w:pPr>
        <w:pStyle w:val="DJCSbody"/>
        <w:widowControl w:val="0"/>
        <w:numPr>
          <w:ilvl w:val="0"/>
          <w:numId w:val="30"/>
        </w:numPr>
        <w:spacing w:after="0" w:line="240" w:lineRule="auto"/>
        <w:ind w:left="992" w:hanging="567"/>
      </w:pPr>
      <w:r w:rsidRPr="00C93CD6">
        <w:t xml:space="preserve">located in Victoria provides professional engineering services for Victoria </w:t>
      </w:r>
    </w:p>
    <w:p w14:paraId="2FFF4D7D" w14:textId="77777777" w:rsidR="004815CA" w:rsidRPr="00C93CD6" w:rsidRDefault="004815CA" w:rsidP="00C93CD6">
      <w:pPr>
        <w:pStyle w:val="DJCSbody"/>
        <w:widowControl w:val="0"/>
        <w:numPr>
          <w:ilvl w:val="0"/>
          <w:numId w:val="30"/>
        </w:numPr>
        <w:spacing w:after="0" w:line="240" w:lineRule="auto"/>
        <w:ind w:left="992" w:hanging="567"/>
      </w:pPr>
      <w:r w:rsidRPr="00C93CD6">
        <w:t>located in Victoria provides professional engineering services for outside Victoria, and</w:t>
      </w:r>
    </w:p>
    <w:p w14:paraId="704C784B" w14:textId="77777777" w:rsidR="004815CA" w:rsidRPr="00C93CD6" w:rsidRDefault="004815CA" w:rsidP="00C93CD6">
      <w:pPr>
        <w:pStyle w:val="DJCSbody"/>
        <w:widowControl w:val="0"/>
        <w:numPr>
          <w:ilvl w:val="0"/>
          <w:numId w:val="30"/>
        </w:numPr>
        <w:spacing w:line="240" w:lineRule="auto"/>
        <w:ind w:left="992" w:hanging="567"/>
      </w:pPr>
      <w:r w:rsidRPr="00C93CD6">
        <w:t>located outside Victoria provides professional engineering services for Victoria.</w:t>
      </w:r>
    </w:p>
    <w:p w14:paraId="40AFC4D1" w14:textId="77777777" w:rsidR="004815CA" w:rsidRPr="004815CA" w:rsidRDefault="004815CA" w:rsidP="00C93CD6">
      <w:pPr>
        <w:spacing w:after="24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In each of these situations the person providing the professional engineering services must be registered with the BLA as a practising professional engineer.</w:t>
      </w:r>
    </w:p>
    <w:tbl>
      <w:tblPr>
        <w:tblStyle w:val="TableGrid6"/>
        <w:tblW w:w="0" w:type="auto"/>
        <w:tblBorders>
          <w:top w:val="single" w:sz="8" w:space="0" w:color="16145F"/>
          <w:left w:val="single" w:sz="8" w:space="0" w:color="16145F"/>
          <w:bottom w:val="single" w:sz="8" w:space="0" w:color="16145F"/>
          <w:right w:val="single" w:sz="8" w:space="0" w:color="16145F"/>
          <w:insideH w:val="single" w:sz="4" w:space="0" w:color="000000" w:themeColor="text1"/>
          <w:insideV w:val="single" w:sz="4" w:space="0" w:color="000000" w:themeColor="text1"/>
        </w:tblBorders>
        <w:tblLayout w:type="fixed"/>
        <w:tblCellMar>
          <w:top w:w="113" w:type="dxa"/>
          <w:left w:w="113" w:type="dxa"/>
          <w:bottom w:w="113" w:type="dxa"/>
          <w:right w:w="113" w:type="dxa"/>
        </w:tblCellMar>
        <w:tblLook w:val="04A0" w:firstRow="1" w:lastRow="0" w:firstColumn="1" w:lastColumn="0" w:noHBand="0" w:noVBand="1"/>
      </w:tblPr>
      <w:tblGrid>
        <w:gridCol w:w="3175"/>
        <w:gridCol w:w="284"/>
        <w:gridCol w:w="3175"/>
        <w:gridCol w:w="284"/>
        <w:gridCol w:w="3175"/>
      </w:tblGrid>
      <w:tr w:rsidR="00C93CD6" w:rsidRPr="00C93CD6" w14:paraId="6026380A" w14:textId="77777777" w:rsidTr="00F9565D">
        <w:tc>
          <w:tcPr>
            <w:tcW w:w="3175" w:type="dxa"/>
            <w:tcBorders>
              <w:top w:val="nil"/>
              <w:left w:val="nil"/>
              <w:bottom w:val="nil"/>
              <w:right w:val="nil"/>
            </w:tcBorders>
            <w:shd w:val="clear" w:color="auto" w:fill="E1E1EB" w:themeFill="accent4" w:themeFillTint="33"/>
          </w:tcPr>
          <w:p w14:paraId="321E4B3C" w14:textId="77777777" w:rsidR="004815CA" w:rsidRPr="00C93CD6" w:rsidRDefault="004815CA" w:rsidP="00C93CD6">
            <w:pPr>
              <w:widowControl w:val="0"/>
              <w:spacing w:after="60"/>
              <w:ind w:left="34"/>
              <w:jc w:val="center"/>
              <w:rPr>
                <w:rFonts w:asciiTheme="majorHAnsi" w:hAnsiTheme="majorHAnsi" w:cstheme="majorHAnsi"/>
                <w:b/>
                <w:bCs/>
                <w:color w:val="000000" w:themeColor="text1"/>
                <w:sz w:val="20"/>
                <w:szCs w:val="20"/>
              </w:rPr>
            </w:pPr>
            <w:r w:rsidRPr="00C93CD6">
              <w:rPr>
                <w:rFonts w:asciiTheme="majorHAnsi" w:hAnsiTheme="majorHAnsi" w:cstheme="majorHAnsi"/>
                <w:b/>
                <w:bCs/>
                <w:color w:val="000000" w:themeColor="text1"/>
                <w:sz w:val="20"/>
                <w:szCs w:val="20"/>
              </w:rPr>
              <w:t>In Victoria</w:t>
            </w:r>
          </w:p>
          <w:p w14:paraId="4F39174F" w14:textId="77777777" w:rsidR="004815CA" w:rsidRPr="00C93CD6" w:rsidRDefault="004815CA" w:rsidP="00C93CD6">
            <w:pPr>
              <w:widowControl w:val="0"/>
              <w:ind w:left="34"/>
              <w:rPr>
                <w:rFonts w:asciiTheme="majorHAnsi" w:hAnsiTheme="majorHAnsi" w:cstheme="majorHAnsi"/>
                <w:color w:val="000000" w:themeColor="text1"/>
                <w:sz w:val="20"/>
                <w:szCs w:val="20"/>
              </w:rPr>
            </w:pPr>
            <w:r w:rsidRPr="00C93CD6">
              <w:rPr>
                <w:rFonts w:asciiTheme="majorHAnsi" w:hAnsiTheme="majorHAnsi" w:cstheme="majorHAnsi"/>
                <w:color w:val="000000" w:themeColor="text1"/>
                <w:sz w:val="20"/>
                <w:szCs w:val="20"/>
              </w:rPr>
              <w:t>A professional engineering service is provided ‘in Victoria’ if the person providing the service is physically located in Victoria when providing the service.</w:t>
            </w:r>
          </w:p>
          <w:p w14:paraId="5C401BB9" w14:textId="77777777" w:rsidR="004815CA" w:rsidRPr="00C93CD6" w:rsidRDefault="004815CA" w:rsidP="00C93CD6">
            <w:pPr>
              <w:widowControl w:val="0"/>
              <w:ind w:left="34"/>
              <w:rPr>
                <w:rFonts w:asciiTheme="majorHAnsi" w:hAnsiTheme="majorHAnsi" w:cstheme="majorHAnsi"/>
                <w:color w:val="000000" w:themeColor="text1"/>
                <w:sz w:val="20"/>
                <w:szCs w:val="20"/>
              </w:rPr>
            </w:pPr>
          </w:p>
        </w:tc>
        <w:tc>
          <w:tcPr>
            <w:tcW w:w="284" w:type="dxa"/>
            <w:tcBorders>
              <w:top w:val="nil"/>
              <w:left w:val="nil"/>
              <w:bottom w:val="nil"/>
              <w:right w:val="nil"/>
            </w:tcBorders>
          </w:tcPr>
          <w:p w14:paraId="227462DF" w14:textId="77777777" w:rsidR="004815CA" w:rsidRPr="00C93CD6" w:rsidRDefault="004815CA" w:rsidP="00C93CD6">
            <w:pPr>
              <w:widowControl w:val="0"/>
              <w:rPr>
                <w:rFonts w:asciiTheme="majorHAnsi" w:hAnsiTheme="majorHAnsi" w:cstheme="majorHAnsi"/>
                <w:color w:val="000000" w:themeColor="text1"/>
                <w:sz w:val="20"/>
                <w:szCs w:val="20"/>
              </w:rPr>
            </w:pPr>
          </w:p>
        </w:tc>
        <w:tc>
          <w:tcPr>
            <w:tcW w:w="3175" w:type="dxa"/>
            <w:tcBorders>
              <w:top w:val="nil"/>
              <w:left w:val="nil"/>
              <w:bottom w:val="nil"/>
              <w:right w:val="nil"/>
            </w:tcBorders>
            <w:shd w:val="clear" w:color="auto" w:fill="E1E1EB" w:themeFill="accent4" w:themeFillTint="33"/>
          </w:tcPr>
          <w:p w14:paraId="6601D69B" w14:textId="77777777" w:rsidR="004815CA" w:rsidRPr="00C93CD6" w:rsidRDefault="004815CA" w:rsidP="00C93CD6">
            <w:pPr>
              <w:widowControl w:val="0"/>
              <w:spacing w:after="60"/>
              <w:jc w:val="center"/>
              <w:rPr>
                <w:rFonts w:asciiTheme="majorHAnsi" w:hAnsiTheme="majorHAnsi" w:cstheme="majorHAnsi"/>
                <w:b/>
                <w:bCs/>
                <w:color w:val="000000" w:themeColor="text1"/>
                <w:sz w:val="20"/>
                <w:szCs w:val="20"/>
              </w:rPr>
            </w:pPr>
            <w:r w:rsidRPr="00C93CD6">
              <w:rPr>
                <w:rFonts w:asciiTheme="majorHAnsi" w:hAnsiTheme="majorHAnsi" w:cstheme="majorHAnsi"/>
                <w:b/>
                <w:bCs/>
                <w:color w:val="000000" w:themeColor="text1"/>
                <w:sz w:val="20"/>
                <w:szCs w:val="20"/>
              </w:rPr>
              <w:t>For Victoria</w:t>
            </w:r>
          </w:p>
          <w:p w14:paraId="6F92F117" w14:textId="77777777" w:rsidR="004815CA" w:rsidRPr="00C93CD6" w:rsidRDefault="004815CA" w:rsidP="00C93CD6">
            <w:pPr>
              <w:rPr>
                <w:rFonts w:asciiTheme="majorHAnsi" w:hAnsiTheme="majorHAnsi" w:cstheme="majorHAnsi"/>
                <w:color w:val="000000" w:themeColor="text1"/>
                <w:sz w:val="20"/>
                <w:szCs w:val="20"/>
              </w:rPr>
            </w:pPr>
            <w:r w:rsidRPr="00C93CD6">
              <w:rPr>
                <w:rFonts w:asciiTheme="majorHAnsi" w:hAnsiTheme="majorHAnsi" w:cstheme="majorHAnsi"/>
                <w:color w:val="000000" w:themeColor="text1"/>
                <w:sz w:val="20"/>
                <w:szCs w:val="20"/>
              </w:rPr>
              <w:t>A professional engineering service is provided ‘for Victoria’ if it is:</w:t>
            </w:r>
          </w:p>
          <w:p w14:paraId="7337F810" w14:textId="77777777" w:rsidR="004815CA" w:rsidRPr="00C93CD6" w:rsidRDefault="004815CA" w:rsidP="00C93CD6">
            <w:pPr>
              <w:numPr>
                <w:ilvl w:val="0"/>
                <w:numId w:val="31"/>
              </w:numPr>
              <w:spacing w:after="120"/>
              <w:ind w:left="476" w:hanging="284"/>
              <w:contextualSpacing/>
              <w:rPr>
                <w:rFonts w:asciiTheme="majorHAnsi" w:hAnsiTheme="majorHAnsi" w:cstheme="majorHAnsi"/>
                <w:color w:val="000000" w:themeColor="text1"/>
                <w:sz w:val="20"/>
                <w:szCs w:val="20"/>
              </w:rPr>
            </w:pPr>
            <w:r w:rsidRPr="00C93CD6">
              <w:rPr>
                <w:rFonts w:asciiTheme="majorHAnsi" w:hAnsiTheme="majorHAnsi" w:cstheme="majorHAnsi"/>
                <w:color w:val="000000" w:themeColor="text1"/>
                <w:sz w:val="20"/>
                <w:szCs w:val="20"/>
              </w:rPr>
              <w:t>provided for a project or purpose in Victoria, or</w:t>
            </w:r>
          </w:p>
          <w:p w14:paraId="45346FA1" w14:textId="77777777" w:rsidR="004815CA" w:rsidRPr="00C93CD6" w:rsidRDefault="004815CA" w:rsidP="00C93CD6">
            <w:pPr>
              <w:numPr>
                <w:ilvl w:val="0"/>
                <w:numId w:val="31"/>
              </w:numPr>
              <w:ind w:left="477" w:hanging="284"/>
              <w:rPr>
                <w:rFonts w:asciiTheme="majorHAnsi" w:hAnsiTheme="majorHAnsi" w:cstheme="majorHAnsi"/>
                <w:color w:val="000000" w:themeColor="text1"/>
                <w:sz w:val="20"/>
                <w:szCs w:val="20"/>
              </w:rPr>
            </w:pPr>
            <w:r w:rsidRPr="00C93CD6">
              <w:rPr>
                <w:rFonts w:asciiTheme="majorHAnsi" w:hAnsiTheme="majorHAnsi" w:cstheme="majorHAnsi"/>
                <w:color w:val="000000" w:themeColor="text1"/>
                <w:sz w:val="20"/>
                <w:szCs w:val="20"/>
              </w:rPr>
              <w:t>the service specifically relates to or is connected to Victoria in some way.</w:t>
            </w:r>
          </w:p>
        </w:tc>
        <w:tc>
          <w:tcPr>
            <w:tcW w:w="284" w:type="dxa"/>
            <w:tcBorders>
              <w:top w:val="nil"/>
              <w:left w:val="nil"/>
              <w:bottom w:val="nil"/>
              <w:right w:val="nil"/>
            </w:tcBorders>
          </w:tcPr>
          <w:p w14:paraId="07AB4A09" w14:textId="77777777" w:rsidR="004815CA" w:rsidRPr="00C93CD6" w:rsidRDefault="004815CA" w:rsidP="00C93CD6">
            <w:pPr>
              <w:widowControl w:val="0"/>
              <w:rPr>
                <w:rFonts w:asciiTheme="majorHAnsi" w:hAnsiTheme="majorHAnsi" w:cstheme="majorHAnsi"/>
                <w:color w:val="000000" w:themeColor="text1"/>
                <w:sz w:val="20"/>
                <w:szCs w:val="20"/>
              </w:rPr>
            </w:pPr>
          </w:p>
        </w:tc>
        <w:tc>
          <w:tcPr>
            <w:tcW w:w="3175" w:type="dxa"/>
            <w:tcBorders>
              <w:top w:val="nil"/>
              <w:left w:val="nil"/>
              <w:bottom w:val="nil"/>
              <w:right w:val="nil"/>
            </w:tcBorders>
            <w:shd w:val="clear" w:color="auto" w:fill="E1E1EB" w:themeFill="accent4" w:themeFillTint="33"/>
          </w:tcPr>
          <w:p w14:paraId="5143E6E1" w14:textId="77777777" w:rsidR="004815CA" w:rsidRPr="00C93CD6" w:rsidRDefault="004815CA" w:rsidP="00C93CD6">
            <w:pPr>
              <w:widowControl w:val="0"/>
              <w:spacing w:after="60"/>
              <w:ind w:left="28"/>
              <w:jc w:val="center"/>
              <w:rPr>
                <w:rFonts w:asciiTheme="majorHAnsi" w:hAnsiTheme="majorHAnsi" w:cstheme="majorHAnsi"/>
                <w:b/>
                <w:bCs/>
                <w:color w:val="000000" w:themeColor="text1"/>
                <w:sz w:val="20"/>
                <w:szCs w:val="20"/>
              </w:rPr>
            </w:pPr>
            <w:r w:rsidRPr="00C93CD6">
              <w:rPr>
                <w:rFonts w:asciiTheme="majorHAnsi" w:hAnsiTheme="majorHAnsi" w:cstheme="majorHAnsi"/>
                <w:b/>
                <w:bCs/>
                <w:color w:val="000000" w:themeColor="text1"/>
                <w:sz w:val="20"/>
                <w:szCs w:val="20"/>
              </w:rPr>
              <w:t>For outside Victoria</w:t>
            </w:r>
          </w:p>
          <w:p w14:paraId="34FD14A4" w14:textId="77777777" w:rsidR="004815CA" w:rsidRPr="00C93CD6" w:rsidRDefault="004815CA" w:rsidP="00C93CD6">
            <w:pPr>
              <w:rPr>
                <w:rFonts w:asciiTheme="majorHAnsi" w:hAnsiTheme="majorHAnsi" w:cstheme="majorHAnsi"/>
                <w:color w:val="000000" w:themeColor="text1"/>
                <w:sz w:val="20"/>
                <w:szCs w:val="20"/>
              </w:rPr>
            </w:pPr>
            <w:r w:rsidRPr="00C93CD6">
              <w:rPr>
                <w:rFonts w:asciiTheme="majorHAnsi" w:hAnsiTheme="majorHAnsi" w:cstheme="majorHAnsi"/>
                <w:color w:val="000000" w:themeColor="text1"/>
                <w:sz w:val="20"/>
                <w:szCs w:val="20"/>
              </w:rPr>
              <w:t xml:space="preserve">A professional engineering service is provided ‘for outside Victoria’ if it is provided to a person or project in an Australian state or territory other than Victoria or for another country. </w:t>
            </w:r>
          </w:p>
          <w:p w14:paraId="6C0D9551" w14:textId="77777777" w:rsidR="004815CA" w:rsidRPr="00C93CD6" w:rsidRDefault="004815CA" w:rsidP="00C93CD6">
            <w:pPr>
              <w:widowControl w:val="0"/>
              <w:ind w:left="31"/>
              <w:rPr>
                <w:rFonts w:asciiTheme="majorHAnsi" w:hAnsiTheme="majorHAnsi" w:cstheme="majorHAnsi"/>
                <w:color w:val="000000" w:themeColor="text1"/>
                <w:sz w:val="20"/>
                <w:szCs w:val="20"/>
              </w:rPr>
            </w:pPr>
          </w:p>
        </w:tc>
      </w:tr>
    </w:tbl>
    <w:p w14:paraId="3540BBF6" w14:textId="77777777" w:rsidR="004815CA" w:rsidRPr="004815CA" w:rsidRDefault="004815CA" w:rsidP="00C93CD6">
      <w:pPr>
        <w:spacing w:before="240"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lastRenderedPageBreak/>
        <w:t>In the situations described in (i) and (ii), registration is required because the professional engineer is physically located in Victoria. In these situations, the Act requires a professional engineer to be registered to practice regardless of whether or not the professional engineering services are being provided for Victoria.</w:t>
      </w:r>
    </w:p>
    <w:p w14:paraId="0F77AE87"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 xml:space="preserve">Registration with the BLA is also required in the situation described in (iii). While the professional engineer is located outside Victoria, the connection with Victoria is that the professional engineering services are being provided for Victoria. For example, a professional engineer located in Denmark designing a bespoke structure for a bridge to be built in Victoria, or a professional engineer located in Germany customising the design of a piece of machinery for use in a tunnelling project in Victoria must both be registered in Victoria or directly supervised by a registered Victorian professional engineer. The extraterritorial provision of the Act applies to this situation to ensure that professional engineers are accountable for the services they provide for Victoria. </w:t>
      </w:r>
    </w:p>
    <w:p w14:paraId="7D6F2291"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If the engineer in situation (iii) is not registered, they will have committed an offence under the Act unless they are providing the professional engineering services only in accordance with a prescriptive standard or under the direct supervision of a professional engineer who is registered.</w:t>
      </w:r>
    </w:p>
    <w:p w14:paraId="2B8E175A"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A professional engineer who is registered to practice with the BLA may take responsibility for the professional engineering services being provided by directly supervising the unregistered engineer. In this case, the registered practising professional engineer would need to be competent in the relevant area/s of engineering and the professional engineering services being provided to ensure the standard and appropriateness of the work being done by the unregistered engineer. The unregistered engineer would need evidence to demonstrate that they are being directly supervised.</w:t>
      </w:r>
    </w:p>
    <w:p w14:paraId="0522A925"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When the Act does not apply</w:t>
      </w:r>
    </w:p>
    <w:p w14:paraId="1DBFB4EE" w14:textId="77777777" w:rsidR="004815CA" w:rsidRPr="004815CA" w:rsidRDefault="004815CA" w:rsidP="00C93CD6">
      <w:pPr>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A person located outside Victoria who provides professional engineering services for people or projects located outside Victoria is not required to be registered with the BLA.</w:t>
      </w:r>
    </w:p>
    <w:p w14:paraId="5E8CC2AF" w14:textId="77777777" w:rsidR="004815CA" w:rsidRPr="00C93CD6" w:rsidRDefault="004815CA" w:rsidP="00C93CD6">
      <w:pPr>
        <w:snapToGrid w:val="0"/>
        <w:spacing w:before="240" w:after="120"/>
        <w:rPr>
          <w:rFonts w:asciiTheme="majorHAnsi" w:hAnsiTheme="majorHAnsi" w:cstheme="majorHAnsi"/>
          <w:b/>
          <w:bCs/>
          <w:color w:val="16145F"/>
          <w:sz w:val="22"/>
          <w:szCs w:val="22"/>
        </w:rPr>
      </w:pPr>
      <w:r w:rsidRPr="00C93CD6">
        <w:rPr>
          <w:rFonts w:asciiTheme="majorHAnsi" w:hAnsiTheme="majorHAnsi" w:cstheme="majorHAnsi"/>
          <w:b/>
          <w:bCs/>
          <w:color w:val="16145F"/>
          <w:sz w:val="22"/>
          <w:szCs w:val="22"/>
        </w:rPr>
        <w:t>Professional engineering services for generic products</w:t>
      </w:r>
    </w:p>
    <w:p w14:paraId="5915A491" w14:textId="77777777" w:rsidR="004815CA" w:rsidRPr="004815CA" w:rsidRDefault="004815CA" w:rsidP="00C93CD6">
      <w:pPr>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A product is generic if it can be used anywhere, that is, it has no specific use or connection to Victoria, for example, a motor vehicle or a television. Therefore, for a generic product the location of the professional engineer providing the professional engineering services determines whether they must be registered in Victoria.</w:t>
      </w:r>
    </w:p>
    <w:p w14:paraId="2E572538" w14:textId="77777777" w:rsidR="004815CA" w:rsidRPr="00C25D8C" w:rsidRDefault="004815CA" w:rsidP="00C25D8C">
      <w:pPr>
        <w:spacing w:before="240" w:after="120"/>
        <w:rPr>
          <w:rFonts w:asciiTheme="majorHAnsi" w:hAnsiTheme="majorHAnsi" w:cstheme="majorHAnsi"/>
          <w:b/>
          <w:bCs/>
          <w:color w:val="16145F"/>
          <w:sz w:val="22"/>
          <w:szCs w:val="22"/>
        </w:rPr>
      </w:pPr>
      <w:r w:rsidRPr="00C25D8C">
        <w:rPr>
          <w:rFonts w:asciiTheme="majorHAnsi" w:hAnsiTheme="majorHAnsi" w:cstheme="majorHAnsi"/>
          <w:b/>
          <w:bCs/>
          <w:color w:val="16145F"/>
          <w:sz w:val="22"/>
          <w:szCs w:val="22"/>
        </w:rPr>
        <w:t>Professional engineering services provided outside Victoria</w:t>
      </w:r>
    </w:p>
    <w:p w14:paraId="603BA750" w14:textId="77777777" w:rsidR="004815CA" w:rsidRPr="004815CA" w:rsidRDefault="004815CA" w:rsidP="00C25D8C">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A professional engineer located in another Australian state or territory or overseas who provides professional engineering services for a generic product, regardless of where the product is manufactured, is not required to be registered in Victoria. This is because the professional engineering services are provided outside Victoria and is not for Victoria.</w:t>
      </w:r>
    </w:p>
    <w:p w14:paraId="6B8E9D53" w14:textId="77777777" w:rsidR="004815CA" w:rsidRPr="00C25D8C" w:rsidRDefault="004815CA" w:rsidP="00C25D8C">
      <w:pPr>
        <w:spacing w:before="240" w:after="120"/>
        <w:rPr>
          <w:rFonts w:asciiTheme="majorHAnsi" w:hAnsiTheme="majorHAnsi" w:cstheme="majorHAnsi"/>
          <w:b/>
          <w:bCs/>
          <w:color w:val="16145F"/>
          <w:sz w:val="22"/>
          <w:szCs w:val="22"/>
        </w:rPr>
      </w:pPr>
      <w:r w:rsidRPr="00C25D8C">
        <w:rPr>
          <w:rFonts w:asciiTheme="majorHAnsi" w:hAnsiTheme="majorHAnsi" w:cstheme="majorHAnsi"/>
          <w:b/>
          <w:bCs/>
          <w:color w:val="16145F"/>
          <w:sz w:val="22"/>
          <w:szCs w:val="22"/>
        </w:rPr>
        <w:t>Professional engineering services provided in Victoria</w:t>
      </w:r>
    </w:p>
    <w:p w14:paraId="59365D41" w14:textId="77777777" w:rsidR="004815CA" w:rsidRPr="004815CA" w:rsidRDefault="004815CA" w:rsidP="00C25D8C">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Where a generic product is designed by a professional engineer located in Victoria or other professional engineering service is provided in Victoria for the product, the professional engineer must have a Victorian registration. This is because the professional engineering service is provided in Victoria.</w:t>
      </w:r>
    </w:p>
    <w:p w14:paraId="15A47A3B" w14:textId="77777777" w:rsidR="004815CA" w:rsidRPr="00C93CD6" w:rsidRDefault="004815CA" w:rsidP="00C93CD6">
      <w:pPr>
        <w:pStyle w:val="Heading2"/>
        <w:keepNext w:val="0"/>
        <w:keepLines w:val="0"/>
        <w:widowControl w:val="0"/>
        <w:spacing w:after="240" w:line="240" w:lineRule="auto"/>
        <w:rPr>
          <w:rFonts w:eastAsia="MS Gothic" w:cs="Arial"/>
          <w:bCs/>
          <w:color w:val="16145F" w:themeColor="accent3"/>
          <w:kern w:val="32"/>
          <w:sz w:val="28"/>
        </w:rPr>
      </w:pPr>
      <w:r w:rsidRPr="00C93CD6">
        <w:rPr>
          <w:rFonts w:eastAsia="MS Gothic" w:cs="Arial"/>
          <w:bCs/>
          <w:color w:val="16145F" w:themeColor="accent3"/>
          <w:kern w:val="32"/>
          <w:sz w:val="28"/>
        </w:rPr>
        <w:t>Professional engineering services provided at different stages of a project</w:t>
      </w:r>
    </w:p>
    <w:p w14:paraId="61F1E753" w14:textId="77777777" w:rsidR="004815CA" w:rsidRPr="004815CA" w:rsidRDefault="004815CA" w:rsidP="00C25D8C">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 xml:space="preserve">Professional engineering services provided at any stage of a project must be provided by a professional engineer if those services are provided within Victoria or have a connection to Victoria. </w:t>
      </w:r>
    </w:p>
    <w:p w14:paraId="18443658" w14:textId="77777777" w:rsidR="004815CA" w:rsidRPr="004815CA" w:rsidRDefault="004815CA" w:rsidP="00C25D8C">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lastRenderedPageBreak/>
        <w:t>An example of how the requirement to be registered applies in this situation is a large Victorian project where the design and development work for different stages of the project occur in different locations. If the plant is designed in Western Australia, the construction and maintenance systems are developed in Victoria and the design of the plant machinery is customised in Hong Kong, the professional engineers involved in each of these stages and locations must be registered in Victoria. The professional engineers located in Western Australia and Hong Kong must be registered because they are providing professional engineering services for Victoria, and the professional engineers designing the construction and maintenance systems must be registered because they are located in Victoria.</w:t>
      </w:r>
    </w:p>
    <w:p w14:paraId="0BE5839F" w14:textId="77777777" w:rsidR="004815CA" w:rsidRPr="000C707D" w:rsidRDefault="004815CA" w:rsidP="000C707D">
      <w:pPr>
        <w:pStyle w:val="Heading2"/>
        <w:keepNext w:val="0"/>
        <w:keepLines w:val="0"/>
        <w:widowControl w:val="0"/>
        <w:spacing w:before="360" w:after="240" w:line="240" w:lineRule="auto"/>
        <w:rPr>
          <w:rFonts w:eastAsia="MS Gothic" w:cs="Arial"/>
          <w:bCs/>
          <w:color w:val="16145F" w:themeColor="accent3"/>
          <w:kern w:val="32"/>
          <w:sz w:val="28"/>
        </w:rPr>
      </w:pPr>
      <w:r w:rsidRPr="000C707D">
        <w:rPr>
          <w:rFonts w:eastAsia="MS Gothic" w:cs="Arial"/>
          <w:bCs/>
          <w:color w:val="16145F" w:themeColor="accent3"/>
          <w:kern w:val="32"/>
          <w:sz w:val="28"/>
        </w:rPr>
        <w:t>Existing laws and standards</w:t>
      </w:r>
    </w:p>
    <w:p w14:paraId="7EF72055" w14:textId="77777777" w:rsidR="004815CA" w:rsidRPr="004815CA" w:rsidRDefault="004815CA" w:rsidP="00C25D8C">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The Act does not:</w:t>
      </w:r>
    </w:p>
    <w:p w14:paraId="69A05835" w14:textId="77777777" w:rsidR="004815CA" w:rsidRPr="004815CA" w:rsidRDefault="004815CA" w:rsidP="00C25D8C">
      <w:pPr>
        <w:numPr>
          <w:ilvl w:val="0"/>
          <w:numId w:val="34"/>
        </w:numPr>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change the Australian laws and standards that apply to products manufactured or constructed using professional engineering services provided in or for Victoria, or</w:t>
      </w:r>
    </w:p>
    <w:p w14:paraId="4764E8DB" w14:textId="77777777" w:rsidR="004815CA" w:rsidRPr="004815CA" w:rsidRDefault="004815CA" w:rsidP="00C25D8C">
      <w:pPr>
        <w:numPr>
          <w:ilvl w:val="0"/>
          <w:numId w:val="34"/>
        </w:num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impose additional certification or permit requirements on professional engineering services or products manufactured or constructed using professional engineering services provided in or for Victoria.</w:t>
      </w:r>
    </w:p>
    <w:p w14:paraId="05460037"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Mutual recognition</w:t>
      </w:r>
    </w:p>
    <w:p w14:paraId="6982EB9C"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 xml:space="preserve">The extraterritorial provisions of the Victorian Act and the Queensland </w:t>
      </w:r>
      <w:r w:rsidRPr="004815CA">
        <w:rPr>
          <w:rFonts w:asciiTheme="majorHAnsi" w:hAnsiTheme="majorHAnsi" w:cstheme="majorHAnsi"/>
          <w:i/>
          <w:iCs/>
          <w:color w:val="000000" w:themeColor="text1"/>
          <w:sz w:val="22"/>
          <w:szCs w:val="22"/>
        </w:rPr>
        <w:t>Professional Engineers Act 2002</w:t>
      </w:r>
      <w:r w:rsidRPr="004815CA">
        <w:rPr>
          <w:rFonts w:asciiTheme="majorHAnsi" w:hAnsiTheme="majorHAnsi" w:cstheme="majorHAnsi"/>
          <w:color w:val="000000" w:themeColor="text1"/>
          <w:sz w:val="22"/>
          <w:szCs w:val="22"/>
        </w:rPr>
        <w:t xml:space="preserve"> mean that in certain circumstances a professional engineer must be registered in both Victoria and Queensland. These circumstances include, for example, a professional engineer not working under direct supervision who:</w:t>
      </w:r>
    </w:p>
    <w:p w14:paraId="5E95B143" w14:textId="77777777" w:rsidR="004815CA" w:rsidRPr="004815CA" w:rsidRDefault="004815CA" w:rsidP="00C25D8C">
      <w:pPr>
        <w:widowControl w:val="0"/>
        <w:numPr>
          <w:ilvl w:val="0"/>
          <w:numId w:val="33"/>
        </w:numPr>
        <w:rPr>
          <w:rFonts w:ascii="Arial" w:hAnsi="Arial"/>
          <w:sz w:val="22"/>
          <w:szCs w:val="22"/>
          <w:lang w:eastAsia="en-US"/>
        </w:rPr>
      </w:pPr>
      <w:r w:rsidRPr="004815CA">
        <w:rPr>
          <w:rFonts w:ascii="Arial" w:hAnsi="Arial"/>
          <w:sz w:val="22"/>
          <w:szCs w:val="22"/>
          <w:lang w:eastAsia="en-US"/>
        </w:rPr>
        <w:t xml:space="preserve">is located in Queensland and provides professional engineering services for Victoria, or </w:t>
      </w:r>
    </w:p>
    <w:p w14:paraId="2FBE3F44" w14:textId="77777777" w:rsidR="004815CA" w:rsidRPr="004815CA" w:rsidRDefault="004815CA" w:rsidP="00C93CD6">
      <w:pPr>
        <w:widowControl w:val="0"/>
        <w:numPr>
          <w:ilvl w:val="0"/>
          <w:numId w:val="32"/>
        </w:numPr>
        <w:spacing w:after="120"/>
        <w:ind w:left="709" w:hanging="352"/>
        <w:rPr>
          <w:rFonts w:ascii="Arial" w:hAnsi="Arial"/>
          <w:sz w:val="22"/>
          <w:szCs w:val="22"/>
          <w:lang w:eastAsia="en-US"/>
        </w:rPr>
      </w:pPr>
      <w:r w:rsidRPr="004815CA">
        <w:rPr>
          <w:rFonts w:ascii="Arial" w:hAnsi="Arial"/>
          <w:sz w:val="22"/>
          <w:szCs w:val="22"/>
          <w:lang w:eastAsia="en-US"/>
        </w:rPr>
        <w:t xml:space="preserve">is located in Victoria and provides professional engineering services for Queensland. </w:t>
      </w:r>
    </w:p>
    <w:p w14:paraId="308DEB12"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Similarly, an engineer located and registered in New Zealand who provides professional engineering services for Victoria would also need to be registered in Victoria.</w:t>
      </w:r>
    </w:p>
    <w:p w14:paraId="4F7FE36F" w14:textId="4F9CEB19"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 xml:space="preserve">The Commonwealth </w:t>
      </w:r>
      <w:r w:rsidRPr="004815CA">
        <w:rPr>
          <w:rFonts w:asciiTheme="majorHAnsi" w:hAnsiTheme="majorHAnsi" w:cstheme="majorHAnsi"/>
          <w:i/>
          <w:iCs/>
          <w:color w:val="000000" w:themeColor="text1"/>
          <w:sz w:val="22"/>
          <w:szCs w:val="22"/>
        </w:rPr>
        <w:t>Mutual Recognition Act 1992</w:t>
      </w:r>
      <w:r w:rsidRPr="004815CA">
        <w:rPr>
          <w:rFonts w:asciiTheme="majorHAnsi" w:hAnsiTheme="majorHAnsi" w:cstheme="majorHAnsi"/>
          <w:color w:val="000000" w:themeColor="text1"/>
          <w:sz w:val="22"/>
          <w:szCs w:val="22"/>
        </w:rPr>
        <w:t xml:space="preserve"> and the </w:t>
      </w:r>
      <w:r w:rsidRPr="004815CA">
        <w:rPr>
          <w:rFonts w:asciiTheme="majorHAnsi" w:hAnsiTheme="majorHAnsi" w:cstheme="majorHAnsi"/>
          <w:i/>
          <w:iCs/>
          <w:color w:val="000000" w:themeColor="text1"/>
          <w:sz w:val="22"/>
          <w:szCs w:val="22"/>
        </w:rPr>
        <w:t>Trans-Tasman Mutual Recognition Act 1997</w:t>
      </w:r>
      <w:r w:rsidRPr="004815CA">
        <w:rPr>
          <w:rFonts w:asciiTheme="majorHAnsi" w:hAnsiTheme="majorHAnsi" w:cstheme="majorHAnsi"/>
          <w:color w:val="000000" w:themeColor="text1"/>
          <w:sz w:val="22"/>
          <w:szCs w:val="22"/>
        </w:rPr>
        <w:t xml:space="preserve"> provide a mechanism for a person to hold multiple registrations. Under the Commonwealth Acts a professional engineer registered in Victoria, Queensland or New Zealand can have their registration recognised in the other State or New Zealand without the need to be reassessed for registration in that other State or New Zealand. For advice on mutual recognition for professional engineers within Australia and with New Zealand contact Consumer Affairs Victoria </w:t>
      </w:r>
      <w:hyperlink r:id="rId12" w:history="1">
        <w:r w:rsidR="00D20532" w:rsidRPr="00D20532">
          <w:rPr>
            <w:rStyle w:val="Hyperlink"/>
            <w:rFonts w:asciiTheme="majorHAnsi" w:hAnsiTheme="majorHAnsi" w:cstheme="majorHAnsi"/>
            <w:sz w:val="22"/>
            <w:szCs w:val="22"/>
          </w:rPr>
          <w:t>blaengineers@dgs.vic.gov.au</w:t>
        </w:r>
      </w:hyperlink>
      <w:r w:rsidRPr="004815CA">
        <w:rPr>
          <w:rFonts w:asciiTheme="majorHAnsi" w:hAnsiTheme="majorHAnsi" w:cstheme="majorHAnsi"/>
          <w:color w:val="000000" w:themeColor="text1"/>
          <w:sz w:val="22"/>
          <w:szCs w:val="22"/>
        </w:rPr>
        <w:t>.</w:t>
      </w:r>
    </w:p>
    <w:p w14:paraId="7845079E" w14:textId="77777777" w:rsidR="004815CA" w:rsidRPr="004815CA" w:rsidRDefault="004815CA" w:rsidP="00C93CD6">
      <w:pPr>
        <w:pStyle w:val="Heading2"/>
        <w:keepNext w:val="0"/>
        <w:keepLines w:val="0"/>
        <w:widowControl w:val="0"/>
        <w:spacing w:before="360" w:after="240" w:line="240" w:lineRule="auto"/>
        <w:rPr>
          <w:rFonts w:eastAsia="MS Gothic" w:cs="Arial"/>
          <w:bCs/>
          <w:color w:val="16145F" w:themeColor="accent3"/>
          <w:kern w:val="32"/>
          <w:sz w:val="28"/>
        </w:rPr>
      </w:pPr>
      <w:r w:rsidRPr="004815CA">
        <w:rPr>
          <w:rFonts w:eastAsia="MS Gothic" w:cs="Arial"/>
          <w:bCs/>
          <w:color w:val="16145F" w:themeColor="accent3"/>
          <w:kern w:val="32"/>
          <w:sz w:val="28"/>
        </w:rPr>
        <w:t>Checklist on when the Act applies to professional engineering services</w:t>
      </w:r>
    </w:p>
    <w:p w14:paraId="0B4220A1" w14:textId="77777777" w:rsidR="004815CA" w:rsidRPr="004815CA" w:rsidRDefault="004815CA" w:rsidP="00C93CD6">
      <w:pPr>
        <w:spacing w:after="120"/>
        <w:rPr>
          <w:rFonts w:asciiTheme="majorHAnsi" w:hAnsiTheme="majorHAnsi" w:cstheme="majorHAnsi"/>
          <w:color w:val="000000" w:themeColor="text1"/>
          <w:sz w:val="22"/>
          <w:szCs w:val="22"/>
        </w:rPr>
      </w:pPr>
      <w:r w:rsidRPr="004815CA">
        <w:rPr>
          <w:rFonts w:asciiTheme="majorHAnsi" w:hAnsiTheme="majorHAnsi" w:cstheme="majorHAnsi"/>
          <w:color w:val="000000" w:themeColor="text1"/>
          <w:sz w:val="22"/>
          <w:szCs w:val="22"/>
        </w:rPr>
        <w:t>A professional engineer must be registered with the BLA to provide professional engineering services if they are:</w:t>
      </w:r>
    </w:p>
    <w:tbl>
      <w:tblPr>
        <w:tblStyle w:val="TableGrid1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4815CA" w:rsidRPr="004815CA" w14:paraId="7880CF9D" w14:textId="77777777" w:rsidTr="004815CA">
        <w:tc>
          <w:tcPr>
            <w:tcW w:w="562" w:type="dxa"/>
          </w:tcPr>
          <w:p w14:paraId="02EA6715" w14:textId="77777777" w:rsidR="004815CA" w:rsidRPr="004815CA" w:rsidRDefault="004815CA" w:rsidP="00C93CD6">
            <w:pPr>
              <w:contextualSpacing/>
              <w:jc w:val="center"/>
              <w:rPr>
                <w:rFonts w:asciiTheme="majorHAnsi" w:hAnsiTheme="majorHAnsi" w:cstheme="majorHAnsi"/>
                <w:color w:val="16145F"/>
                <w:sz w:val="28"/>
                <w:szCs w:val="28"/>
                <w:lang w:eastAsia="en-GB"/>
              </w:rPr>
            </w:pPr>
            <w:r w:rsidRPr="004815CA">
              <w:rPr>
                <w:rFonts w:asciiTheme="majorHAnsi" w:eastAsia="Wingdings" w:hAnsiTheme="majorHAnsi" w:cstheme="majorHAnsi"/>
                <w:color w:val="16145F"/>
                <w:sz w:val="28"/>
                <w:szCs w:val="28"/>
                <w:lang w:eastAsia="en-GB"/>
              </w:rPr>
              <w:sym w:font="Wingdings" w:char="F0FE"/>
            </w:r>
          </w:p>
        </w:tc>
        <w:tc>
          <w:tcPr>
            <w:tcW w:w="9644" w:type="dxa"/>
          </w:tcPr>
          <w:p w14:paraId="758132A5" w14:textId="77777777" w:rsidR="004815CA" w:rsidRPr="004815CA" w:rsidRDefault="004815CA" w:rsidP="00C93CD6">
            <w:pPr>
              <w:contextualSpacing/>
              <w:rPr>
                <w:rFonts w:asciiTheme="majorHAnsi" w:hAnsiTheme="majorHAnsi" w:cstheme="majorHAnsi"/>
                <w:color w:val="000000" w:themeColor="text1"/>
              </w:rPr>
            </w:pPr>
            <w:r w:rsidRPr="004815CA">
              <w:rPr>
                <w:rFonts w:asciiTheme="majorHAnsi" w:hAnsiTheme="majorHAnsi" w:cstheme="majorHAnsi"/>
                <w:color w:val="000000" w:themeColor="text1"/>
              </w:rPr>
              <w:t>located in Victoria, regardless of whether the services are being provided for Victoria or another Australian state or territory, or overseas, or</w:t>
            </w:r>
          </w:p>
        </w:tc>
      </w:tr>
      <w:tr w:rsidR="004815CA" w:rsidRPr="004815CA" w14:paraId="60339D12" w14:textId="77777777" w:rsidTr="004815CA">
        <w:tc>
          <w:tcPr>
            <w:tcW w:w="562" w:type="dxa"/>
          </w:tcPr>
          <w:p w14:paraId="00A9AB8E" w14:textId="77777777" w:rsidR="004815CA" w:rsidRPr="004815CA" w:rsidRDefault="004815CA" w:rsidP="00C93CD6">
            <w:pPr>
              <w:contextualSpacing/>
              <w:jc w:val="center"/>
              <w:rPr>
                <w:rFonts w:asciiTheme="majorHAnsi" w:hAnsiTheme="majorHAnsi" w:cstheme="majorHAnsi"/>
                <w:color w:val="16145F"/>
                <w:sz w:val="28"/>
                <w:szCs w:val="28"/>
                <w:lang w:eastAsia="en-GB"/>
              </w:rPr>
            </w:pPr>
            <w:r w:rsidRPr="004815CA">
              <w:rPr>
                <w:rFonts w:asciiTheme="majorHAnsi" w:eastAsia="Wingdings" w:hAnsiTheme="majorHAnsi" w:cstheme="majorHAnsi"/>
                <w:color w:val="16145F"/>
                <w:sz w:val="28"/>
                <w:szCs w:val="28"/>
                <w:lang w:eastAsia="en-GB"/>
              </w:rPr>
              <w:sym w:font="Wingdings" w:char="F0FE"/>
            </w:r>
          </w:p>
        </w:tc>
        <w:tc>
          <w:tcPr>
            <w:tcW w:w="9644" w:type="dxa"/>
          </w:tcPr>
          <w:p w14:paraId="08272142" w14:textId="77777777" w:rsidR="004815CA" w:rsidRPr="004815CA" w:rsidRDefault="004815CA" w:rsidP="00C93CD6">
            <w:pPr>
              <w:snapToGrid w:val="0"/>
              <w:contextualSpacing/>
              <w:rPr>
                <w:rFonts w:asciiTheme="majorHAnsi" w:hAnsiTheme="majorHAnsi" w:cstheme="majorHAnsi"/>
                <w:color w:val="000000" w:themeColor="text1"/>
              </w:rPr>
            </w:pPr>
            <w:r w:rsidRPr="004815CA">
              <w:rPr>
                <w:rFonts w:asciiTheme="majorHAnsi" w:hAnsiTheme="majorHAnsi" w:cstheme="majorHAnsi"/>
                <w:color w:val="000000" w:themeColor="text1"/>
              </w:rPr>
              <w:t>If they are providing professional engineering services for Victoria, regardless of whether they are located in Victoria or in another Australian state or territory, or overseas.</w:t>
            </w:r>
          </w:p>
        </w:tc>
      </w:tr>
    </w:tbl>
    <w:p w14:paraId="2D179FB5" w14:textId="77777777" w:rsidR="00D91234" w:rsidRPr="004815CA" w:rsidRDefault="00D91234" w:rsidP="00C93CD6">
      <w:pPr>
        <w:rPr>
          <w:rFonts w:asciiTheme="majorHAnsi" w:hAnsiTheme="majorHAnsi" w:cstheme="majorHAnsi"/>
          <w:sz w:val="22"/>
          <w:szCs w:val="22"/>
        </w:rPr>
      </w:pPr>
    </w:p>
    <w:sectPr w:rsidR="00D91234" w:rsidRPr="004815CA" w:rsidSect="008C153F">
      <w:headerReference w:type="default" r:id="rId13"/>
      <w:footerReference w:type="even" r:id="rId14"/>
      <w:footerReference w:type="default" r:id="rId15"/>
      <w:headerReference w:type="first" r:id="rId16"/>
      <w:footerReference w:type="first" r:id="rId17"/>
      <w:type w:val="continuous"/>
      <w:pgSz w:w="11906" w:h="16838" w:code="9"/>
      <w:pgMar w:top="1871" w:right="851" w:bottom="1418" w:left="851" w:header="1049" w:footer="44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47F2" w14:textId="77777777" w:rsidR="00CC379D" w:rsidRDefault="00CC379D">
      <w:r>
        <w:separator/>
      </w:r>
    </w:p>
  </w:endnote>
  <w:endnote w:type="continuationSeparator" w:id="0">
    <w:p w14:paraId="095DFD75" w14:textId="77777777" w:rsidR="00CC379D" w:rsidRDefault="00CC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19210" w14:textId="5135276F" w:rsidR="00AF25E3" w:rsidRDefault="00AF25E3">
    <w:pPr>
      <w:pStyle w:val="Footer"/>
    </w:pPr>
    <w:r>
      <w:rPr>
        <w:noProof/>
      </w:rPr>
      <mc:AlternateContent>
        <mc:Choice Requires="wps">
          <w:drawing>
            <wp:anchor distT="0" distB="0" distL="0" distR="0" simplePos="0" relativeHeight="251677696" behindDoc="0" locked="0" layoutInCell="1" allowOverlap="1" wp14:anchorId="7F36B6F8" wp14:editId="27E4AB25">
              <wp:simplePos x="635" y="635"/>
              <wp:positionH relativeFrom="page">
                <wp:align>left</wp:align>
              </wp:positionH>
              <wp:positionV relativeFrom="page">
                <wp:align>bottom</wp:align>
              </wp:positionV>
              <wp:extent cx="759460" cy="361315"/>
              <wp:effectExtent l="0" t="0" r="2540" b="0"/>
              <wp:wrapNone/>
              <wp:docPr id="50947331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7C5E4A25" w14:textId="484F7AAE"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6B6F8"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fill o:detectmouseclick="t"/>
              <v:textbox style="mso-fit-shape-to-text:t" inset="20pt,0,0,15pt">
                <w:txbxContent>
                  <w:p w14:paraId="7C5E4A25" w14:textId="484F7AAE"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E088B" w14:textId="77777777" w:rsidR="00AF25E3" w:rsidRDefault="00AF25E3" w:rsidP="009C6D5E">
    <w:pPr>
      <w:pStyle w:val="DJCSfooter"/>
      <w:tabs>
        <w:tab w:val="clear" w:pos="10206"/>
        <w:tab w:val="left" w:pos="567"/>
        <w:tab w:val="left" w:pos="1418"/>
        <w:tab w:val="left" w:pos="4395"/>
      </w:tabs>
      <w:spacing w:before="120"/>
    </w:pPr>
    <w:r>
      <w:rPr>
        <w:noProof/>
      </w:rPr>
      <mc:AlternateContent>
        <mc:Choice Requires="wps">
          <w:drawing>
            <wp:anchor distT="0" distB="0" distL="0" distR="0" simplePos="0" relativeHeight="251678720" behindDoc="0" locked="0" layoutInCell="1" allowOverlap="1" wp14:anchorId="4C99B6C3" wp14:editId="767B74FF">
              <wp:simplePos x="635" y="635"/>
              <wp:positionH relativeFrom="page">
                <wp:align>left</wp:align>
              </wp:positionH>
              <wp:positionV relativeFrom="page">
                <wp:align>bottom</wp:align>
              </wp:positionV>
              <wp:extent cx="759460" cy="361315"/>
              <wp:effectExtent l="0" t="0" r="2540" b="0"/>
              <wp:wrapNone/>
              <wp:docPr id="98329155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1309C152" w14:textId="784A27E6"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C99B6C3" id="_x0000_t202" coordsize="21600,21600" o:spt="202" path="m,l,21600r21600,l21600,xe">
              <v:stroke joinstyle="miter"/>
              <v:path gradientshapeok="t" o:connecttype="rect"/>
            </v:shapetype>
            <v:shape id="Text Box 3" o:spid="_x0000_s1027" type="#_x0000_t202" alt="OFFICIAL" style="position:absolute;margin-left:0;margin-top:0;width:59.8pt;height:28.4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sPEg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Nh+n30J9xKUcDHx7y9cttn5kPrwwhwTjtCja&#10;8IyHVNBVFE4WJQ24H3/zx3zEHaOUdCiYihpUNCXqm0E+prPrPI8CSzc03Ghsk1Hc5rMYN3t9D6jF&#10;Ap+F5cmMyUGNpnSg31DTq9gNQ8xw7FnR7Wjeh0G++Ca4WK1SEmrJsvBoNpbH0hGzCOhr/8acPaEe&#10;kK4nGCXFynfgD7nxT29X+4AUJGYivgOaJ9hRh4nb05uJQv/1nrIuL3v5Ew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jSYLDxIC&#10;AAAhBAAADgAAAAAAAAAAAAAAAAAuAgAAZHJzL2Uyb0RvYy54bWxQSwECLQAUAAYACAAAACEAvSQy&#10;J9oAAAAEAQAADwAAAAAAAAAAAAAAAABsBAAAZHJzL2Rvd25yZXYueG1sUEsFBgAAAAAEAAQA8wAA&#10;AHMFAAAAAA==&#10;" filled="f" stroked="f">
              <v:fill o:detectmouseclick="t"/>
              <v:textbox style="mso-fit-shape-to-text:t" inset="20pt,0,0,15pt">
                <w:txbxContent>
                  <w:p w14:paraId="1309C152" w14:textId="784A27E6"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v:textbox>
              <w10:wrap anchorx="page" anchory="page"/>
            </v:shape>
          </w:pict>
        </mc:Fallback>
      </mc:AlternateContent>
    </w:r>
  </w:p>
  <w:sdt>
    <w:sdtPr>
      <w:id w:val="1859615145"/>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59048265"/>
          <w:docPartObj>
            <w:docPartGallery w:val="Page Numbers (Top of Page)"/>
            <w:docPartUnique/>
          </w:docPartObj>
        </w:sdtPr>
        <w:sdtEndPr/>
        <w:sdtContent>
          <w:p w14:paraId="3492CA24" w14:textId="794440FC" w:rsidR="009C6D5E" w:rsidRPr="009C6D5E" w:rsidRDefault="00A04213" w:rsidP="009C6D5E">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65408" behindDoc="1" locked="0" layoutInCell="1" allowOverlap="1" wp14:anchorId="2C615CDE" wp14:editId="7759386D">
                  <wp:simplePos x="0" y="0"/>
                  <wp:positionH relativeFrom="margin">
                    <wp:posOffset>4980940</wp:posOffset>
                  </wp:positionH>
                  <wp:positionV relativeFrom="paragraph">
                    <wp:posOffset>160655</wp:posOffset>
                  </wp:positionV>
                  <wp:extent cx="1498578" cy="412109"/>
                  <wp:effectExtent l="0" t="0" r="635"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009C6D5E" w:rsidRPr="009C6D5E">
              <w:rPr>
                <w:rFonts w:asciiTheme="majorHAnsi" w:hAnsiTheme="majorHAnsi" w:cstheme="majorHAnsi"/>
              </w:rPr>
              <w:t>mer.vic.gov.au/engineers</w:t>
            </w:r>
          </w:p>
          <w:p w14:paraId="1DB58DD5" w14:textId="7E6D3E3E" w:rsidR="009C6D5E" w:rsidRPr="009C6D5E" w:rsidRDefault="009C6D5E" w:rsidP="009C6D5E">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1</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90EEB2F" w14:textId="3CF0000D" w:rsidR="009C6D5E" w:rsidRPr="009C6D5E" w:rsidRDefault="009C6D5E"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sidR="00A04213">
              <w:rPr>
                <w:rFonts w:asciiTheme="majorHAnsi" w:hAnsiTheme="majorHAnsi" w:cstheme="majorHAnsi"/>
              </w:rPr>
              <w:tab/>
            </w:r>
          </w:p>
        </w:sdtContent>
      </w:sdt>
    </w:sdtContent>
  </w:sdt>
  <w:p w14:paraId="58A6886F" w14:textId="5D824B58" w:rsidR="009C6D5E" w:rsidRPr="009C6D5E" w:rsidRDefault="00D52173">
    <w:pPr>
      <w:pStyle w:val="Footer"/>
      <w:rPr>
        <w:rFonts w:asciiTheme="majorHAnsi" w:hAnsiTheme="majorHAnsi" w:cstheme="majorHAnsi"/>
      </w:rPr>
    </w:pPr>
    <w:r>
      <w:rPr>
        <w:noProof/>
      </w:rPr>
      <w:drawing>
        <wp:anchor distT="0" distB="0" distL="114300" distR="114300" simplePos="0" relativeHeight="251673600" behindDoc="1" locked="0" layoutInCell="1" allowOverlap="1" wp14:anchorId="279EC9E3" wp14:editId="705E2F02">
          <wp:simplePos x="0" y="0"/>
          <wp:positionH relativeFrom="page">
            <wp:posOffset>6985</wp:posOffset>
          </wp:positionH>
          <wp:positionV relativeFrom="page">
            <wp:posOffset>10838180</wp:posOffset>
          </wp:positionV>
          <wp:extent cx="7574400" cy="1000631"/>
          <wp:effectExtent l="0" t="0" r="0" b="317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r w:rsidR="00366F3B">
      <w:rPr>
        <w:rFonts w:asciiTheme="majorHAnsi" w:hAnsiTheme="majorHAnsi" w:cstheme="majorHAnsi"/>
      </w:rPr>
      <w:t>3</w:t>
    </w:r>
    <w:r w:rsidR="009C6D5E" w:rsidRPr="009C6D5E">
      <w:rPr>
        <w:rFonts w:asciiTheme="majorHAnsi" w:hAnsiTheme="majorHAnsi" w:cstheme="majorHAnsi"/>
      </w:rPr>
      <w:t xml:space="preserve"> August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1F9E3" w14:textId="77777777" w:rsidR="00AF25E3" w:rsidRDefault="00AF25E3" w:rsidP="00B6330C">
    <w:pPr>
      <w:pStyle w:val="DJCSfooter"/>
      <w:tabs>
        <w:tab w:val="clear" w:pos="10206"/>
        <w:tab w:val="left" w:pos="567"/>
        <w:tab w:val="left" w:pos="1418"/>
        <w:tab w:val="left" w:pos="4395"/>
      </w:tabs>
      <w:spacing w:before="120"/>
    </w:pPr>
    <w:r>
      <w:rPr>
        <w:noProof/>
      </w:rPr>
      <mc:AlternateContent>
        <mc:Choice Requires="wps">
          <w:drawing>
            <wp:anchor distT="0" distB="0" distL="0" distR="0" simplePos="0" relativeHeight="251676672" behindDoc="0" locked="0" layoutInCell="1" allowOverlap="1" wp14:anchorId="12846ADE" wp14:editId="18FF20A2">
              <wp:simplePos x="542925" y="9529763"/>
              <wp:positionH relativeFrom="page">
                <wp:align>left</wp:align>
              </wp:positionH>
              <wp:positionV relativeFrom="page">
                <wp:align>bottom</wp:align>
              </wp:positionV>
              <wp:extent cx="759460" cy="361315"/>
              <wp:effectExtent l="0" t="0" r="2540" b="0"/>
              <wp:wrapNone/>
              <wp:docPr id="163767144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745E3D68" w14:textId="5E66B46B"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2846ADE" id="_x0000_t202" coordsize="21600,21600" o:spt="202" path="m,l,21600r21600,l21600,xe">
              <v:stroke joinstyle="miter"/>
              <v:path gradientshapeok="t" o:connecttype="rect"/>
            </v:shapetype>
            <v:shape id="Text Box 1" o:spid="_x0000_s1029" type="#_x0000_t202" alt="OFFICIAL" style="position:absolute;margin-left:0;margin-top:0;width:59.8pt;height:28.4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fill o:detectmouseclick="t"/>
              <v:textbox style="mso-fit-shape-to-text:t" inset="20pt,0,0,15pt">
                <w:txbxContent>
                  <w:p w14:paraId="745E3D68" w14:textId="5E66B46B" w:rsidR="00AF25E3" w:rsidRPr="00AF25E3" w:rsidRDefault="00AF25E3" w:rsidP="00AF25E3">
                    <w:pPr>
                      <w:rPr>
                        <w:rFonts w:ascii="Calibri" w:eastAsia="Calibri" w:hAnsi="Calibri" w:cs="Calibri"/>
                        <w:noProof/>
                        <w:color w:val="000000"/>
                        <w:sz w:val="22"/>
                        <w:szCs w:val="22"/>
                      </w:rPr>
                    </w:pPr>
                    <w:r w:rsidRPr="00AF25E3">
                      <w:rPr>
                        <w:rFonts w:ascii="Calibri" w:eastAsia="Calibri" w:hAnsi="Calibri" w:cs="Calibri"/>
                        <w:noProof/>
                        <w:color w:val="000000"/>
                        <w:sz w:val="22"/>
                        <w:szCs w:val="22"/>
                      </w:rPr>
                      <w:t>OFFICIAL</w:t>
                    </w:r>
                  </w:p>
                </w:txbxContent>
              </v:textbox>
              <w10:wrap anchorx="page" anchory="page"/>
            </v:shape>
          </w:pict>
        </mc:Fallback>
      </mc:AlternateContent>
    </w:r>
  </w:p>
  <w:sdt>
    <w:sdtPr>
      <w:id w:val="-98778659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509809364"/>
          <w:docPartObj>
            <w:docPartGallery w:val="Page Numbers (Top of Page)"/>
            <w:docPartUnique/>
          </w:docPartObj>
        </w:sdtPr>
        <w:sdtEndPr/>
        <w:sdtContent>
          <w:p w14:paraId="4F6A92B5" w14:textId="25244D9B" w:rsidR="00B6330C" w:rsidRPr="009C6D5E" w:rsidRDefault="00B6330C" w:rsidP="00B6330C">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71552" behindDoc="1" locked="0" layoutInCell="1" allowOverlap="1" wp14:anchorId="35E2229F" wp14:editId="3F56F7DE">
                  <wp:simplePos x="0" y="0"/>
                  <wp:positionH relativeFrom="margin">
                    <wp:posOffset>4980940</wp:posOffset>
                  </wp:positionH>
                  <wp:positionV relativeFrom="paragraph">
                    <wp:posOffset>160655</wp:posOffset>
                  </wp:positionV>
                  <wp:extent cx="1498578" cy="412109"/>
                  <wp:effectExtent l="0" t="0" r="635"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Pr="009C6D5E">
              <w:rPr>
                <w:rFonts w:asciiTheme="majorHAnsi" w:hAnsiTheme="majorHAnsi" w:cstheme="majorHAnsi"/>
              </w:rPr>
              <w:t>sumer.vic.gov.au/engineers</w:t>
            </w:r>
          </w:p>
          <w:p w14:paraId="468AFF8C" w14:textId="77777777" w:rsidR="00B6330C" w:rsidRPr="009C6D5E" w:rsidRDefault="00B6330C" w:rsidP="00B6330C">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2</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D7A76DF" w14:textId="77777777" w:rsidR="00B6330C" w:rsidRPr="009C6D5E" w:rsidRDefault="00B6330C"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Pr>
                <w:rFonts w:asciiTheme="majorHAnsi" w:hAnsiTheme="majorHAnsi" w:cstheme="majorHAnsi"/>
              </w:rPr>
              <w:tab/>
            </w:r>
          </w:p>
        </w:sdtContent>
      </w:sdt>
    </w:sdtContent>
  </w:sdt>
  <w:p w14:paraId="55F7D47C" w14:textId="46C71AF6" w:rsidR="009C6D5E" w:rsidRPr="00B6330C" w:rsidRDefault="00B6330C" w:rsidP="00B6330C">
    <w:pPr>
      <w:pStyle w:val="Footer"/>
      <w:rPr>
        <w:rFonts w:asciiTheme="majorHAnsi" w:hAnsiTheme="majorHAnsi" w:cstheme="majorHAnsi"/>
      </w:rPr>
    </w:pPr>
    <w:r w:rsidRPr="009C6D5E">
      <w:rPr>
        <w:rFonts w:asciiTheme="majorHAnsi" w:hAnsiTheme="majorHAnsi" w:cstheme="majorHAnsi"/>
      </w:rPr>
      <w:t>2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9D6B4" w14:textId="77777777" w:rsidR="00CC379D" w:rsidRDefault="00CC379D" w:rsidP="002862F1">
      <w:pPr>
        <w:spacing w:before="120"/>
      </w:pPr>
      <w:r>
        <w:separator/>
      </w:r>
    </w:p>
  </w:footnote>
  <w:footnote w:type="continuationSeparator" w:id="0">
    <w:p w14:paraId="535D1902" w14:textId="77777777" w:rsidR="00CC379D" w:rsidRDefault="00CC379D">
      <w:r>
        <w:continuationSeparator/>
      </w:r>
    </w:p>
    <w:p w14:paraId="35953499" w14:textId="77777777" w:rsidR="00CC379D" w:rsidRDefault="00CC379D"/>
    <w:p w14:paraId="380FA760" w14:textId="77777777" w:rsidR="00CC379D" w:rsidRDefault="00CC379D"/>
  </w:footnote>
  <w:footnote w:type="continuationNotice" w:id="1">
    <w:p w14:paraId="2A6A8A94" w14:textId="77777777" w:rsidR="00CC379D" w:rsidRDefault="00CC379D"/>
  </w:footnote>
  <w:footnote w:id="2">
    <w:p w14:paraId="371D9471" w14:textId="77777777" w:rsidR="004815CA" w:rsidRPr="00C93CD6" w:rsidRDefault="004815CA" w:rsidP="004815CA">
      <w:pPr>
        <w:pStyle w:val="FootnoteText"/>
        <w:tabs>
          <w:tab w:val="left" w:pos="284"/>
        </w:tabs>
        <w:ind w:left="284" w:hanging="284"/>
        <w:rPr>
          <w:rFonts w:cstheme="minorHAnsi"/>
        </w:rPr>
      </w:pPr>
      <w:r w:rsidRPr="00C93CD6">
        <w:rPr>
          <w:rStyle w:val="FootnoteReference"/>
          <w:rFonts w:cstheme="minorHAnsi"/>
        </w:rPr>
        <w:footnoteRef/>
      </w:r>
      <w:r w:rsidRPr="00C93CD6">
        <w:rPr>
          <w:rFonts w:cstheme="minorHAnsi"/>
        </w:rPr>
        <w:t xml:space="preserve"> </w:t>
      </w:r>
      <w:r w:rsidRPr="00C93CD6">
        <w:rPr>
          <w:rFonts w:cstheme="minorHAnsi"/>
        </w:rPr>
        <w:tab/>
        <w:t>Section 5 of the Act applies the Act within and outside Victoria to the full extent of the extraterritorial legislative powers of the Victorian Parliament.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2A4D0" w14:textId="50F56A72" w:rsidR="00194727" w:rsidRDefault="00D52173" w:rsidP="00C93CD6">
    <w:pPr>
      <w:pStyle w:val="Header"/>
    </w:pPr>
    <w:r>
      <w:rPr>
        <w:noProof/>
      </w:rPr>
      <w:drawing>
        <wp:anchor distT="0" distB="0" distL="114300" distR="114300" simplePos="0" relativeHeight="251675648" behindDoc="1" locked="0" layoutInCell="1" allowOverlap="1" wp14:anchorId="05057BB7" wp14:editId="3367BA3F">
          <wp:simplePos x="0" y="0"/>
          <wp:positionH relativeFrom="page">
            <wp:posOffset>10695</wp:posOffset>
          </wp:positionH>
          <wp:positionV relativeFrom="page">
            <wp:posOffset>33020</wp:posOffset>
          </wp:positionV>
          <wp:extent cx="7574400" cy="1000631"/>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8771" w14:textId="6C0460A8" w:rsidR="009C6D5E" w:rsidRDefault="009C6D5E">
    <w:pPr>
      <w:pStyle w:val="Header"/>
    </w:pPr>
    <w:r>
      <w:rPr>
        <w:noProof/>
      </w:rPr>
      <mc:AlternateContent>
        <mc:Choice Requires="wps">
          <w:drawing>
            <wp:anchor distT="45720" distB="45720" distL="114300" distR="114300" simplePos="0" relativeHeight="251669504" behindDoc="0" locked="0" layoutInCell="1" allowOverlap="1" wp14:anchorId="7EFD0EA7" wp14:editId="04FB4E42">
              <wp:simplePos x="0" y="0"/>
              <wp:positionH relativeFrom="column">
                <wp:posOffset>-476250</wp:posOffset>
              </wp:positionH>
              <wp:positionV relativeFrom="paragraph">
                <wp:posOffset>-422275</wp:posOffset>
              </wp:positionV>
              <wp:extent cx="329946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D0EA7" id="_x0000_t202" coordsize="21600,21600" o:spt="202" path="m,l,21600r21600,l21600,xe">
              <v:stroke joinstyle="miter"/>
              <v:path gradientshapeok="t" o:connecttype="rect"/>
            </v:shapetype>
            <v:shape id="Text Box 2" o:spid="_x0000_s1026" type="#_x0000_t202" style="position:absolute;margin-left:-37.5pt;margin-top:-33.25pt;width:25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" filled="f" stroked="f">
              <v:textbox style="mso-fit-shape-to-text:t">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v:textbox>
              <w10:wrap type="square"/>
            </v:shape>
          </w:pict>
        </mc:Fallback>
      </mc:AlternateContent>
    </w:r>
    <w:r>
      <w:rPr>
        <w:noProof/>
      </w:rPr>
      <w:drawing>
        <wp:anchor distT="0" distB="0" distL="114300" distR="114300" simplePos="0" relativeHeight="251667456" behindDoc="1" locked="0" layoutInCell="1" allowOverlap="1" wp14:anchorId="0D809102" wp14:editId="1E49AAAB">
          <wp:simplePos x="0" y="0"/>
          <wp:positionH relativeFrom="page">
            <wp:posOffset>-3810</wp:posOffset>
          </wp:positionH>
          <wp:positionV relativeFrom="page">
            <wp:posOffset>2540</wp:posOffset>
          </wp:positionV>
          <wp:extent cx="7610395" cy="125991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395" cy="1259915"/>
                  </a:xfrm>
                  <a:prstGeom prst="rect">
                    <a:avLst/>
                  </a:prstGeom>
                </pic:spPr>
              </pic:pic>
            </a:graphicData>
          </a:graphic>
          <wp14:sizeRelH relativeFrom="page">
            <wp14:pctWidth>0</wp14:pctWidth>
          </wp14:sizeRelH>
          <wp14:sizeRelV relativeFrom="page">
            <wp14:pctHeight>0</wp14:pctHeight>
          </wp14:sizeRelV>
        </wp:anchor>
      </w:drawing>
    </w:r>
  </w:p>
  <w:p w14:paraId="60DBD3B2" w14:textId="77777777" w:rsidR="00194727" w:rsidRDefault="00194727"/>
  <w:p w14:paraId="1CDB2240" w14:textId="77777777" w:rsidR="00194727" w:rsidRDefault="00194727"/>
  <w:p w14:paraId="40ADB3C8" w14:textId="77777777" w:rsidR="00194727" w:rsidRDefault="001947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626A70"/>
    <w:multiLevelType w:val="hybridMultilevel"/>
    <w:tmpl w:val="576EA93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C6494"/>
    <w:multiLevelType w:val="multilevel"/>
    <w:tmpl w:val="A5A05F38"/>
    <w:numStyleLink w:val="ZZBullets"/>
  </w:abstractNum>
  <w:abstractNum w:abstractNumId="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65674C"/>
    <w:multiLevelType w:val="hybridMultilevel"/>
    <w:tmpl w:val="32E0350A"/>
    <w:lvl w:ilvl="0" w:tplc="B88A0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713B80"/>
    <w:multiLevelType w:val="hybridMultilevel"/>
    <w:tmpl w:val="B14402E0"/>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95C70"/>
    <w:multiLevelType w:val="hybridMultilevel"/>
    <w:tmpl w:val="E848BF68"/>
    <w:lvl w:ilvl="0" w:tplc="7938CB90">
      <w:start w:val="1"/>
      <w:numFmt w:val="bullet"/>
      <w:lvlText w:val=""/>
      <w:lvlJc w:val="left"/>
      <w:pPr>
        <w:ind w:left="1080" w:hanging="72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C04745"/>
    <w:multiLevelType w:val="hybridMultilevel"/>
    <w:tmpl w:val="C9EE4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5EDB"/>
    <w:multiLevelType w:val="hybridMultilevel"/>
    <w:tmpl w:val="54D628FC"/>
    <w:lvl w:ilvl="0" w:tplc="E9E0E8EA">
      <w:numFmt w:val="bullet"/>
      <w:lvlText w:val="•"/>
      <w:lvlJc w:val="left"/>
      <w:pPr>
        <w:ind w:left="1080" w:hanging="72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7F1DEF"/>
    <w:multiLevelType w:val="hybridMultilevel"/>
    <w:tmpl w:val="1132E9AA"/>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2340D"/>
    <w:multiLevelType w:val="hybridMultilevel"/>
    <w:tmpl w:val="4992B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DF11FB1"/>
    <w:multiLevelType w:val="hybridMultilevel"/>
    <w:tmpl w:val="1D36ED7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06B42"/>
    <w:multiLevelType w:val="hybridMultilevel"/>
    <w:tmpl w:val="3E944072"/>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BE4B93"/>
    <w:multiLevelType w:val="hybridMultilevel"/>
    <w:tmpl w:val="0644D0B0"/>
    <w:lvl w:ilvl="0" w:tplc="50DA4B38">
      <w:start w:val="1"/>
      <w:numFmt w:val="lowerRoman"/>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7B0694"/>
    <w:multiLevelType w:val="hybridMultilevel"/>
    <w:tmpl w:val="1A6AD940"/>
    <w:lvl w:ilvl="0" w:tplc="BAD071A6">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F75932"/>
    <w:multiLevelType w:val="hybridMultilevel"/>
    <w:tmpl w:val="428A241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0F7AA7"/>
    <w:multiLevelType w:val="hybridMultilevel"/>
    <w:tmpl w:val="4E2C713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64C56"/>
    <w:multiLevelType w:val="hybridMultilevel"/>
    <w:tmpl w:val="06FA02A0"/>
    <w:lvl w:ilvl="0" w:tplc="60AE73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803CE"/>
    <w:multiLevelType w:val="hybridMultilevel"/>
    <w:tmpl w:val="5C3AAFF4"/>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E59430A"/>
    <w:multiLevelType w:val="hybridMultilevel"/>
    <w:tmpl w:val="1840CE30"/>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9507FC8"/>
    <w:multiLevelType w:val="hybridMultilevel"/>
    <w:tmpl w:val="15F23B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F2B9F"/>
    <w:multiLevelType w:val="hybridMultilevel"/>
    <w:tmpl w:val="7FC056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80BF9"/>
    <w:multiLevelType w:val="hybridMultilevel"/>
    <w:tmpl w:val="4B22BDA0"/>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CA6126"/>
    <w:multiLevelType w:val="hybridMultilevel"/>
    <w:tmpl w:val="64F47950"/>
    <w:lvl w:ilvl="0" w:tplc="ABAA160C">
      <w:start w:val="1"/>
      <w:numFmt w:val="bullet"/>
      <w:lvlText w:val=""/>
      <w:lvlJc w:val="left"/>
      <w:pPr>
        <w:ind w:left="720" w:hanging="360"/>
      </w:pPr>
      <w:rPr>
        <w:rFonts w:ascii="Symbol" w:hAnsi="Symbol" w:hint="default"/>
        <w:color w:val="16145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4045C5"/>
    <w:multiLevelType w:val="hybridMultilevel"/>
    <w:tmpl w:val="B386B46C"/>
    <w:lvl w:ilvl="0" w:tplc="6AA223A0">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FF6C55"/>
    <w:multiLevelType w:val="hybridMultilevel"/>
    <w:tmpl w:val="ADB6C2BA"/>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AF5515"/>
    <w:multiLevelType w:val="hybridMultilevel"/>
    <w:tmpl w:val="80A6D6D2"/>
    <w:lvl w:ilvl="0" w:tplc="ABAA160C">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14693178">
    <w:abstractNumId w:val="0"/>
  </w:num>
  <w:num w:numId="2" w16cid:durableId="177164686">
    <w:abstractNumId w:val="16"/>
  </w:num>
  <w:num w:numId="3" w16cid:durableId="448941421">
    <w:abstractNumId w:val="23"/>
  </w:num>
  <w:num w:numId="4" w16cid:durableId="782768005">
    <w:abstractNumId w:val="15"/>
  </w:num>
  <w:num w:numId="5" w16cid:durableId="1285959364">
    <w:abstractNumId w:val="22"/>
  </w:num>
  <w:num w:numId="6" w16cid:durableId="1376615572">
    <w:abstractNumId w:val="25"/>
  </w:num>
  <w:num w:numId="7" w16cid:durableId="1978871684">
    <w:abstractNumId w:val="17"/>
  </w:num>
  <w:num w:numId="8" w16cid:durableId="1654138436">
    <w:abstractNumId w:val="3"/>
  </w:num>
  <w:num w:numId="9" w16cid:durableId="1601639467">
    <w:abstractNumId w:val="22"/>
  </w:num>
  <w:num w:numId="10" w16cid:durableId="1585067702">
    <w:abstractNumId w:val="2"/>
  </w:num>
  <w:num w:numId="11" w16cid:durableId="1878085725">
    <w:abstractNumId w:val="26"/>
  </w:num>
  <w:num w:numId="12" w16cid:durableId="323897319">
    <w:abstractNumId w:val="27"/>
  </w:num>
  <w:num w:numId="13" w16cid:durableId="272979014">
    <w:abstractNumId w:val="21"/>
  </w:num>
  <w:num w:numId="14" w16cid:durableId="950894421">
    <w:abstractNumId w:val="20"/>
  </w:num>
  <w:num w:numId="15" w16cid:durableId="2117022987">
    <w:abstractNumId w:val="31"/>
  </w:num>
  <w:num w:numId="16" w16cid:durableId="512836994">
    <w:abstractNumId w:val="24"/>
  </w:num>
  <w:num w:numId="17" w16cid:durableId="1749420254">
    <w:abstractNumId w:val="11"/>
  </w:num>
  <w:num w:numId="18" w16cid:durableId="1248997830">
    <w:abstractNumId w:val="10"/>
  </w:num>
  <w:num w:numId="19" w16cid:durableId="1365597894">
    <w:abstractNumId w:val="8"/>
  </w:num>
  <w:num w:numId="20" w16cid:durableId="1975216416">
    <w:abstractNumId w:val="18"/>
  </w:num>
  <w:num w:numId="21" w16cid:durableId="793788297">
    <w:abstractNumId w:val="12"/>
  </w:num>
  <w:num w:numId="22" w16cid:durableId="48115226">
    <w:abstractNumId w:val="19"/>
  </w:num>
  <w:num w:numId="23" w16cid:durableId="847210818">
    <w:abstractNumId w:val="13"/>
  </w:num>
  <w:num w:numId="24" w16cid:durableId="1199195314">
    <w:abstractNumId w:val="1"/>
  </w:num>
  <w:num w:numId="25" w16cid:durableId="684358346">
    <w:abstractNumId w:val="30"/>
  </w:num>
  <w:num w:numId="26" w16cid:durableId="1877234264">
    <w:abstractNumId w:val="4"/>
  </w:num>
  <w:num w:numId="27" w16cid:durableId="948701945">
    <w:abstractNumId w:val="6"/>
  </w:num>
  <w:num w:numId="28" w16cid:durableId="880093460">
    <w:abstractNumId w:val="14"/>
  </w:num>
  <w:num w:numId="29" w16cid:durableId="826437727">
    <w:abstractNumId w:val="32"/>
  </w:num>
  <w:num w:numId="30" w16cid:durableId="565797278">
    <w:abstractNumId w:val="5"/>
  </w:num>
  <w:num w:numId="31" w16cid:durableId="174855206">
    <w:abstractNumId w:val="7"/>
  </w:num>
  <w:num w:numId="32" w16cid:durableId="2008822407">
    <w:abstractNumId w:val="28"/>
  </w:num>
  <w:num w:numId="33" w16cid:durableId="2137946405">
    <w:abstractNumId w:val="29"/>
  </w:num>
  <w:num w:numId="34" w16cid:durableId="953169484">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50B6"/>
    <w:rsid w:val="00031A3A"/>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115C"/>
    <w:rsid w:val="000844FC"/>
    <w:rsid w:val="0008508E"/>
    <w:rsid w:val="0008617F"/>
    <w:rsid w:val="0009113B"/>
    <w:rsid w:val="0009186E"/>
    <w:rsid w:val="00092103"/>
    <w:rsid w:val="0009215D"/>
    <w:rsid w:val="00093402"/>
    <w:rsid w:val="00094DA3"/>
    <w:rsid w:val="00096CD1"/>
    <w:rsid w:val="00097A6B"/>
    <w:rsid w:val="000A012C"/>
    <w:rsid w:val="000A0EB9"/>
    <w:rsid w:val="000A14C0"/>
    <w:rsid w:val="000A186C"/>
    <w:rsid w:val="000A1A51"/>
    <w:rsid w:val="000A1EA4"/>
    <w:rsid w:val="000B3EDB"/>
    <w:rsid w:val="000B543D"/>
    <w:rsid w:val="000B5BF7"/>
    <w:rsid w:val="000B6BC8"/>
    <w:rsid w:val="000B7AD6"/>
    <w:rsid w:val="000C0303"/>
    <w:rsid w:val="000C03DF"/>
    <w:rsid w:val="000C05F9"/>
    <w:rsid w:val="000C42EA"/>
    <w:rsid w:val="000C4546"/>
    <w:rsid w:val="000C6D55"/>
    <w:rsid w:val="000C707D"/>
    <w:rsid w:val="000D1242"/>
    <w:rsid w:val="000D355B"/>
    <w:rsid w:val="000E0970"/>
    <w:rsid w:val="000E3A24"/>
    <w:rsid w:val="000E3CC7"/>
    <w:rsid w:val="000E6BD4"/>
    <w:rsid w:val="000E7ECE"/>
    <w:rsid w:val="000F032B"/>
    <w:rsid w:val="000F05A8"/>
    <w:rsid w:val="000F0C2A"/>
    <w:rsid w:val="000F1F1E"/>
    <w:rsid w:val="000F2259"/>
    <w:rsid w:val="000F4550"/>
    <w:rsid w:val="000F4C2C"/>
    <w:rsid w:val="00101BE9"/>
    <w:rsid w:val="00102C03"/>
    <w:rsid w:val="0010392D"/>
    <w:rsid w:val="0010447F"/>
    <w:rsid w:val="00104FE3"/>
    <w:rsid w:val="001060D4"/>
    <w:rsid w:val="0011164F"/>
    <w:rsid w:val="0011581C"/>
    <w:rsid w:val="00120BD3"/>
    <w:rsid w:val="00122FEA"/>
    <w:rsid w:val="001232BD"/>
    <w:rsid w:val="00124ED5"/>
    <w:rsid w:val="001276FA"/>
    <w:rsid w:val="001331B6"/>
    <w:rsid w:val="001447B3"/>
    <w:rsid w:val="00144AFF"/>
    <w:rsid w:val="00144DD5"/>
    <w:rsid w:val="00152073"/>
    <w:rsid w:val="00153860"/>
    <w:rsid w:val="00156598"/>
    <w:rsid w:val="0015685A"/>
    <w:rsid w:val="001577E4"/>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4727"/>
    <w:rsid w:val="00195D63"/>
    <w:rsid w:val="00195DD2"/>
    <w:rsid w:val="00196EB8"/>
    <w:rsid w:val="00196EFB"/>
    <w:rsid w:val="001979FF"/>
    <w:rsid w:val="00197B17"/>
    <w:rsid w:val="001A1C54"/>
    <w:rsid w:val="001A3ACE"/>
    <w:rsid w:val="001A5EF7"/>
    <w:rsid w:val="001C111D"/>
    <w:rsid w:val="001C277E"/>
    <w:rsid w:val="001C2A72"/>
    <w:rsid w:val="001D0B75"/>
    <w:rsid w:val="001D21C8"/>
    <w:rsid w:val="001D3C09"/>
    <w:rsid w:val="001D44E8"/>
    <w:rsid w:val="001D60EC"/>
    <w:rsid w:val="001E2127"/>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558B"/>
    <w:rsid w:val="00266260"/>
    <w:rsid w:val="00267C3E"/>
    <w:rsid w:val="00267D96"/>
    <w:rsid w:val="002709BB"/>
    <w:rsid w:val="00272B6B"/>
    <w:rsid w:val="00273BAC"/>
    <w:rsid w:val="002763B3"/>
    <w:rsid w:val="002802E3"/>
    <w:rsid w:val="0028213D"/>
    <w:rsid w:val="002862F1"/>
    <w:rsid w:val="002875AD"/>
    <w:rsid w:val="00287FEF"/>
    <w:rsid w:val="00291373"/>
    <w:rsid w:val="00293BA1"/>
    <w:rsid w:val="0029597D"/>
    <w:rsid w:val="002962C3"/>
    <w:rsid w:val="0029752B"/>
    <w:rsid w:val="002A483C"/>
    <w:rsid w:val="002A695B"/>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9BD"/>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4FD4"/>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66F3B"/>
    <w:rsid w:val="00367081"/>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B3523"/>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00A"/>
    <w:rsid w:val="00421EEF"/>
    <w:rsid w:val="00424153"/>
    <w:rsid w:val="00424D65"/>
    <w:rsid w:val="0043397E"/>
    <w:rsid w:val="00435C79"/>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15C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4866"/>
    <w:rsid w:val="004F55F1"/>
    <w:rsid w:val="004F6936"/>
    <w:rsid w:val="00503DC6"/>
    <w:rsid w:val="00506F5D"/>
    <w:rsid w:val="00507B9B"/>
    <w:rsid w:val="00507CA9"/>
    <w:rsid w:val="005126D0"/>
    <w:rsid w:val="00512A03"/>
    <w:rsid w:val="0051568D"/>
    <w:rsid w:val="00516DF3"/>
    <w:rsid w:val="00517119"/>
    <w:rsid w:val="0052069C"/>
    <w:rsid w:val="00524AA4"/>
    <w:rsid w:val="00526C15"/>
    <w:rsid w:val="00531FC9"/>
    <w:rsid w:val="005343DD"/>
    <w:rsid w:val="00536499"/>
    <w:rsid w:val="00543903"/>
    <w:rsid w:val="00543B7C"/>
    <w:rsid w:val="00543F11"/>
    <w:rsid w:val="00547A95"/>
    <w:rsid w:val="0055226D"/>
    <w:rsid w:val="00553B0F"/>
    <w:rsid w:val="0055495F"/>
    <w:rsid w:val="005612A0"/>
    <w:rsid w:val="00563E8F"/>
    <w:rsid w:val="00572031"/>
    <w:rsid w:val="00572282"/>
    <w:rsid w:val="00575B39"/>
    <w:rsid w:val="00576E84"/>
    <w:rsid w:val="00577ED6"/>
    <w:rsid w:val="00582B8C"/>
    <w:rsid w:val="0058671C"/>
    <w:rsid w:val="0058757E"/>
    <w:rsid w:val="0059043C"/>
    <w:rsid w:val="00596A4B"/>
    <w:rsid w:val="00597507"/>
    <w:rsid w:val="005A0E4C"/>
    <w:rsid w:val="005A7921"/>
    <w:rsid w:val="005B1C6D"/>
    <w:rsid w:val="005B21B6"/>
    <w:rsid w:val="005B36EA"/>
    <w:rsid w:val="005B3A08"/>
    <w:rsid w:val="005B560A"/>
    <w:rsid w:val="005B6A55"/>
    <w:rsid w:val="005B7736"/>
    <w:rsid w:val="005B7A63"/>
    <w:rsid w:val="005C0955"/>
    <w:rsid w:val="005C4026"/>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ECB"/>
    <w:rsid w:val="00605908"/>
    <w:rsid w:val="00610783"/>
    <w:rsid w:val="00610D7C"/>
    <w:rsid w:val="00613414"/>
    <w:rsid w:val="0061789C"/>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47C03"/>
    <w:rsid w:val="0065035C"/>
    <w:rsid w:val="0065092E"/>
    <w:rsid w:val="00653779"/>
    <w:rsid w:val="006557A7"/>
    <w:rsid w:val="00656290"/>
    <w:rsid w:val="006613E0"/>
    <w:rsid w:val="006621D7"/>
    <w:rsid w:val="0066302A"/>
    <w:rsid w:val="00670597"/>
    <w:rsid w:val="006706D0"/>
    <w:rsid w:val="00677342"/>
    <w:rsid w:val="00677574"/>
    <w:rsid w:val="00680D50"/>
    <w:rsid w:val="00683824"/>
    <w:rsid w:val="0068454C"/>
    <w:rsid w:val="0069008F"/>
    <w:rsid w:val="00691B62"/>
    <w:rsid w:val="006933B5"/>
    <w:rsid w:val="00693D14"/>
    <w:rsid w:val="00696F01"/>
    <w:rsid w:val="006A0BD5"/>
    <w:rsid w:val="006A18C2"/>
    <w:rsid w:val="006A5612"/>
    <w:rsid w:val="006B077C"/>
    <w:rsid w:val="006B2DD4"/>
    <w:rsid w:val="006B6461"/>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120DC"/>
    <w:rsid w:val="0071530D"/>
    <w:rsid w:val="007173CA"/>
    <w:rsid w:val="007216AA"/>
    <w:rsid w:val="00721AB5"/>
    <w:rsid w:val="00721CFB"/>
    <w:rsid w:val="00721DEF"/>
    <w:rsid w:val="00723494"/>
    <w:rsid w:val="00724A43"/>
    <w:rsid w:val="00733DA4"/>
    <w:rsid w:val="00733FC0"/>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1CFB"/>
    <w:rsid w:val="00772D5E"/>
    <w:rsid w:val="00773975"/>
    <w:rsid w:val="00773E69"/>
    <w:rsid w:val="00773EEA"/>
    <w:rsid w:val="00776928"/>
    <w:rsid w:val="007801A9"/>
    <w:rsid w:val="00785677"/>
    <w:rsid w:val="00786F16"/>
    <w:rsid w:val="00791BD7"/>
    <w:rsid w:val="007933F7"/>
    <w:rsid w:val="00795112"/>
    <w:rsid w:val="00796374"/>
    <w:rsid w:val="00796E20"/>
    <w:rsid w:val="00797C32"/>
    <w:rsid w:val="007A11E8"/>
    <w:rsid w:val="007A13B3"/>
    <w:rsid w:val="007A79C9"/>
    <w:rsid w:val="007B0914"/>
    <w:rsid w:val="007B1374"/>
    <w:rsid w:val="007B589F"/>
    <w:rsid w:val="007B6186"/>
    <w:rsid w:val="007B6959"/>
    <w:rsid w:val="007B73BC"/>
    <w:rsid w:val="007C1DF7"/>
    <w:rsid w:val="007C20B9"/>
    <w:rsid w:val="007C7301"/>
    <w:rsid w:val="007C7859"/>
    <w:rsid w:val="007D2BDE"/>
    <w:rsid w:val="007D2FB6"/>
    <w:rsid w:val="007D49EB"/>
    <w:rsid w:val="007E0DE2"/>
    <w:rsid w:val="007E3B98"/>
    <w:rsid w:val="007E417A"/>
    <w:rsid w:val="007E5370"/>
    <w:rsid w:val="007E7900"/>
    <w:rsid w:val="007F31B6"/>
    <w:rsid w:val="007F546C"/>
    <w:rsid w:val="007F5753"/>
    <w:rsid w:val="007F625F"/>
    <w:rsid w:val="007F665E"/>
    <w:rsid w:val="00800412"/>
    <w:rsid w:val="008006DB"/>
    <w:rsid w:val="008025B8"/>
    <w:rsid w:val="0080587B"/>
    <w:rsid w:val="00806468"/>
    <w:rsid w:val="008115C8"/>
    <w:rsid w:val="008155F0"/>
    <w:rsid w:val="00816735"/>
    <w:rsid w:val="00817707"/>
    <w:rsid w:val="00820141"/>
    <w:rsid w:val="00820E0C"/>
    <w:rsid w:val="0082366F"/>
    <w:rsid w:val="008320DA"/>
    <w:rsid w:val="00832A29"/>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7A5"/>
    <w:rsid w:val="00887903"/>
    <w:rsid w:val="0089270A"/>
    <w:rsid w:val="00893AF6"/>
    <w:rsid w:val="00893CD0"/>
    <w:rsid w:val="00894BC4"/>
    <w:rsid w:val="00895FCB"/>
    <w:rsid w:val="008A1221"/>
    <w:rsid w:val="008A1C1B"/>
    <w:rsid w:val="008A22D3"/>
    <w:rsid w:val="008A5B32"/>
    <w:rsid w:val="008A623E"/>
    <w:rsid w:val="008B2EE4"/>
    <w:rsid w:val="008B4D3D"/>
    <w:rsid w:val="008B57B8"/>
    <w:rsid w:val="008B57C7"/>
    <w:rsid w:val="008C153F"/>
    <w:rsid w:val="008C2F92"/>
    <w:rsid w:val="008C3C81"/>
    <w:rsid w:val="008C72D2"/>
    <w:rsid w:val="008D2846"/>
    <w:rsid w:val="008D4236"/>
    <w:rsid w:val="008D462F"/>
    <w:rsid w:val="008D66EE"/>
    <w:rsid w:val="008D6DCF"/>
    <w:rsid w:val="008D7525"/>
    <w:rsid w:val="008E4376"/>
    <w:rsid w:val="008E45E8"/>
    <w:rsid w:val="008E7A0A"/>
    <w:rsid w:val="008E7B49"/>
    <w:rsid w:val="008F59F6"/>
    <w:rsid w:val="00900719"/>
    <w:rsid w:val="00900C01"/>
    <w:rsid w:val="009017AC"/>
    <w:rsid w:val="00902E74"/>
    <w:rsid w:val="00904A1C"/>
    <w:rsid w:val="00905030"/>
    <w:rsid w:val="00906490"/>
    <w:rsid w:val="009111B2"/>
    <w:rsid w:val="00911BBA"/>
    <w:rsid w:val="00920B22"/>
    <w:rsid w:val="00924AE1"/>
    <w:rsid w:val="009267F4"/>
    <w:rsid w:val="009269B1"/>
    <w:rsid w:val="0092724D"/>
    <w:rsid w:val="0093338F"/>
    <w:rsid w:val="00937BD9"/>
    <w:rsid w:val="00941848"/>
    <w:rsid w:val="00950E2C"/>
    <w:rsid w:val="00950FDC"/>
    <w:rsid w:val="00951864"/>
    <w:rsid w:val="00951D50"/>
    <w:rsid w:val="009525EB"/>
    <w:rsid w:val="00954874"/>
    <w:rsid w:val="00961400"/>
    <w:rsid w:val="00963646"/>
    <w:rsid w:val="00963C22"/>
    <w:rsid w:val="0096632D"/>
    <w:rsid w:val="0097003A"/>
    <w:rsid w:val="00970060"/>
    <w:rsid w:val="00972313"/>
    <w:rsid w:val="0097323C"/>
    <w:rsid w:val="00973828"/>
    <w:rsid w:val="0097559F"/>
    <w:rsid w:val="00975FD4"/>
    <w:rsid w:val="00984F2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59E9"/>
    <w:rsid w:val="009B70AA"/>
    <w:rsid w:val="009C5E77"/>
    <w:rsid w:val="009C6D5E"/>
    <w:rsid w:val="009C7A7E"/>
    <w:rsid w:val="009D02E8"/>
    <w:rsid w:val="009D0686"/>
    <w:rsid w:val="009D2B6D"/>
    <w:rsid w:val="009D51D0"/>
    <w:rsid w:val="009D6343"/>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213"/>
    <w:rsid w:val="00A04E24"/>
    <w:rsid w:val="00A0740B"/>
    <w:rsid w:val="00A07655"/>
    <w:rsid w:val="00A0776B"/>
    <w:rsid w:val="00A11421"/>
    <w:rsid w:val="00A13A01"/>
    <w:rsid w:val="00A14E9B"/>
    <w:rsid w:val="00A157B1"/>
    <w:rsid w:val="00A22229"/>
    <w:rsid w:val="00A23AE1"/>
    <w:rsid w:val="00A2521D"/>
    <w:rsid w:val="00A330BB"/>
    <w:rsid w:val="00A330E5"/>
    <w:rsid w:val="00A35F6C"/>
    <w:rsid w:val="00A412C3"/>
    <w:rsid w:val="00A424B8"/>
    <w:rsid w:val="00A44882"/>
    <w:rsid w:val="00A51A1C"/>
    <w:rsid w:val="00A54715"/>
    <w:rsid w:val="00A54760"/>
    <w:rsid w:val="00A60450"/>
    <w:rsid w:val="00A6061C"/>
    <w:rsid w:val="00A61DD8"/>
    <w:rsid w:val="00A62822"/>
    <w:rsid w:val="00A62D44"/>
    <w:rsid w:val="00A67263"/>
    <w:rsid w:val="00A71067"/>
    <w:rsid w:val="00A7161C"/>
    <w:rsid w:val="00A74373"/>
    <w:rsid w:val="00A76A51"/>
    <w:rsid w:val="00A77AA3"/>
    <w:rsid w:val="00A82974"/>
    <w:rsid w:val="00A854EB"/>
    <w:rsid w:val="00A8645C"/>
    <w:rsid w:val="00A872E5"/>
    <w:rsid w:val="00A91406"/>
    <w:rsid w:val="00A96E65"/>
    <w:rsid w:val="00A97C72"/>
    <w:rsid w:val="00A97E5A"/>
    <w:rsid w:val="00AA04EE"/>
    <w:rsid w:val="00AA305F"/>
    <w:rsid w:val="00AA5435"/>
    <w:rsid w:val="00AA63D4"/>
    <w:rsid w:val="00AB06E8"/>
    <w:rsid w:val="00AB1CD3"/>
    <w:rsid w:val="00AB3262"/>
    <w:rsid w:val="00AB352F"/>
    <w:rsid w:val="00AC065D"/>
    <w:rsid w:val="00AC1F5A"/>
    <w:rsid w:val="00AC274B"/>
    <w:rsid w:val="00AC4764"/>
    <w:rsid w:val="00AC6D36"/>
    <w:rsid w:val="00AD0CBA"/>
    <w:rsid w:val="00AD1127"/>
    <w:rsid w:val="00AD141A"/>
    <w:rsid w:val="00AD26E2"/>
    <w:rsid w:val="00AD29AC"/>
    <w:rsid w:val="00AD5143"/>
    <w:rsid w:val="00AD784C"/>
    <w:rsid w:val="00AE0636"/>
    <w:rsid w:val="00AE126A"/>
    <w:rsid w:val="00AE3005"/>
    <w:rsid w:val="00AE3897"/>
    <w:rsid w:val="00AE3BD5"/>
    <w:rsid w:val="00AE59A0"/>
    <w:rsid w:val="00AE6083"/>
    <w:rsid w:val="00AE6A9B"/>
    <w:rsid w:val="00AF0C57"/>
    <w:rsid w:val="00AF25E3"/>
    <w:rsid w:val="00AF26F3"/>
    <w:rsid w:val="00AF29D6"/>
    <w:rsid w:val="00AF2AF0"/>
    <w:rsid w:val="00AF59AA"/>
    <w:rsid w:val="00AF5F04"/>
    <w:rsid w:val="00B00672"/>
    <w:rsid w:val="00B01B4D"/>
    <w:rsid w:val="00B056C6"/>
    <w:rsid w:val="00B06571"/>
    <w:rsid w:val="00B068BA"/>
    <w:rsid w:val="00B075A0"/>
    <w:rsid w:val="00B1088C"/>
    <w:rsid w:val="00B11688"/>
    <w:rsid w:val="00B1234B"/>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431E8"/>
    <w:rsid w:val="00B4391C"/>
    <w:rsid w:val="00B45141"/>
    <w:rsid w:val="00B46733"/>
    <w:rsid w:val="00B5273A"/>
    <w:rsid w:val="00B53F04"/>
    <w:rsid w:val="00B57329"/>
    <w:rsid w:val="00B60E61"/>
    <w:rsid w:val="00B61F8D"/>
    <w:rsid w:val="00B62B50"/>
    <w:rsid w:val="00B6330C"/>
    <w:rsid w:val="00B635B7"/>
    <w:rsid w:val="00B63AE8"/>
    <w:rsid w:val="00B65950"/>
    <w:rsid w:val="00B66D83"/>
    <w:rsid w:val="00B672C0"/>
    <w:rsid w:val="00B73DB1"/>
    <w:rsid w:val="00B74B10"/>
    <w:rsid w:val="00B75646"/>
    <w:rsid w:val="00B761F0"/>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5D8C"/>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3CD6"/>
    <w:rsid w:val="00C95AE9"/>
    <w:rsid w:val="00CA12E3"/>
    <w:rsid w:val="00CA6611"/>
    <w:rsid w:val="00CA6AE6"/>
    <w:rsid w:val="00CA782F"/>
    <w:rsid w:val="00CA7BCF"/>
    <w:rsid w:val="00CB3285"/>
    <w:rsid w:val="00CC0C72"/>
    <w:rsid w:val="00CC2BFD"/>
    <w:rsid w:val="00CC35BB"/>
    <w:rsid w:val="00CC379D"/>
    <w:rsid w:val="00CC3829"/>
    <w:rsid w:val="00CD0D45"/>
    <w:rsid w:val="00CD1207"/>
    <w:rsid w:val="00CD22EF"/>
    <w:rsid w:val="00CD322C"/>
    <w:rsid w:val="00CD3476"/>
    <w:rsid w:val="00CD414C"/>
    <w:rsid w:val="00CD64DF"/>
    <w:rsid w:val="00CD669A"/>
    <w:rsid w:val="00CD7AB8"/>
    <w:rsid w:val="00CE2B78"/>
    <w:rsid w:val="00CE4746"/>
    <w:rsid w:val="00CF2F50"/>
    <w:rsid w:val="00CF4C7A"/>
    <w:rsid w:val="00CF6198"/>
    <w:rsid w:val="00CF7303"/>
    <w:rsid w:val="00D00185"/>
    <w:rsid w:val="00D01F4D"/>
    <w:rsid w:val="00D02919"/>
    <w:rsid w:val="00D036DF"/>
    <w:rsid w:val="00D04C61"/>
    <w:rsid w:val="00D055AD"/>
    <w:rsid w:val="00D05B8D"/>
    <w:rsid w:val="00D06308"/>
    <w:rsid w:val="00D065A2"/>
    <w:rsid w:val="00D07F00"/>
    <w:rsid w:val="00D162AB"/>
    <w:rsid w:val="00D17B72"/>
    <w:rsid w:val="00D2053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173"/>
    <w:rsid w:val="00D52D73"/>
    <w:rsid w:val="00D52E58"/>
    <w:rsid w:val="00D56B20"/>
    <w:rsid w:val="00D6009D"/>
    <w:rsid w:val="00D6498A"/>
    <w:rsid w:val="00D64C91"/>
    <w:rsid w:val="00D714CC"/>
    <w:rsid w:val="00D72DED"/>
    <w:rsid w:val="00D75EA7"/>
    <w:rsid w:val="00D76BDD"/>
    <w:rsid w:val="00D77C58"/>
    <w:rsid w:val="00D77F71"/>
    <w:rsid w:val="00D80816"/>
    <w:rsid w:val="00D81F21"/>
    <w:rsid w:val="00D91234"/>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058E6"/>
    <w:rsid w:val="00E11332"/>
    <w:rsid w:val="00E11352"/>
    <w:rsid w:val="00E145AB"/>
    <w:rsid w:val="00E16332"/>
    <w:rsid w:val="00E16BD0"/>
    <w:rsid w:val="00E170DC"/>
    <w:rsid w:val="00E22996"/>
    <w:rsid w:val="00E26818"/>
    <w:rsid w:val="00E27FFC"/>
    <w:rsid w:val="00E30B15"/>
    <w:rsid w:val="00E40181"/>
    <w:rsid w:val="00E527E5"/>
    <w:rsid w:val="00E56A01"/>
    <w:rsid w:val="00E62255"/>
    <w:rsid w:val="00E629A1"/>
    <w:rsid w:val="00E66CFB"/>
    <w:rsid w:val="00E6794C"/>
    <w:rsid w:val="00E71591"/>
    <w:rsid w:val="00E803AE"/>
    <w:rsid w:val="00E80DE3"/>
    <w:rsid w:val="00E82C55"/>
    <w:rsid w:val="00E87D8E"/>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3C45"/>
    <w:rsid w:val="00F0437A"/>
    <w:rsid w:val="00F04ECC"/>
    <w:rsid w:val="00F058D9"/>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0F7D"/>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565D"/>
    <w:rsid w:val="00F95B77"/>
    <w:rsid w:val="00F963B2"/>
    <w:rsid w:val="00F96874"/>
    <w:rsid w:val="00FA2C46"/>
    <w:rsid w:val="00FA3525"/>
    <w:rsid w:val="00FA38AC"/>
    <w:rsid w:val="00FA47CE"/>
    <w:rsid w:val="00FA4D8D"/>
    <w:rsid w:val="00FA5A53"/>
    <w:rsid w:val="00FB26E5"/>
    <w:rsid w:val="00FB2CB4"/>
    <w:rsid w:val="00FB3CEE"/>
    <w:rsid w:val="00FB4769"/>
    <w:rsid w:val="00FB4CDA"/>
    <w:rsid w:val="00FB75C4"/>
    <w:rsid w:val="00FC0F81"/>
    <w:rsid w:val="00FC395C"/>
    <w:rsid w:val="00FD3766"/>
    <w:rsid w:val="00FD47C4"/>
    <w:rsid w:val="00FD4FC5"/>
    <w:rsid w:val="00FD72DA"/>
    <w:rsid w:val="00FE206E"/>
    <w:rsid w:val="00FE2DCF"/>
    <w:rsid w:val="00FE3FA7"/>
    <w:rsid w:val="00FE4E65"/>
    <w:rsid w:val="00FF2FCE"/>
    <w:rsid w:val="00FF3FF2"/>
    <w:rsid w:val="00FF4F7D"/>
    <w:rsid w:val="00FF6D9D"/>
    <w:rsid w:val="00FF737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9"/>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99"/>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99"/>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FootnoteReference">
    <w:name w:val="footnote reference"/>
    <w:basedOn w:val="DefaultParagraphFont"/>
    <w:uiPriority w:val="99"/>
    <w:semiHidden/>
    <w:unhideWhenUsed/>
    <w:rsid w:val="000A14C0"/>
    <w:rPr>
      <w:vertAlign w:val="superscript"/>
    </w:rPr>
  </w:style>
  <w:style w:type="table" w:customStyle="1" w:styleId="TableGrid11">
    <w:name w:val="Table Grid11"/>
    <w:basedOn w:val="TableNormal"/>
    <w:next w:val="TableGrid"/>
    <w:uiPriority w:val="39"/>
    <w:rsid w:val="002F1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153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15CA"/>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815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05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laengineers@dgs.v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engin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5" ma:contentTypeDescription="Create a new document." ma:contentTypeScope="" ma:versionID="d8d8fe6569f09d360e369101e9339a52">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109f34e2099c2916db617837ec2120af"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Props1.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2.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3.xml><?xml version="1.0" encoding="utf-8"?>
<ds:datastoreItem xmlns:ds="http://schemas.openxmlformats.org/officeDocument/2006/customXml" ds:itemID="{380A0541-22FE-4B37-9D78-3C2E49D3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7883D-4F6F-48FD-90E9-DA5FA89CC306}">
  <ds:schemaRefs>
    <ds:schemaRef ds:uri="http://schemas.microsoft.com/office/2006/documentManagement/types"/>
    <ds:schemaRef ds:uri="60b6a01b-9bff-4298-a3fd-070febc62cfa"/>
    <ds:schemaRef ds:uri="http://purl.org/dc/elements/1.1/"/>
    <ds:schemaRef ds:uri="http://schemas.microsoft.com/office/infopath/2007/PartnerControls"/>
    <ds:schemaRef ds:uri="http://purl.org/dc/terms/"/>
    <ds:schemaRef ds:uri="http://schemas.openxmlformats.org/package/2006/metadata/core-properties"/>
    <ds:schemaRef ds:uri="a0a21f9c-edc1-4b0f-a2f7-c6ac7f14bc3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1248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8746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M Darragh (DJCS)</cp:lastModifiedBy>
  <cp:revision>3</cp:revision>
  <cp:lastPrinted>2017-07-07T00:32:00Z</cp:lastPrinted>
  <dcterms:created xsi:type="dcterms:W3CDTF">2024-10-15T02:47:00Z</dcterms:created>
  <dcterms:modified xsi:type="dcterms:W3CDTF">2024-10-15T02:48:00Z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_dlc_DocIdItemGuid">
    <vt:lpwstr>f057e643-4898-4aea-9118-7ec19de78fe3</vt:lpwstr>
  </property>
  <property fmtid="{D5CDD505-2E9C-101B-9397-08002B2CF9AE}" pid="5" name="ClassificationContentMarkingFooterShapeIds">
    <vt:lpwstr>619ce215,1e5df227,3a9bd6a5</vt:lpwstr>
  </property>
  <property fmtid="{D5CDD505-2E9C-101B-9397-08002B2CF9AE}" pid="6" name="ClassificationContentMarkingFooterFontProps">
    <vt:lpwstr>#000000,11,Calibri</vt:lpwstr>
  </property>
  <property fmtid="{D5CDD505-2E9C-101B-9397-08002B2CF9AE}" pid="7" name="ClassificationContentMarkingFooterText">
    <vt:lpwstr>OFFICIAL</vt:lpwstr>
  </property>
  <property fmtid="{D5CDD505-2E9C-101B-9397-08002B2CF9AE}" pid="8" name="MSIP_Label_7158ebbd-6c5e-441f-bfc9-4eb8c11e3978_Enabled">
    <vt:lpwstr>true</vt:lpwstr>
  </property>
  <property fmtid="{D5CDD505-2E9C-101B-9397-08002B2CF9AE}" pid="9" name="MSIP_Label_7158ebbd-6c5e-441f-bfc9-4eb8c11e3978_SetDate">
    <vt:lpwstr>2024-10-15T02:46:42Z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d9eb743b-a590-4945-bb19-e3078cc708bf</vt:lpwstr>
  </property>
  <property fmtid="{D5CDD505-2E9C-101B-9397-08002B2CF9AE}" pid="14" name="MSIP_Label_7158ebbd-6c5e-441f-bfc9-4eb8c11e3978_ContentBits">
    <vt:lpwstr>2</vt:lpwstr>
  </property>
</Properties>
</file>