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B84A" w14:textId="77777777" w:rsidR="003D5475" w:rsidRDefault="003D5475"/>
    <w:p w14:paraId="71E2B84B" w14:textId="77777777" w:rsidR="003D5475" w:rsidRDefault="007B60EE">
      <w:r>
        <w:rPr>
          <w:noProof/>
        </w:rPr>
        <w:pict w14:anchorId="71E2B8C5">
          <v:shapetype id="_x0000_t202" coordsize="21600,21600" o:spt="202" path="m,l,21600r21600,l21600,xe">
            <v:stroke joinstyle="miter"/>
            <v:path gradientshapeok="t" o:connecttype="rect"/>
          </v:shapetype>
          <v:shape id="_x0000_s1026" type="#_x0000_t202" style="position:absolute;margin-left:-27pt;margin-top:2in;width:5in;height:2in;z-index:251657728;mso-wrap-edited:f;mso-position-vertical-relative:page" wrapcoords="0 0 21600 0 21600 21600 0 21600 0 0" filled="f" stroked="f">
            <v:fill o:detectmouseclick="t"/>
            <v:textbox style="mso-next-textbox:#_x0000_s1026" inset=",7.2pt,,7.2pt">
              <w:txbxContent>
                <w:p w14:paraId="71E2B8CF" w14:textId="77777777" w:rsidR="00696DFB" w:rsidRPr="009F1361" w:rsidRDefault="00CB5B1D" w:rsidP="004F337C">
                  <w:pPr>
                    <w:pStyle w:val="CAVTitle"/>
                  </w:pPr>
                  <w:r>
                    <w:t>Australian Consumer Law</w:t>
                  </w:r>
                </w:p>
                <w:p w14:paraId="71E2B8D0" w14:textId="77777777" w:rsidR="00696DFB" w:rsidRPr="009F1361" w:rsidRDefault="00CB5B1D" w:rsidP="004F337C">
                  <w:pPr>
                    <w:pStyle w:val="CAVTitle"/>
                  </w:pPr>
                  <w:r>
                    <w:t xml:space="preserve">for training providers and marketers </w:t>
                  </w:r>
                </w:p>
                <w:p w14:paraId="71E2B8D1" w14:textId="77777777" w:rsidR="00696DFB" w:rsidRPr="00D51659" w:rsidRDefault="00696DFB" w:rsidP="004F337C">
                  <w:pPr>
                    <w:pStyle w:val="CAVSubheadA"/>
                    <w:spacing w:before="113" w:line="400" w:lineRule="exact"/>
                    <w:rPr>
                      <w:color w:val="595959"/>
                      <w:sz w:val="40"/>
                      <w:szCs w:val="40"/>
                    </w:rPr>
                  </w:pPr>
                </w:p>
                <w:p w14:paraId="71E2B8D2" w14:textId="77777777" w:rsidR="00696DFB" w:rsidRPr="00D51659" w:rsidRDefault="00696DFB" w:rsidP="004F337C">
                  <w:pPr>
                    <w:pStyle w:val="CAVSubheadA"/>
                    <w:spacing w:before="113" w:line="400" w:lineRule="exact"/>
                    <w:rPr>
                      <w:color w:val="595959"/>
                    </w:rPr>
                  </w:pPr>
                  <w:r w:rsidRPr="00D51659">
                    <w:rPr>
                      <w:color w:val="595959"/>
                      <w:sz w:val="40"/>
                      <w:szCs w:val="40"/>
                    </w:rPr>
                    <w:t>Continued on a second line</w:t>
                  </w:r>
                </w:p>
              </w:txbxContent>
            </v:textbox>
            <w10:wrap type="tight" anchory="page"/>
          </v:shape>
        </w:pict>
      </w:r>
    </w:p>
    <w:p w14:paraId="71E2B84C" w14:textId="77777777" w:rsidR="003D5475" w:rsidRDefault="003D5475"/>
    <w:p w14:paraId="71E2B84D" w14:textId="77777777" w:rsidR="003D5475" w:rsidRDefault="003D5475"/>
    <w:p w14:paraId="71E2B84E" w14:textId="77777777" w:rsidR="003D5475" w:rsidRDefault="003D5475"/>
    <w:p w14:paraId="71E2B84F" w14:textId="77777777" w:rsidR="003D5475" w:rsidRDefault="003D5475"/>
    <w:p w14:paraId="71E2B850" w14:textId="77777777" w:rsidR="003D5475" w:rsidRDefault="003D5475"/>
    <w:p w14:paraId="71E2B851" w14:textId="77777777" w:rsidR="003D5475" w:rsidRDefault="003D5475"/>
    <w:p w14:paraId="71E2B852" w14:textId="77777777" w:rsidR="003D5475" w:rsidRDefault="003D5475"/>
    <w:p w14:paraId="71E2B853" w14:textId="77777777" w:rsidR="003D5475" w:rsidRDefault="003D5475"/>
    <w:p w14:paraId="71E2B854" w14:textId="77777777" w:rsidR="003D5475" w:rsidRDefault="003D5475"/>
    <w:p w14:paraId="71E2B855" w14:textId="77777777" w:rsidR="003D5475" w:rsidRDefault="003D5475"/>
    <w:p w14:paraId="71E2B856" w14:textId="77777777" w:rsidR="003D5475" w:rsidRDefault="003D5475"/>
    <w:p w14:paraId="71E2B857" w14:textId="77777777" w:rsidR="00CB5B1D" w:rsidRPr="00CB5B1D" w:rsidRDefault="00CB5B1D" w:rsidP="00CB5B1D">
      <w:pPr>
        <w:pStyle w:val="Heading1"/>
        <w:tabs>
          <w:tab w:val="left" w:pos="9214"/>
        </w:tabs>
        <w:ind w:left="-540"/>
        <w:rPr>
          <w:rFonts w:eastAsia="MS Mincho"/>
          <w:b w:val="0"/>
          <w:bCs w:val="0"/>
          <w:kern w:val="0"/>
          <w:sz w:val="24"/>
          <w:szCs w:val="24"/>
          <w:lang w:val="en-US" w:eastAsia="en-US"/>
        </w:rPr>
      </w:pPr>
      <w:r w:rsidRPr="00CB5B1D">
        <w:rPr>
          <w:rFonts w:eastAsia="MS Mincho"/>
          <w:b w:val="0"/>
          <w:bCs w:val="0"/>
          <w:kern w:val="0"/>
          <w:sz w:val="24"/>
          <w:szCs w:val="24"/>
          <w:lang w:val="en-US" w:eastAsia="en-US"/>
        </w:rPr>
        <w:t xml:space="preserve">This factsheet will help training providers and marketers understand their obligations under the Australian Consumer Law (ACL). </w:t>
      </w:r>
    </w:p>
    <w:p w14:paraId="71E2B858" w14:textId="77777777" w:rsidR="00CB5B1D" w:rsidRPr="00CB5B1D" w:rsidRDefault="00CB5B1D" w:rsidP="00CB5B1D">
      <w:pPr>
        <w:pStyle w:val="Heading1"/>
        <w:tabs>
          <w:tab w:val="left" w:pos="9214"/>
        </w:tabs>
        <w:ind w:left="-540"/>
        <w:rPr>
          <w:color w:val="84817C"/>
          <w:sz w:val="56"/>
        </w:rPr>
      </w:pPr>
      <w:r w:rsidRPr="00CB5B1D">
        <w:t>What is the Australian Consumer Law (ACL)?</w:t>
      </w:r>
    </w:p>
    <w:p w14:paraId="71E2B859" w14:textId="77777777" w:rsidR="00CB5B1D" w:rsidRPr="00CB5B1D" w:rsidRDefault="00CB5B1D" w:rsidP="00CB5B1D">
      <w:pPr>
        <w:ind w:left="-540"/>
        <w:rPr>
          <w:rFonts w:ascii="Arial" w:hAnsi="Arial" w:cs="Arial"/>
        </w:rPr>
      </w:pPr>
    </w:p>
    <w:p w14:paraId="71E2B85A" w14:textId="77777777" w:rsidR="00CB5B1D" w:rsidRPr="00CB5B1D" w:rsidRDefault="00CB5B1D" w:rsidP="00CB5B1D">
      <w:pPr>
        <w:ind w:left="-540"/>
        <w:rPr>
          <w:rFonts w:ascii="Arial" w:hAnsi="Arial" w:cs="Arial"/>
        </w:rPr>
      </w:pPr>
      <w:r w:rsidRPr="00CB5B1D">
        <w:rPr>
          <w:rFonts w:ascii="Arial" w:hAnsi="Arial" w:cs="Arial"/>
        </w:rPr>
        <w:t>The ACL is Australia’s national consumer protection and fair trading law. It sets out the rights and responsibilities of consumers and businesses, including training providers and marketers.</w:t>
      </w:r>
    </w:p>
    <w:p w14:paraId="71E2B85B" w14:textId="77777777" w:rsidR="00CB5B1D" w:rsidRDefault="00CB5B1D" w:rsidP="00CB5B1D">
      <w:pPr>
        <w:ind w:left="-540"/>
        <w:rPr>
          <w:rFonts w:ascii="Arial" w:hAnsi="Arial" w:cs="Arial"/>
        </w:rPr>
      </w:pPr>
    </w:p>
    <w:p w14:paraId="71E2B85C" w14:textId="77777777" w:rsidR="00C10DF6" w:rsidRDefault="00C10DF6" w:rsidP="00CB5B1D">
      <w:pPr>
        <w:ind w:left="-540"/>
        <w:rPr>
          <w:rFonts w:ascii="Arial" w:hAnsi="Arial" w:cs="Arial"/>
        </w:rPr>
      </w:pPr>
      <w:r>
        <w:rPr>
          <w:rFonts w:ascii="Arial" w:hAnsi="Arial" w:cs="Arial"/>
        </w:rPr>
        <w:t xml:space="preserve">In Victoria the ACL is applied through Part 2.2 of the </w:t>
      </w:r>
      <w:r w:rsidRPr="0060712D">
        <w:rPr>
          <w:rFonts w:ascii="Arial" w:hAnsi="Arial" w:cs="Arial"/>
          <w:i/>
        </w:rPr>
        <w:t>Australian Consumer Law and Fair Trading Act 2012</w:t>
      </w:r>
      <w:r>
        <w:rPr>
          <w:rFonts w:ascii="Arial" w:hAnsi="Arial" w:cs="Arial"/>
        </w:rPr>
        <w:t>.</w:t>
      </w:r>
    </w:p>
    <w:p w14:paraId="71E2B85D" w14:textId="77777777" w:rsidR="00C10DF6" w:rsidRPr="00CB5B1D" w:rsidRDefault="00C10DF6" w:rsidP="00CB5B1D">
      <w:pPr>
        <w:ind w:left="-540"/>
        <w:rPr>
          <w:rFonts w:ascii="Arial" w:hAnsi="Arial" w:cs="Arial"/>
        </w:rPr>
      </w:pPr>
    </w:p>
    <w:p w14:paraId="71E2B85E" w14:textId="77777777" w:rsidR="00CB5B1D" w:rsidRPr="00CB5B1D" w:rsidRDefault="00CB5B1D" w:rsidP="00CB5B1D">
      <w:pPr>
        <w:ind w:left="-540"/>
        <w:rPr>
          <w:rFonts w:ascii="Arial" w:hAnsi="Arial" w:cs="Arial"/>
        </w:rPr>
      </w:pPr>
      <w:r w:rsidRPr="00CB5B1D">
        <w:rPr>
          <w:rFonts w:ascii="Arial" w:hAnsi="Arial" w:cs="Arial"/>
        </w:rPr>
        <w:t>It gives consumers options for redress (e.g. refunds) and allows regulators such as Consumer Affairs Victoria to take enforcement action against businesses that break the law.</w:t>
      </w:r>
    </w:p>
    <w:p w14:paraId="71E2B85F" w14:textId="77777777" w:rsidR="00CB5B1D" w:rsidRPr="00CB5B1D" w:rsidRDefault="00CB5B1D" w:rsidP="00CB5B1D">
      <w:pPr>
        <w:ind w:left="-540"/>
        <w:rPr>
          <w:rFonts w:ascii="Arial" w:hAnsi="Arial" w:cs="Arial"/>
        </w:rPr>
      </w:pPr>
    </w:p>
    <w:p w14:paraId="71E2B860" w14:textId="77777777" w:rsidR="00CB5B1D" w:rsidRPr="00CB5B1D" w:rsidRDefault="00CB5B1D" w:rsidP="00CB5B1D">
      <w:pPr>
        <w:ind w:left="-540"/>
        <w:rPr>
          <w:rFonts w:ascii="Arial" w:hAnsi="Arial" w:cs="Arial"/>
        </w:rPr>
      </w:pPr>
      <w:r w:rsidRPr="00CB5B1D">
        <w:rPr>
          <w:rFonts w:ascii="Arial" w:hAnsi="Arial" w:cs="Arial"/>
        </w:rPr>
        <w:t>The ACL applies to a broad range of education and training services, including:</w:t>
      </w:r>
    </w:p>
    <w:p w14:paraId="71E2B861" w14:textId="77777777" w:rsidR="00CB5B1D" w:rsidRPr="00CB5B1D" w:rsidRDefault="00CB5B1D" w:rsidP="00CB5B1D">
      <w:pPr>
        <w:ind w:left="-540"/>
        <w:rPr>
          <w:rFonts w:ascii="Arial" w:hAnsi="Arial" w:cs="Arial"/>
        </w:rPr>
      </w:pPr>
    </w:p>
    <w:p w14:paraId="71E2B862" w14:textId="77777777" w:rsidR="00CB5B1D" w:rsidRPr="00CB5B1D" w:rsidRDefault="00CB5B1D" w:rsidP="00CB5B1D">
      <w:pPr>
        <w:pStyle w:val="ListParagraph"/>
        <w:numPr>
          <w:ilvl w:val="0"/>
          <w:numId w:val="1"/>
        </w:numPr>
        <w:rPr>
          <w:rFonts w:cs="Arial"/>
          <w:sz w:val="24"/>
        </w:rPr>
      </w:pPr>
      <w:r w:rsidRPr="00CB5B1D">
        <w:rPr>
          <w:rFonts w:cs="Arial"/>
          <w:sz w:val="24"/>
        </w:rPr>
        <w:t>advertising, marketing and promotion</w:t>
      </w:r>
    </w:p>
    <w:p w14:paraId="71E2B863" w14:textId="77777777" w:rsidR="00CB5B1D" w:rsidRPr="00CB5B1D" w:rsidRDefault="00CB5B1D" w:rsidP="00CB5B1D">
      <w:pPr>
        <w:pStyle w:val="ListParagraph"/>
        <w:numPr>
          <w:ilvl w:val="0"/>
          <w:numId w:val="1"/>
        </w:numPr>
        <w:rPr>
          <w:rFonts w:cs="Arial"/>
          <w:sz w:val="24"/>
        </w:rPr>
      </w:pPr>
      <w:r w:rsidRPr="00CB5B1D">
        <w:rPr>
          <w:rFonts w:cs="Arial"/>
          <w:sz w:val="24"/>
        </w:rPr>
        <w:t>soliciting and taking enrolments and payments</w:t>
      </w:r>
    </w:p>
    <w:p w14:paraId="71E2B864" w14:textId="77777777" w:rsidR="00CB5B1D" w:rsidRPr="00CB5B1D" w:rsidRDefault="00CB5B1D" w:rsidP="00CB5B1D">
      <w:pPr>
        <w:pStyle w:val="ListParagraph"/>
        <w:numPr>
          <w:ilvl w:val="0"/>
          <w:numId w:val="1"/>
        </w:numPr>
        <w:rPr>
          <w:rFonts w:cs="Arial"/>
          <w:sz w:val="24"/>
        </w:rPr>
      </w:pPr>
      <w:r w:rsidRPr="00CB5B1D">
        <w:rPr>
          <w:rFonts w:cs="Arial"/>
          <w:sz w:val="24"/>
        </w:rPr>
        <w:t>training delivery</w:t>
      </w:r>
    </w:p>
    <w:p w14:paraId="71E2B865" w14:textId="77777777" w:rsidR="00CB5B1D" w:rsidRPr="00CB5B1D" w:rsidRDefault="00CB5B1D" w:rsidP="00CB5B1D">
      <w:pPr>
        <w:pStyle w:val="ListParagraph"/>
        <w:numPr>
          <w:ilvl w:val="0"/>
          <w:numId w:val="1"/>
        </w:numPr>
        <w:rPr>
          <w:rFonts w:cs="Arial"/>
          <w:sz w:val="24"/>
        </w:rPr>
      </w:pPr>
      <w:r w:rsidRPr="00CB5B1D">
        <w:rPr>
          <w:rFonts w:cs="Arial"/>
          <w:sz w:val="24"/>
        </w:rPr>
        <w:t>student assessment</w:t>
      </w:r>
    </w:p>
    <w:p w14:paraId="71E2B866" w14:textId="77777777" w:rsidR="00CB5B1D" w:rsidRPr="00CB5B1D" w:rsidRDefault="00CB5B1D" w:rsidP="00CB5B1D">
      <w:pPr>
        <w:pStyle w:val="ListParagraph"/>
        <w:numPr>
          <w:ilvl w:val="0"/>
          <w:numId w:val="1"/>
        </w:numPr>
        <w:rPr>
          <w:rFonts w:cs="Arial"/>
          <w:sz w:val="24"/>
        </w:rPr>
      </w:pPr>
      <w:r w:rsidRPr="00CB5B1D">
        <w:rPr>
          <w:rFonts w:cs="Arial"/>
          <w:sz w:val="24"/>
        </w:rPr>
        <w:t>requests to cancel a student’s enrolment.</w:t>
      </w:r>
    </w:p>
    <w:p w14:paraId="71E2B867" w14:textId="77777777" w:rsidR="00CB5B1D" w:rsidRPr="00CB5B1D" w:rsidRDefault="00CB5B1D" w:rsidP="00CB5B1D">
      <w:pPr>
        <w:ind w:left="-540"/>
        <w:rPr>
          <w:rFonts w:ascii="Arial" w:hAnsi="Arial" w:cs="Arial"/>
        </w:rPr>
      </w:pPr>
    </w:p>
    <w:p w14:paraId="71E2B868" w14:textId="77777777" w:rsidR="00CB5B1D" w:rsidRPr="00CB5B1D" w:rsidRDefault="00CB5B1D" w:rsidP="00CB5B1D">
      <w:pPr>
        <w:ind w:left="-540"/>
        <w:rPr>
          <w:rFonts w:ascii="Arial" w:hAnsi="Arial" w:cs="Arial"/>
        </w:rPr>
      </w:pPr>
      <w:r w:rsidRPr="00CB5B1D">
        <w:rPr>
          <w:rFonts w:ascii="Arial" w:hAnsi="Arial" w:cs="Arial"/>
        </w:rPr>
        <w:t>The ACL also applies when these services are provided by third parties on behalf of training providers.</w:t>
      </w:r>
    </w:p>
    <w:p w14:paraId="71E2B869" w14:textId="77777777" w:rsidR="00CB5B1D" w:rsidRPr="00CB5B1D" w:rsidRDefault="00CB5B1D" w:rsidP="00CB5B1D">
      <w:pPr>
        <w:ind w:left="-540"/>
        <w:rPr>
          <w:rFonts w:ascii="Arial" w:hAnsi="Arial" w:cs="Arial"/>
        </w:rPr>
      </w:pPr>
    </w:p>
    <w:p w14:paraId="71E2B86A" w14:textId="77777777" w:rsidR="00CB5B1D" w:rsidRPr="00CB5B1D" w:rsidRDefault="00CB5B1D" w:rsidP="00CB5B1D">
      <w:pPr>
        <w:ind w:left="-540"/>
        <w:rPr>
          <w:rFonts w:ascii="Arial" w:hAnsi="Arial" w:cs="Arial"/>
        </w:rPr>
      </w:pPr>
      <w:r w:rsidRPr="00CB5B1D">
        <w:rPr>
          <w:rFonts w:ascii="Arial" w:hAnsi="Arial" w:cs="Arial"/>
        </w:rPr>
        <w:t xml:space="preserve">You must follow your obligations under the ACL as well as any other laws affecting training providers and marketers by other laws or regulators. </w:t>
      </w:r>
    </w:p>
    <w:p w14:paraId="71E2B86B" w14:textId="77777777" w:rsidR="00B563D8" w:rsidRPr="00B563D8" w:rsidRDefault="00B563D8" w:rsidP="00B563D8"/>
    <w:p w14:paraId="71E2B86C" w14:textId="77777777" w:rsidR="00866A54" w:rsidRDefault="00866A54" w:rsidP="00CB5B1D">
      <w:pPr>
        <w:pStyle w:val="Heading1"/>
        <w:tabs>
          <w:tab w:val="left" w:pos="9214"/>
        </w:tabs>
        <w:ind w:left="-540"/>
      </w:pPr>
    </w:p>
    <w:p w14:paraId="71E2B86D" w14:textId="77777777" w:rsidR="00CB5B1D" w:rsidRPr="00CB5B1D" w:rsidRDefault="00CB5B1D" w:rsidP="00CB5B1D">
      <w:pPr>
        <w:pStyle w:val="Heading1"/>
        <w:tabs>
          <w:tab w:val="left" w:pos="9214"/>
        </w:tabs>
        <w:ind w:left="-540"/>
      </w:pPr>
      <w:r w:rsidRPr="00CB5B1D">
        <w:t>Misleading, deceptive and unconscionable conduct</w:t>
      </w:r>
    </w:p>
    <w:p w14:paraId="71E2B86E" w14:textId="77777777" w:rsidR="00CB5B1D" w:rsidRPr="00CB5B1D" w:rsidRDefault="00CB5B1D" w:rsidP="00CB5B1D">
      <w:pPr>
        <w:ind w:left="-540"/>
        <w:rPr>
          <w:rFonts w:ascii="Arial" w:hAnsi="Arial" w:cs="Arial"/>
        </w:rPr>
      </w:pPr>
    </w:p>
    <w:p w14:paraId="71E2B86F" w14:textId="77777777" w:rsidR="00CB5B1D" w:rsidRPr="00CB5B1D" w:rsidRDefault="00CB5B1D" w:rsidP="00CB5B1D">
      <w:pPr>
        <w:ind w:left="-540"/>
        <w:rPr>
          <w:rFonts w:ascii="Arial" w:hAnsi="Arial" w:cs="Arial"/>
        </w:rPr>
      </w:pPr>
      <w:r w:rsidRPr="00CB5B1D">
        <w:rPr>
          <w:rFonts w:ascii="Arial" w:hAnsi="Arial" w:cs="Arial"/>
        </w:rPr>
        <w:t xml:space="preserve">The ACL prohibits misleading and deceptive conduct </w:t>
      </w:r>
      <w:r w:rsidR="00C10DF6">
        <w:rPr>
          <w:rFonts w:ascii="Arial" w:hAnsi="Arial" w:cs="Arial"/>
        </w:rPr>
        <w:t xml:space="preserve">and false or misleading representations </w:t>
      </w:r>
      <w:r w:rsidRPr="00CB5B1D">
        <w:rPr>
          <w:rFonts w:ascii="Arial" w:hAnsi="Arial" w:cs="Arial"/>
        </w:rPr>
        <w:t>by businesses in their dealings with consumers.</w:t>
      </w:r>
    </w:p>
    <w:p w14:paraId="71E2B870" w14:textId="77777777" w:rsidR="00CB5B1D" w:rsidRPr="00CB5B1D" w:rsidRDefault="00CB5B1D" w:rsidP="00CB5B1D">
      <w:pPr>
        <w:ind w:left="-540"/>
        <w:rPr>
          <w:rFonts w:ascii="Arial" w:hAnsi="Arial" w:cs="Arial"/>
        </w:rPr>
      </w:pPr>
    </w:p>
    <w:p w14:paraId="71E2B871" w14:textId="77777777" w:rsidR="00CB5B1D" w:rsidRPr="00CB5B1D" w:rsidRDefault="00CB5B1D" w:rsidP="00CB5B1D">
      <w:pPr>
        <w:ind w:left="-540"/>
        <w:rPr>
          <w:rFonts w:ascii="Arial" w:hAnsi="Arial" w:cs="Arial"/>
        </w:rPr>
      </w:pPr>
      <w:r w:rsidRPr="00CB5B1D">
        <w:rPr>
          <w:rFonts w:ascii="Arial" w:hAnsi="Arial" w:cs="Arial"/>
        </w:rPr>
        <w:t>It is illegal to make a false or misleading representation about:</w:t>
      </w:r>
    </w:p>
    <w:p w14:paraId="71E2B872" w14:textId="77777777" w:rsidR="00CB5B1D" w:rsidRPr="00CB5B1D" w:rsidRDefault="00CB5B1D" w:rsidP="00CB5B1D">
      <w:pPr>
        <w:ind w:left="-540"/>
        <w:rPr>
          <w:rFonts w:ascii="Arial" w:hAnsi="Arial" w:cs="Arial"/>
        </w:rPr>
      </w:pPr>
    </w:p>
    <w:p w14:paraId="71E2B873" w14:textId="77777777" w:rsidR="00CB5B1D" w:rsidRPr="00CB5B1D" w:rsidRDefault="00CB5B1D" w:rsidP="00CB5B1D">
      <w:pPr>
        <w:pStyle w:val="ListParagraph"/>
        <w:numPr>
          <w:ilvl w:val="0"/>
          <w:numId w:val="2"/>
        </w:numPr>
        <w:rPr>
          <w:rFonts w:cs="Arial"/>
          <w:sz w:val="24"/>
        </w:rPr>
      </w:pPr>
      <w:r w:rsidRPr="00CB5B1D">
        <w:rPr>
          <w:rFonts w:cs="Arial"/>
          <w:sz w:val="24"/>
        </w:rPr>
        <w:t>price</w:t>
      </w:r>
    </w:p>
    <w:p w14:paraId="71E2B874" w14:textId="77777777" w:rsidR="00CB5B1D" w:rsidRPr="00CB5B1D" w:rsidRDefault="00CB5B1D" w:rsidP="00CB5B1D">
      <w:pPr>
        <w:pStyle w:val="ListParagraph"/>
        <w:numPr>
          <w:ilvl w:val="0"/>
          <w:numId w:val="2"/>
        </w:numPr>
        <w:rPr>
          <w:rFonts w:cs="Arial"/>
          <w:sz w:val="24"/>
        </w:rPr>
      </w:pPr>
      <w:r w:rsidRPr="00CB5B1D">
        <w:rPr>
          <w:rFonts w:cs="Arial"/>
          <w:sz w:val="24"/>
        </w:rPr>
        <w:t>quality</w:t>
      </w:r>
    </w:p>
    <w:p w14:paraId="71E2B875" w14:textId="77777777" w:rsidR="00CB5B1D" w:rsidRPr="00CB5B1D" w:rsidRDefault="00CB5B1D" w:rsidP="00CB5B1D">
      <w:pPr>
        <w:pStyle w:val="ListParagraph"/>
        <w:numPr>
          <w:ilvl w:val="0"/>
          <w:numId w:val="2"/>
        </w:numPr>
        <w:rPr>
          <w:rFonts w:cs="Arial"/>
          <w:sz w:val="24"/>
        </w:rPr>
      </w:pPr>
      <w:r w:rsidRPr="00CB5B1D">
        <w:rPr>
          <w:rFonts w:cs="Arial"/>
          <w:sz w:val="24"/>
        </w:rPr>
        <w:t>the need for particular services.</w:t>
      </w:r>
    </w:p>
    <w:p w14:paraId="71E2B876" w14:textId="77777777" w:rsidR="00CB5B1D" w:rsidRPr="00CB5B1D" w:rsidRDefault="00CB5B1D" w:rsidP="00CB5B1D">
      <w:pPr>
        <w:ind w:left="-540"/>
        <w:rPr>
          <w:rFonts w:ascii="Arial" w:hAnsi="Arial" w:cs="Arial"/>
        </w:rPr>
      </w:pPr>
    </w:p>
    <w:p w14:paraId="71E2B877" w14:textId="77777777" w:rsidR="00CB5B1D" w:rsidRPr="00CB5B1D" w:rsidRDefault="00CB5B1D" w:rsidP="00CB5B1D">
      <w:pPr>
        <w:ind w:left="-540"/>
        <w:rPr>
          <w:rFonts w:ascii="Arial" w:hAnsi="Arial" w:cs="Arial"/>
        </w:rPr>
      </w:pPr>
      <w:r w:rsidRPr="00CB5B1D">
        <w:rPr>
          <w:rFonts w:ascii="Arial" w:hAnsi="Arial" w:cs="Arial"/>
        </w:rPr>
        <w:t>Examples might include providing misleading advice about the:</w:t>
      </w:r>
    </w:p>
    <w:p w14:paraId="71E2B878" w14:textId="77777777" w:rsidR="00CB5B1D" w:rsidRPr="00CB5B1D" w:rsidRDefault="00CB5B1D" w:rsidP="00CB5B1D">
      <w:pPr>
        <w:ind w:left="-540"/>
        <w:rPr>
          <w:rFonts w:ascii="Arial" w:hAnsi="Arial" w:cs="Arial"/>
        </w:rPr>
      </w:pPr>
    </w:p>
    <w:p w14:paraId="71E2B879" w14:textId="77777777" w:rsidR="00CB5B1D" w:rsidRPr="00CB5B1D" w:rsidRDefault="00CB5B1D" w:rsidP="00CB5B1D">
      <w:pPr>
        <w:pStyle w:val="ListParagraph"/>
        <w:numPr>
          <w:ilvl w:val="0"/>
          <w:numId w:val="3"/>
        </w:numPr>
        <w:ind w:left="0" w:hanging="180"/>
        <w:rPr>
          <w:rFonts w:cs="Arial"/>
          <w:sz w:val="24"/>
        </w:rPr>
      </w:pPr>
      <w:r w:rsidRPr="00CB5B1D">
        <w:rPr>
          <w:rFonts w:cs="Arial"/>
          <w:sz w:val="24"/>
        </w:rPr>
        <w:t>expected benefit of doing a particular course, including eligibility for further study or employment prospects</w:t>
      </w:r>
    </w:p>
    <w:p w14:paraId="71E2B87A" w14:textId="77777777" w:rsidR="00CB5B1D" w:rsidRPr="00CB5B1D" w:rsidRDefault="00CB5B1D" w:rsidP="00CB5B1D">
      <w:pPr>
        <w:pStyle w:val="ListParagraph"/>
        <w:numPr>
          <w:ilvl w:val="0"/>
          <w:numId w:val="3"/>
        </w:numPr>
        <w:rPr>
          <w:rFonts w:cs="Arial"/>
          <w:sz w:val="24"/>
        </w:rPr>
      </w:pPr>
      <w:r w:rsidRPr="00CB5B1D">
        <w:rPr>
          <w:rFonts w:cs="Arial"/>
          <w:sz w:val="24"/>
        </w:rPr>
        <w:t>overall price of the course, including VET FEE-HELP loan arrangements.</w:t>
      </w:r>
    </w:p>
    <w:p w14:paraId="71E2B87B" w14:textId="77777777" w:rsidR="00CB5B1D" w:rsidRPr="00CB5B1D" w:rsidRDefault="00CB5B1D" w:rsidP="00CB5B1D">
      <w:pPr>
        <w:rPr>
          <w:rFonts w:ascii="Arial" w:hAnsi="Arial" w:cs="Arial"/>
        </w:rPr>
      </w:pPr>
    </w:p>
    <w:p w14:paraId="71E2B87C" w14:textId="77777777" w:rsidR="00CB5B1D" w:rsidRPr="00CB5B1D" w:rsidRDefault="00CB5B1D" w:rsidP="00CB5B1D">
      <w:pPr>
        <w:ind w:left="-540"/>
        <w:rPr>
          <w:rFonts w:ascii="Arial" w:hAnsi="Arial" w:cs="Arial"/>
        </w:rPr>
      </w:pPr>
      <w:r w:rsidRPr="00CB5B1D">
        <w:rPr>
          <w:rFonts w:ascii="Arial" w:hAnsi="Arial" w:cs="Arial"/>
        </w:rPr>
        <w:t>Unconscionable conduct – conduct that is against good conscience – is also illegal. You must take extra care when marketing to vulnerable consumers who may be less likely to understand what they are signing up for.</w:t>
      </w:r>
    </w:p>
    <w:p w14:paraId="71E2B87D" w14:textId="77777777" w:rsidR="00CB5B1D" w:rsidRPr="00CB5B1D" w:rsidRDefault="00CB5B1D" w:rsidP="00CB5B1D">
      <w:pPr>
        <w:ind w:left="-540"/>
        <w:rPr>
          <w:rFonts w:ascii="Arial" w:hAnsi="Arial" w:cs="Arial"/>
        </w:rPr>
      </w:pPr>
    </w:p>
    <w:p w14:paraId="71E2B87E" w14:textId="77777777" w:rsidR="00CB5B1D" w:rsidRPr="00CB5B1D" w:rsidRDefault="00CB5B1D" w:rsidP="00CB5B1D">
      <w:pPr>
        <w:ind w:left="-540"/>
        <w:rPr>
          <w:rFonts w:ascii="Arial" w:hAnsi="Arial" w:cs="Arial"/>
        </w:rPr>
      </w:pPr>
      <w:r w:rsidRPr="00CB5B1D">
        <w:rPr>
          <w:rFonts w:ascii="Arial" w:hAnsi="Arial" w:cs="Arial"/>
        </w:rPr>
        <w:t>This might include consumers:</w:t>
      </w:r>
    </w:p>
    <w:p w14:paraId="71E2B87F" w14:textId="77777777" w:rsidR="00CB5B1D" w:rsidRPr="00CB5B1D" w:rsidRDefault="00CB5B1D" w:rsidP="00CB5B1D">
      <w:pPr>
        <w:ind w:left="-540"/>
        <w:rPr>
          <w:rFonts w:ascii="Arial" w:hAnsi="Arial" w:cs="Arial"/>
        </w:rPr>
      </w:pPr>
    </w:p>
    <w:p w14:paraId="71E2B880" w14:textId="77777777" w:rsidR="00CB5B1D" w:rsidRPr="00CB5B1D" w:rsidRDefault="00CB5B1D" w:rsidP="00CB5B1D">
      <w:pPr>
        <w:pStyle w:val="ListParagraph"/>
        <w:numPr>
          <w:ilvl w:val="0"/>
          <w:numId w:val="4"/>
        </w:numPr>
        <w:rPr>
          <w:rFonts w:cs="Arial"/>
          <w:sz w:val="24"/>
        </w:rPr>
      </w:pPr>
      <w:r w:rsidRPr="00CB5B1D">
        <w:rPr>
          <w:rFonts w:cs="Arial"/>
          <w:sz w:val="24"/>
        </w:rPr>
        <w:t>with a disability</w:t>
      </w:r>
    </w:p>
    <w:p w14:paraId="71E2B881" w14:textId="77777777" w:rsidR="00CB5B1D" w:rsidRPr="00CB5B1D" w:rsidRDefault="00CB5B1D" w:rsidP="00CB5B1D">
      <w:pPr>
        <w:pStyle w:val="ListParagraph"/>
        <w:numPr>
          <w:ilvl w:val="0"/>
          <w:numId w:val="4"/>
        </w:numPr>
        <w:rPr>
          <w:rFonts w:cs="Arial"/>
          <w:sz w:val="24"/>
        </w:rPr>
      </w:pPr>
      <w:r w:rsidRPr="00CB5B1D">
        <w:rPr>
          <w:rFonts w:cs="Arial"/>
          <w:sz w:val="24"/>
        </w:rPr>
        <w:t>who do not speak English as a first language</w:t>
      </w:r>
    </w:p>
    <w:p w14:paraId="71E2B882" w14:textId="77777777" w:rsidR="00CB5B1D" w:rsidRPr="00CB5B1D" w:rsidRDefault="00CB5B1D" w:rsidP="00CB5B1D">
      <w:pPr>
        <w:pStyle w:val="ListParagraph"/>
        <w:numPr>
          <w:ilvl w:val="0"/>
          <w:numId w:val="4"/>
        </w:numPr>
        <w:rPr>
          <w:rFonts w:cs="Arial"/>
          <w:sz w:val="24"/>
        </w:rPr>
      </w:pPr>
      <w:r w:rsidRPr="00CB5B1D">
        <w:rPr>
          <w:rFonts w:cs="Arial"/>
          <w:sz w:val="24"/>
        </w:rPr>
        <w:t>of culturally diverse backgrounds</w:t>
      </w:r>
    </w:p>
    <w:p w14:paraId="71E2B883" w14:textId="77777777" w:rsidR="00CB5B1D" w:rsidRPr="00CB5B1D" w:rsidRDefault="00CB5B1D" w:rsidP="00CB5B1D">
      <w:pPr>
        <w:pStyle w:val="ListParagraph"/>
        <w:numPr>
          <w:ilvl w:val="0"/>
          <w:numId w:val="4"/>
        </w:numPr>
        <w:rPr>
          <w:rFonts w:cs="Arial"/>
          <w:sz w:val="24"/>
        </w:rPr>
      </w:pPr>
      <w:r w:rsidRPr="00CB5B1D">
        <w:rPr>
          <w:rFonts w:cs="Arial"/>
          <w:sz w:val="24"/>
        </w:rPr>
        <w:t>with low literacy skills</w:t>
      </w:r>
    </w:p>
    <w:p w14:paraId="71E2B884" w14:textId="77777777" w:rsidR="00CB5B1D" w:rsidRPr="00CB5B1D" w:rsidRDefault="00CB5B1D" w:rsidP="00CB5B1D">
      <w:pPr>
        <w:pStyle w:val="ListParagraph"/>
        <w:numPr>
          <w:ilvl w:val="0"/>
          <w:numId w:val="4"/>
        </w:numPr>
        <w:rPr>
          <w:rFonts w:cs="Arial"/>
          <w:sz w:val="24"/>
        </w:rPr>
      </w:pPr>
      <w:r w:rsidRPr="00CB5B1D">
        <w:rPr>
          <w:rFonts w:cs="Arial"/>
          <w:sz w:val="24"/>
        </w:rPr>
        <w:t>with otherwise limited ability to complete the course.</w:t>
      </w:r>
    </w:p>
    <w:p w14:paraId="71E2B885" w14:textId="77777777" w:rsidR="00CB5B1D" w:rsidRPr="00CB5B1D" w:rsidRDefault="00CB5B1D" w:rsidP="00CB5B1D">
      <w:pPr>
        <w:ind w:left="-540"/>
        <w:rPr>
          <w:rFonts w:ascii="Arial" w:hAnsi="Arial" w:cs="Arial"/>
        </w:rPr>
      </w:pPr>
    </w:p>
    <w:p w14:paraId="71E2B886" w14:textId="77777777" w:rsidR="00C10DF6" w:rsidRDefault="00C10DF6" w:rsidP="00CB5B1D">
      <w:pPr>
        <w:ind w:left="-540"/>
        <w:rPr>
          <w:rFonts w:ascii="Arial" w:hAnsi="Arial" w:cs="Arial"/>
        </w:rPr>
      </w:pPr>
      <w:r w:rsidRPr="00CB5B1D">
        <w:rPr>
          <w:rFonts w:ascii="Arial" w:hAnsi="Arial" w:cs="Arial"/>
        </w:rPr>
        <w:t>Courts can impose penalties for these offences of up to $1.1 million for corporations and $220,000 for individuals. Consumer Affair Victoria can also seek injunctions or court orders for refunds and damages.</w:t>
      </w:r>
    </w:p>
    <w:p w14:paraId="71E2B887" w14:textId="77777777" w:rsidR="00C10DF6" w:rsidRDefault="00C10DF6" w:rsidP="00CB5B1D">
      <w:pPr>
        <w:ind w:left="-540"/>
        <w:rPr>
          <w:rFonts w:ascii="Arial" w:hAnsi="Arial" w:cs="Arial"/>
        </w:rPr>
      </w:pPr>
    </w:p>
    <w:p w14:paraId="71E2B888" w14:textId="77777777" w:rsidR="00CB5B1D" w:rsidRPr="00CB5B1D" w:rsidRDefault="00C10DF6" w:rsidP="00CB5B1D">
      <w:pPr>
        <w:ind w:left="-540"/>
        <w:rPr>
          <w:rFonts w:ascii="Arial" w:hAnsi="Arial" w:cs="Arial"/>
        </w:rPr>
      </w:pPr>
      <w:r w:rsidRPr="00E866B0">
        <w:rPr>
          <w:rFonts w:ascii="Arial" w:hAnsi="Arial" w:cs="Arial"/>
        </w:rPr>
        <w:t xml:space="preserve">You also have </w:t>
      </w:r>
      <w:r w:rsidR="00CB5B1D" w:rsidRPr="00E866B0">
        <w:rPr>
          <w:rFonts w:ascii="Arial" w:hAnsi="Arial" w:cs="Arial"/>
        </w:rPr>
        <w:t>responsibilit</w:t>
      </w:r>
      <w:r w:rsidRPr="00E866B0">
        <w:rPr>
          <w:rFonts w:ascii="Arial" w:hAnsi="Arial" w:cs="Arial"/>
        </w:rPr>
        <w:t xml:space="preserve">ies </w:t>
      </w:r>
      <w:r w:rsidR="00866A54">
        <w:rPr>
          <w:rFonts w:ascii="Arial" w:hAnsi="Arial" w:cs="Arial"/>
        </w:rPr>
        <w:t xml:space="preserve">under the Standards for Registered Training Organisations 2015 or the Australian Quality Training Framework Standards </w:t>
      </w:r>
      <w:r w:rsidR="00CB5B1D" w:rsidRPr="00CB5B1D">
        <w:rPr>
          <w:rFonts w:ascii="Arial" w:hAnsi="Arial" w:cs="Arial"/>
        </w:rPr>
        <w:t>to ensure students meet certain basic prerequisites before they can be enrolled. Prerequisites might include English language proficiency or meeting particular licencing or regulatory requirements.</w:t>
      </w:r>
    </w:p>
    <w:p w14:paraId="71E2B889" w14:textId="77777777" w:rsidR="00CB5B1D" w:rsidRPr="00CB5B1D" w:rsidRDefault="00CB5B1D" w:rsidP="00CB5B1D">
      <w:pPr>
        <w:ind w:left="-540"/>
        <w:rPr>
          <w:rFonts w:ascii="Arial" w:hAnsi="Arial" w:cs="Arial"/>
        </w:rPr>
      </w:pPr>
    </w:p>
    <w:p w14:paraId="71E2B88A" w14:textId="77777777" w:rsidR="00CB5B1D" w:rsidRPr="00CB5B1D" w:rsidRDefault="00CB5B1D" w:rsidP="00CB5B1D">
      <w:pPr>
        <w:ind w:left="-540"/>
        <w:rPr>
          <w:rFonts w:ascii="Arial" w:hAnsi="Arial" w:cs="Arial"/>
        </w:rPr>
      </w:pPr>
      <w:r w:rsidRPr="00CB5B1D">
        <w:rPr>
          <w:rFonts w:ascii="Arial" w:hAnsi="Arial" w:cs="Arial"/>
        </w:rPr>
        <w:t>Targeting vulnerable consumers with the promise of incentives if they sign up to a VET FEE-HELP loan, without fully explaining the course and loan scheme, could also be considered unconscionable conduct. Offering incentives to consumers to enrol in a VET FEE-HELP course was banned from 1 April 2015.</w:t>
      </w:r>
    </w:p>
    <w:p w14:paraId="71E2B88B" w14:textId="77777777" w:rsidR="00CB5B1D" w:rsidRPr="00CB5B1D" w:rsidRDefault="00CB5B1D" w:rsidP="00CB5B1D">
      <w:pPr>
        <w:rPr>
          <w:rFonts w:ascii="Arial" w:hAnsi="Arial" w:cs="Arial"/>
        </w:rPr>
      </w:pPr>
    </w:p>
    <w:p w14:paraId="71E2B88C" w14:textId="77777777" w:rsidR="00CB5B1D" w:rsidRPr="00CB5B1D" w:rsidRDefault="00CB5B1D" w:rsidP="00CB5B1D">
      <w:pPr>
        <w:ind w:left="-540"/>
        <w:rPr>
          <w:rFonts w:ascii="Arial" w:hAnsi="Arial" w:cs="Arial"/>
        </w:rPr>
      </w:pPr>
      <w:r w:rsidRPr="00CB5B1D">
        <w:rPr>
          <w:rFonts w:ascii="Arial" w:hAnsi="Arial" w:cs="Arial"/>
        </w:rPr>
        <w:t xml:space="preserve">You should obtain independent legal advice about your business practices and responsibilities under </w:t>
      </w:r>
      <w:r w:rsidR="00EF1D82">
        <w:rPr>
          <w:rFonts w:ascii="Arial" w:hAnsi="Arial" w:cs="Arial"/>
        </w:rPr>
        <w:t>all relevant legislation</w:t>
      </w:r>
      <w:r w:rsidRPr="00CB5B1D">
        <w:rPr>
          <w:rFonts w:ascii="Arial" w:hAnsi="Arial" w:cs="Arial"/>
        </w:rPr>
        <w:t xml:space="preserve">. </w:t>
      </w:r>
    </w:p>
    <w:p w14:paraId="71E2B88D" w14:textId="77777777" w:rsidR="00CB5B1D" w:rsidRPr="00CB5B1D" w:rsidRDefault="00CB5B1D" w:rsidP="00CB5B1D">
      <w:pPr>
        <w:pStyle w:val="Heading1"/>
        <w:tabs>
          <w:tab w:val="left" w:pos="9214"/>
        </w:tabs>
        <w:ind w:left="-540"/>
      </w:pPr>
      <w:r w:rsidRPr="00CB5B1D">
        <w:t>Door-to-door sales, telemarketing and shopping centre/footpath sales</w:t>
      </w:r>
    </w:p>
    <w:p w14:paraId="71E2B88E" w14:textId="77777777" w:rsidR="00CB5B1D" w:rsidRPr="00CB5B1D" w:rsidRDefault="00CB5B1D" w:rsidP="00CB5B1D">
      <w:pPr>
        <w:ind w:left="-540"/>
        <w:rPr>
          <w:rFonts w:ascii="Arial" w:hAnsi="Arial" w:cs="Arial"/>
        </w:rPr>
      </w:pPr>
    </w:p>
    <w:p w14:paraId="71E2B88F" w14:textId="77777777" w:rsidR="00CB5B1D" w:rsidRPr="00CB5B1D" w:rsidRDefault="00CB5B1D" w:rsidP="00CB5B1D">
      <w:pPr>
        <w:ind w:left="-540"/>
        <w:rPr>
          <w:rFonts w:ascii="Arial" w:hAnsi="Arial" w:cs="Arial"/>
        </w:rPr>
      </w:pPr>
      <w:r w:rsidRPr="00CB5B1D">
        <w:rPr>
          <w:rFonts w:ascii="Arial" w:hAnsi="Arial" w:cs="Arial"/>
        </w:rPr>
        <w:t xml:space="preserve">Some training providers and marketers sign up consumers after approaching them door-to-door, in public, or on the phone. This is called an ‘unsolicited consumer agreement’, because the training provider or marketer initiated the contact, not the consumer. </w:t>
      </w:r>
    </w:p>
    <w:p w14:paraId="71E2B890" w14:textId="77777777" w:rsidR="00CB5B1D" w:rsidRPr="00CB5B1D" w:rsidRDefault="00CB5B1D" w:rsidP="00CB5B1D">
      <w:pPr>
        <w:ind w:left="-540"/>
        <w:rPr>
          <w:rFonts w:ascii="Arial" w:hAnsi="Arial" w:cs="Arial"/>
        </w:rPr>
      </w:pPr>
    </w:p>
    <w:p w14:paraId="71E2B891" w14:textId="77777777" w:rsidR="00CB5B1D" w:rsidRPr="00CB5B1D" w:rsidRDefault="00CB5B1D" w:rsidP="00CB5B1D">
      <w:pPr>
        <w:ind w:left="-540"/>
        <w:rPr>
          <w:rFonts w:ascii="Arial" w:hAnsi="Arial" w:cs="Arial"/>
        </w:rPr>
      </w:pPr>
      <w:r w:rsidRPr="00CB5B1D">
        <w:rPr>
          <w:rFonts w:ascii="Arial" w:hAnsi="Arial" w:cs="Arial"/>
        </w:rPr>
        <w:t xml:space="preserve">Consumer have extra protections in an unsolicited consumer agreement. For example: </w:t>
      </w:r>
    </w:p>
    <w:p w14:paraId="71E2B892" w14:textId="77777777" w:rsidR="00CB5B1D" w:rsidRPr="00CB5B1D" w:rsidRDefault="00CB5B1D" w:rsidP="00CB5B1D">
      <w:pPr>
        <w:ind w:left="-540"/>
        <w:rPr>
          <w:rFonts w:ascii="Arial" w:hAnsi="Arial" w:cs="Arial"/>
        </w:rPr>
      </w:pPr>
    </w:p>
    <w:p w14:paraId="71E2B893" w14:textId="77777777" w:rsidR="00CB5B1D" w:rsidRPr="00CB5B1D" w:rsidRDefault="00CB5B1D" w:rsidP="00CB5B1D">
      <w:pPr>
        <w:pStyle w:val="ListParagraph"/>
        <w:numPr>
          <w:ilvl w:val="0"/>
          <w:numId w:val="5"/>
        </w:numPr>
        <w:ind w:left="0" w:hanging="180"/>
        <w:rPr>
          <w:rFonts w:cs="Arial"/>
          <w:sz w:val="24"/>
        </w:rPr>
      </w:pPr>
      <w:r w:rsidRPr="00CB5B1D">
        <w:rPr>
          <w:rFonts w:cs="Arial"/>
          <w:sz w:val="24"/>
        </w:rPr>
        <w:t xml:space="preserve">consumers have a cooling-off period of 10 business days, during which they can cancel the contract without payment or penalty </w:t>
      </w:r>
    </w:p>
    <w:p w14:paraId="71E2B894" w14:textId="77777777" w:rsidR="00CB5B1D" w:rsidRPr="00CB5B1D" w:rsidRDefault="00CB5B1D" w:rsidP="00CB5B1D">
      <w:pPr>
        <w:pStyle w:val="ListParagraph"/>
        <w:numPr>
          <w:ilvl w:val="0"/>
          <w:numId w:val="5"/>
        </w:numPr>
        <w:ind w:left="0" w:hanging="180"/>
        <w:rPr>
          <w:rFonts w:cs="Arial"/>
          <w:sz w:val="24"/>
        </w:rPr>
      </w:pPr>
      <w:r w:rsidRPr="00CB5B1D">
        <w:rPr>
          <w:rFonts w:cs="Arial"/>
          <w:sz w:val="24"/>
        </w:rPr>
        <w:t xml:space="preserve">consumers can only be approached during certain hours and on certain days </w:t>
      </w:r>
    </w:p>
    <w:p w14:paraId="71E2B895" w14:textId="77777777" w:rsidR="00CB5B1D" w:rsidRPr="00CB5B1D" w:rsidRDefault="00CB5B1D" w:rsidP="00CB5B1D">
      <w:pPr>
        <w:pStyle w:val="ListParagraph"/>
        <w:numPr>
          <w:ilvl w:val="0"/>
          <w:numId w:val="5"/>
        </w:numPr>
        <w:ind w:left="0" w:hanging="180"/>
        <w:rPr>
          <w:rFonts w:cs="Arial"/>
          <w:sz w:val="24"/>
        </w:rPr>
      </w:pPr>
      <w:r w:rsidRPr="00CB5B1D">
        <w:rPr>
          <w:rFonts w:cs="Arial"/>
          <w:sz w:val="24"/>
        </w:rPr>
        <w:t xml:space="preserve">the salesperson must present ID and give the consumer a truthful explanation of their rights </w:t>
      </w:r>
    </w:p>
    <w:p w14:paraId="71E2B896" w14:textId="77777777" w:rsidR="00CB5B1D" w:rsidRPr="00CB5B1D" w:rsidRDefault="00CB5B1D" w:rsidP="00CB5B1D">
      <w:pPr>
        <w:pStyle w:val="ListParagraph"/>
        <w:numPr>
          <w:ilvl w:val="0"/>
          <w:numId w:val="5"/>
        </w:numPr>
        <w:ind w:left="0" w:hanging="180"/>
        <w:rPr>
          <w:rFonts w:cs="Arial"/>
          <w:sz w:val="24"/>
        </w:rPr>
      </w:pPr>
      <w:r w:rsidRPr="00CB5B1D">
        <w:rPr>
          <w:rFonts w:cs="Arial"/>
          <w:sz w:val="24"/>
        </w:rPr>
        <w:t>the salesperson must leave or cease contact if the consumer asks them to</w:t>
      </w:r>
    </w:p>
    <w:p w14:paraId="71E2B897" w14:textId="77777777" w:rsidR="00CB5B1D" w:rsidRPr="00CB5B1D" w:rsidRDefault="00CB5B1D" w:rsidP="00CB5B1D">
      <w:pPr>
        <w:pStyle w:val="ListParagraph"/>
        <w:numPr>
          <w:ilvl w:val="0"/>
          <w:numId w:val="5"/>
        </w:numPr>
        <w:ind w:left="0" w:hanging="180"/>
        <w:rPr>
          <w:rFonts w:cs="Arial"/>
          <w:sz w:val="24"/>
        </w:rPr>
      </w:pPr>
      <w:r w:rsidRPr="00CB5B1D">
        <w:rPr>
          <w:rFonts w:cs="Arial"/>
          <w:sz w:val="24"/>
        </w:rPr>
        <w:t>the salesperson must give the consumer a copy of the complete agreement, at the time of any face-to-face sale or within five days following a telephone sale.</w:t>
      </w:r>
    </w:p>
    <w:p w14:paraId="71E2B898" w14:textId="77777777" w:rsidR="00CB5B1D" w:rsidRPr="00CB5B1D" w:rsidRDefault="00CB5B1D" w:rsidP="00CB5B1D">
      <w:pPr>
        <w:ind w:left="-540"/>
        <w:rPr>
          <w:rFonts w:ascii="Arial" w:hAnsi="Arial" w:cs="Arial"/>
        </w:rPr>
      </w:pPr>
    </w:p>
    <w:p w14:paraId="71E2B899" w14:textId="77777777" w:rsidR="00CB5B1D" w:rsidRPr="00CB5B1D" w:rsidRDefault="00CB5B1D" w:rsidP="00CB5B1D">
      <w:pPr>
        <w:ind w:left="-540"/>
        <w:rPr>
          <w:rFonts w:ascii="Arial" w:hAnsi="Arial" w:cs="Arial"/>
        </w:rPr>
      </w:pPr>
      <w:r w:rsidRPr="00CB5B1D">
        <w:rPr>
          <w:rFonts w:ascii="Arial" w:hAnsi="Arial" w:cs="Arial"/>
        </w:rPr>
        <w:t>The cooling-off period is designed to allow the consumer time to fully consider their personal circumstances and the contract terms, and cancel the contract without penalty if they change their mind. If you do not afford a consumer their rights in an unsolicited sale, the cooling-off period automatically extends to six months.</w:t>
      </w:r>
    </w:p>
    <w:p w14:paraId="71E2B89A" w14:textId="77777777" w:rsidR="00CB5B1D" w:rsidRPr="00CB5B1D" w:rsidRDefault="00CB5B1D" w:rsidP="00CB5B1D">
      <w:pPr>
        <w:ind w:left="-540"/>
        <w:rPr>
          <w:rFonts w:ascii="Arial" w:hAnsi="Arial" w:cs="Arial"/>
        </w:rPr>
      </w:pPr>
    </w:p>
    <w:p w14:paraId="71E2B89B" w14:textId="77777777" w:rsidR="00CB5B1D" w:rsidRPr="00CB5B1D" w:rsidRDefault="00CB5B1D" w:rsidP="00CB5B1D">
      <w:pPr>
        <w:ind w:left="-540"/>
        <w:rPr>
          <w:rFonts w:ascii="Arial" w:hAnsi="Arial" w:cs="Arial"/>
        </w:rPr>
      </w:pPr>
      <w:r w:rsidRPr="00CB5B1D">
        <w:rPr>
          <w:rFonts w:ascii="Arial" w:hAnsi="Arial" w:cs="Arial"/>
        </w:rPr>
        <w:t>Courts can impose penalties for these offences of up to $50,000 for corporations and $10,000 for individuals.</w:t>
      </w:r>
    </w:p>
    <w:p w14:paraId="71E2B89C" w14:textId="77777777" w:rsidR="00CB5B1D" w:rsidRPr="00CB5B1D" w:rsidRDefault="00CB5B1D" w:rsidP="00CB5B1D">
      <w:pPr>
        <w:pStyle w:val="Heading1"/>
        <w:tabs>
          <w:tab w:val="left" w:pos="9214"/>
        </w:tabs>
        <w:ind w:hanging="567"/>
      </w:pPr>
      <w:r w:rsidRPr="00CB5B1D">
        <w:t>Unfair contract terms</w:t>
      </w:r>
    </w:p>
    <w:p w14:paraId="71E2B89D" w14:textId="77777777" w:rsidR="00CB5B1D" w:rsidRPr="00CB5B1D" w:rsidRDefault="00CB5B1D" w:rsidP="00CB5B1D">
      <w:pPr>
        <w:ind w:left="-540"/>
        <w:rPr>
          <w:rFonts w:ascii="Arial" w:hAnsi="Arial" w:cs="Arial"/>
        </w:rPr>
      </w:pPr>
    </w:p>
    <w:p w14:paraId="71E2B89E" w14:textId="77777777" w:rsidR="00CB5B1D" w:rsidRPr="00CB5B1D" w:rsidRDefault="00CB5B1D" w:rsidP="00CB5B1D">
      <w:pPr>
        <w:ind w:left="-540"/>
        <w:rPr>
          <w:rFonts w:ascii="Arial" w:hAnsi="Arial" w:cs="Arial"/>
        </w:rPr>
      </w:pPr>
      <w:r w:rsidRPr="00CB5B1D">
        <w:rPr>
          <w:rFonts w:ascii="Arial" w:hAnsi="Arial" w:cs="Arial"/>
        </w:rPr>
        <w:t>Training providers and marketers often use standard, ‘take it or leave it’ style contracts when signing up consumers. The consumer has no genuine opportunity to negotiate the contract terms.</w:t>
      </w:r>
    </w:p>
    <w:p w14:paraId="71E2B89F" w14:textId="77777777" w:rsidR="00CB5B1D" w:rsidRPr="00CB5B1D" w:rsidRDefault="00CB5B1D" w:rsidP="00CB5B1D">
      <w:pPr>
        <w:ind w:left="-540"/>
        <w:rPr>
          <w:rFonts w:ascii="Arial" w:hAnsi="Arial" w:cs="Arial"/>
        </w:rPr>
      </w:pPr>
    </w:p>
    <w:p w14:paraId="71E2B8A0" w14:textId="77777777" w:rsidR="00CB5B1D" w:rsidRPr="00CB5B1D" w:rsidRDefault="00CB5B1D" w:rsidP="00CB5B1D">
      <w:pPr>
        <w:ind w:left="-540"/>
        <w:rPr>
          <w:rFonts w:ascii="Arial" w:hAnsi="Arial" w:cs="Arial"/>
        </w:rPr>
      </w:pPr>
      <w:r w:rsidRPr="00CB5B1D">
        <w:rPr>
          <w:rFonts w:ascii="Arial" w:hAnsi="Arial" w:cs="Arial"/>
        </w:rPr>
        <w:t>You must take care with these contracts and ensure they do not contain ‘unfair’ terms that:</w:t>
      </w:r>
    </w:p>
    <w:p w14:paraId="71E2B8A1" w14:textId="77777777" w:rsidR="00CB5B1D" w:rsidRPr="00CB5B1D" w:rsidRDefault="00CB5B1D" w:rsidP="00CB5B1D">
      <w:pPr>
        <w:ind w:left="-540"/>
        <w:rPr>
          <w:rFonts w:ascii="Arial" w:hAnsi="Arial" w:cs="Arial"/>
        </w:rPr>
      </w:pPr>
    </w:p>
    <w:p w14:paraId="71E2B8A2" w14:textId="77777777" w:rsidR="00CB5B1D" w:rsidRPr="00CB5B1D" w:rsidRDefault="00CB5B1D" w:rsidP="00CB5B1D">
      <w:pPr>
        <w:pStyle w:val="ListParagraph"/>
        <w:numPr>
          <w:ilvl w:val="0"/>
          <w:numId w:val="6"/>
        </w:numPr>
        <w:rPr>
          <w:rFonts w:cs="Arial"/>
          <w:sz w:val="24"/>
        </w:rPr>
      </w:pPr>
      <w:r w:rsidRPr="00CB5B1D">
        <w:rPr>
          <w:rFonts w:cs="Arial"/>
          <w:sz w:val="24"/>
        </w:rPr>
        <w:t>cause a significant imbalance in the parties’ contractual rights and obligations</w:t>
      </w:r>
    </w:p>
    <w:p w14:paraId="71E2B8A3" w14:textId="77777777" w:rsidR="00CB5B1D" w:rsidRPr="00CB5B1D" w:rsidRDefault="00CB5B1D" w:rsidP="00CB5B1D">
      <w:pPr>
        <w:pStyle w:val="ListParagraph"/>
        <w:numPr>
          <w:ilvl w:val="0"/>
          <w:numId w:val="6"/>
        </w:numPr>
        <w:ind w:left="0" w:hanging="180"/>
        <w:rPr>
          <w:rFonts w:cs="Arial"/>
          <w:sz w:val="24"/>
        </w:rPr>
      </w:pPr>
      <w:r w:rsidRPr="00CB5B1D">
        <w:rPr>
          <w:rFonts w:cs="Arial"/>
          <w:sz w:val="24"/>
        </w:rPr>
        <w:t>are not reasonably necessary to protect the legitimate interests of the party who would be advantaged by the terms</w:t>
      </w:r>
    </w:p>
    <w:p w14:paraId="71E2B8A4" w14:textId="77777777" w:rsidR="00CB5B1D" w:rsidRPr="00CB5B1D" w:rsidRDefault="00CB5B1D" w:rsidP="00CB5B1D">
      <w:pPr>
        <w:pStyle w:val="ListParagraph"/>
        <w:numPr>
          <w:ilvl w:val="0"/>
          <w:numId w:val="6"/>
        </w:numPr>
        <w:ind w:left="0" w:hanging="180"/>
        <w:rPr>
          <w:rFonts w:cs="Arial"/>
          <w:sz w:val="24"/>
        </w:rPr>
      </w:pPr>
      <w:r w:rsidRPr="00CB5B1D">
        <w:rPr>
          <w:rFonts w:cs="Arial"/>
          <w:sz w:val="24"/>
        </w:rPr>
        <w:lastRenderedPageBreak/>
        <w:t>would cause detriment (whether financial or otherwise) to a consumer if they were to be applied or relied on.</w:t>
      </w:r>
    </w:p>
    <w:p w14:paraId="71E2B8A5" w14:textId="77777777" w:rsidR="00CB5B1D" w:rsidRPr="00CB5B1D" w:rsidRDefault="00CB5B1D" w:rsidP="00CB5B1D">
      <w:pPr>
        <w:ind w:left="-540"/>
        <w:rPr>
          <w:rFonts w:ascii="Arial" w:hAnsi="Arial" w:cs="Arial"/>
        </w:rPr>
      </w:pPr>
    </w:p>
    <w:p w14:paraId="71E2B8A6" w14:textId="77777777" w:rsidR="00CB5B1D" w:rsidRPr="00CB5B1D" w:rsidRDefault="00CB5B1D" w:rsidP="00CB5B1D">
      <w:pPr>
        <w:ind w:left="-540"/>
        <w:rPr>
          <w:rFonts w:ascii="Arial" w:hAnsi="Arial" w:cs="Arial"/>
        </w:rPr>
      </w:pPr>
      <w:r w:rsidRPr="00CB5B1D">
        <w:rPr>
          <w:rFonts w:ascii="Arial" w:hAnsi="Arial" w:cs="Arial"/>
        </w:rPr>
        <w:t xml:space="preserve">Only courts can declare terms ‘unfair’. In such cases, the consumer may be entitled to refund or another order the court finds appropriate. </w:t>
      </w:r>
    </w:p>
    <w:p w14:paraId="71E2B8A7" w14:textId="77777777" w:rsidR="00CB5B1D" w:rsidRPr="00CB5B1D" w:rsidRDefault="00CB5B1D" w:rsidP="00CB5B1D">
      <w:pPr>
        <w:ind w:left="-540"/>
        <w:rPr>
          <w:rFonts w:ascii="Arial" w:hAnsi="Arial" w:cs="Arial"/>
        </w:rPr>
      </w:pPr>
    </w:p>
    <w:p w14:paraId="71E2B8A8" w14:textId="77777777" w:rsidR="00CB5B1D" w:rsidRPr="00CB5B1D" w:rsidRDefault="00CB5B1D" w:rsidP="00CB5B1D">
      <w:pPr>
        <w:ind w:left="-540"/>
        <w:rPr>
          <w:rFonts w:ascii="Arial" w:hAnsi="Arial" w:cs="Arial"/>
        </w:rPr>
      </w:pPr>
      <w:r w:rsidRPr="00CB5B1D">
        <w:rPr>
          <w:rFonts w:ascii="Arial" w:hAnsi="Arial" w:cs="Arial"/>
        </w:rPr>
        <w:t xml:space="preserve">The court may also vary the contract by removing the unfair contract term. Regulators can also seek an order, such as an injunction, preventing an education provider from relying on the contract term. </w:t>
      </w:r>
    </w:p>
    <w:p w14:paraId="71E2B8A9" w14:textId="77777777" w:rsidR="00CB5B1D" w:rsidRPr="00CB5B1D" w:rsidRDefault="00CB5B1D" w:rsidP="00CB5B1D">
      <w:pPr>
        <w:ind w:left="-540"/>
        <w:rPr>
          <w:rFonts w:ascii="Arial" w:hAnsi="Arial" w:cs="Arial"/>
        </w:rPr>
      </w:pPr>
    </w:p>
    <w:p w14:paraId="71E2B8AA" w14:textId="77777777" w:rsidR="00CB5B1D" w:rsidRPr="00CB5B1D" w:rsidRDefault="00CB5B1D" w:rsidP="00CB5B1D">
      <w:pPr>
        <w:ind w:left="-540"/>
        <w:rPr>
          <w:rFonts w:ascii="Arial" w:hAnsi="Arial" w:cs="Arial"/>
        </w:rPr>
      </w:pPr>
      <w:r w:rsidRPr="00CB5B1D">
        <w:rPr>
          <w:rFonts w:ascii="Arial" w:hAnsi="Arial" w:cs="Arial"/>
        </w:rPr>
        <w:t>You should review your contracts to ensure they contain no unfair terms and consider getting legal advice if necessary.</w:t>
      </w:r>
    </w:p>
    <w:p w14:paraId="71E2B8AB" w14:textId="77777777" w:rsidR="00CB5B1D" w:rsidRPr="00CB5B1D" w:rsidRDefault="00CB5B1D" w:rsidP="00CB5B1D">
      <w:pPr>
        <w:pStyle w:val="Heading1"/>
        <w:tabs>
          <w:tab w:val="left" w:pos="9214"/>
        </w:tabs>
        <w:ind w:left="-540"/>
      </w:pPr>
      <w:r w:rsidRPr="00CB5B1D">
        <w:t>Consumer guarantees</w:t>
      </w:r>
    </w:p>
    <w:p w14:paraId="71E2B8AC" w14:textId="77777777" w:rsidR="00CB5B1D" w:rsidRPr="00CB5B1D" w:rsidRDefault="00CB5B1D" w:rsidP="00CB5B1D">
      <w:pPr>
        <w:ind w:left="-540"/>
        <w:rPr>
          <w:rFonts w:ascii="Arial" w:hAnsi="Arial" w:cs="Arial"/>
        </w:rPr>
      </w:pPr>
    </w:p>
    <w:p w14:paraId="71E2B8AD" w14:textId="77777777" w:rsidR="00CB5B1D" w:rsidRPr="00CB5B1D" w:rsidRDefault="0060712D" w:rsidP="00CB5B1D">
      <w:pPr>
        <w:ind w:left="-540"/>
        <w:rPr>
          <w:rFonts w:ascii="Arial" w:hAnsi="Arial" w:cs="Arial"/>
        </w:rPr>
      </w:pPr>
      <w:r>
        <w:rPr>
          <w:rFonts w:ascii="Arial" w:hAnsi="Arial" w:cs="Arial"/>
        </w:rPr>
        <w:t>Services that consumers buy</w:t>
      </w:r>
      <w:r w:rsidR="00CB5B1D" w:rsidRPr="00CB5B1D">
        <w:rPr>
          <w:rFonts w:ascii="Arial" w:hAnsi="Arial" w:cs="Arial"/>
        </w:rPr>
        <w:t xml:space="preserve"> come with automatic guarantees.</w:t>
      </w:r>
    </w:p>
    <w:p w14:paraId="71E2B8AE" w14:textId="77777777" w:rsidR="00CB5B1D" w:rsidRPr="00CB5B1D" w:rsidRDefault="00CB5B1D" w:rsidP="00CB5B1D">
      <w:pPr>
        <w:ind w:left="-540"/>
        <w:rPr>
          <w:rFonts w:ascii="Arial" w:hAnsi="Arial" w:cs="Arial"/>
        </w:rPr>
      </w:pPr>
    </w:p>
    <w:p w14:paraId="71E2B8AF" w14:textId="77777777" w:rsidR="00CB5B1D" w:rsidRPr="00CB5B1D" w:rsidRDefault="00CB5B1D" w:rsidP="00CB5B1D">
      <w:pPr>
        <w:ind w:left="-540"/>
        <w:rPr>
          <w:rFonts w:ascii="Arial" w:hAnsi="Arial" w:cs="Arial"/>
        </w:rPr>
      </w:pPr>
      <w:r w:rsidRPr="00CB5B1D">
        <w:rPr>
          <w:rFonts w:ascii="Arial" w:hAnsi="Arial" w:cs="Arial"/>
        </w:rPr>
        <w:t xml:space="preserve">You must provide services: </w:t>
      </w:r>
    </w:p>
    <w:p w14:paraId="71E2B8B0" w14:textId="77777777" w:rsidR="00CB5B1D" w:rsidRPr="00CB5B1D" w:rsidRDefault="00CB5B1D" w:rsidP="00CB5B1D">
      <w:pPr>
        <w:ind w:left="-540"/>
        <w:rPr>
          <w:rFonts w:ascii="Arial" w:hAnsi="Arial" w:cs="Arial"/>
        </w:rPr>
      </w:pPr>
    </w:p>
    <w:p w14:paraId="71E2B8B1" w14:textId="77777777" w:rsidR="00CB5B1D" w:rsidRPr="00CB5B1D" w:rsidRDefault="00CB5B1D" w:rsidP="00CB5B1D">
      <w:pPr>
        <w:pStyle w:val="ListParagraph"/>
        <w:numPr>
          <w:ilvl w:val="0"/>
          <w:numId w:val="7"/>
        </w:numPr>
        <w:rPr>
          <w:rFonts w:cs="Arial"/>
          <w:sz w:val="24"/>
        </w:rPr>
      </w:pPr>
      <w:r w:rsidRPr="00CB5B1D">
        <w:rPr>
          <w:rFonts w:cs="Arial"/>
          <w:sz w:val="24"/>
        </w:rPr>
        <w:t>with acceptable care, skill and technical knowledge</w:t>
      </w:r>
    </w:p>
    <w:p w14:paraId="71E2B8B2" w14:textId="77777777" w:rsidR="00CB5B1D" w:rsidRDefault="00CB5B1D" w:rsidP="00CB5B1D">
      <w:pPr>
        <w:pStyle w:val="ListParagraph"/>
        <w:numPr>
          <w:ilvl w:val="0"/>
          <w:numId w:val="7"/>
        </w:numPr>
        <w:rPr>
          <w:rFonts w:cs="Arial"/>
          <w:sz w:val="24"/>
        </w:rPr>
      </w:pPr>
      <w:r w:rsidRPr="00CB5B1D">
        <w:rPr>
          <w:rFonts w:cs="Arial"/>
          <w:sz w:val="24"/>
        </w:rPr>
        <w:t>that are fit for the particular purpose</w:t>
      </w:r>
    </w:p>
    <w:p w14:paraId="71E2B8B3" w14:textId="77777777" w:rsidR="00CB5B1D" w:rsidRPr="00CB5B1D" w:rsidRDefault="00CB5B1D" w:rsidP="00CB5B1D">
      <w:pPr>
        <w:pStyle w:val="ListParagraph"/>
        <w:numPr>
          <w:ilvl w:val="0"/>
          <w:numId w:val="7"/>
        </w:numPr>
        <w:rPr>
          <w:rFonts w:cs="Arial"/>
          <w:sz w:val="24"/>
        </w:rPr>
      </w:pPr>
      <w:r w:rsidRPr="00CB5B1D">
        <w:rPr>
          <w:rFonts w:cs="Arial"/>
          <w:sz w:val="24"/>
        </w:rPr>
        <w:t>within a reasonable time</w:t>
      </w:r>
      <w:r w:rsidR="001030A2">
        <w:rPr>
          <w:rFonts w:cs="Arial"/>
          <w:sz w:val="24"/>
        </w:rPr>
        <w:t>.</w:t>
      </w:r>
      <w:r w:rsidRPr="00CB5B1D">
        <w:rPr>
          <w:rFonts w:cs="Arial"/>
          <w:sz w:val="24"/>
        </w:rPr>
        <w:t xml:space="preserve"> </w:t>
      </w:r>
    </w:p>
    <w:p w14:paraId="71E2B8B4" w14:textId="77777777" w:rsidR="00CB5B1D" w:rsidRDefault="00CB5B1D" w:rsidP="00CB5B1D">
      <w:pPr>
        <w:ind w:left="-540"/>
        <w:rPr>
          <w:rFonts w:ascii="Arial" w:hAnsi="Arial" w:cs="Arial"/>
        </w:rPr>
      </w:pPr>
    </w:p>
    <w:p w14:paraId="71E2B8B5" w14:textId="77777777" w:rsidR="00CB5B1D" w:rsidRPr="00CB5B1D" w:rsidRDefault="00CB5B1D" w:rsidP="00CB5B1D">
      <w:pPr>
        <w:ind w:left="-540"/>
        <w:rPr>
          <w:rFonts w:ascii="Arial" w:hAnsi="Arial" w:cs="Arial"/>
        </w:rPr>
      </w:pPr>
      <w:r w:rsidRPr="00CB5B1D">
        <w:rPr>
          <w:rFonts w:ascii="Arial" w:hAnsi="Arial" w:cs="Arial"/>
        </w:rPr>
        <w:t>If services do not meet the consumer guarantees, consumers can claim remedies including:</w:t>
      </w:r>
    </w:p>
    <w:p w14:paraId="71E2B8B6" w14:textId="77777777" w:rsidR="00CB5B1D" w:rsidRPr="00CB5B1D" w:rsidRDefault="00CB5B1D" w:rsidP="00CB5B1D">
      <w:pPr>
        <w:ind w:left="-540"/>
        <w:rPr>
          <w:rFonts w:ascii="Arial" w:hAnsi="Arial" w:cs="Arial"/>
        </w:rPr>
      </w:pPr>
    </w:p>
    <w:p w14:paraId="71E2B8B7" w14:textId="77777777" w:rsidR="00CB5B1D" w:rsidRPr="00CB5B1D" w:rsidRDefault="00CB5B1D" w:rsidP="00CB5B1D">
      <w:pPr>
        <w:pStyle w:val="ListParagraph"/>
        <w:numPr>
          <w:ilvl w:val="0"/>
          <w:numId w:val="8"/>
        </w:numPr>
        <w:rPr>
          <w:rFonts w:cs="Arial"/>
          <w:sz w:val="24"/>
        </w:rPr>
      </w:pPr>
      <w:r w:rsidRPr="00CB5B1D">
        <w:rPr>
          <w:rFonts w:cs="Arial"/>
          <w:sz w:val="24"/>
        </w:rPr>
        <w:t>cancelling a service for a full refund</w:t>
      </w:r>
    </w:p>
    <w:p w14:paraId="71E2B8B8" w14:textId="77777777" w:rsidR="00CB5B1D" w:rsidRPr="00CB5B1D" w:rsidRDefault="00CB5B1D" w:rsidP="00CB5B1D">
      <w:pPr>
        <w:pStyle w:val="ListParagraph"/>
        <w:numPr>
          <w:ilvl w:val="0"/>
          <w:numId w:val="8"/>
        </w:numPr>
        <w:rPr>
          <w:rFonts w:cs="Arial"/>
          <w:sz w:val="24"/>
        </w:rPr>
      </w:pPr>
      <w:r w:rsidRPr="00CB5B1D">
        <w:rPr>
          <w:rFonts w:cs="Arial"/>
          <w:sz w:val="24"/>
        </w:rPr>
        <w:t>seeking partial refund for the drop in value of the service</w:t>
      </w:r>
    </w:p>
    <w:p w14:paraId="71E2B8B9" w14:textId="77777777" w:rsidR="00CB5B1D" w:rsidRPr="00CB5B1D" w:rsidRDefault="00CB5B1D" w:rsidP="00CB5B1D">
      <w:pPr>
        <w:pStyle w:val="ListParagraph"/>
        <w:numPr>
          <w:ilvl w:val="0"/>
          <w:numId w:val="8"/>
        </w:numPr>
        <w:rPr>
          <w:rFonts w:cs="Arial"/>
          <w:sz w:val="24"/>
        </w:rPr>
      </w:pPr>
      <w:r w:rsidRPr="00CB5B1D">
        <w:rPr>
          <w:rFonts w:cs="Arial"/>
          <w:sz w:val="24"/>
        </w:rPr>
        <w:t>seeking compensation for damages and loss.</w:t>
      </w:r>
    </w:p>
    <w:p w14:paraId="71E2B8BA" w14:textId="77777777" w:rsidR="00CB5B1D" w:rsidRPr="00CB5B1D" w:rsidRDefault="00CB5B1D" w:rsidP="00CB5B1D">
      <w:pPr>
        <w:ind w:left="-540"/>
        <w:rPr>
          <w:rFonts w:ascii="Arial" w:hAnsi="Arial" w:cs="Arial"/>
        </w:rPr>
      </w:pPr>
    </w:p>
    <w:p w14:paraId="71E2B8BB" w14:textId="77777777" w:rsidR="00CB5B1D" w:rsidRPr="00CB5B1D" w:rsidRDefault="00CB5B1D" w:rsidP="00CB5B1D">
      <w:pPr>
        <w:pStyle w:val="Heading1"/>
        <w:tabs>
          <w:tab w:val="left" w:pos="9214"/>
        </w:tabs>
        <w:ind w:left="-540"/>
      </w:pPr>
      <w:r w:rsidRPr="00CB5B1D">
        <w:t>Vocational education and training sector reforms</w:t>
      </w:r>
    </w:p>
    <w:p w14:paraId="71E2B8BC" w14:textId="77777777" w:rsidR="00CB5B1D" w:rsidRPr="00CB5B1D" w:rsidRDefault="00CB5B1D" w:rsidP="00CB5B1D">
      <w:pPr>
        <w:ind w:left="-540"/>
        <w:rPr>
          <w:rFonts w:ascii="Arial" w:hAnsi="Arial" w:cs="Arial"/>
        </w:rPr>
      </w:pPr>
    </w:p>
    <w:p w14:paraId="71E2B8BD" w14:textId="77777777" w:rsidR="00CB5B1D" w:rsidRPr="00CB5B1D" w:rsidRDefault="00CB5B1D" w:rsidP="00CB5B1D">
      <w:pPr>
        <w:ind w:left="-540"/>
        <w:rPr>
          <w:rFonts w:ascii="Arial" w:hAnsi="Arial" w:cs="Arial"/>
        </w:rPr>
      </w:pPr>
      <w:r w:rsidRPr="00CB5B1D">
        <w:rPr>
          <w:rFonts w:ascii="Arial" w:hAnsi="Arial" w:cs="Arial"/>
        </w:rPr>
        <w:t>A number of Commonwealth Government reforms have been announced that affect suppliers and marketers in the vocational education and training (VET) sector.</w:t>
      </w:r>
    </w:p>
    <w:p w14:paraId="71E2B8BE" w14:textId="77777777" w:rsidR="00CB5B1D" w:rsidRPr="00CB5B1D" w:rsidRDefault="00CB5B1D" w:rsidP="00CB5B1D">
      <w:pPr>
        <w:ind w:left="-540"/>
        <w:rPr>
          <w:rFonts w:ascii="Arial" w:hAnsi="Arial" w:cs="Arial"/>
        </w:rPr>
      </w:pPr>
    </w:p>
    <w:p w14:paraId="71E2B8BF" w14:textId="77777777" w:rsidR="00CB5B1D" w:rsidRDefault="00CB5B1D" w:rsidP="00CB5B1D">
      <w:pPr>
        <w:ind w:left="-540"/>
        <w:rPr>
          <w:rFonts w:ascii="Arial" w:hAnsi="Arial" w:cs="Arial"/>
        </w:rPr>
      </w:pPr>
      <w:r w:rsidRPr="00CB5B1D">
        <w:rPr>
          <w:rFonts w:ascii="Arial" w:hAnsi="Arial" w:cs="Arial"/>
        </w:rPr>
        <w:t xml:space="preserve">See </w:t>
      </w:r>
      <w:hyperlink r:id="rId7" w:history="1">
        <w:r w:rsidRPr="00CB5B1D">
          <w:rPr>
            <w:rStyle w:val="Hyperlink"/>
            <w:rFonts w:ascii="Arial" w:hAnsi="Arial" w:cs="Arial"/>
          </w:rPr>
          <w:t>www.vetreform.industry.gov.au</w:t>
        </w:r>
      </w:hyperlink>
      <w:r w:rsidRPr="00CB5B1D">
        <w:rPr>
          <w:rFonts w:ascii="Arial" w:hAnsi="Arial" w:cs="Arial"/>
        </w:rPr>
        <w:t xml:space="preserve"> and </w:t>
      </w:r>
      <w:hyperlink r:id="rId8" w:history="1">
        <w:r w:rsidRPr="00CB5B1D">
          <w:rPr>
            <w:rStyle w:val="Hyperlink"/>
            <w:rFonts w:ascii="Arial" w:hAnsi="Arial" w:cs="Arial"/>
          </w:rPr>
          <w:t>www.education.gov.au/vet-fee-help-reforms</w:t>
        </w:r>
      </w:hyperlink>
      <w:r w:rsidRPr="00CB5B1D">
        <w:rPr>
          <w:rFonts w:ascii="Arial" w:hAnsi="Arial" w:cs="Arial"/>
        </w:rPr>
        <w:t xml:space="preserve"> for </w:t>
      </w:r>
      <w:r w:rsidR="001030A2">
        <w:rPr>
          <w:rFonts w:ascii="Arial" w:hAnsi="Arial" w:cs="Arial"/>
        </w:rPr>
        <w:t>details</w:t>
      </w:r>
      <w:r w:rsidRPr="00CB5B1D">
        <w:rPr>
          <w:rFonts w:ascii="Arial" w:hAnsi="Arial" w:cs="Arial"/>
        </w:rPr>
        <w:t>.</w:t>
      </w:r>
    </w:p>
    <w:p w14:paraId="71E2B8C0" w14:textId="77777777" w:rsidR="00CB5B1D" w:rsidRDefault="00CB5B1D" w:rsidP="00CB5B1D">
      <w:pPr>
        <w:ind w:left="-540"/>
        <w:rPr>
          <w:rFonts w:ascii="Arial" w:hAnsi="Arial" w:cs="Arial"/>
        </w:rPr>
      </w:pPr>
    </w:p>
    <w:p w14:paraId="71E2B8C1" w14:textId="77777777" w:rsidR="00CB5B1D" w:rsidRDefault="00CB5B1D" w:rsidP="00CB5B1D">
      <w:pPr>
        <w:ind w:left="-540"/>
        <w:rPr>
          <w:rFonts w:ascii="Arial" w:hAnsi="Arial" w:cs="Arial"/>
          <w:b/>
        </w:rPr>
      </w:pPr>
      <w:r w:rsidRPr="00CB5B1D">
        <w:rPr>
          <w:rFonts w:ascii="Arial" w:hAnsi="Arial" w:cs="Arial"/>
          <w:b/>
        </w:rPr>
        <w:t>More information</w:t>
      </w:r>
    </w:p>
    <w:p w14:paraId="71E2B8C2" w14:textId="77777777" w:rsidR="00CB5B1D" w:rsidRDefault="00CB5B1D" w:rsidP="00CB5B1D">
      <w:pPr>
        <w:ind w:left="-540"/>
        <w:rPr>
          <w:rFonts w:ascii="Arial" w:hAnsi="Arial" w:cs="Arial"/>
          <w:b/>
        </w:rPr>
      </w:pPr>
    </w:p>
    <w:p w14:paraId="71E2B8C3" w14:textId="77777777" w:rsidR="003D5475" w:rsidRDefault="0060712D" w:rsidP="00CB5B1D">
      <w:pPr>
        <w:ind w:left="-540"/>
        <w:rPr>
          <w:rFonts w:ascii="Arial" w:hAnsi="Arial" w:cs="Arial"/>
        </w:rPr>
      </w:pPr>
      <w:hyperlink r:id="rId9" w:history="1">
        <w:r>
          <w:rPr>
            <w:rStyle w:val="Hyperlink"/>
            <w:rFonts w:ascii="Arial" w:hAnsi="Arial" w:cs="Arial"/>
          </w:rPr>
          <w:t>wwww.consumer.vic.gov.au/</w:t>
        </w:r>
        <w:proofErr w:type="spellStart"/>
        <w:r>
          <w:rPr>
            <w:rStyle w:val="Hyperlink"/>
            <w:rFonts w:ascii="Arial" w:hAnsi="Arial" w:cs="Arial"/>
          </w:rPr>
          <w:t>fairtrading</w:t>
        </w:r>
        <w:proofErr w:type="spellEnd"/>
      </w:hyperlink>
      <w:hyperlink r:id="rId10" w:history="1"/>
    </w:p>
    <w:sectPr w:rsidR="003D5475">
      <w:headerReference w:type="default" r:id="rId11"/>
      <w:footerReference w:type="even" r:id="rId12"/>
      <w:footerReference w:type="defaul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B8C8" w14:textId="77777777" w:rsidR="0004552C" w:rsidRDefault="0004552C">
      <w:r>
        <w:separator/>
      </w:r>
    </w:p>
  </w:endnote>
  <w:endnote w:type="continuationSeparator" w:id="0">
    <w:p w14:paraId="71E2B8C9" w14:textId="77777777" w:rsidR="0004552C" w:rsidRDefault="0004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A5AA" w14:textId="77777777" w:rsidR="00E04EF8" w:rsidRDefault="00E0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B8CB" w14:textId="77777777" w:rsidR="00696DFB" w:rsidRDefault="007B60EE" w:rsidP="007A02E2">
    <w:pPr>
      <w:pStyle w:val="Footer"/>
      <w:tabs>
        <w:tab w:val="clear" w:pos="4153"/>
        <w:tab w:val="clear" w:pos="8306"/>
        <w:tab w:val="center" w:pos="6300"/>
        <w:tab w:val="right" w:pos="9540"/>
      </w:tabs>
      <w:ind w:left="-1080" w:right="-1054"/>
      <w:jc w:val="right"/>
    </w:pPr>
    <w:r>
      <w:pict w14:anchorId="71E2B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32.5pt">
          <v:imagedata r:id="rId1" o:title=""/>
        </v:shape>
      </w:pict>
    </w:r>
    <w:r w:rsidR="00696DFB">
      <w:tab/>
      <w:t xml:space="preserve">                                                                             </w:t>
    </w:r>
    <w:r>
      <w:pict w14:anchorId="71E2B8CE">
        <v:shape id="_x0000_i1027" type="#_x0000_t75" style="width:1in;height:40.5pt">
          <v:imagedata r:id="rId2"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B8BB" w14:textId="77777777" w:rsidR="00E04EF8" w:rsidRDefault="00E04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B8C6" w14:textId="77777777" w:rsidR="0004552C" w:rsidRDefault="0004552C">
      <w:r>
        <w:separator/>
      </w:r>
    </w:p>
  </w:footnote>
  <w:footnote w:type="continuationSeparator" w:id="0">
    <w:p w14:paraId="71E2B8C7" w14:textId="77777777" w:rsidR="0004552C" w:rsidRDefault="0004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B8CA" w14:textId="77777777" w:rsidR="00696DFB" w:rsidRDefault="007B60EE" w:rsidP="007A02E2">
    <w:pPr>
      <w:pStyle w:val="Header"/>
      <w:tabs>
        <w:tab w:val="clear" w:pos="8306"/>
        <w:tab w:val="right" w:pos="9360"/>
      </w:tabs>
      <w:ind w:right="-1054"/>
      <w:jc w:val="right"/>
    </w:pPr>
    <w:r>
      <w:pict w14:anchorId="71E2B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cav_logo_word.png" style="width:89.5pt;height:83.5pt;visibility:visible;mso-position-horizontal-relative:char;mso-position-vertical-relative:line" o:userdrawn="t">
          <v:imagedata r:id="rId1" o:title="cav_logo_wor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C4B"/>
    <w:multiLevelType w:val="hybridMultilevel"/>
    <w:tmpl w:val="0A92C950"/>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1" w15:restartNumberingAfterBreak="0">
    <w:nsid w:val="0CD32E09"/>
    <w:multiLevelType w:val="hybridMultilevel"/>
    <w:tmpl w:val="91B8BA24"/>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2" w15:restartNumberingAfterBreak="0">
    <w:nsid w:val="23A10D9D"/>
    <w:multiLevelType w:val="hybridMultilevel"/>
    <w:tmpl w:val="E8F462E4"/>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3" w15:restartNumberingAfterBreak="0">
    <w:nsid w:val="2507271B"/>
    <w:multiLevelType w:val="hybridMultilevel"/>
    <w:tmpl w:val="E572FDE6"/>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4" w15:restartNumberingAfterBreak="0">
    <w:nsid w:val="3DBB6E47"/>
    <w:multiLevelType w:val="hybridMultilevel"/>
    <w:tmpl w:val="58089E7E"/>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5" w15:restartNumberingAfterBreak="0">
    <w:nsid w:val="47E01C08"/>
    <w:multiLevelType w:val="hybridMultilevel"/>
    <w:tmpl w:val="4A9CBAC8"/>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6" w15:restartNumberingAfterBreak="0">
    <w:nsid w:val="589D3FF9"/>
    <w:multiLevelType w:val="hybridMultilevel"/>
    <w:tmpl w:val="CD0A8D02"/>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abstractNum w:abstractNumId="7" w15:restartNumberingAfterBreak="0">
    <w:nsid w:val="76AB5D28"/>
    <w:multiLevelType w:val="hybridMultilevel"/>
    <w:tmpl w:val="16DC499A"/>
    <w:lvl w:ilvl="0" w:tplc="0C090001">
      <w:start w:val="1"/>
      <w:numFmt w:val="bullet"/>
      <w:lvlText w:val=""/>
      <w:lvlJc w:val="left"/>
      <w:pPr>
        <w:ind w:left="180" w:hanging="360"/>
      </w:pPr>
      <w:rPr>
        <w:rFonts w:ascii="Symbol" w:hAnsi="Symbol" w:hint="default"/>
      </w:rPr>
    </w:lvl>
    <w:lvl w:ilvl="1" w:tplc="0C090003" w:tentative="1">
      <w:start w:val="1"/>
      <w:numFmt w:val="bullet"/>
      <w:lvlText w:val="o"/>
      <w:lvlJc w:val="left"/>
      <w:pPr>
        <w:ind w:left="900" w:hanging="360"/>
      </w:pPr>
      <w:rPr>
        <w:rFonts w:ascii="Courier New" w:hAnsi="Courier New" w:cs="Courier New" w:hint="default"/>
      </w:rPr>
    </w:lvl>
    <w:lvl w:ilvl="2" w:tplc="0C090005" w:tentative="1">
      <w:start w:val="1"/>
      <w:numFmt w:val="bullet"/>
      <w:lvlText w:val=""/>
      <w:lvlJc w:val="left"/>
      <w:pPr>
        <w:ind w:left="1620" w:hanging="360"/>
      </w:pPr>
      <w:rPr>
        <w:rFonts w:ascii="Wingdings" w:hAnsi="Wingdings" w:hint="default"/>
      </w:rPr>
    </w:lvl>
    <w:lvl w:ilvl="3" w:tplc="0C090001" w:tentative="1">
      <w:start w:val="1"/>
      <w:numFmt w:val="bullet"/>
      <w:lvlText w:val=""/>
      <w:lvlJc w:val="left"/>
      <w:pPr>
        <w:ind w:left="2340" w:hanging="360"/>
      </w:pPr>
      <w:rPr>
        <w:rFonts w:ascii="Symbol" w:hAnsi="Symbol" w:hint="default"/>
      </w:rPr>
    </w:lvl>
    <w:lvl w:ilvl="4" w:tplc="0C090003" w:tentative="1">
      <w:start w:val="1"/>
      <w:numFmt w:val="bullet"/>
      <w:lvlText w:val="o"/>
      <w:lvlJc w:val="left"/>
      <w:pPr>
        <w:ind w:left="3060" w:hanging="360"/>
      </w:pPr>
      <w:rPr>
        <w:rFonts w:ascii="Courier New" w:hAnsi="Courier New" w:cs="Courier New" w:hint="default"/>
      </w:rPr>
    </w:lvl>
    <w:lvl w:ilvl="5" w:tplc="0C090005" w:tentative="1">
      <w:start w:val="1"/>
      <w:numFmt w:val="bullet"/>
      <w:lvlText w:val=""/>
      <w:lvlJc w:val="left"/>
      <w:pPr>
        <w:ind w:left="3780" w:hanging="360"/>
      </w:pPr>
      <w:rPr>
        <w:rFonts w:ascii="Wingdings" w:hAnsi="Wingdings" w:hint="default"/>
      </w:rPr>
    </w:lvl>
    <w:lvl w:ilvl="6" w:tplc="0C090001" w:tentative="1">
      <w:start w:val="1"/>
      <w:numFmt w:val="bullet"/>
      <w:lvlText w:val=""/>
      <w:lvlJc w:val="left"/>
      <w:pPr>
        <w:ind w:left="4500" w:hanging="360"/>
      </w:pPr>
      <w:rPr>
        <w:rFonts w:ascii="Symbol" w:hAnsi="Symbol" w:hint="default"/>
      </w:rPr>
    </w:lvl>
    <w:lvl w:ilvl="7" w:tplc="0C090003" w:tentative="1">
      <w:start w:val="1"/>
      <w:numFmt w:val="bullet"/>
      <w:lvlText w:val="o"/>
      <w:lvlJc w:val="left"/>
      <w:pPr>
        <w:ind w:left="5220" w:hanging="360"/>
      </w:pPr>
      <w:rPr>
        <w:rFonts w:ascii="Courier New" w:hAnsi="Courier New" w:cs="Courier New" w:hint="default"/>
      </w:rPr>
    </w:lvl>
    <w:lvl w:ilvl="8" w:tplc="0C090005" w:tentative="1">
      <w:start w:val="1"/>
      <w:numFmt w:val="bullet"/>
      <w:lvlText w:val=""/>
      <w:lvlJc w:val="left"/>
      <w:pPr>
        <w:ind w:left="5940" w:hanging="360"/>
      </w:pPr>
      <w:rPr>
        <w:rFonts w:ascii="Wingdings" w:hAnsi="Wingdings" w:hint="default"/>
      </w:rPr>
    </w:lvl>
  </w:abstractNum>
  <w:num w:numId="1" w16cid:durableId="360785162">
    <w:abstractNumId w:val="7"/>
  </w:num>
  <w:num w:numId="2" w16cid:durableId="1903833724">
    <w:abstractNumId w:val="4"/>
  </w:num>
  <w:num w:numId="3" w16cid:durableId="1154757527">
    <w:abstractNumId w:val="5"/>
  </w:num>
  <w:num w:numId="4" w16cid:durableId="1332028235">
    <w:abstractNumId w:val="0"/>
  </w:num>
  <w:num w:numId="5" w16cid:durableId="1159269899">
    <w:abstractNumId w:val="1"/>
  </w:num>
  <w:num w:numId="6" w16cid:durableId="465665744">
    <w:abstractNumId w:val="6"/>
  </w:num>
  <w:num w:numId="7" w16cid:durableId="1743866677">
    <w:abstractNumId w:val="3"/>
  </w:num>
  <w:num w:numId="8" w16cid:durableId="1584756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337C"/>
    <w:rsid w:val="0004552C"/>
    <w:rsid w:val="001030A2"/>
    <w:rsid w:val="00197B96"/>
    <w:rsid w:val="001E0C89"/>
    <w:rsid w:val="00210756"/>
    <w:rsid w:val="0025627B"/>
    <w:rsid w:val="003D5475"/>
    <w:rsid w:val="003E0B7B"/>
    <w:rsid w:val="00481FB6"/>
    <w:rsid w:val="004F337C"/>
    <w:rsid w:val="0057430D"/>
    <w:rsid w:val="005933C2"/>
    <w:rsid w:val="005D2541"/>
    <w:rsid w:val="0060712D"/>
    <w:rsid w:val="006132BF"/>
    <w:rsid w:val="006966B5"/>
    <w:rsid w:val="00696DFB"/>
    <w:rsid w:val="007034E0"/>
    <w:rsid w:val="00787B5F"/>
    <w:rsid w:val="007A02E2"/>
    <w:rsid w:val="007B60EE"/>
    <w:rsid w:val="00866A54"/>
    <w:rsid w:val="008F6C08"/>
    <w:rsid w:val="00940BDB"/>
    <w:rsid w:val="00AD6ABB"/>
    <w:rsid w:val="00B2558C"/>
    <w:rsid w:val="00B563D8"/>
    <w:rsid w:val="00C042B5"/>
    <w:rsid w:val="00C10DF6"/>
    <w:rsid w:val="00CB5B1D"/>
    <w:rsid w:val="00D148BB"/>
    <w:rsid w:val="00E04EF8"/>
    <w:rsid w:val="00E866B0"/>
    <w:rsid w:val="00EA5964"/>
    <w:rsid w:val="00EE7133"/>
    <w:rsid w:val="00EF1D8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2B84A"/>
  <w15:chartTrackingRefBased/>
  <w15:docId w15:val="{215EB04F-7D36-404D-ABDC-BFEF8C35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B5B1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VTitle">
    <w:name w:val="CAV_Title"/>
    <w:qFormat/>
    <w:rsid w:val="004F337C"/>
    <w:rPr>
      <w:rFonts w:ascii="Arial" w:eastAsia="MS Gothic" w:hAnsi="Arial"/>
      <w:noProof/>
      <w:color w:val="F79646"/>
      <w:kern w:val="28"/>
      <w:sz w:val="56"/>
      <w:szCs w:val="56"/>
      <w:lang w:val="en-US" w:eastAsia="en-US"/>
    </w:rPr>
  </w:style>
  <w:style w:type="paragraph" w:customStyle="1" w:styleId="CAVSubheadA">
    <w:name w:val="CAV_Subhead_A"/>
    <w:qFormat/>
    <w:rsid w:val="004F337C"/>
    <w:pPr>
      <w:spacing w:before="100" w:line="720" w:lineRule="exact"/>
    </w:pPr>
    <w:rPr>
      <w:rFonts w:ascii="Arial" w:eastAsia="MS Mincho" w:hAnsi="Arial"/>
      <w:color w:val="FFFFFF"/>
      <w:sz w:val="56"/>
      <w:szCs w:val="56"/>
      <w:lang w:eastAsia="ja-JP"/>
    </w:rPr>
  </w:style>
  <w:style w:type="paragraph" w:styleId="Header">
    <w:name w:val="header"/>
    <w:basedOn w:val="Normal"/>
    <w:rsid w:val="007A02E2"/>
    <w:pPr>
      <w:tabs>
        <w:tab w:val="center" w:pos="4153"/>
        <w:tab w:val="right" w:pos="8306"/>
      </w:tabs>
    </w:pPr>
  </w:style>
  <w:style w:type="paragraph" w:styleId="Footer">
    <w:name w:val="footer"/>
    <w:basedOn w:val="Normal"/>
    <w:rsid w:val="007A02E2"/>
    <w:pPr>
      <w:tabs>
        <w:tab w:val="center" w:pos="4153"/>
        <w:tab w:val="right" w:pos="8306"/>
      </w:tabs>
    </w:pPr>
  </w:style>
  <w:style w:type="character" w:customStyle="1" w:styleId="Heading1Char">
    <w:name w:val="Heading 1 Char"/>
    <w:link w:val="Heading1"/>
    <w:rsid w:val="00CB5B1D"/>
    <w:rPr>
      <w:rFonts w:ascii="Arial" w:hAnsi="Arial" w:cs="Arial"/>
      <w:b/>
      <w:bCs/>
      <w:kern w:val="32"/>
      <w:sz w:val="32"/>
      <w:szCs w:val="32"/>
    </w:rPr>
  </w:style>
  <w:style w:type="character" w:styleId="Hyperlink">
    <w:name w:val="Hyperlink"/>
    <w:unhideWhenUsed/>
    <w:rsid w:val="00CB5B1D"/>
    <w:rPr>
      <w:color w:val="0000FF"/>
      <w:u w:val="single"/>
    </w:rPr>
  </w:style>
  <w:style w:type="paragraph" w:styleId="ListParagraph">
    <w:name w:val="List Paragraph"/>
    <w:basedOn w:val="Normal"/>
    <w:uiPriority w:val="34"/>
    <w:qFormat/>
    <w:rsid w:val="00CB5B1D"/>
    <w:pPr>
      <w:ind w:left="720"/>
      <w:contextualSpacing/>
    </w:pPr>
    <w:rPr>
      <w:rFonts w:ascii="Arial" w:eastAsia="MS Mincho" w:hAnsi="Arial"/>
      <w:sz w:val="22"/>
      <w:lang w:eastAsia="en-US"/>
    </w:rPr>
  </w:style>
  <w:style w:type="character" w:styleId="CommentReference">
    <w:name w:val="annotation reference"/>
    <w:uiPriority w:val="99"/>
    <w:unhideWhenUsed/>
    <w:rsid w:val="00CB5B1D"/>
    <w:rPr>
      <w:sz w:val="16"/>
      <w:szCs w:val="16"/>
    </w:rPr>
  </w:style>
  <w:style w:type="paragraph" w:styleId="CommentText">
    <w:name w:val="annotation text"/>
    <w:basedOn w:val="Normal"/>
    <w:link w:val="CommentTextChar"/>
    <w:uiPriority w:val="99"/>
    <w:unhideWhenUsed/>
    <w:rsid w:val="00CB5B1D"/>
    <w:rPr>
      <w:rFonts w:ascii="Arial" w:eastAsia="MS Mincho" w:hAnsi="Arial"/>
      <w:sz w:val="20"/>
      <w:szCs w:val="20"/>
      <w:lang w:eastAsia="en-US"/>
    </w:rPr>
  </w:style>
  <w:style w:type="character" w:customStyle="1" w:styleId="CommentTextChar">
    <w:name w:val="Comment Text Char"/>
    <w:link w:val="CommentText"/>
    <w:uiPriority w:val="99"/>
    <w:rsid w:val="00CB5B1D"/>
    <w:rPr>
      <w:rFonts w:ascii="Arial" w:eastAsia="MS Mincho" w:hAnsi="Arial"/>
      <w:lang w:eastAsia="en-US"/>
    </w:rPr>
  </w:style>
  <w:style w:type="paragraph" w:styleId="BalloonText">
    <w:name w:val="Balloon Text"/>
    <w:basedOn w:val="Normal"/>
    <w:link w:val="BalloonTextChar"/>
    <w:rsid w:val="00CB5B1D"/>
    <w:rPr>
      <w:rFonts w:ascii="Segoe UI" w:hAnsi="Segoe UI" w:cs="Segoe UI"/>
      <w:sz w:val="18"/>
      <w:szCs w:val="18"/>
    </w:rPr>
  </w:style>
  <w:style w:type="character" w:customStyle="1" w:styleId="BalloonTextChar">
    <w:name w:val="Balloon Text Char"/>
    <w:link w:val="BalloonText"/>
    <w:rsid w:val="00CB5B1D"/>
    <w:rPr>
      <w:rFonts w:ascii="Segoe UI" w:hAnsi="Segoe UI" w:cs="Segoe UI"/>
      <w:sz w:val="18"/>
      <w:szCs w:val="18"/>
    </w:rPr>
  </w:style>
  <w:style w:type="character" w:styleId="FollowedHyperlink">
    <w:name w:val="FollowedHyperlink"/>
    <w:rsid w:val="0060712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au/vet-fee-help-refor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etreform.industry.gov.a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mer.vic.gov.au/fairtrading" TargetMode="External"/><Relationship Id="rId4" Type="http://schemas.openxmlformats.org/officeDocument/2006/relationships/webSettings" Target="webSettings.xml"/><Relationship Id="rId9" Type="http://schemas.openxmlformats.org/officeDocument/2006/relationships/hyperlink" Target="http://www.consumer.vic.gov.au/fairtrading"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Dept. of Justice Victoria</Company>
  <LinksUpToDate>false</LinksUpToDate>
  <CharactersWithSpaces>6624</CharactersWithSpaces>
  <SharedDoc>false</SharedDoc>
  <HLinks>
    <vt:vector size="24" baseType="variant">
      <vt:variant>
        <vt:i4>8323186</vt:i4>
      </vt:variant>
      <vt:variant>
        <vt:i4>9</vt:i4>
      </vt:variant>
      <vt:variant>
        <vt:i4>0</vt:i4>
      </vt:variant>
      <vt:variant>
        <vt:i4>5</vt:i4>
      </vt:variant>
      <vt:variant>
        <vt:lpwstr>http://www.consumer.vic.gov.au/fairtrading</vt:lpwstr>
      </vt:variant>
      <vt:variant>
        <vt:lpwstr/>
      </vt:variant>
      <vt:variant>
        <vt:i4>8323186</vt:i4>
      </vt:variant>
      <vt:variant>
        <vt:i4>6</vt:i4>
      </vt:variant>
      <vt:variant>
        <vt:i4>0</vt:i4>
      </vt:variant>
      <vt:variant>
        <vt:i4>5</vt:i4>
      </vt:variant>
      <vt:variant>
        <vt:lpwstr>http://www.consumer.vic.gov.au/fairtrading</vt:lpwstr>
      </vt:variant>
      <vt:variant>
        <vt:lpwstr/>
      </vt:variant>
      <vt:variant>
        <vt:i4>131097</vt:i4>
      </vt:variant>
      <vt:variant>
        <vt:i4>3</vt:i4>
      </vt:variant>
      <vt:variant>
        <vt:i4>0</vt:i4>
      </vt:variant>
      <vt:variant>
        <vt:i4>5</vt:i4>
      </vt:variant>
      <vt:variant>
        <vt:lpwstr>http://www.education.gov.au/vet-fee-help-reforms</vt:lpwstr>
      </vt:variant>
      <vt:variant>
        <vt:lpwstr/>
      </vt:variant>
      <vt:variant>
        <vt:i4>5767195</vt:i4>
      </vt:variant>
      <vt:variant>
        <vt:i4>0</vt:i4>
      </vt:variant>
      <vt:variant>
        <vt:i4>0</vt:i4>
      </vt:variant>
      <vt:variant>
        <vt:i4>5</vt:i4>
      </vt:variant>
      <vt:variant>
        <vt:lpwstr>http://www.vetreform.industry.gov.au/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dc:description/>
  <cp:lastModifiedBy>David M Darragh (DGS)</cp:lastModifiedBy>
  <cp:revision>2</cp:revision>
  <cp:lastPrinted>2015-09-10T00:09:00Z</cp:lastPrinted>
  <dcterms:created xsi:type="dcterms:W3CDTF">2026-04-21T23:50:00Z</dcterms:created>
  <dcterms:modified xsi:type="dcterms:W3CDTF">2026-04-21T23:50:00Z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CD/15/389674*</vt:lpwstr>
  </property>
  <property fmtid="{D5CDD505-2E9C-101B-9397-08002B2CF9AE}" pid="3" name="TRIM_DateDue">
    <vt:lpwstr> </vt:lpwstr>
  </property>
  <property fmtid="{D5CDD505-2E9C-101B-9397-08002B2CF9AE}" pid="4" name="TRIM_Author">
    <vt:lpwstr>KATSIERIS, Mike</vt:lpwstr>
  </property>
  <property fmtid="{D5CDD505-2E9C-101B-9397-08002B2CF9AE}" pid="5" name="TRIM_Container">
    <vt:lpwstr>DG/15/10023</vt:lpwstr>
  </property>
  <property fmtid="{D5CDD505-2E9C-101B-9397-08002B2CF9AE}" pid="6" name="TRIM_Creator">
    <vt:lpwstr>KATSIERIS, Mike</vt:lpwstr>
  </property>
  <property fmtid="{D5CDD505-2E9C-101B-9397-08002B2CF9AE}" pid="7" name="TRIM_DateRegistered">
    <vt:lpwstr>31 August, 2015</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Fact Sheet - Education providers August 2015 v.2</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2026-04-21T23:50:23Z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fd0ff236-f467-4fbe-8aa0-6934932155ac</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