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50966" w14:textId="109F631F" w:rsidR="0047337F" w:rsidRPr="0047337F" w:rsidRDefault="001E6E4C" w:rsidP="0047337F">
      <w:pPr>
        <w:pStyle w:val="Title"/>
        <w:rPr>
          <w:rFonts w:ascii="Arial" w:hAnsi="Arial" w:cs="Arial"/>
          <w:sz w:val="52"/>
          <w:szCs w:val="52"/>
        </w:rPr>
      </w:pPr>
      <w:r w:rsidRPr="0047337F">
        <w:rPr>
          <w:rFonts w:ascii="Arial" w:hAnsi="Arial" w:cs="Arial"/>
          <w:sz w:val="52"/>
          <w:szCs w:val="52"/>
        </w:rPr>
        <w:t xml:space="preserve">Consumer </w:t>
      </w:r>
      <w:r>
        <w:rPr>
          <w:rFonts w:ascii="Arial" w:hAnsi="Arial" w:cs="Arial"/>
          <w:sz w:val="52"/>
          <w:szCs w:val="52"/>
        </w:rPr>
        <w:t>A</w:t>
      </w:r>
      <w:r w:rsidRPr="0047337F">
        <w:rPr>
          <w:rFonts w:ascii="Arial" w:hAnsi="Arial" w:cs="Arial"/>
          <w:sz w:val="52"/>
          <w:szCs w:val="52"/>
        </w:rPr>
        <w:t xml:space="preserve">ffairs </w:t>
      </w:r>
      <w:r>
        <w:rPr>
          <w:rFonts w:ascii="Arial" w:hAnsi="Arial" w:cs="Arial"/>
          <w:sz w:val="52"/>
          <w:szCs w:val="52"/>
        </w:rPr>
        <w:t>V</w:t>
      </w:r>
      <w:r w:rsidRPr="0047337F">
        <w:rPr>
          <w:rFonts w:ascii="Arial" w:hAnsi="Arial" w:cs="Arial"/>
          <w:sz w:val="52"/>
          <w:szCs w:val="52"/>
        </w:rPr>
        <w:t xml:space="preserve">ictoria  </w:t>
      </w:r>
    </w:p>
    <w:p w14:paraId="22B64BDF" w14:textId="3A5641A6" w:rsidR="0047337F" w:rsidRPr="0047337F" w:rsidRDefault="001E6E4C" w:rsidP="0047337F">
      <w:pPr>
        <w:pStyle w:val="Title"/>
        <w:rPr>
          <w:rFonts w:ascii="Arial" w:hAnsi="Arial" w:cs="Arial"/>
          <w:sz w:val="52"/>
          <w:szCs w:val="52"/>
        </w:rPr>
      </w:pPr>
      <w:r w:rsidRPr="0047337F">
        <w:rPr>
          <w:rFonts w:ascii="Arial" w:hAnsi="Arial" w:cs="Arial"/>
          <w:sz w:val="52"/>
          <w:szCs w:val="52"/>
        </w:rPr>
        <w:t xml:space="preserve">Guidelines for </w:t>
      </w:r>
      <w:r>
        <w:rPr>
          <w:rFonts w:ascii="Arial" w:hAnsi="Arial" w:cs="Arial"/>
          <w:sz w:val="52"/>
          <w:szCs w:val="52"/>
        </w:rPr>
        <w:t>C</w:t>
      </w:r>
      <w:r w:rsidRPr="0047337F">
        <w:rPr>
          <w:rFonts w:ascii="Arial" w:hAnsi="Arial" w:cs="Arial"/>
          <w:sz w:val="52"/>
          <w:szCs w:val="52"/>
        </w:rPr>
        <w:t xml:space="preserve">riminal </w:t>
      </w:r>
      <w:r>
        <w:rPr>
          <w:rFonts w:ascii="Arial" w:hAnsi="Arial" w:cs="Arial"/>
          <w:sz w:val="52"/>
          <w:szCs w:val="52"/>
        </w:rPr>
        <w:t>P</w:t>
      </w:r>
      <w:r w:rsidRPr="0047337F">
        <w:rPr>
          <w:rFonts w:ascii="Arial" w:hAnsi="Arial" w:cs="Arial"/>
          <w:sz w:val="52"/>
          <w:szCs w:val="52"/>
        </w:rPr>
        <w:t>rosecutions</w:t>
      </w:r>
    </w:p>
    <w:p w14:paraId="46897E3B" w14:textId="77777777" w:rsidR="0047337F" w:rsidRPr="00093B36" w:rsidRDefault="0047337F" w:rsidP="0062164D">
      <w:pPr>
        <w:pStyle w:val="CAVheading1"/>
      </w:pPr>
    </w:p>
    <w:p w14:paraId="23BC7D92" w14:textId="77777777" w:rsidR="0095450B" w:rsidRPr="0073112D" w:rsidRDefault="0095450B" w:rsidP="0073112D">
      <w:pPr>
        <w:pStyle w:val="CAVsub-heading2"/>
      </w:pPr>
      <w:r>
        <w:br w:type="page"/>
      </w:r>
    </w:p>
    <w:sdt>
      <w:sdtPr>
        <w:id w:val="2090646448"/>
        <w:docPartObj>
          <w:docPartGallery w:val="Table of Contents"/>
          <w:docPartUnique/>
        </w:docPartObj>
      </w:sdtPr>
      <w:sdtEndPr>
        <w:rPr>
          <w:b/>
          <w:bCs/>
          <w:noProof/>
        </w:rPr>
      </w:sdtEndPr>
      <w:sdtContent>
        <w:p w14:paraId="5AAD90A9" w14:textId="2C9BEE44" w:rsidR="008B566E" w:rsidRPr="008B566E" w:rsidRDefault="008B566E" w:rsidP="008B566E">
          <w:pPr>
            <w:rPr>
              <w:rStyle w:val="Heading1Char"/>
            </w:rPr>
          </w:pPr>
          <w:r w:rsidRPr="008B566E">
            <w:rPr>
              <w:rStyle w:val="Heading1Char"/>
            </w:rPr>
            <w:t>Contents</w:t>
          </w:r>
        </w:p>
        <w:p w14:paraId="7E49BFA1" w14:textId="57491A36" w:rsidR="00641DB8" w:rsidRDefault="008B566E">
          <w:pPr>
            <w:pStyle w:val="TOC1"/>
            <w:tabs>
              <w:tab w:val="right" w:leader="dot" w:pos="9010"/>
            </w:tabs>
            <w:rPr>
              <w:rFonts w:asciiTheme="minorHAnsi" w:hAnsiTheme="minorHAnsi"/>
              <w:noProof/>
              <w:szCs w:val="22"/>
              <w:lang w:val="en-AU" w:eastAsia="en-AU"/>
            </w:rPr>
          </w:pPr>
          <w:r>
            <w:fldChar w:fldCharType="begin"/>
          </w:r>
          <w:r>
            <w:instrText xml:space="preserve"> TOC \o "1-3" \h \z \u </w:instrText>
          </w:r>
          <w:r>
            <w:fldChar w:fldCharType="separate"/>
          </w:r>
          <w:hyperlink w:anchor="_Toc14170686" w:history="1">
            <w:r w:rsidR="00641DB8" w:rsidRPr="00CA1E37">
              <w:rPr>
                <w:rStyle w:val="Hyperlink"/>
                <w:noProof/>
              </w:rPr>
              <w:t>Introduction</w:t>
            </w:r>
            <w:r w:rsidR="00641DB8">
              <w:rPr>
                <w:noProof/>
                <w:webHidden/>
              </w:rPr>
              <w:tab/>
            </w:r>
            <w:r w:rsidR="00641DB8">
              <w:rPr>
                <w:noProof/>
                <w:webHidden/>
              </w:rPr>
              <w:fldChar w:fldCharType="begin"/>
            </w:r>
            <w:r w:rsidR="00641DB8">
              <w:rPr>
                <w:noProof/>
                <w:webHidden/>
              </w:rPr>
              <w:instrText xml:space="preserve"> PAGEREF _Toc14170686 \h </w:instrText>
            </w:r>
            <w:r w:rsidR="00641DB8">
              <w:rPr>
                <w:noProof/>
                <w:webHidden/>
              </w:rPr>
            </w:r>
            <w:r w:rsidR="00641DB8">
              <w:rPr>
                <w:noProof/>
                <w:webHidden/>
              </w:rPr>
              <w:fldChar w:fldCharType="separate"/>
            </w:r>
            <w:r w:rsidR="00240715">
              <w:rPr>
                <w:noProof/>
                <w:webHidden/>
              </w:rPr>
              <w:t>3</w:t>
            </w:r>
            <w:r w:rsidR="00641DB8">
              <w:rPr>
                <w:noProof/>
                <w:webHidden/>
              </w:rPr>
              <w:fldChar w:fldCharType="end"/>
            </w:r>
          </w:hyperlink>
        </w:p>
        <w:p w14:paraId="6E4971B5" w14:textId="3B070670" w:rsidR="00641DB8" w:rsidRDefault="00396025">
          <w:pPr>
            <w:pStyle w:val="TOC1"/>
            <w:tabs>
              <w:tab w:val="left" w:pos="440"/>
              <w:tab w:val="right" w:leader="dot" w:pos="9010"/>
            </w:tabs>
            <w:rPr>
              <w:rFonts w:asciiTheme="minorHAnsi" w:hAnsiTheme="minorHAnsi"/>
              <w:noProof/>
              <w:szCs w:val="22"/>
              <w:lang w:val="en-AU" w:eastAsia="en-AU"/>
            </w:rPr>
          </w:pPr>
          <w:hyperlink w:anchor="_Toc14170687" w:history="1">
            <w:r w:rsidR="00641DB8" w:rsidRPr="00CA1E37">
              <w:rPr>
                <w:rStyle w:val="Hyperlink"/>
                <w:noProof/>
              </w:rPr>
              <w:t>1.</w:t>
            </w:r>
            <w:r w:rsidR="00641DB8">
              <w:rPr>
                <w:rFonts w:asciiTheme="minorHAnsi" w:hAnsiTheme="minorHAnsi"/>
                <w:noProof/>
                <w:szCs w:val="22"/>
                <w:lang w:val="en-AU" w:eastAsia="en-AU"/>
              </w:rPr>
              <w:tab/>
            </w:r>
            <w:r w:rsidR="00641DB8" w:rsidRPr="00CA1E37">
              <w:rPr>
                <w:rStyle w:val="Hyperlink"/>
                <w:noProof/>
              </w:rPr>
              <w:t>Prosecutorial discretion</w:t>
            </w:r>
            <w:r w:rsidR="00641DB8">
              <w:rPr>
                <w:noProof/>
                <w:webHidden/>
              </w:rPr>
              <w:tab/>
            </w:r>
            <w:r w:rsidR="00641DB8">
              <w:rPr>
                <w:noProof/>
                <w:webHidden/>
              </w:rPr>
              <w:fldChar w:fldCharType="begin"/>
            </w:r>
            <w:r w:rsidR="00641DB8">
              <w:rPr>
                <w:noProof/>
                <w:webHidden/>
              </w:rPr>
              <w:instrText xml:space="preserve"> PAGEREF _Toc14170687 \h </w:instrText>
            </w:r>
            <w:r w:rsidR="00641DB8">
              <w:rPr>
                <w:noProof/>
                <w:webHidden/>
              </w:rPr>
            </w:r>
            <w:r w:rsidR="00641DB8">
              <w:rPr>
                <w:noProof/>
                <w:webHidden/>
              </w:rPr>
              <w:fldChar w:fldCharType="separate"/>
            </w:r>
            <w:r w:rsidR="00240715">
              <w:rPr>
                <w:noProof/>
                <w:webHidden/>
              </w:rPr>
              <w:t>4</w:t>
            </w:r>
            <w:r w:rsidR="00641DB8">
              <w:rPr>
                <w:noProof/>
                <w:webHidden/>
              </w:rPr>
              <w:fldChar w:fldCharType="end"/>
            </w:r>
          </w:hyperlink>
        </w:p>
        <w:p w14:paraId="129C0E17" w14:textId="59D79FC3" w:rsidR="00641DB8" w:rsidRDefault="00396025">
          <w:pPr>
            <w:pStyle w:val="TOC2"/>
            <w:tabs>
              <w:tab w:val="right" w:leader="dot" w:pos="9010"/>
            </w:tabs>
            <w:rPr>
              <w:rFonts w:asciiTheme="minorHAnsi" w:hAnsiTheme="minorHAnsi"/>
              <w:noProof/>
              <w:szCs w:val="22"/>
              <w:lang w:val="en-AU" w:eastAsia="en-AU"/>
            </w:rPr>
          </w:pPr>
          <w:hyperlink w:anchor="_Toc14170688" w:history="1">
            <w:r w:rsidR="00641DB8" w:rsidRPr="00CA1E37">
              <w:rPr>
                <w:rStyle w:val="Hyperlink"/>
                <w:noProof/>
              </w:rPr>
              <w:t>1.1 A reasonable prospect of conviction</w:t>
            </w:r>
            <w:r w:rsidR="00641DB8">
              <w:rPr>
                <w:noProof/>
                <w:webHidden/>
              </w:rPr>
              <w:tab/>
            </w:r>
            <w:r w:rsidR="00641DB8">
              <w:rPr>
                <w:noProof/>
                <w:webHidden/>
              </w:rPr>
              <w:fldChar w:fldCharType="begin"/>
            </w:r>
            <w:r w:rsidR="00641DB8">
              <w:rPr>
                <w:noProof/>
                <w:webHidden/>
              </w:rPr>
              <w:instrText xml:space="preserve"> PAGEREF _Toc14170688 \h </w:instrText>
            </w:r>
            <w:r w:rsidR="00641DB8">
              <w:rPr>
                <w:noProof/>
                <w:webHidden/>
              </w:rPr>
            </w:r>
            <w:r w:rsidR="00641DB8">
              <w:rPr>
                <w:noProof/>
                <w:webHidden/>
              </w:rPr>
              <w:fldChar w:fldCharType="separate"/>
            </w:r>
            <w:r w:rsidR="00240715">
              <w:rPr>
                <w:noProof/>
                <w:webHidden/>
              </w:rPr>
              <w:t>4</w:t>
            </w:r>
            <w:r w:rsidR="00641DB8">
              <w:rPr>
                <w:noProof/>
                <w:webHidden/>
              </w:rPr>
              <w:fldChar w:fldCharType="end"/>
            </w:r>
          </w:hyperlink>
        </w:p>
        <w:p w14:paraId="07D53A09" w14:textId="145CDF4A" w:rsidR="00641DB8" w:rsidRDefault="00396025">
          <w:pPr>
            <w:pStyle w:val="TOC2"/>
            <w:tabs>
              <w:tab w:val="left" w:pos="880"/>
              <w:tab w:val="right" w:leader="dot" w:pos="9010"/>
            </w:tabs>
            <w:rPr>
              <w:rFonts w:asciiTheme="minorHAnsi" w:hAnsiTheme="minorHAnsi"/>
              <w:noProof/>
              <w:szCs w:val="22"/>
              <w:lang w:val="en-AU" w:eastAsia="en-AU"/>
            </w:rPr>
          </w:pPr>
          <w:hyperlink w:anchor="_Toc14170689" w:history="1">
            <w:r w:rsidR="00641DB8" w:rsidRPr="00CA1E37">
              <w:rPr>
                <w:rStyle w:val="Hyperlink"/>
                <w:noProof/>
              </w:rPr>
              <w:t xml:space="preserve">1.2 </w:t>
            </w:r>
            <w:r w:rsidR="00641DB8">
              <w:rPr>
                <w:rFonts w:asciiTheme="minorHAnsi" w:hAnsiTheme="minorHAnsi"/>
                <w:noProof/>
                <w:szCs w:val="22"/>
                <w:lang w:val="en-AU" w:eastAsia="en-AU"/>
              </w:rPr>
              <w:tab/>
            </w:r>
            <w:r w:rsidR="00641DB8" w:rsidRPr="00CA1E37">
              <w:rPr>
                <w:rStyle w:val="Hyperlink"/>
                <w:noProof/>
              </w:rPr>
              <w:t>Public interest</w:t>
            </w:r>
            <w:r w:rsidR="00641DB8">
              <w:rPr>
                <w:noProof/>
                <w:webHidden/>
              </w:rPr>
              <w:tab/>
            </w:r>
            <w:r w:rsidR="00641DB8">
              <w:rPr>
                <w:noProof/>
                <w:webHidden/>
              </w:rPr>
              <w:fldChar w:fldCharType="begin"/>
            </w:r>
            <w:r w:rsidR="00641DB8">
              <w:rPr>
                <w:noProof/>
                <w:webHidden/>
              </w:rPr>
              <w:instrText xml:space="preserve"> PAGEREF _Toc14170689 \h </w:instrText>
            </w:r>
            <w:r w:rsidR="00641DB8">
              <w:rPr>
                <w:noProof/>
                <w:webHidden/>
              </w:rPr>
            </w:r>
            <w:r w:rsidR="00641DB8">
              <w:rPr>
                <w:noProof/>
                <w:webHidden/>
              </w:rPr>
              <w:fldChar w:fldCharType="separate"/>
            </w:r>
            <w:r w:rsidR="00240715">
              <w:rPr>
                <w:noProof/>
                <w:webHidden/>
              </w:rPr>
              <w:t>5</w:t>
            </w:r>
            <w:r w:rsidR="00641DB8">
              <w:rPr>
                <w:noProof/>
                <w:webHidden/>
              </w:rPr>
              <w:fldChar w:fldCharType="end"/>
            </w:r>
          </w:hyperlink>
        </w:p>
        <w:p w14:paraId="1A202F28" w14:textId="6C375256" w:rsidR="00641DB8" w:rsidRDefault="00396025">
          <w:pPr>
            <w:pStyle w:val="TOC2"/>
            <w:tabs>
              <w:tab w:val="left" w:pos="880"/>
              <w:tab w:val="right" w:leader="dot" w:pos="9010"/>
            </w:tabs>
            <w:rPr>
              <w:rFonts w:asciiTheme="minorHAnsi" w:hAnsiTheme="minorHAnsi"/>
              <w:noProof/>
              <w:szCs w:val="22"/>
              <w:lang w:val="en-AU" w:eastAsia="en-AU"/>
            </w:rPr>
          </w:pPr>
          <w:hyperlink w:anchor="_Toc14170690" w:history="1">
            <w:r w:rsidR="00641DB8" w:rsidRPr="00CA1E37">
              <w:rPr>
                <w:rStyle w:val="Hyperlink"/>
                <w:noProof/>
              </w:rPr>
              <w:t>1.3</w:t>
            </w:r>
            <w:r w:rsidR="00641DB8">
              <w:rPr>
                <w:rFonts w:asciiTheme="minorHAnsi" w:hAnsiTheme="minorHAnsi"/>
                <w:noProof/>
                <w:szCs w:val="22"/>
                <w:lang w:val="en-AU" w:eastAsia="en-AU"/>
              </w:rPr>
              <w:tab/>
            </w:r>
            <w:r w:rsidR="00641DB8" w:rsidRPr="00CA1E37">
              <w:rPr>
                <w:rStyle w:val="Hyperlink"/>
                <w:noProof/>
              </w:rPr>
              <w:t xml:space="preserve"> Consultation with the Director of Public Prosecutions</w:t>
            </w:r>
            <w:r w:rsidR="00641DB8">
              <w:rPr>
                <w:noProof/>
                <w:webHidden/>
              </w:rPr>
              <w:tab/>
            </w:r>
            <w:r w:rsidR="00641DB8">
              <w:rPr>
                <w:noProof/>
                <w:webHidden/>
              </w:rPr>
              <w:fldChar w:fldCharType="begin"/>
            </w:r>
            <w:r w:rsidR="00641DB8">
              <w:rPr>
                <w:noProof/>
                <w:webHidden/>
              </w:rPr>
              <w:instrText xml:space="preserve"> PAGEREF _Toc14170690 \h </w:instrText>
            </w:r>
            <w:r w:rsidR="00641DB8">
              <w:rPr>
                <w:noProof/>
                <w:webHidden/>
              </w:rPr>
            </w:r>
            <w:r w:rsidR="00641DB8">
              <w:rPr>
                <w:noProof/>
                <w:webHidden/>
              </w:rPr>
              <w:fldChar w:fldCharType="separate"/>
            </w:r>
            <w:r w:rsidR="00240715">
              <w:rPr>
                <w:noProof/>
                <w:webHidden/>
              </w:rPr>
              <w:t>6</w:t>
            </w:r>
            <w:r w:rsidR="00641DB8">
              <w:rPr>
                <w:noProof/>
                <w:webHidden/>
              </w:rPr>
              <w:fldChar w:fldCharType="end"/>
            </w:r>
          </w:hyperlink>
        </w:p>
        <w:p w14:paraId="5FBDDABC" w14:textId="47E8E378" w:rsidR="00641DB8" w:rsidRDefault="00396025">
          <w:pPr>
            <w:pStyle w:val="TOC2"/>
            <w:tabs>
              <w:tab w:val="left" w:pos="880"/>
              <w:tab w:val="right" w:leader="dot" w:pos="9010"/>
            </w:tabs>
            <w:rPr>
              <w:rFonts w:asciiTheme="minorHAnsi" w:hAnsiTheme="minorHAnsi"/>
              <w:noProof/>
              <w:szCs w:val="22"/>
              <w:lang w:val="en-AU" w:eastAsia="en-AU"/>
            </w:rPr>
          </w:pPr>
          <w:hyperlink w:anchor="_Toc14170691" w:history="1">
            <w:r w:rsidR="00641DB8" w:rsidRPr="00CA1E37">
              <w:rPr>
                <w:rStyle w:val="Hyperlink"/>
                <w:noProof/>
              </w:rPr>
              <w:t>1.4</w:t>
            </w:r>
            <w:r w:rsidR="00641DB8">
              <w:rPr>
                <w:rFonts w:asciiTheme="minorHAnsi" w:hAnsiTheme="minorHAnsi"/>
                <w:noProof/>
                <w:szCs w:val="22"/>
                <w:lang w:val="en-AU" w:eastAsia="en-AU"/>
              </w:rPr>
              <w:tab/>
            </w:r>
            <w:r w:rsidR="00641DB8" w:rsidRPr="00CA1E37">
              <w:rPr>
                <w:rStyle w:val="Hyperlink"/>
                <w:noProof/>
              </w:rPr>
              <w:t>Consent of the Director of Public Prosecutions</w:t>
            </w:r>
            <w:r w:rsidR="00641DB8">
              <w:rPr>
                <w:noProof/>
                <w:webHidden/>
              </w:rPr>
              <w:tab/>
            </w:r>
            <w:r w:rsidR="00641DB8">
              <w:rPr>
                <w:noProof/>
                <w:webHidden/>
              </w:rPr>
              <w:fldChar w:fldCharType="begin"/>
            </w:r>
            <w:r w:rsidR="00641DB8">
              <w:rPr>
                <w:noProof/>
                <w:webHidden/>
              </w:rPr>
              <w:instrText xml:space="preserve"> PAGEREF _Toc14170691 \h </w:instrText>
            </w:r>
            <w:r w:rsidR="00641DB8">
              <w:rPr>
                <w:noProof/>
                <w:webHidden/>
              </w:rPr>
            </w:r>
            <w:r w:rsidR="00641DB8">
              <w:rPr>
                <w:noProof/>
                <w:webHidden/>
              </w:rPr>
              <w:fldChar w:fldCharType="separate"/>
            </w:r>
            <w:r w:rsidR="00240715">
              <w:rPr>
                <w:noProof/>
                <w:webHidden/>
              </w:rPr>
              <w:t>6</w:t>
            </w:r>
            <w:r w:rsidR="00641DB8">
              <w:rPr>
                <w:noProof/>
                <w:webHidden/>
              </w:rPr>
              <w:fldChar w:fldCharType="end"/>
            </w:r>
          </w:hyperlink>
        </w:p>
        <w:p w14:paraId="117D49E6" w14:textId="4B96AD8A" w:rsidR="00641DB8" w:rsidRDefault="00396025">
          <w:pPr>
            <w:pStyle w:val="TOC1"/>
            <w:tabs>
              <w:tab w:val="left" w:pos="440"/>
              <w:tab w:val="right" w:leader="dot" w:pos="9010"/>
            </w:tabs>
            <w:rPr>
              <w:rFonts w:asciiTheme="minorHAnsi" w:hAnsiTheme="minorHAnsi"/>
              <w:noProof/>
              <w:szCs w:val="22"/>
              <w:lang w:val="en-AU" w:eastAsia="en-AU"/>
            </w:rPr>
          </w:pPr>
          <w:hyperlink w:anchor="_Toc14170692" w:history="1">
            <w:r w:rsidR="00641DB8" w:rsidRPr="00CA1E37">
              <w:rPr>
                <w:rStyle w:val="Hyperlink"/>
                <w:noProof/>
              </w:rPr>
              <w:t>2.</w:t>
            </w:r>
            <w:r w:rsidR="00641DB8">
              <w:rPr>
                <w:rFonts w:asciiTheme="minorHAnsi" w:hAnsiTheme="minorHAnsi"/>
                <w:noProof/>
                <w:szCs w:val="22"/>
                <w:lang w:val="en-AU" w:eastAsia="en-AU"/>
              </w:rPr>
              <w:tab/>
            </w:r>
            <w:r w:rsidR="00641DB8" w:rsidRPr="00CA1E37">
              <w:rPr>
                <w:rStyle w:val="Hyperlink"/>
                <w:noProof/>
              </w:rPr>
              <w:t>Prosecutorial ethics – obligations and duties</w:t>
            </w:r>
            <w:r w:rsidR="00641DB8">
              <w:rPr>
                <w:noProof/>
                <w:webHidden/>
              </w:rPr>
              <w:tab/>
            </w:r>
            <w:r w:rsidR="00641DB8">
              <w:rPr>
                <w:noProof/>
                <w:webHidden/>
              </w:rPr>
              <w:fldChar w:fldCharType="begin"/>
            </w:r>
            <w:r w:rsidR="00641DB8">
              <w:rPr>
                <w:noProof/>
                <w:webHidden/>
              </w:rPr>
              <w:instrText xml:space="preserve"> PAGEREF _Toc14170692 \h </w:instrText>
            </w:r>
            <w:r w:rsidR="00641DB8">
              <w:rPr>
                <w:noProof/>
                <w:webHidden/>
              </w:rPr>
            </w:r>
            <w:r w:rsidR="00641DB8">
              <w:rPr>
                <w:noProof/>
                <w:webHidden/>
              </w:rPr>
              <w:fldChar w:fldCharType="separate"/>
            </w:r>
            <w:r w:rsidR="00240715">
              <w:rPr>
                <w:noProof/>
                <w:webHidden/>
              </w:rPr>
              <w:t>7</w:t>
            </w:r>
            <w:r w:rsidR="00641DB8">
              <w:rPr>
                <w:noProof/>
                <w:webHidden/>
              </w:rPr>
              <w:fldChar w:fldCharType="end"/>
            </w:r>
          </w:hyperlink>
        </w:p>
        <w:p w14:paraId="0E88A9BD" w14:textId="1A2365A0" w:rsidR="00641DB8" w:rsidRDefault="00396025">
          <w:pPr>
            <w:pStyle w:val="TOC1"/>
            <w:tabs>
              <w:tab w:val="left" w:pos="440"/>
              <w:tab w:val="right" w:leader="dot" w:pos="9010"/>
            </w:tabs>
            <w:rPr>
              <w:rFonts w:asciiTheme="minorHAnsi" w:hAnsiTheme="minorHAnsi"/>
              <w:noProof/>
              <w:szCs w:val="22"/>
              <w:lang w:val="en-AU" w:eastAsia="en-AU"/>
            </w:rPr>
          </w:pPr>
          <w:hyperlink w:anchor="_Toc14170693" w:history="1">
            <w:r w:rsidR="00641DB8" w:rsidRPr="00CA1E37">
              <w:rPr>
                <w:rStyle w:val="Hyperlink"/>
                <w:noProof/>
              </w:rPr>
              <w:t>3</w:t>
            </w:r>
            <w:r w:rsidR="00641DB8">
              <w:rPr>
                <w:rFonts w:asciiTheme="minorHAnsi" w:hAnsiTheme="minorHAnsi"/>
                <w:noProof/>
                <w:szCs w:val="22"/>
                <w:lang w:val="en-AU" w:eastAsia="en-AU"/>
              </w:rPr>
              <w:tab/>
            </w:r>
            <w:r w:rsidR="00641DB8" w:rsidRPr="00CA1E37">
              <w:rPr>
                <w:rStyle w:val="Hyperlink"/>
                <w:noProof/>
              </w:rPr>
              <w:t>Victims and persons adversely affected by crime</w:t>
            </w:r>
            <w:r w:rsidR="00641DB8">
              <w:rPr>
                <w:noProof/>
                <w:webHidden/>
              </w:rPr>
              <w:tab/>
            </w:r>
            <w:r w:rsidR="00641DB8">
              <w:rPr>
                <w:noProof/>
                <w:webHidden/>
              </w:rPr>
              <w:fldChar w:fldCharType="begin"/>
            </w:r>
            <w:r w:rsidR="00641DB8">
              <w:rPr>
                <w:noProof/>
                <w:webHidden/>
              </w:rPr>
              <w:instrText xml:space="preserve"> PAGEREF _Toc14170693 \h </w:instrText>
            </w:r>
            <w:r w:rsidR="00641DB8">
              <w:rPr>
                <w:noProof/>
                <w:webHidden/>
              </w:rPr>
            </w:r>
            <w:r w:rsidR="00641DB8">
              <w:rPr>
                <w:noProof/>
                <w:webHidden/>
              </w:rPr>
              <w:fldChar w:fldCharType="separate"/>
            </w:r>
            <w:r w:rsidR="00240715">
              <w:rPr>
                <w:noProof/>
                <w:webHidden/>
              </w:rPr>
              <w:t>8</w:t>
            </w:r>
            <w:r w:rsidR="00641DB8">
              <w:rPr>
                <w:noProof/>
                <w:webHidden/>
              </w:rPr>
              <w:fldChar w:fldCharType="end"/>
            </w:r>
          </w:hyperlink>
        </w:p>
        <w:p w14:paraId="2BE47F71" w14:textId="6ADF12DB" w:rsidR="00641DB8" w:rsidRDefault="00396025">
          <w:pPr>
            <w:pStyle w:val="TOC2"/>
            <w:tabs>
              <w:tab w:val="left" w:pos="880"/>
              <w:tab w:val="right" w:leader="dot" w:pos="9010"/>
            </w:tabs>
            <w:rPr>
              <w:rFonts w:asciiTheme="minorHAnsi" w:hAnsiTheme="minorHAnsi"/>
              <w:noProof/>
              <w:szCs w:val="22"/>
              <w:lang w:val="en-AU" w:eastAsia="en-AU"/>
            </w:rPr>
          </w:pPr>
          <w:hyperlink w:anchor="_Toc14170694" w:history="1">
            <w:r w:rsidR="00641DB8" w:rsidRPr="00CA1E37">
              <w:rPr>
                <w:rStyle w:val="Hyperlink"/>
                <w:noProof/>
              </w:rPr>
              <w:t xml:space="preserve">3.1 </w:t>
            </w:r>
            <w:r w:rsidR="00641DB8">
              <w:rPr>
                <w:rFonts w:asciiTheme="minorHAnsi" w:hAnsiTheme="minorHAnsi"/>
                <w:noProof/>
                <w:szCs w:val="22"/>
                <w:lang w:val="en-AU" w:eastAsia="en-AU"/>
              </w:rPr>
              <w:tab/>
            </w:r>
            <w:r w:rsidR="00641DB8" w:rsidRPr="00CA1E37">
              <w:rPr>
                <w:rStyle w:val="Hyperlink"/>
                <w:noProof/>
              </w:rPr>
              <w:t>Keeping victims informed</w:t>
            </w:r>
            <w:r w:rsidR="00641DB8">
              <w:rPr>
                <w:noProof/>
                <w:webHidden/>
              </w:rPr>
              <w:tab/>
            </w:r>
            <w:r w:rsidR="00641DB8">
              <w:rPr>
                <w:noProof/>
                <w:webHidden/>
              </w:rPr>
              <w:fldChar w:fldCharType="begin"/>
            </w:r>
            <w:r w:rsidR="00641DB8">
              <w:rPr>
                <w:noProof/>
                <w:webHidden/>
              </w:rPr>
              <w:instrText xml:space="preserve"> PAGEREF _Toc14170694 \h </w:instrText>
            </w:r>
            <w:r w:rsidR="00641DB8">
              <w:rPr>
                <w:noProof/>
                <w:webHidden/>
              </w:rPr>
            </w:r>
            <w:r w:rsidR="00641DB8">
              <w:rPr>
                <w:noProof/>
                <w:webHidden/>
              </w:rPr>
              <w:fldChar w:fldCharType="separate"/>
            </w:r>
            <w:r w:rsidR="00240715">
              <w:rPr>
                <w:noProof/>
                <w:webHidden/>
              </w:rPr>
              <w:t>8</w:t>
            </w:r>
            <w:r w:rsidR="00641DB8">
              <w:rPr>
                <w:noProof/>
                <w:webHidden/>
              </w:rPr>
              <w:fldChar w:fldCharType="end"/>
            </w:r>
          </w:hyperlink>
        </w:p>
        <w:p w14:paraId="77F9EC56" w14:textId="4F49D954" w:rsidR="00641DB8" w:rsidRDefault="00396025">
          <w:pPr>
            <w:pStyle w:val="TOC2"/>
            <w:tabs>
              <w:tab w:val="left" w:pos="880"/>
              <w:tab w:val="right" w:leader="dot" w:pos="9010"/>
            </w:tabs>
            <w:rPr>
              <w:rFonts w:asciiTheme="minorHAnsi" w:hAnsiTheme="minorHAnsi"/>
              <w:noProof/>
              <w:szCs w:val="22"/>
              <w:lang w:val="en-AU" w:eastAsia="en-AU"/>
            </w:rPr>
          </w:pPr>
          <w:hyperlink w:anchor="_Toc14170695" w:history="1">
            <w:r w:rsidR="00641DB8" w:rsidRPr="00CA1E37">
              <w:rPr>
                <w:rStyle w:val="Hyperlink"/>
                <w:noProof/>
              </w:rPr>
              <w:t xml:space="preserve">3.2 </w:t>
            </w:r>
            <w:r w:rsidR="00641DB8">
              <w:rPr>
                <w:rFonts w:asciiTheme="minorHAnsi" w:hAnsiTheme="minorHAnsi"/>
                <w:noProof/>
                <w:szCs w:val="22"/>
                <w:lang w:val="en-AU" w:eastAsia="en-AU"/>
              </w:rPr>
              <w:tab/>
            </w:r>
            <w:r w:rsidR="00641DB8" w:rsidRPr="00CA1E37">
              <w:rPr>
                <w:rStyle w:val="Hyperlink"/>
                <w:noProof/>
              </w:rPr>
              <w:t>Obligations to victims at court</w:t>
            </w:r>
            <w:r w:rsidR="00641DB8">
              <w:rPr>
                <w:noProof/>
                <w:webHidden/>
              </w:rPr>
              <w:tab/>
            </w:r>
            <w:r w:rsidR="00641DB8">
              <w:rPr>
                <w:noProof/>
                <w:webHidden/>
              </w:rPr>
              <w:fldChar w:fldCharType="begin"/>
            </w:r>
            <w:r w:rsidR="00641DB8">
              <w:rPr>
                <w:noProof/>
                <w:webHidden/>
              </w:rPr>
              <w:instrText xml:space="preserve"> PAGEREF _Toc14170695 \h </w:instrText>
            </w:r>
            <w:r w:rsidR="00641DB8">
              <w:rPr>
                <w:noProof/>
                <w:webHidden/>
              </w:rPr>
            </w:r>
            <w:r w:rsidR="00641DB8">
              <w:rPr>
                <w:noProof/>
                <w:webHidden/>
              </w:rPr>
              <w:fldChar w:fldCharType="separate"/>
            </w:r>
            <w:r w:rsidR="00240715">
              <w:rPr>
                <w:noProof/>
                <w:webHidden/>
              </w:rPr>
              <w:t>9</w:t>
            </w:r>
            <w:r w:rsidR="00641DB8">
              <w:rPr>
                <w:noProof/>
                <w:webHidden/>
              </w:rPr>
              <w:fldChar w:fldCharType="end"/>
            </w:r>
          </w:hyperlink>
        </w:p>
        <w:p w14:paraId="49EC9AB9" w14:textId="66E668B4" w:rsidR="00641DB8" w:rsidRDefault="00396025">
          <w:pPr>
            <w:pStyle w:val="TOC2"/>
            <w:tabs>
              <w:tab w:val="left" w:pos="880"/>
              <w:tab w:val="right" w:leader="dot" w:pos="9010"/>
            </w:tabs>
            <w:rPr>
              <w:rFonts w:asciiTheme="minorHAnsi" w:hAnsiTheme="minorHAnsi"/>
              <w:noProof/>
              <w:szCs w:val="22"/>
              <w:lang w:val="en-AU" w:eastAsia="en-AU"/>
            </w:rPr>
          </w:pPr>
          <w:hyperlink w:anchor="_Toc14170696" w:history="1">
            <w:r w:rsidR="00641DB8" w:rsidRPr="00CA1E37">
              <w:rPr>
                <w:rStyle w:val="Hyperlink"/>
                <w:noProof/>
              </w:rPr>
              <w:t xml:space="preserve">3.3 </w:t>
            </w:r>
            <w:r w:rsidR="00641DB8">
              <w:rPr>
                <w:rFonts w:asciiTheme="minorHAnsi" w:hAnsiTheme="minorHAnsi"/>
                <w:noProof/>
                <w:szCs w:val="22"/>
                <w:lang w:val="en-AU" w:eastAsia="en-AU"/>
              </w:rPr>
              <w:tab/>
            </w:r>
            <w:r w:rsidR="00641DB8" w:rsidRPr="00CA1E37">
              <w:rPr>
                <w:rStyle w:val="Hyperlink"/>
                <w:noProof/>
              </w:rPr>
              <w:t>Victim Impact Statements</w:t>
            </w:r>
            <w:r w:rsidR="00641DB8">
              <w:rPr>
                <w:noProof/>
                <w:webHidden/>
              </w:rPr>
              <w:tab/>
            </w:r>
            <w:r w:rsidR="00641DB8">
              <w:rPr>
                <w:noProof/>
                <w:webHidden/>
              </w:rPr>
              <w:fldChar w:fldCharType="begin"/>
            </w:r>
            <w:r w:rsidR="00641DB8">
              <w:rPr>
                <w:noProof/>
                <w:webHidden/>
              </w:rPr>
              <w:instrText xml:space="preserve"> PAGEREF _Toc14170696 \h </w:instrText>
            </w:r>
            <w:r w:rsidR="00641DB8">
              <w:rPr>
                <w:noProof/>
                <w:webHidden/>
              </w:rPr>
            </w:r>
            <w:r w:rsidR="00641DB8">
              <w:rPr>
                <w:noProof/>
                <w:webHidden/>
              </w:rPr>
              <w:fldChar w:fldCharType="separate"/>
            </w:r>
            <w:r w:rsidR="00240715">
              <w:rPr>
                <w:noProof/>
                <w:webHidden/>
              </w:rPr>
              <w:t>9</w:t>
            </w:r>
            <w:r w:rsidR="00641DB8">
              <w:rPr>
                <w:noProof/>
                <w:webHidden/>
              </w:rPr>
              <w:fldChar w:fldCharType="end"/>
            </w:r>
          </w:hyperlink>
        </w:p>
        <w:p w14:paraId="14F8923D" w14:textId="623279B6" w:rsidR="00641DB8" w:rsidRDefault="00396025">
          <w:pPr>
            <w:pStyle w:val="TOC2"/>
            <w:tabs>
              <w:tab w:val="left" w:pos="880"/>
              <w:tab w:val="right" w:leader="dot" w:pos="9010"/>
            </w:tabs>
            <w:rPr>
              <w:rFonts w:asciiTheme="minorHAnsi" w:hAnsiTheme="minorHAnsi"/>
              <w:noProof/>
              <w:szCs w:val="22"/>
              <w:lang w:val="en-AU" w:eastAsia="en-AU"/>
            </w:rPr>
          </w:pPr>
          <w:hyperlink w:anchor="_Toc14170697" w:history="1">
            <w:r w:rsidR="00641DB8" w:rsidRPr="00CA1E37">
              <w:rPr>
                <w:rStyle w:val="Hyperlink"/>
                <w:noProof/>
              </w:rPr>
              <w:t xml:space="preserve">3.4 </w:t>
            </w:r>
            <w:r w:rsidR="00641DB8">
              <w:rPr>
                <w:rFonts w:asciiTheme="minorHAnsi" w:hAnsiTheme="minorHAnsi"/>
                <w:noProof/>
                <w:szCs w:val="22"/>
                <w:lang w:val="en-AU" w:eastAsia="en-AU"/>
              </w:rPr>
              <w:tab/>
            </w:r>
            <w:r w:rsidR="00641DB8" w:rsidRPr="00CA1E37">
              <w:rPr>
                <w:rStyle w:val="Hyperlink"/>
                <w:noProof/>
              </w:rPr>
              <w:t>Compensation and financial assistance for victims</w:t>
            </w:r>
            <w:r w:rsidR="00641DB8">
              <w:rPr>
                <w:noProof/>
                <w:webHidden/>
              </w:rPr>
              <w:tab/>
            </w:r>
            <w:r w:rsidR="00641DB8">
              <w:rPr>
                <w:noProof/>
                <w:webHidden/>
              </w:rPr>
              <w:fldChar w:fldCharType="begin"/>
            </w:r>
            <w:r w:rsidR="00641DB8">
              <w:rPr>
                <w:noProof/>
                <w:webHidden/>
              </w:rPr>
              <w:instrText xml:space="preserve"> PAGEREF _Toc14170697 \h </w:instrText>
            </w:r>
            <w:r w:rsidR="00641DB8">
              <w:rPr>
                <w:noProof/>
                <w:webHidden/>
              </w:rPr>
            </w:r>
            <w:r w:rsidR="00641DB8">
              <w:rPr>
                <w:noProof/>
                <w:webHidden/>
              </w:rPr>
              <w:fldChar w:fldCharType="separate"/>
            </w:r>
            <w:r w:rsidR="00240715">
              <w:rPr>
                <w:noProof/>
                <w:webHidden/>
              </w:rPr>
              <w:t>9</w:t>
            </w:r>
            <w:r w:rsidR="00641DB8">
              <w:rPr>
                <w:noProof/>
                <w:webHidden/>
              </w:rPr>
              <w:fldChar w:fldCharType="end"/>
            </w:r>
          </w:hyperlink>
        </w:p>
        <w:p w14:paraId="1F0ED846" w14:textId="159BFB68" w:rsidR="00641DB8" w:rsidRDefault="00396025">
          <w:pPr>
            <w:pStyle w:val="TOC2"/>
            <w:tabs>
              <w:tab w:val="left" w:pos="880"/>
              <w:tab w:val="right" w:leader="dot" w:pos="9010"/>
            </w:tabs>
            <w:rPr>
              <w:rFonts w:asciiTheme="minorHAnsi" w:hAnsiTheme="minorHAnsi"/>
              <w:noProof/>
              <w:szCs w:val="22"/>
              <w:lang w:val="en-AU" w:eastAsia="en-AU"/>
            </w:rPr>
          </w:pPr>
          <w:hyperlink w:anchor="_Toc14170698" w:history="1">
            <w:r w:rsidR="00641DB8" w:rsidRPr="00CA1E37">
              <w:rPr>
                <w:rStyle w:val="Hyperlink"/>
                <w:noProof/>
              </w:rPr>
              <w:t xml:space="preserve">3.5 </w:t>
            </w:r>
            <w:r w:rsidR="00641DB8">
              <w:rPr>
                <w:rFonts w:asciiTheme="minorHAnsi" w:hAnsiTheme="minorHAnsi"/>
                <w:noProof/>
                <w:szCs w:val="22"/>
                <w:lang w:val="en-AU" w:eastAsia="en-AU"/>
              </w:rPr>
              <w:tab/>
            </w:r>
            <w:r w:rsidR="00641DB8" w:rsidRPr="00CA1E37">
              <w:rPr>
                <w:rStyle w:val="Hyperlink"/>
                <w:noProof/>
              </w:rPr>
              <w:t>Protection of victims’ and witnesses’ personal information and privacy</w:t>
            </w:r>
            <w:r w:rsidR="00641DB8">
              <w:rPr>
                <w:noProof/>
                <w:webHidden/>
              </w:rPr>
              <w:tab/>
            </w:r>
            <w:r w:rsidR="00641DB8">
              <w:rPr>
                <w:noProof/>
                <w:webHidden/>
              </w:rPr>
              <w:fldChar w:fldCharType="begin"/>
            </w:r>
            <w:r w:rsidR="00641DB8">
              <w:rPr>
                <w:noProof/>
                <w:webHidden/>
              </w:rPr>
              <w:instrText xml:space="preserve"> PAGEREF _Toc14170698 \h </w:instrText>
            </w:r>
            <w:r w:rsidR="00641DB8">
              <w:rPr>
                <w:noProof/>
                <w:webHidden/>
              </w:rPr>
            </w:r>
            <w:r w:rsidR="00641DB8">
              <w:rPr>
                <w:noProof/>
                <w:webHidden/>
              </w:rPr>
              <w:fldChar w:fldCharType="separate"/>
            </w:r>
            <w:r w:rsidR="00240715">
              <w:rPr>
                <w:noProof/>
                <w:webHidden/>
              </w:rPr>
              <w:t>10</w:t>
            </w:r>
            <w:r w:rsidR="00641DB8">
              <w:rPr>
                <w:noProof/>
                <w:webHidden/>
              </w:rPr>
              <w:fldChar w:fldCharType="end"/>
            </w:r>
          </w:hyperlink>
        </w:p>
        <w:p w14:paraId="178BAC0E" w14:textId="0C5369A5" w:rsidR="00641DB8" w:rsidRDefault="00396025">
          <w:pPr>
            <w:pStyle w:val="TOC1"/>
            <w:tabs>
              <w:tab w:val="left" w:pos="440"/>
              <w:tab w:val="right" w:leader="dot" w:pos="9010"/>
            </w:tabs>
            <w:rPr>
              <w:rFonts w:asciiTheme="minorHAnsi" w:hAnsiTheme="minorHAnsi"/>
              <w:noProof/>
              <w:szCs w:val="22"/>
              <w:lang w:val="en-AU" w:eastAsia="en-AU"/>
            </w:rPr>
          </w:pPr>
          <w:hyperlink w:anchor="_Toc14170699" w:history="1">
            <w:r w:rsidR="00641DB8" w:rsidRPr="00CA1E37">
              <w:rPr>
                <w:rStyle w:val="Hyperlink"/>
                <w:noProof/>
              </w:rPr>
              <w:t>4</w:t>
            </w:r>
            <w:r w:rsidR="00641DB8">
              <w:rPr>
                <w:rFonts w:asciiTheme="minorHAnsi" w:hAnsiTheme="minorHAnsi"/>
                <w:noProof/>
                <w:szCs w:val="22"/>
                <w:lang w:val="en-AU" w:eastAsia="en-AU"/>
              </w:rPr>
              <w:tab/>
            </w:r>
            <w:r w:rsidR="00641DB8" w:rsidRPr="00CA1E37">
              <w:rPr>
                <w:rStyle w:val="Hyperlink"/>
                <w:noProof/>
              </w:rPr>
              <w:t>Resolution</w:t>
            </w:r>
            <w:r w:rsidR="00641DB8">
              <w:rPr>
                <w:noProof/>
                <w:webHidden/>
              </w:rPr>
              <w:tab/>
            </w:r>
            <w:r w:rsidR="00641DB8">
              <w:rPr>
                <w:noProof/>
                <w:webHidden/>
              </w:rPr>
              <w:fldChar w:fldCharType="begin"/>
            </w:r>
            <w:r w:rsidR="00641DB8">
              <w:rPr>
                <w:noProof/>
                <w:webHidden/>
              </w:rPr>
              <w:instrText xml:space="preserve"> PAGEREF _Toc14170699 \h </w:instrText>
            </w:r>
            <w:r w:rsidR="00641DB8">
              <w:rPr>
                <w:noProof/>
                <w:webHidden/>
              </w:rPr>
            </w:r>
            <w:r w:rsidR="00641DB8">
              <w:rPr>
                <w:noProof/>
                <w:webHidden/>
              </w:rPr>
              <w:fldChar w:fldCharType="separate"/>
            </w:r>
            <w:r w:rsidR="00240715">
              <w:rPr>
                <w:noProof/>
                <w:webHidden/>
              </w:rPr>
              <w:t>11</w:t>
            </w:r>
            <w:r w:rsidR="00641DB8">
              <w:rPr>
                <w:noProof/>
                <w:webHidden/>
              </w:rPr>
              <w:fldChar w:fldCharType="end"/>
            </w:r>
          </w:hyperlink>
        </w:p>
        <w:p w14:paraId="64545885" w14:textId="1CEEDB2D" w:rsidR="00641DB8" w:rsidRDefault="00396025">
          <w:pPr>
            <w:pStyle w:val="TOC2"/>
            <w:tabs>
              <w:tab w:val="left" w:pos="880"/>
              <w:tab w:val="right" w:leader="dot" w:pos="9010"/>
            </w:tabs>
            <w:rPr>
              <w:rFonts w:asciiTheme="minorHAnsi" w:hAnsiTheme="minorHAnsi"/>
              <w:noProof/>
              <w:szCs w:val="22"/>
              <w:lang w:val="en-AU" w:eastAsia="en-AU"/>
            </w:rPr>
          </w:pPr>
          <w:hyperlink w:anchor="_Toc14170700" w:history="1">
            <w:r w:rsidR="00641DB8" w:rsidRPr="00CA1E37">
              <w:rPr>
                <w:rStyle w:val="Hyperlink"/>
                <w:noProof/>
              </w:rPr>
              <w:t xml:space="preserve">4.1 </w:t>
            </w:r>
            <w:r w:rsidR="00641DB8">
              <w:rPr>
                <w:rFonts w:asciiTheme="minorHAnsi" w:hAnsiTheme="minorHAnsi"/>
                <w:noProof/>
                <w:szCs w:val="22"/>
                <w:lang w:val="en-AU" w:eastAsia="en-AU"/>
              </w:rPr>
              <w:tab/>
            </w:r>
            <w:r w:rsidR="00641DB8" w:rsidRPr="00CA1E37">
              <w:rPr>
                <w:rStyle w:val="Hyperlink"/>
                <w:noProof/>
              </w:rPr>
              <w:t>Process of resolution</w:t>
            </w:r>
            <w:r w:rsidR="00641DB8">
              <w:rPr>
                <w:noProof/>
                <w:webHidden/>
              </w:rPr>
              <w:tab/>
            </w:r>
            <w:r w:rsidR="00641DB8">
              <w:rPr>
                <w:noProof/>
                <w:webHidden/>
              </w:rPr>
              <w:fldChar w:fldCharType="begin"/>
            </w:r>
            <w:r w:rsidR="00641DB8">
              <w:rPr>
                <w:noProof/>
                <w:webHidden/>
              </w:rPr>
              <w:instrText xml:space="preserve"> PAGEREF _Toc14170700 \h </w:instrText>
            </w:r>
            <w:r w:rsidR="00641DB8">
              <w:rPr>
                <w:noProof/>
                <w:webHidden/>
              </w:rPr>
            </w:r>
            <w:r w:rsidR="00641DB8">
              <w:rPr>
                <w:noProof/>
                <w:webHidden/>
              </w:rPr>
              <w:fldChar w:fldCharType="separate"/>
            </w:r>
            <w:r w:rsidR="00240715">
              <w:rPr>
                <w:noProof/>
                <w:webHidden/>
              </w:rPr>
              <w:t>11</w:t>
            </w:r>
            <w:r w:rsidR="00641DB8">
              <w:rPr>
                <w:noProof/>
                <w:webHidden/>
              </w:rPr>
              <w:fldChar w:fldCharType="end"/>
            </w:r>
          </w:hyperlink>
        </w:p>
        <w:p w14:paraId="12D4D271" w14:textId="4CC4BC13" w:rsidR="00641DB8" w:rsidRDefault="00396025">
          <w:pPr>
            <w:pStyle w:val="TOC2"/>
            <w:tabs>
              <w:tab w:val="left" w:pos="880"/>
              <w:tab w:val="right" w:leader="dot" w:pos="9010"/>
            </w:tabs>
            <w:rPr>
              <w:rFonts w:asciiTheme="minorHAnsi" w:hAnsiTheme="minorHAnsi"/>
              <w:noProof/>
              <w:szCs w:val="22"/>
              <w:lang w:val="en-AU" w:eastAsia="en-AU"/>
            </w:rPr>
          </w:pPr>
          <w:hyperlink w:anchor="_Toc14170701" w:history="1">
            <w:r w:rsidR="00641DB8" w:rsidRPr="00CA1E37">
              <w:rPr>
                <w:rStyle w:val="Hyperlink"/>
                <w:noProof/>
              </w:rPr>
              <w:t>4.2</w:t>
            </w:r>
            <w:r w:rsidR="00641DB8">
              <w:rPr>
                <w:rFonts w:asciiTheme="minorHAnsi" w:hAnsiTheme="minorHAnsi"/>
                <w:noProof/>
                <w:szCs w:val="22"/>
                <w:lang w:val="en-AU" w:eastAsia="en-AU"/>
              </w:rPr>
              <w:tab/>
            </w:r>
            <w:r w:rsidR="00641DB8" w:rsidRPr="00CA1E37">
              <w:rPr>
                <w:rStyle w:val="Hyperlink"/>
                <w:noProof/>
              </w:rPr>
              <w:t xml:space="preserve"> Summary Prosecutions</w:t>
            </w:r>
            <w:r w:rsidR="00641DB8">
              <w:rPr>
                <w:noProof/>
                <w:webHidden/>
              </w:rPr>
              <w:tab/>
            </w:r>
            <w:r w:rsidR="00641DB8">
              <w:rPr>
                <w:noProof/>
                <w:webHidden/>
              </w:rPr>
              <w:fldChar w:fldCharType="begin"/>
            </w:r>
            <w:r w:rsidR="00641DB8">
              <w:rPr>
                <w:noProof/>
                <w:webHidden/>
              </w:rPr>
              <w:instrText xml:space="preserve"> PAGEREF _Toc14170701 \h </w:instrText>
            </w:r>
            <w:r w:rsidR="00641DB8">
              <w:rPr>
                <w:noProof/>
                <w:webHidden/>
              </w:rPr>
            </w:r>
            <w:r w:rsidR="00641DB8">
              <w:rPr>
                <w:noProof/>
                <w:webHidden/>
              </w:rPr>
              <w:fldChar w:fldCharType="separate"/>
            </w:r>
            <w:r w:rsidR="00240715">
              <w:rPr>
                <w:noProof/>
                <w:webHidden/>
              </w:rPr>
              <w:t>12</w:t>
            </w:r>
            <w:r w:rsidR="00641DB8">
              <w:rPr>
                <w:noProof/>
                <w:webHidden/>
              </w:rPr>
              <w:fldChar w:fldCharType="end"/>
            </w:r>
          </w:hyperlink>
        </w:p>
        <w:p w14:paraId="0999F0A7" w14:textId="10F0A9A4" w:rsidR="00641DB8" w:rsidRDefault="00396025">
          <w:pPr>
            <w:pStyle w:val="TOC2"/>
            <w:tabs>
              <w:tab w:val="left" w:pos="880"/>
              <w:tab w:val="right" w:leader="dot" w:pos="9010"/>
            </w:tabs>
            <w:rPr>
              <w:rFonts w:asciiTheme="minorHAnsi" w:hAnsiTheme="minorHAnsi"/>
              <w:noProof/>
              <w:szCs w:val="22"/>
              <w:lang w:val="en-AU" w:eastAsia="en-AU"/>
            </w:rPr>
          </w:pPr>
          <w:hyperlink w:anchor="_Toc14170702" w:history="1">
            <w:r w:rsidR="00641DB8" w:rsidRPr="00CA1E37">
              <w:rPr>
                <w:rStyle w:val="Hyperlink"/>
                <w:noProof/>
              </w:rPr>
              <w:t>4.3</w:t>
            </w:r>
            <w:r w:rsidR="00641DB8">
              <w:rPr>
                <w:rFonts w:asciiTheme="minorHAnsi" w:hAnsiTheme="minorHAnsi"/>
                <w:noProof/>
                <w:szCs w:val="22"/>
                <w:lang w:val="en-AU" w:eastAsia="en-AU"/>
              </w:rPr>
              <w:tab/>
            </w:r>
            <w:r w:rsidR="00641DB8" w:rsidRPr="00CA1E37">
              <w:rPr>
                <w:rStyle w:val="Hyperlink"/>
                <w:noProof/>
              </w:rPr>
              <w:t xml:space="preserve"> Indictable prosecutions</w:t>
            </w:r>
            <w:r w:rsidR="00641DB8">
              <w:rPr>
                <w:noProof/>
                <w:webHidden/>
              </w:rPr>
              <w:tab/>
            </w:r>
            <w:r w:rsidR="00641DB8">
              <w:rPr>
                <w:noProof/>
                <w:webHidden/>
              </w:rPr>
              <w:fldChar w:fldCharType="begin"/>
            </w:r>
            <w:r w:rsidR="00641DB8">
              <w:rPr>
                <w:noProof/>
                <w:webHidden/>
              </w:rPr>
              <w:instrText xml:space="preserve"> PAGEREF _Toc14170702 \h </w:instrText>
            </w:r>
            <w:r w:rsidR="00641DB8">
              <w:rPr>
                <w:noProof/>
                <w:webHidden/>
              </w:rPr>
            </w:r>
            <w:r w:rsidR="00641DB8">
              <w:rPr>
                <w:noProof/>
                <w:webHidden/>
              </w:rPr>
              <w:fldChar w:fldCharType="separate"/>
            </w:r>
            <w:r w:rsidR="00240715">
              <w:rPr>
                <w:noProof/>
                <w:webHidden/>
              </w:rPr>
              <w:t>12</w:t>
            </w:r>
            <w:r w:rsidR="00641DB8">
              <w:rPr>
                <w:noProof/>
                <w:webHidden/>
              </w:rPr>
              <w:fldChar w:fldCharType="end"/>
            </w:r>
          </w:hyperlink>
        </w:p>
        <w:p w14:paraId="71B1E199" w14:textId="1402428D" w:rsidR="00641DB8" w:rsidRDefault="00396025">
          <w:pPr>
            <w:pStyle w:val="TOC1"/>
            <w:tabs>
              <w:tab w:val="left" w:pos="440"/>
              <w:tab w:val="right" w:leader="dot" w:pos="9010"/>
            </w:tabs>
            <w:rPr>
              <w:rFonts w:asciiTheme="minorHAnsi" w:hAnsiTheme="minorHAnsi"/>
              <w:noProof/>
              <w:szCs w:val="22"/>
              <w:lang w:val="en-AU" w:eastAsia="en-AU"/>
            </w:rPr>
          </w:pPr>
          <w:hyperlink w:anchor="_Toc14170703" w:history="1">
            <w:r w:rsidR="00641DB8" w:rsidRPr="00CA1E37">
              <w:rPr>
                <w:rStyle w:val="Hyperlink"/>
                <w:noProof/>
              </w:rPr>
              <w:t>5</w:t>
            </w:r>
            <w:r w:rsidR="00641DB8">
              <w:rPr>
                <w:rFonts w:asciiTheme="minorHAnsi" w:hAnsiTheme="minorHAnsi"/>
                <w:noProof/>
                <w:szCs w:val="22"/>
                <w:lang w:val="en-AU" w:eastAsia="en-AU"/>
              </w:rPr>
              <w:tab/>
            </w:r>
            <w:r w:rsidR="00641DB8" w:rsidRPr="00CA1E37">
              <w:rPr>
                <w:rStyle w:val="Hyperlink"/>
                <w:noProof/>
              </w:rPr>
              <w:t>Prosecutorial jurisdiction</w:t>
            </w:r>
            <w:r w:rsidR="00641DB8">
              <w:rPr>
                <w:noProof/>
                <w:webHidden/>
              </w:rPr>
              <w:tab/>
            </w:r>
            <w:r w:rsidR="00641DB8">
              <w:rPr>
                <w:noProof/>
                <w:webHidden/>
              </w:rPr>
              <w:fldChar w:fldCharType="begin"/>
            </w:r>
            <w:r w:rsidR="00641DB8">
              <w:rPr>
                <w:noProof/>
                <w:webHidden/>
              </w:rPr>
              <w:instrText xml:space="preserve"> PAGEREF _Toc14170703 \h </w:instrText>
            </w:r>
            <w:r w:rsidR="00641DB8">
              <w:rPr>
                <w:noProof/>
                <w:webHidden/>
              </w:rPr>
            </w:r>
            <w:r w:rsidR="00641DB8">
              <w:rPr>
                <w:noProof/>
                <w:webHidden/>
              </w:rPr>
              <w:fldChar w:fldCharType="separate"/>
            </w:r>
            <w:r w:rsidR="00240715">
              <w:rPr>
                <w:noProof/>
                <w:webHidden/>
              </w:rPr>
              <w:t>13</w:t>
            </w:r>
            <w:r w:rsidR="00641DB8">
              <w:rPr>
                <w:noProof/>
                <w:webHidden/>
              </w:rPr>
              <w:fldChar w:fldCharType="end"/>
            </w:r>
          </w:hyperlink>
        </w:p>
        <w:p w14:paraId="5028ADDB" w14:textId="19EB0064" w:rsidR="00641DB8" w:rsidRDefault="00396025">
          <w:pPr>
            <w:pStyle w:val="TOC2"/>
            <w:tabs>
              <w:tab w:val="left" w:pos="880"/>
              <w:tab w:val="right" w:leader="dot" w:pos="9010"/>
            </w:tabs>
            <w:rPr>
              <w:rFonts w:asciiTheme="minorHAnsi" w:hAnsiTheme="minorHAnsi"/>
              <w:noProof/>
              <w:szCs w:val="22"/>
              <w:lang w:val="en-AU" w:eastAsia="en-AU"/>
            </w:rPr>
          </w:pPr>
          <w:hyperlink w:anchor="_Toc14170704" w:history="1">
            <w:r w:rsidR="00641DB8" w:rsidRPr="00CA1E37">
              <w:rPr>
                <w:rStyle w:val="Hyperlink"/>
                <w:noProof/>
              </w:rPr>
              <w:t xml:space="preserve">5.1 </w:t>
            </w:r>
            <w:r w:rsidR="00641DB8">
              <w:rPr>
                <w:rFonts w:asciiTheme="minorHAnsi" w:hAnsiTheme="minorHAnsi"/>
                <w:noProof/>
                <w:szCs w:val="22"/>
                <w:lang w:val="en-AU" w:eastAsia="en-AU"/>
              </w:rPr>
              <w:tab/>
            </w:r>
            <w:r w:rsidR="00641DB8" w:rsidRPr="00CA1E37">
              <w:rPr>
                <w:rStyle w:val="Hyperlink"/>
                <w:noProof/>
              </w:rPr>
              <w:t>Summary offences</w:t>
            </w:r>
            <w:r w:rsidR="00641DB8">
              <w:rPr>
                <w:noProof/>
                <w:webHidden/>
              </w:rPr>
              <w:tab/>
            </w:r>
            <w:r w:rsidR="00641DB8">
              <w:rPr>
                <w:noProof/>
                <w:webHidden/>
              </w:rPr>
              <w:fldChar w:fldCharType="begin"/>
            </w:r>
            <w:r w:rsidR="00641DB8">
              <w:rPr>
                <w:noProof/>
                <w:webHidden/>
              </w:rPr>
              <w:instrText xml:space="preserve"> PAGEREF _Toc14170704 \h </w:instrText>
            </w:r>
            <w:r w:rsidR="00641DB8">
              <w:rPr>
                <w:noProof/>
                <w:webHidden/>
              </w:rPr>
            </w:r>
            <w:r w:rsidR="00641DB8">
              <w:rPr>
                <w:noProof/>
                <w:webHidden/>
              </w:rPr>
              <w:fldChar w:fldCharType="separate"/>
            </w:r>
            <w:r w:rsidR="00240715">
              <w:rPr>
                <w:noProof/>
                <w:webHidden/>
              </w:rPr>
              <w:t>13</w:t>
            </w:r>
            <w:r w:rsidR="00641DB8">
              <w:rPr>
                <w:noProof/>
                <w:webHidden/>
              </w:rPr>
              <w:fldChar w:fldCharType="end"/>
            </w:r>
          </w:hyperlink>
        </w:p>
        <w:p w14:paraId="43A28D64" w14:textId="6CD3542C" w:rsidR="00641DB8" w:rsidRDefault="00396025">
          <w:pPr>
            <w:pStyle w:val="TOC2"/>
            <w:tabs>
              <w:tab w:val="left" w:pos="880"/>
              <w:tab w:val="right" w:leader="dot" w:pos="9010"/>
            </w:tabs>
            <w:rPr>
              <w:rFonts w:asciiTheme="minorHAnsi" w:hAnsiTheme="minorHAnsi"/>
              <w:noProof/>
              <w:szCs w:val="22"/>
              <w:lang w:val="en-AU" w:eastAsia="en-AU"/>
            </w:rPr>
          </w:pPr>
          <w:hyperlink w:anchor="_Toc14170705" w:history="1">
            <w:r w:rsidR="00641DB8" w:rsidRPr="00CA1E37">
              <w:rPr>
                <w:rStyle w:val="Hyperlink"/>
                <w:noProof/>
              </w:rPr>
              <w:t>5.2</w:t>
            </w:r>
            <w:r w:rsidR="00641DB8">
              <w:rPr>
                <w:rFonts w:asciiTheme="minorHAnsi" w:hAnsiTheme="minorHAnsi"/>
                <w:noProof/>
                <w:szCs w:val="22"/>
                <w:lang w:val="en-AU" w:eastAsia="en-AU"/>
              </w:rPr>
              <w:tab/>
            </w:r>
            <w:r w:rsidR="00641DB8" w:rsidRPr="00CA1E37">
              <w:rPr>
                <w:rStyle w:val="Hyperlink"/>
                <w:noProof/>
              </w:rPr>
              <w:t>Indictable offences</w:t>
            </w:r>
            <w:r w:rsidR="00641DB8">
              <w:rPr>
                <w:noProof/>
                <w:webHidden/>
              </w:rPr>
              <w:tab/>
            </w:r>
            <w:r w:rsidR="00641DB8">
              <w:rPr>
                <w:noProof/>
                <w:webHidden/>
              </w:rPr>
              <w:fldChar w:fldCharType="begin"/>
            </w:r>
            <w:r w:rsidR="00641DB8">
              <w:rPr>
                <w:noProof/>
                <w:webHidden/>
              </w:rPr>
              <w:instrText xml:space="preserve"> PAGEREF _Toc14170705 \h </w:instrText>
            </w:r>
            <w:r w:rsidR="00641DB8">
              <w:rPr>
                <w:noProof/>
                <w:webHidden/>
              </w:rPr>
            </w:r>
            <w:r w:rsidR="00641DB8">
              <w:rPr>
                <w:noProof/>
                <w:webHidden/>
              </w:rPr>
              <w:fldChar w:fldCharType="separate"/>
            </w:r>
            <w:r w:rsidR="00240715">
              <w:rPr>
                <w:noProof/>
                <w:webHidden/>
              </w:rPr>
              <w:t>13</w:t>
            </w:r>
            <w:r w:rsidR="00641DB8">
              <w:rPr>
                <w:noProof/>
                <w:webHidden/>
              </w:rPr>
              <w:fldChar w:fldCharType="end"/>
            </w:r>
          </w:hyperlink>
        </w:p>
        <w:p w14:paraId="4E16FF35" w14:textId="7AD044E8" w:rsidR="00641DB8" w:rsidRDefault="00396025">
          <w:pPr>
            <w:pStyle w:val="TOC2"/>
            <w:tabs>
              <w:tab w:val="left" w:pos="880"/>
              <w:tab w:val="right" w:leader="dot" w:pos="9010"/>
            </w:tabs>
            <w:rPr>
              <w:rFonts w:asciiTheme="minorHAnsi" w:hAnsiTheme="minorHAnsi"/>
              <w:noProof/>
              <w:szCs w:val="22"/>
              <w:lang w:val="en-AU" w:eastAsia="en-AU"/>
            </w:rPr>
          </w:pPr>
          <w:hyperlink w:anchor="_Toc14170706" w:history="1">
            <w:r w:rsidR="00641DB8" w:rsidRPr="00CA1E37">
              <w:rPr>
                <w:rStyle w:val="Hyperlink"/>
                <w:noProof/>
              </w:rPr>
              <w:t xml:space="preserve">5.3 </w:t>
            </w:r>
            <w:r w:rsidR="00641DB8">
              <w:rPr>
                <w:rFonts w:asciiTheme="minorHAnsi" w:hAnsiTheme="minorHAnsi"/>
                <w:noProof/>
                <w:szCs w:val="22"/>
                <w:lang w:val="en-AU" w:eastAsia="en-AU"/>
              </w:rPr>
              <w:tab/>
            </w:r>
            <w:r w:rsidR="00641DB8" w:rsidRPr="00CA1E37">
              <w:rPr>
                <w:rStyle w:val="Hyperlink"/>
                <w:noProof/>
              </w:rPr>
              <w:t>Indictable offences triable summarily</w:t>
            </w:r>
            <w:r w:rsidR="00641DB8">
              <w:rPr>
                <w:noProof/>
                <w:webHidden/>
              </w:rPr>
              <w:tab/>
            </w:r>
            <w:r w:rsidR="00641DB8">
              <w:rPr>
                <w:noProof/>
                <w:webHidden/>
              </w:rPr>
              <w:fldChar w:fldCharType="begin"/>
            </w:r>
            <w:r w:rsidR="00641DB8">
              <w:rPr>
                <w:noProof/>
                <w:webHidden/>
              </w:rPr>
              <w:instrText xml:space="preserve"> PAGEREF _Toc14170706 \h </w:instrText>
            </w:r>
            <w:r w:rsidR="00641DB8">
              <w:rPr>
                <w:noProof/>
                <w:webHidden/>
              </w:rPr>
            </w:r>
            <w:r w:rsidR="00641DB8">
              <w:rPr>
                <w:noProof/>
                <w:webHidden/>
              </w:rPr>
              <w:fldChar w:fldCharType="separate"/>
            </w:r>
            <w:r w:rsidR="00240715">
              <w:rPr>
                <w:noProof/>
                <w:webHidden/>
              </w:rPr>
              <w:t>13</w:t>
            </w:r>
            <w:r w:rsidR="00641DB8">
              <w:rPr>
                <w:noProof/>
                <w:webHidden/>
              </w:rPr>
              <w:fldChar w:fldCharType="end"/>
            </w:r>
          </w:hyperlink>
        </w:p>
        <w:p w14:paraId="634971D6" w14:textId="7F8A2770" w:rsidR="00641DB8" w:rsidRDefault="00396025">
          <w:pPr>
            <w:pStyle w:val="TOC2"/>
            <w:tabs>
              <w:tab w:val="left" w:pos="880"/>
              <w:tab w:val="right" w:leader="dot" w:pos="9010"/>
            </w:tabs>
            <w:rPr>
              <w:rFonts w:asciiTheme="minorHAnsi" w:hAnsiTheme="minorHAnsi"/>
              <w:noProof/>
              <w:szCs w:val="22"/>
              <w:lang w:val="en-AU" w:eastAsia="en-AU"/>
            </w:rPr>
          </w:pPr>
          <w:hyperlink w:anchor="_Toc14170707" w:history="1">
            <w:r w:rsidR="00641DB8" w:rsidRPr="00CA1E37">
              <w:rPr>
                <w:rStyle w:val="Hyperlink"/>
                <w:noProof/>
              </w:rPr>
              <w:t>5.4</w:t>
            </w:r>
            <w:r w:rsidR="00641DB8">
              <w:rPr>
                <w:rFonts w:asciiTheme="minorHAnsi" w:hAnsiTheme="minorHAnsi"/>
                <w:noProof/>
                <w:szCs w:val="22"/>
                <w:lang w:val="en-AU" w:eastAsia="en-AU"/>
              </w:rPr>
              <w:tab/>
            </w:r>
            <w:r w:rsidR="00641DB8" w:rsidRPr="00CA1E37">
              <w:rPr>
                <w:rStyle w:val="Hyperlink"/>
                <w:noProof/>
              </w:rPr>
              <w:t>Referral of matters outside our jurisdiction</w:t>
            </w:r>
            <w:r w:rsidR="00641DB8">
              <w:rPr>
                <w:noProof/>
                <w:webHidden/>
              </w:rPr>
              <w:tab/>
            </w:r>
            <w:r w:rsidR="00641DB8">
              <w:rPr>
                <w:noProof/>
                <w:webHidden/>
              </w:rPr>
              <w:fldChar w:fldCharType="begin"/>
            </w:r>
            <w:r w:rsidR="00641DB8">
              <w:rPr>
                <w:noProof/>
                <w:webHidden/>
              </w:rPr>
              <w:instrText xml:space="preserve"> PAGEREF _Toc14170707 \h </w:instrText>
            </w:r>
            <w:r w:rsidR="00641DB8">
              <w:rPr>
                <w:noProof/>
                <w:webHidden/>
              </w:rPr>
            </w:r>
            <w:r w:rsidR="00641DB8">
              <w:rPr>
                <w:noProof/>
                <w:webHidden/>
              </w:rPr>
              <w:fldChar w:fldCharType="separate"/>
            </w:r>
            <w:r w:rsidR="00240715">
              <w:rPr>
                <w:noProof/>
                <w:webHidden/>
              </w:rPr>
              <w:t>14</w:t>
            </w:r>
            <w:r w:rsidR="00641DB8">
              <w:rPr>
                <w:noProof/>
                <w:webHidden/>
              </w:rPr>
              <w:fldChar w:fldCharType="end"/>
            </w:r>
          </w:hyperlink>
        </w:p>
        <w:p w14:paraId="13A119ED" w14:textId="1C02A2DB" w:rsidR="00641DB8" w:rsidRDefault="00396025">
          <w:pPr>
            <w:pStyle w:val="TOC1"/>
            <w:tabs>
              <w:tab w:val="left" w:pos="440"/>
              <w:tab w:val="right" w:leader="dot" w:pos="9010"/>
            </w:tabs>
            <w:rPr>
              <w:rFonts w:asciiTheme="minorHAnsi" w:hAnsiTheme="minorHAnsi"/>
              <w:noProof/>
              <w:szCs w:val="22"/>
              <w:lang w:val="en-AU" w:eastAsia="en-AU"/>
            </w:rPr>
          </w:pPr>
          <w:hyperlink w:anchor="_Toc14170708" w:history="1">
            <w:r w:rsidR="00641DB8" w:rsidRPr="00CA1E37">
              <w:rPr>
                <w:rStyle w:val="Hyperlink"/>
                <w:noProof/>
              </w:rPr>
              <w:t>6</w:t>
            </w:r>
            <w:r w:rsidR="00641DB8">
              <w:rPr>
                <w:rFonts w:asciiTheme="minorHAnsi" w:hAnsiTheme="minorHAnsi"/>
                <w:noProof/>
                <w:szCs w:val="22"/>
                <w:lang w:val="en-AU" w:eastAsia="en-AU"/>
              </w:rPr>
              <w:tab/>
            </w:r>
            <w:r w:rsidR="00641DB8" w:rsidRPr="00CA1E37">
              <w:rPr>
                <w:rStyle w:val="Hyperlink"/>
                <w:noProof/>
              </w:rPr>
              <w:t>Appeals</w:t>
            </w:r>
            <w:r w:rsidR="00641DB8">
              <w:rPr>
                <w:noProof/>
                <w:webHidden/>
              </w:rPr>
              <w:tab/>
            </w:r>
            <w:r w:rsidR="00641DB8">
              <w:rPr>
                <w:noProof/>
                <w:webHidden/>
              </w:rPr>
              <w:fldChar w:fldCharType="begin"/>
            </w:r>
            <w:r w:rsidR="00641DB8">
              <w:rPr>
                <w:noProof/>
                <w:webHidden/>
              </w:rPr>
              <w:instrText xml:space="preserve"> PAGEREF _Toc14170708 \h </w:instrText>
            </w:r>
            <w:r w:rsidR="00641DB8">
              <w:rPr>
                <w:noProof/>
                <w:webHidden/>
              </w:rPr>
            </w:r>
            <w:r w:rsidR="00641DB8">
              <w:rPr>
                <w:noProof/>
                <w:webHidden/>
              </w:rPr>
              <w:fldChar w:fldCharType="separate"/>
            </w:r>
            <w:r w:rsidR="00240715">
              <w:rPr>
                <w:noProof/>
                <w:webHidden/>
              </w:rPr>
              <w:t>15</w:t>
            </w:r>
            <w:r w:rsidR="00641DB8">
              <w:rPr>
                <w:noProof/>
                <w:webHidden/>
              </w:rPr>
              <w:fldChar w:fldCharType="end"/>
            </w:r>
          </w:hyperlink>
        </w:p>
        <w:p w14:paraId="266C6441" w14:textId="0C9B8FF1" w:rsidR="00641DB8" w:rsidRDefault="00396025">
          <w:pPr>
            <w:pStyle w:val="TOC2"/>
            <w:tabs>
              <w:tab w:val="left" w:pos="880"/>
              <w:tab w:val="right" w:leader="dot" w:pos="9010"/>
            </w:tabs>
            <w:rPr>
              <w:rFonts w:asciiTheme="minorHAnsi" w:hAnsiTheme="minorHAnsi"/>
              <w:noProof/>
              <w:szCs w:val="22"/>
              <w:lang w:val="en-AU" w:eastAsia="en-AU"/>
            </w:rPr>
          </w:pPr>
          <w:hyperlink w:anchor="_Toc14170709" w:history="1">
            <w:r w:rsidR="00641DB8" w:rsidRPr="00CA1E37">
              <w:rPr>
                <w:rStyle w:val="Hyperlink"/>
                <w:noProof/>
              </w:rPr>
              <w:t>6.1</w:t>
            </w:r>
            <w:r w:rsidR="00641DB8">
              <w:rPr>
                <w:rFonts w:asciiTheme="minorHAnsi" w:hAnsiTheme="minorHAnsi"/>
                <w:noProof/>
                <w:szCs w:val="22"/>
                <w:lang w:val="en-AU" w:eastAsia="en-AU"/>
              </w:rPr>
              <w:tab/>
            </w:r>
            <w:r w:rsidR="00641DB8" w:rsidRPr="00CA1E37">
              <w:rPr>
                <w:rStyle w:val="Hyperlink"/>
                <w:noProof/>
              </w:rPr>
              <w:t>Appeals from Magistrates’ Court decisions</w:t>
            </w:r>
            <w:r w:rsidR="00641DB8">
              <w:rPr>
                <w:noProof/>
                <w:webHidden/>
              </w:rPr>
              <w:tab/>
            </w:r>
            <w:r w:rsidR="00641DB8">
              <w:rPr>
                <w:noProof/>
                <w:webHidden/>
              </w:rPr>
              <w:fldChar w:fldCharType="begin"/>
            </w:r>
            <w:r w:rsidR="00641DB8">
              <w:rPr>
                <w:noProof/>
                <w:webHidden/>
              </w:rPr>
              <w:instrText xml:space="preserve"> PAGEREF _Toc14170709 \h </w:instrText>
            </w:r>
            <w:r w:rsidR="00641DB8">
              <w:rPr>
                <w:noProof/>
                <w:webHidden/>
              </w:rPr>
            </w:r>
            <w:r w:rsidR="00641DB8">
              <w:rPr>
                <w:noProof/>
                <w:webHidden/>
              </w:rPr>
              <w:fldChar w:fldCharType="separate"/>
            </w:r>
            <w:r w:rsidR="00240715">
              <w:rPr>
                <w:noProof/>
                <w:webHidden/>
              </w:rPr>
              <w:t>15</w:t>
            </w:r>
            <w:r w:rsidR="00641DB8">
              <w:rPr>
                <w:noProof/>
                <w:webHidden/>
              </w:rPr>
              <w:fldChar w:fldCharType="end"/>
            </w:r>
          </w:hyperlink>
        </w:p>
        <w:p w14:paraId="274ECC36" w14:textId="2AE7CDD2" w:rsidR="00641DB8" w:rsidRDefault="00396025">
          <w:pPr>
            <w:pStyle w:val="TOC2"/>
            <w:tabs>
              <w:tab w:val="left" w:pos="880"/>
              <w:tab w:val="right" w:leader="dot" w:pos="9010"/>
            </w:tabs>
            <w:rPr>
              <w:rFonts w:asciiTheme="minorHAnsi" w:hAnsiTheme="minorHAnsi"/>
              <w:noProof/>
              <w:szCs w:val="22"/>
              <w:lang w:val="en-AU" w:eastAsia="en-AU"/>
            </w:rPr>
          </w:pPr>
          <w:hyperlink w:anchor="_Toc14170710" w:history="1">
            <w:r w:rsidR="00641DB8" w:rsidRPr="00CA1E37">
              <w:rPr>
                <w:rStyle w:val="Hyperlink"/>
                <w:noProof/>
              </w:rPr>
              <w:t xml:space="preserve">6.2 </w:t>
            </w:r>
            <w:r w:rsidR="00641DB8">
              <w:rPr>
                <w:rFonts w:asciiTheme="minorHAnsi" w:hAnsiTheme="minorHAnsi"/>
                <w:noProof/>
                <w:szCs w:val="22"/>
                <w:lang w:val="en-AU" w:eastAsia="en-AU"/>
              </w:rPr>
              <w:tab/>
            </w:r>
            <w:r w:rsidR="00641DB8" w:rsidRPr="00CA1E37">
              <w:rPr>
                <w:rStyle w:val="Hyperlink"/>
                <w:noProof/>
              </w:rPr>
              <w:t>Appeals from County or Supreme Court decisions</w:t>
            </w:r>
            <w:r w:rsidR="00641DB8">
              <w:rPr>
                <w:noProof/>
                <w:webHidden/>
              </w:rPr>
              <w:tab/>
            </w:r>
            <w:r w:rsidR="00641DB8">
              <w:rPr>
                <w:noProof/>
                <w:webHidden/>
              </w:rPr>
              <w:fldChar w:fldCharType="begin"/>
            </w:r>
            <w:r w:rsidR="00641DB8">
              <w:rPr>
                <w:noProof/>
                <w:webHidden/>
              </w:rPr>
              <w:instrText xml:space="preserve"> PAGEREF _Toc14170710 \h </w:instrText>
            </w:r>
            <w:r w:rsidR="00641DB8">
              <w:rPr>
                <w:noProof/>
                <w:webHidden/>
              </w:rPr>
            </w:r>
            <w:r w:rsidR="00641DB8">
              <w:rPr>
                <w:noProof/>
                <w:webHidden/>
              </w:rPr>
              <w:fldChar w:fldCharType="separate"/>
            </w:r>
            <w:r w:rsidR="00240715">
              <w:rPr>
                <w:noProof/>
                <w:webHidden/>
              </w:rPr>
              <w:t>15</w:t>
            </w:r>
            <w:r w:rsidR="00641DB8">
              <w:rPr>
                <w:noProof/>
                <w:webHidden/>
              </w:rPr>
              <w:fldChar w:fldCharType="end"/>
            </w:r>
          </w:hyperlink>
        </w:p>
        <w:p w14:paraId="14FCE8BF" w14:textId="4FDF2EA1" w:rsidR="00641DB8" w:rsidRDefault="00396025">
          <w:pPr>
            <w:pStyle w:val="TOC1"/>
            <w:tabs>
              <w:tab w:val="left" w:pos="440"/>
              <w:tab w:val="right" w:leader="dot" w:pos="9010"/>
            </w:tabs>
            <w:rPr>
              <w:rFonts w:asciiTheme="minorHAnsi" w:hAnsiTheme="minorHAnsi"/>
              <w:noProof/>
              <w:szCs w:val="22"/>
              <w:lang w:val="en-AU" w:eastAsia="en-AU"/>
            </w:rPr>
          </w:pPr>
          <w:hyperlink w:anchor="_Toc14170711" w:history="1">
            <w:r w:rsidR="00641DB8" w:rsidRPr="00CA1E37">
              <w:rPr>
                <w:rStyle w:val="Hyperlink"/>
                <w:noProof/>
              </w:rPr>
              <w:t>7</w:t>
            </w:r>
            <w:r w:rsidR="00641DB8">
              <w:rPr>
                <w:rFonts w:asciiTheme="minorHAnsi" w:hAnsiTheme="minorHAnsi"/>
                <w:noProof/>
                <w:szCs w:val="22"/>
                <w:lang w:val="en-AU" w:eastAsia="en-AU"/>
              </w:rPr>
              <w:tab/>
            </w:r>
            <w:r w:rsidR="00641DB8" w:rsidRPr="00CA1E37">
              <w:rPr>
                <w:rStyle w:val="Hyperlink"/>
                <w:noProof/>
              </w:rPr>
              <w:t>Director’s authorisation to bring proceedings</w:t>
            </w:r>
            <w:r w:rsidR="00641DB8">
              <w:rPr>
                <w:noProof/>
                <w:webHidden/>
              </w:rPr>
              <w:tab/>
            </w:r>
            <w:r w:rsidR="00641DB8">
              <w:rPr>
                <w:noProof/>
                <w:webHidden/>
              </w:rPr>
              <w:fldChar w:fldCharType="begin"/>
            </w:r>
            <w:r w:rsidR="00641DB8">
              <w:rPr>
                <w:noProof/>
                <w:webHidden/>
              </w:rPr>
              <w:instrText xml:space="preserve"> PAGEREF _Toc14170711 \h </w:instrText>
            </w:r>
            <w:r w:rsidR="00641DB8">
              <w:rPr>
                <w:noProof/>
                <w:webHidden/>
              </w:rPr>
            </w:r>
            <w:r w:rsidR="00641DB8">
              <w:rPr>
                <w:noProof/>
                <w:webHidden/>
              </w:rPr>
              <w:fldChar w:fldCharType="separate"/>
            </w:r>
            <w:r w:rsidR="00240715">
              <w:rPr>
                <w:noProof/>
                <w:webHidden/>
              </w:rPr>
              <w:t>16</w:t>
            </w:r>
            <w:r w:rsidR="00641DB8">
              <w:rPr>
                <w:noProof/>
                <w:webHidden/>
              </w:rPr>
              <w:fldChar w:fldCharType="end"/>
            </w:r>
          </w:hyperlink>
        </w:p>
        <w:p w14:paraId="4579928C" w14:textId="44C6764E" w:rsidR="00641DB8" w:rsidRDefault="00396025">
          <w:pPr>
            <w:pStyle w:val="TOC1"/>
            <w:tabs>
              <w:tab w:val="left" w:pos="440"/>
              <w:tab w:val="right" w:leader="dot" w:pos="9010"/>
            </w:tabs>
            <w:rPr>
              <w:rFonts w:asciiTheme="minorHAnsi" w:hAnsiTheme="minorHAnsi"/>
              <w:noProof/>
              <w:szCs w:val="22"/>
              <w:lang w:val="en-AU" w:eastAsia="en-AU"/>
            </w:rPr>
          </w:pPr>
          <w:hyperlink w:anchor="_Toc14170712" w:history="1">
            <w:r w:rsidR="00641DB8" w:rsidRPr="00CA1E37">
              <w:rPr>
                <w:rStyle w:val="Hyperlink"/>
                <w:noProof/>
              </w:rPr>
              <w:t>8</w:t>
            </w:r>
            <w:r w:rsidR="00641DB8">
              <w:rPr>
                <w:rFonts w:asciiTheme="minorHAnsi" w:hAnsiTheme="minorHAnsi"/>
                <w:noProof/>
                <w:szCs w:val="22"/>
                <w:lang w:val="en-AU" w:eastAsia="en-AU"/>
              </w:rPr>
              <w:tab/>
            </w:r>
            <w:r w:rsidR="00641DB8" w:rsidRPr="00CA1E37">
              <w:rPr>
                <w:rStyle w:val="Hyperlink"/>
                <w:noProof/>
              </w:rPr>
              <w:t>Proceeds of crime</w:t>
            </w:r>
            <w:r w:rsidR="00641DB8">
              <w:rPr>
                <w:noProof/>
                <w:webHidden/>
              </w:rPr>
              <w:tab/>
            </w:r>
            <w:r w:rsidR="00641DB8">
              <w:rPr>
                <w:noProof/>
                <w:webHidden/>
              </w:rPr>
              <w:fldChar w:fldCharType="begin"/>
            </w:r>
            <w:r w:rsidR="00641DB8">
              <w:rPr>
                <w:noProof/>
                <w:webHidden/>
              </w:rPr>
              <w:instrText xml:space="preserve"> PAGEREF _Toc14170712 \h </w:instrText>
            </w:r>
            <w:r w:rsidR="00641DB8">
              <w:rPr>
                <w:noProof/>
                <w:webHidden/>
              </w:rPr>
            </w:r>
            <w:r w:rsidR="00641DB8">
              <w:rPr>
                <w:noProof/>
                <w:webHidden/>
              </w:rPr>
              <w:fldChar w:fldCharType="separate"/>
            </w:r>
            <w:r w:rsidR="00240715">
              <w:rPr>
                <w:noProof/>
                <w:webHidden/>
              </w:rPr>
              <w:t>17</w:t>
            </w:r>
            <w:r w:rsidR="00641DB8">
              <w:rPr>
                <w:noProof/>
                <w:webHidden/>
              </w:rPr>
              <w:fldChar w:fldCharType="end"/>
            </w:r>
          </w:hyperlink>
        </w:p>
        <w:p w14:paraId="4F937CB5" w14:textId="51C0FAE3" w:rsidR="008B566E" w:rsidRDefault="008B566E">
          <w:r>
            <w:rPr>
              <w:b/>
              <w:bCs/>
              <w:noProof/>
            </w:rPr>
            <w:fldChar w:fldCharType="end"/>
          </w:r>
        </w:p>
      </w:sdtContent>
    </w:sdt>
    <w:p w14:paraId="3FF18376" w14:textId="018852B3" w:rsidR="008B566E" w:rsidRDefault="008B566E">
      <w:pPr>
        <w:rPr>
          <w:rFonts w:eastAsiaTheme="majorEastAsia" w:cstheme="majorBidi"/>
          <w:b/>
          <w:color w:val="102849" w:themeColor="text2" w:themeTint="E6"/>
          <w:sz w:val="32"/>
          <w:szCs w:val="32"/>
        </w:rPr>
      </w:pPr>
    </w:p>
    <w:p w14:paraId="723023AC" w14:textId="77777777" w:rsidR="008B566E" w:rsidRDefault="008B566E" w:rsidP="00CB0224">
      <w:pPr>
        <w:pStyle w:val="Heading1"/>
      </w:pPr>
    </w:p>
    <w:p w14:paraId="1129FF3E" w14:textId="2862D272" w:rsidR="0047337F" w:rsidRDefault="0047337F" w:rsidP="00CB0224">
      <w:pPr>
        <w:pStyle w:val="Heading1"/>
      </w:pPr>
      <w:bookmarkStart w:id="0" w:name="_Toc14170686"/>
      <w:r w:rsidRPr="004D35AD">
        <w:t>Introduction</w:t>
      </w:r>
      <w:bookmarkEnd w:id="0"/>
    </w:p>
    <w:p w14:paraId="13319FA7" w14:textId="5C2C49AF" w:rsidR="00CB0224" w:rsidRDefault="0047337F" w:rsidP="0047337F">
      <w:r>
        <w:t xml:space="preserve">The </w:t>
      </w:r>
      <w:r w:rsidR="00C00725">
        <w:t>g</w:t>
      </w:r>
      <w:r>
        <w:t xml:space="preserve">uidelines for </w:t>
      </w:r>
      <w:r w:rsidR="00E23F16">
        <w:t>c</w:t>
      </w:r>
      <w:r>
        <w:t xml:space="preserve">riminal </w:t>
      </w:r>
      <w:r w:rsidR="00E23F16">
        <w:t>p</w:t>
      </w:r>
      <w:r>
        <w:t xml:space="preserve">rosecutions are intended to articulate the role and responsibilities of the Director of Consumer Affairs Victoria (“the Director”) when Consumer Affairs Victoria (CAV) conducts a criminal prosecution.  </w:t>
      </w:r>
    </w:p>
    <w:p w14:paraId="71C690FF" w14:textId="4DDEDFC4" w:rsidR="0047337F" w:rsidRDefault="001D71D8" w:rsidP="0047337F">
      <w:bookmarkStart w:id="1" w:name="_Hlk12287698"/>
      <w:r>
        <w:t xml:space="preserve">We </w:t>
      </w:r>
      <w:r w:rsidR="0047337F">
        <w:t>conduct criminal prosecutions on behalf of the Director for breaches of offence provisions within consumer</w:t>
      </w:r>
      <w:r w:rsidR="00B5004A">
        <w:t>-</w:t>
      </w:r>
      <w:r w:rsidR="0047337F">
        <w:t>based legislation (collectively referred to as Consumer Acts) including:</w:t>
      </w:r>
    </w:p>
    <w:bookmarkEnd w:id="1"/>
    <w:p w14:paraId="69B583D7" w14:textId="77777777" w:rsidR="0047337F" w:rsidRPr="00FC3775" w:rsidRDefault="0047337F" w:rsidP="007061E8">
      <w:pPr>
        <w:numPr>
          <w:ilvl w:val="0"/>
          <w:numId w:val="17"/>
        </w:numPr>
        <w:spacing w:before="100" w:beforeAutospacing="1" w:after="60" w:line="240" w:lineRule="auto"/>
        <w:ind w:left="1077" w:hanging="357"/>
        <w:rPr>
          <w:i/>
        </w:rPr>
      </w:pPr>
      <w:r w:rsidRPr="00FC3775">
        <w:rPr>
          <w:i/>
        </w:rPr>
        <w:t xml:space="preserve">Australian Consumer Law and </w:t>
      </w:r>
      <w:proofErr w:type="gramStart"/>
      <w:r w:rsidRPr="00FC3775">
        <w:rPr>
          <w:i/>
        </w:rPr>
        <w:t>Fair Trading</w:t>
      </w:r>
      <w:proofErr w:type="gramEnd"/>
      <w:r w:rsidRPr="00FC3775">
        <w:rPr>
          <w:i/>
        </w:rPr>
        <w:t xml:space="preserve"> Act 2012</w:t>
      </w:r>
    </w:p>
    <w:p w14:paraId="738FBD06" w14:textId="77777777" w:rsidR="0047337F" w:rsidRPr="00FC3775" w:rsidRDefault="0047337F" w:rsidP="007061E8">
      <w:pPr>
        <w:numPr>
          <w:ilvl w:val="0"/>
          <w:numId w:val="17"/>
        </w:numPr>
        <w:spacing w:before="100" w:beforeAutospacing="1" w:after="60" w:line="240" w:lineRule="auto"/>
        <w:ind w:left="1077" w:hanging="357"/>
        <w:rPr>
          <w:i/>
        </w:rPr>
      </w:pPr>
      <w:r w:rsidRPr="00FC3775">
        <w:rPr>
          <w:i/>
        </w:rPr>
        <w:t>Conveyancers Act 2006</w:t>
      </w:r>
    </w:p>
    <w:p w14:paraId="6C537AED" w14:textId="77777777" w:rsidR="0047337F" w:rsidRPr="00FC3775" w:rsidRDefault="0047337F" w:rsidP="007061E8">
      <w:pPr>
        <w:numPr>
          <w:ilvl w:val="0"/>
          <w:numId w:val="17"/>
        </w:numPr>
        <w:spacing w:before="100" w:beforeAutospacing="1" w:after="60" w:line="240" w:lineRule="auto"/>
        <w:ind w:left="1077" w:hanging="357"/>
        <w:rPr>
          <w:i/>
        </w:rPr>
      </w:pPr>
      <w:r w:rsidRPr="00FC3775">
        <w:rPr>
          <w:i/>
        </w:rPr>
        <w:t>Domestic Building Contracts Act 1995</w:t>
      </w:r>
    </w:p>
    <w:p w14:paraId="599FB7BA" w14:textId="77777777" w:rsidR="0047337F" w:rsidRPr="00FC3775" w:rsidRDefault="0047337F" w:rsidP="007061E8">
      <w:pPr>
        <w:numPr>
          <w:ilvl w:val="0"/>
          <w:numId w:val="17"/>
        </w:numPr>
        <w:spacing w:before="100" w:beforeAutospacing="1" w:after="60" w:line="240" w:lineRule="auto"/>
        <w:ind w:left="1077" w:hanging="357"/>
        <w:rPr>
          <w:i/>
        </w:rPr>
      </w:pPr>
      <w:r w:rsidRPr="00FC3775">
        <w:rPr>
          <w:i/>
        </w:rPr>
        <w:t>Estate Agents Act 1980</w:t>
      </w:r>
    </w:p>
    <w:p w14:paraId="5F584E7C" w14:textId="77777777" w:rsidR="0047337F" w:rsidRPr="00FC3775" w:rsidRDefault="0047337F" w:rsidP="007061E8">
      <w:pPr>
        <w:numPr>
          <w:ilvl w:val="0"/>
          <w:numId w:val="17"/>
        </w:numPr>
        <w:spacing w:before="100" w:beforeAutospacing="1" w:after="60" w:line="240" w:lineRule="auto"/>
        <w:ind w:left="1077" w:hanging="357"/>
        <w:rPr>
          <w:i/>
        </w:rPr>
      </w:pPr>
      <w:r w:rsidRPr="00FC3775">
        <w:rPr>
          <w:i/>
        </w:rPr>
        <w:t>Fundraising Act 1998</w:t>
      </w:r>
    </w:p>
    <w:p w14:paraId="59C7C4CF" w14:textId="77777777" w:rsidR="0047337F" w:rsidRPr="00FC3775" w:rsidRDefault="0047337F" w:rsidP="007061E8">
      <w:pPr>
        <w:numPr>
          <w:ilvl w:val="0"/>
          <w:numId w:val="17"/>
        </w:numPr>
        <w:spacing w:before="100" w:beforeAutospacing="1" w:after="60" w:line="240" w:lineRule="auto"/>
        <w:ind w:left="1077" w:hanging="357"/>
        <w:rPr>
          <w:i/>
        </w:rPr>
      </w:pPr>
      <w:r w:rsidRPr="00FC3775">
        <w:rPr>
          <w:i/>
        </w:rPr>
        <w:t>Motor Car Traders Act 1986</w:t>
      </w:r>
    </w:p>
    <w:p w14:paraId="5FD62A44" w14:textId="77777777" w:rsidR="0047337F" w:rsidRPr="00FC3775" w:rsidRDefault="0047337F" w:rsidP="007061E8">
      <w:pPr>
        <w:numPr>
          <w:ilvl w:val="0"/>
          <w:numId w:val="17"/>
        </w:numPr>
        <w:spacing w:before="100" w:beforeAutospacing="1" w:after="60" w:line="240" w:lineRule="auto"/>
        <w:ind w:left="1077" w:hanging="357"/>
        <w:rPr>
          <w:i/>
        </w:rPr>
      </w:pPr>
      <w:r w:rsidRPr="00FC3775">
        <w:rPr>
          <w:i/>
        </w:rPr>
        <w:t>Residential Tenancies Act 1997</w:t>
      </w:r>
    </w:p>
    <w:p w14:paraId="36205037" w14:textId="77777777" w:rsidR="0047337F" w:rsidRPr="00FC3775" w:rsidRDefault="0047337F" w:rsidP="007061E8">
      <w:pPr>
        <w:numPr>
          <w:ilvl w:val="0"/>
          <w:numId w:val="17"/>
        </w:numPr>
        <w:spacing w:before="100" w:beforeAutospacing="1" w:after="60" w:line="240" w:lineRule="auto"/>
        <w:ind w:left="1077" w:hanging="357"/>
        <w:rPr>
          <w:i/>
        </w:rPr>
      </w:pPr>
      <w:r w:rsidRPr="00FC3775">
        <w:rPr>
          <w:i/>
        </w:rPr>
        <w:t>Retirement Villages Act 1986</w:t>
      </w:r>
    </w:p>
    <w:p w14:paraId="10B21BD6" w14:textId="77777777" w:rsidR="0047337F" w:rsidRPr="00FC3775" w:rsidRDefault="0047337F" w:rsidP="007061E8">
      <w:pPr>
        <w:numPr>
          <w:ilvl w:val="0"/>
          <w:numId w:val="17"/>
        </w:numPr>
        <w:spacing w:before="100" w:beforeAutospacing="1" w:after="60" w:line="240" w:lineRule="auto"/>
        <w:ind w:left="1077" w:hanging="357"/>
        <w:rPr>
          <w:i/>
        </w:rPr>
      </w:pPr>
      <w:r w:rsidRPr="00FC3775">
        <w:rPr>
          <w:i/>
        </w:rPr>
        <w:t>Sex Work Act 1994 and</w:t>
      </w:r>
    </w:p>
    <w:p w14:paraId="1BE289A8" w14:textId="2E8EDF64" w:rsidR="0047337F" w:rsidRDefault="0047337F" w:rsidP="007061E8">
      <w:pPr>
        <w:numPr>
          <w:ilvl w:val="0"/>
          <w:numId w:val="17"/>
        </w:numPr>
        <w:spacing w:before="100" w:beforeAutospacing="1" w:after="60" w:line="240" w:lineRule="auto"/>
        <w:ind w:left="1077" w:hanging="357"/>
      </w:pPr>
      <w:bookmarkStart w:id="2" w:name="_Hlk12287625"/>
      <w:r>
        <w:t xml:space="preserve">other legislation </w:t>
      </w:r>
      <w:r w:rsidR="001026C4">
        <w:t xml:space="preserve">we </w:t>
      </w:r>
      <w:r>
        <w:t>administer.</w:t>
      </w:r>
      <w:r>
        <w:rPr>
          <w:rStyle w:val="FootnoteReference"/>
        </w:rPr>
        <w:footnoteReference w:id="1"/>
      </w:r>
    </w:p>
    <w:bookmarkEnd w:id="2"/>
    <w:p w14:paraId="7A50093B" w14:textId="77777777" w:rsidR="007061E8" w:rsidRDefault="007061E8" w:rsidP="0047337F"/>
    <w:p w14:paraId="5CC7AC40" w14:textId="2E76AA9B" w:rsidR="0047337F" w:rsidRDefault="0047337F" w:rsidP="0047337F">
      <w:r>
        <w:t xml:space="preserve">The guidelines are to be read in the context of, and subject to, the </w:t>
      </w:r>
      <w:bookmarkStart w:id="3" w:name="_Hlk15470467"/>
      <w:r w:rsidR="00C00725">
        <w:rPr>
          <w:i/>
        </w:rPr>
        <w:fldChar w:fldCharType="begin"/>
      </w:r>
      <w:r w:rsidR="00C00725">
        <w:rPr>
          <w:i/>
        </w:rPr>
        <w:instrText xml:space="preserve"> HYPERLINK "https://www.consumer.vic.gov.au/about-us/regulatory-approach-and-compliance-policy/our-compliance-policy" </w:instrText>
      </w:r>
      <w:r w:rsidR="00C00725">
        <w:rPr>
          <w:i/>
        </w:rPr>
        <w:fldChar w:fldCharType="separate"/>
      </w:r>
      <w:r w:rsidRPr="00C00725">
        <w:rPr>
          <w:rStyle w:val="Hyperlink"/>
          <w:i/>
        </w:rPr>
        <w:t>Consumer Affairs Victoria Regulatory Approach and Compliance Policy</w:t>
      </w:r>
      <w:r w:rsidR="00C00725">
        <w:rPr>
          <w:i/>
        </w:rPr>
        <w:fldChar w:fldCharType="end"/>
      </w:r>
      <w:bookmarkEnd w:id="3"/>
      <w:r>
        <w:t xml:space="preserve">.  </w:t>
      </w:r>
    </w:p>
    <w:p w14:paraId="7085A580" w14:textId="77777777" w:rsidR="00975EDE" w:rsidRDefault="0047337F" w:rsidP="0047337F">
      <w:r>
        <w:t xml:space="preserve">The power to commence a criminal prosecution is one of many enforcement options available to the Director. These guidelines </w:t>
      </w:r>
    </w:p>
    <w:p w14:paraId="7327F242" w14:textId="260031DD" w:rsidR="0047337F" w:rsidRDefault="0047337F" w:rsidP="0047337F">
      <w:r>
        <w:t>do not limit in any way the Director's discretion to use any enforcement option deemed appropriate.</w:t>
      </w:r>
      <w:r>
        <w:rPr>
          <w:rStyle w:val="FootnoteReference"/>
        </w:rPr>
        <w:footnoteReference w:id="2"/>
      </w:r>
      <w:r>
        <w:t xml:space="preserve">  </w:t>
      </w:r>
    </w:p>
    <w:p w14:paraId="5E85B41A" w14:textId="0A887A5E" w:rsidR="00CB0224" w:rsidRDefault="001026C4" w:rsidP="0047337F">
      <w:r>
        <w:t xml:space="preserve">We </w:t>
      </w:r>
      <w:proofErr w:type="spellStart"/>
      <w:r w:rsidR="0047337F">
        <w:t>recognise</w:t>
      </w:r>
      <w:proofErr w:type="spellEnd"/>
      <w:r w:rsidR="0047337F">
        <w:t xml:space="preserve"> that when filing a criminal charge or conducting a criminal prosecution</w:t>
      </w:r>
      <w:r w:rsidR="007E40B9">
        <w:t>, CAV</w:t>
      </w:r>
      <w:r w:rsidR="0047337F">
        <w:t xml:space="preserve"> is functioning as a prosecution agency within the criminal justice system. </w:t>
      </w:r>
      <w:r w:rsidR="007E40B9" w:rsidRPr="00C00725">
        <w:t xml:space="preserve">We </w:t>
      </w:r>
      <w:r w:rsidR="00C00725">
        <w:t>comply with the Victorian model litigant guidelines</w:t>
      </w:r>
      <w:r w:rsidR="0047337F">
        <w:t xml:space="preserve">.  </w:t>
      </w:r>
    </w:p>
    <w:p w14:paraId="28B852EA" w14:textId="41500381" w:rsidR="0047337F" w:rsidRDefault="0047337F" w:rsidP="0047337F">
      <w:r>
        <w:t>The</w:t>
      </w:r>
      <w:r w:rsidR="00B46B07">
        <w:t xml:space="preserve"> aim of these </w:t>
      </w:r>
      <w:r>
        <w:t xml:space="preserve">guidelines </w:t>
      </w:r>
      <w:r w:rsidR="00B46B07">
        <w:t xml:space="preserve">is to provide </w:t>
      </w:r>
      <w:r>
        <w:t xml:space="preserve">clarity on the processes and considerations </w:t>
      </w:r>
      <w:r w:rsidR="007E40B9">
        <w:t xml:space="preserve">we </w:t>
      </w:r>
      <w:proofErr w:type="gramStart"/>
      <w:r>
        <w:t>take into account</w:t>
      </w:r>
      <w:proofErr w:type="gramEnd"/>
      <w:r>
        <w:t xml:space="preserve"> throughout a criminal prosecution</w:t>
      </w:r>
      <w:r w:rsidR="007E40B9">
        <w:t>,</w:t>
      </w:r>
      <w:r>
        <w:t xml:space="preserve"> </w:t>
      </w:r>
      <w:r w:rsidR="007E40B9">
        <w:t>and to</w:t>
      </w:r>
      <w:r w:rsidRPr="0044328E">
        <w:t xml:space="preserve"> ensur</w:t>
      </w:r>
      <w:r w:rsidR="007E40B9">
        <w:t>e</w:t>
      </w:r>
      <w:r w:rsidRPr="0044328E">
        <w:t xml:space="preserve"> consiste</w:t>
      </w:r>
      <w:bookmarkStart w:id="4" w:name="_GoBack"/>
      <w:bookmarkEnd w:id="4"/>
      <w:r w:rsidRPr="0044328E">
        <w:t xml:space="preserve">ncy in </w:t>
      </w:r>
      <w:r w:rsidR="007E40B9">
        <w:t xml:space="preserve">our </w:t>
      </w:r>
      <w:r w:rsidRPr="0044328E">
        <w:t xml:space="preserve">approach </w:t>
      </w:r>
      <w:r w:rsidR="007E40B9">
        <w:t>with</w:t>
      </w:r>
      <w:r w:rsidR="00237804">
        <w:t xml:space="preserve"> these matters</w:t>
      </w:r>
      <w:r w:rsidRPr="0044328E">
        <w:t>.</w:t>
      </w:r>
      <w:r w:rsidR="007061E8">
        <w:t xml:space="preserve"> </w:t>
      </w:r>
      <w:r>
        <w:t xml:space="preserve">The guidelines are modelled on the </w:t>
      </w:r>
      <w:r w:rsidRPr="00E91876">
        <w:rPr>
          <w:i/>
        </w:rPr>
        <w:t>Policy of the Director of Public Prosecutions for Victoria</w:t>
      </w:r>
      <w:r>
        <w:t xml:space="preserve"> (DPP Policy).</w:t>
      </w:r>
      <w:r>
        <w:rPr>
          <w:rStyle w:val="FootnoteReference"/>
        </w:rPr>
        <w:footnoteReference w:id="3"/>
      </w:r>
      <w:r>
        <w:t xml:space="preserve"> </w:t>
      </w:r>
    </w:p>
    <w:p w14:paraId="425195D4" w14:textId="31F33E2E" w:rsidR="0047337F" w:rsidRPr="00893B57" w:rsidRDefault="0047337F" w:rsidP="00EE6366">
      <w:pPr>
        <w:pStyle w:val="Heading1"/>
      </w:pPr>
      <w:r>
        <w:br w:type="page"/>
      </w:r>
      <w:bookmarkStart w:id="5" w:name="_Toc14170687"/>
      <w:r w:rsidRPr="00893B57">
        <w:lastRenderedPageBreak/>
        <w:t>1.</w:t>
      </w:r>
      <w:r w:rsidRPr="00893B57">
        <w:tab/>
        <w:t xml:space="preserve">Prosecutorial </w:t>
      </w:r>
      <w:r w:rsidR="007E40B9">
        <w:t>d</w:t>
      </w:r>
      <w:r w:rsidRPr="00893B57">
        <w:t>iscretion</w:t>
      </w:r>
      <w:bookmarkEnd w:id="5"/>
    </w:p>
    <w:p w14:paraId="0F878185" w14:textId="724AEF72" w:rsidR="0047337F" w:rsidRDefault="0047337F" w:rsidP="0047337F">
      <w:pPr>
        <w:spacing w:before="100" w:beforeAutospacing="1" w:after="100" w:afterAutospacing="1"/>
      </w:pPr>
      <w:r>
        <w:t xml:space="preserve">The decision to </w:t>
      </w:r>
      <w:r w:rsidR="00237804">
        <w:t xml:space="preserve">proceed (or </w:t>
      </w:r>
      <w:r w:rsidR="00FB6DE6">
        <w:t>not to proceed)</w:t>
      </w:r>
      <w:r w:rsidR="00FB6DE6" w:rsidRPr="00FB6DE6">
        <w:t xml:space="preserve"> </w:t>
      </w:r>
      <w:r w:rsidR="00FB6DE6">
        <w:t xml:space="preserve">with </w:t>
      </w:r>
      <w:r>
        <w:t>a criminal prosecution resides with the Director of Consumer Affairs Victoria (</w:t>
      </w:r>
      <w:r w:rsidR="00AC49DC">
        <w:t xml:space="preserve">“the </w:t>
      </w:r>
      <w:r>
        <w:t>Director</w:t>
      </w:r>
      <w:r w:rsidR="00AC49DC">
        <w:t>”</w:t>
      </w:r>
      <w:r>
        <w:t>). In accordance with sections 3.</w:t>
      </w:r>
      <w:r w:rsidR="00EC1093">
        <w:t>3–</w:t>
      </w:r>
      <w:r>
        <w:t>3.</w:t>
      </w:r>
      <w:r w:rsidR="00EC1093">
        <w:t>5</w:t>
      </w:r>
      <w:r>
        <w:t xml:space="preserve"> of the </w:t>
      </w:r>
      <w:r w:rsidRPr="00E91876">
        <w:rPr>
          <w:i/>
        </w:rPr>
        <w:t>Consumer Affairs Victoria Regulatory Approach and Compliance Policy</w:t>
      </w:r>
      <w:r>
        <w:t>, a criminal prosecution will be contemplated in circumstances where:</w:t>
      </w:r>
    </w:p>
    <w:p w14:paraId="5C8097E4" w14:textId="77777777" w:rsidR="0047337F" w:rsidRDefault="0047337F" w:rsidP="001948DA">
      <w:pPr>
        <w:numPr>
          <w:ilvl w:val="0"/>
          <w:numId w:val="17"/>
        </w:numPr>
        <w:spacing w:before="100" w:beforeAutospacing="1" w:after="60" w:line="240" w:lineRule="auto"/>
      </w:pPr>
      <w:r>
        <w:t xml:space="preserve">there is a reasonable likelihood the conduct would constitute an offence against the </w:t>
      </w:r>
      <w:r w:rsidRPr="00E91876">
        <w:rPr>
          <w:i/>
        </w:rPr>
        <w:t xml:space="preserve">Australian Consumer Law </w:t>
      </w:r>
      <w:r>
        <w:t>(Victoria) or other Consumer Acts</w:t>
      </w:r>
      <w:r>
        <w:rPr>
          <w:rStyle w:val="FootnoteReference"/>
        </w:rPr>
        <w:footnoteReference w:id="4"/>
      </w:r>
    </w:p>
    <w:p w14:paraId="4C4FF818" w14:textId="77777777" w:rsidR="0047337F" w:rsidRDefault="0047337F" w:rsidP="001948DA">
      <w:pPr>
        <w:numPr>
          <w:ilvl w:val="0"/>
          <w:numId w:val="17"/>
        </w:numPr>
        <w:spacing w:before="100" w:beforeAutospacing="1" w:after="60" w:line="240" w:lineRule="auto"/>
      </w:pPr>
      <w:r>
        <w:t>the conduct is serious and there is evidence of, or potential for, a high degree of consumer harm, particularly where the conduct is ongoing</w:t>
      </w:r>
    </w:p>
    <w:p w14:paraId="32ED8AA2" w14:textId="77777777" w:rsidR="0047337F" w:rsidRDefault="0047337F" w:rsidP="001948DA">
      <w:pPr>
        <w:numPr>
          <w:ilvl w:val="0"/>
          <w:numId w:val="17"/>
        </w:numPr>
        <w:spacing w:before="100" w:beforeAutospacing="1" w:after="60" w:line="240" w:lineRule="auto"/>
      </w:pPr>
      <w:r>
        <w:t>the conduct demonstrates a blatant disregard for the law</w:t>
      </w:r>
    </w:p>
    <w:p w14:paraId="5DEC417D" w14:textId="77777777" w:rsidR="0047337F" w:rsidRDefault="0047337F" w:rsidP="001948DA">
      <w:pPr>
        <w:numPr>
          <w:ilvl w:val="0"/>
          <w:numId w:val="17"/>
        </w:numPr>
        <w:spacing w:before="100" w:beforeAutospacing="1" w:after="60" w:line="240" w:lineRule="auto"/>
      </w:pPr>
      <w:r>
        <w:t>special circumstances exist, such as conduct affecting vulnerable or disadvantaged groups</w:t>
      </w:r>
    </w:p>
    <w:p w14:paraId="4B99540B" w14:textId="77777777" w:rsidR="0047337F" w:rsidRDefault="0047337F" w:rsidP="001948DA">
      <w:pPr>
        <w:numPr>
          <w:ilvl w:val="0"/>
          <w:numId w:val="17"/>
        </w:numPr>
        <w:spacing w:before="100" w:beforeAutospacing="1" w:after="60" w:line="240" w:lineRule="auto"/>
        <w:ind w:left="1077" w:hanging="357"/>
      </w:pPr>
      <w:r>
        <w:t>the conduct is industry-wide, or involves a new or emerging issue or has a significant impact on market integrity</w:t>
      </w:r>
    </w:p>
    <w:p w14:paraId="5439F898" w14:textId="77777777" w:rsidR="0047337F" w:rsidRDefault="0047337F" w:rsidP="001948DA">
      <w:pPr>
        <w:numPr>
          <w:ilvl w:val="0"/>
          <w:numId w:val="17"/>
        </w:numPr>
        <w:spacing w:before="100" w:beforeAutospacing="1" w:after="60" w:line="240" w:lineRule="auto"/>
        <w:ind w:left="1077" w:hanging="357"/>
      </w:pPr>
      <w:r>
        <w:t>a criminal prosecution is likely to have a worthwhile educative or deterrent effect</w:t>
      </w:r>
    </w:p>
    <w:p w14:paraId="4F02CDD0" w14:textId="77777777" w:rsidR="0047337F" w:rsidRDefault="0047337F" w:rsidP="001948DA">
      <w:pPr>
        <w:numPr>
          <w:ilvl w:val="0"/>
          <w:numId w:val="17"/>
        </w:numPr>
        <w:spacing w:before="100" w:beforeAutospacing="1" w:after="60" w:line="240" w:lineRule="auto"/>
      </w:pPr>
      <w:r>
        <w:t>other modes of ensuring compliance are not appropriate</w:t>
      </w:r>
    </w:p>
    <w:p w14:paraId="399E824C" w14:textId="77777777" w:rsidR="0047337F" w:rsidRDefault="0047337F" w:rsidP="001948DA">
      <w:pPr>
        <w:numPr>
          <w:ilvl w:val="0"/>
          <w:numId w:val="17"/>
        </w:numPr>
        <w:spacing w:before="100" w:beforeAutospacing="1" w:after="60" w:line="240" w:lineRule="auto"/>
      </w:pPr>
      <w:r>
        <w:t>the imposition of a criminal sanction is appropriate.</w:t>
      </w:r>
    </w:p>
    <w:p w14:paraId="10F9805E" w14:textId="77777777" w:rsidR="0047337F" w:rsidRDefault="0047337F" w:rsidP="00503586">
      <w:pPr>
        <w:spacing w:before="100" w:beforeAutospacing="1" w:after="100" w:afterAutospacing="1"/>
      </w:pPr>
      <w:r>
        <w:t>Where a criminal prosecution is considered the appropriate action, such prosecution must only proceed where:</w:t>
      </w:r>
    </w:p>
    <w:p w14:paraId="4EBE590F" w14:textId="77777777" w:rsidR="0047337F" w:rsidRDefault="0047337F" w:rsidP="001948DA">
      <w:pPr>
        <w:numPr>
          <w:ilvl w:val="0"/>
          <w:numId w:val="17"/>
        </w:numPr>
        <w:spacing w:before="100" w:beforeAutospacing="1" w:after="60" w:line="240" w:lineRule="auto"/>
        <w:ind w:left="1077" w:hanging="357"/>
      </w:pPr>
      <w:r>
        <w:t>there is a reasonable prospect of a conviction and</w:t>
      </w:r>
    </w:p>
    <w:p w14:paraId="776B7627" w14:textId="77777777" w:rsidR="0047337F" w:rsidRDefault="0047337F" w:rsidP="001948DA">
      <w:pPr>
        <w:numPr>
          <w:ilvl w:val="0"/>
          <w:numId w:val="17"/>
        </w:numPr>
        <w:spacing w:before="100" w:beforeAutospacing="1" w:after="60" w:line="240" w:lineRule="auto"/>
        <w:ind w:left="1077" w:hanging="357"/>
      </w:pPr>
      <w:r>
        <w:t>it is in the public interest to conduct a prosecution.</w:t>
      </w:r>
    </w:p>
    <w:p w14:paraId="70A0B0F9" w14:textId="77E7ED69" w:rsidR="0047337F" w:rsidRDefault="00496286" w:rsidP="00EE6366">
      <w:pPr>
        <w:pStyle w:val="Heading2"/>
      </w:pPr>
      <w:bookmarkStart w:id="6" w:name="_Toc14170688"/>
      <w:r>
        <w:t xml:space="preserve">1.1 </w:t>
      </w:r>
      <w:r w:rsidR="0047337F">
        <w:t xml:space="preserve">A </w:t>
      </w:r>
      <w:r w:rsidR="00AB31F8">
        <w:t>r</w:t>
      </w:r>
      <w:r w:rsidR="0047337F" w:rsidRPr="00EE6366">
        <w:t>easonable</w:t>
      </w:r>
      <w:r w:rsidR="0047337F">
        <w:t xml:space="preserve"> </w:t>
      </w:r>
      <w:r w:rsidR="00AB31F8">
        <w:t>p</w:t>
      </w:r>
      <w:r w:rsidR="0047337F">
        <w:t xml:space="preserve">rospect of </w:t>
      </w:r>
      <w:r w:rsidR="00AB31F8">
        <w:t>c</w:t>
      </w:r>
      <w:r w:rsidR="0047337F">
        <w:t>onviction</w:t>
      </w:r>
      <w:bookmarkEnd w:id="6"/>
    </w:p>
    <w:p w14:paraId="5FB23591" w14:textId="3FD0D43C" w:rsidR="0047337F" w:rsidRDefault="0047337F" w:rsidP="0047337F">
      <w:r>
        <w:t xml:space="preserve">When determining whether a prosecution has a reasonable prospect of conviction, </w:t>
      </w:r>
      <w:r w:rsidR="00AB4191">
        <w:t xml:space="preserve">we will </w:t>
      </w:r>
      <w:r>
        <w:t>consider:</w:t>
      </w:r>
      <w:r>
        <w:rPr>
          <w:rStyle w:val="FootnoteReference"/>
        </w:rPr>
        <w:footnoteReference w:id="5"/>
      </w:r>
    </w:p>
    <w:p w14:paraId="52BDF848" w14:textId="77777777" w:rsidR="0047337F" w:rsidRPr="004F3CD7" w:rsidRDefault="0047337F" w:rsidP="001948DA">
      <w:pPr>
        <w:numPr>
          <w:ilvl w:val="0"/>
          <w:numId w:val="17"/>
        </w:numPr>
        <w:spacing w:before="100" w:beforeAutospacing="1" w:after="60" w:line="240" w:lineRule="auto"/>
        <w:ind w:left="1077" w:hanging="357"/>
      </w:pPr>
      <w:r>
        <w:t>a</w:t>
      </w:r>
      <w:r w:rsidRPr="004F3CD7">
        <w:t>ll the admissible evidence</w:t>
      </w:r>
    </w:p>
    <w:p w14:paraId="5CEABE9E" w14:textId="77777777" w:rsidR="0047337F" w:rsidRDefault="0047337F" w:rsidP="001948DA">
      <w:pPr>
        <w:numPr>
          <w:ilvl w:val="0"/>
          <w:numId w:val="17"/>
        </w:numPr>
        <w:spacing w:before="100" w:beforeAutospacing="1" w:after="60" w:line="240" w:lineRule="auto"/>
        <w:ind w:left="1077" w:hanging="357"/>
      </w:pPr>
      <w:r>
        <w:t>t</w:t>
      </w:r>
      <w:r w:rsidRPr="004F3CD7">
        <w:t>he possibility of evidence being excluded</w:t>
      </w:r>
    </w:p>
    <w:p w14:paraId="349F92C8" w14:textId="77777777" w:rsidR="00FB6DE6" w:rsidRPr="004F3CD7" w:rsidRDefault="00FB6DE6" w:rsidP="001948DA">
      <w:pPr>
        <w:numPr>
          <w:ilvl w:val="0"/>
          <w:numId w:val="17"/>
        </w:numPr>
        <w:spacing w:before="100" w:beforeAutospacing="1" w:after="60" w:line="240" w:lineRule="auto"/>
        <w:ind w:left="1077" w:hanging="357"/>
      </w:pPr>
      <w:r>
        <w:t>w</w:t>
      </w:r>
      <w:r w:rsidRPr="004F3CD7">
        <w:t xml:space="preserve">hether there is any reason to suspect that evidence </w:t>
      </w:r>
      <w:r>
        <w:t>may</w:t>
      </w:r>
      <w:r w:rsidRPr="004F3CD7">
        <w:t xml:space="preserve"> have been concocted</w:t>
      </w:r>
    </w:p>
    <w:p w14:paraId="68CEE542" w14:textId="77777777" w:rsidR="00FB6DE6" w:rsidRPr="004F3CD7" w:rsidRDefault="00FB6DE6" w:rsidP="001948DA">
      <w:pPr>
        <w:numPr>
          <w:ilvl w:val="0"/>
          <w:numId w:val="17"/>
        </w:numPr>
        <w:spacing w:before="100" w:beforeAutospacing="1" w:after="60" w:line="240" w:lineRule="auto"/>
        <w:ind w:left="1077" w:hanging="357"/>
      </w:pPr>
      <w:r>
        <w:t>a</w:t>
      </w:r>
      <w:r w:rsidRPr="004F3CD7">
        <w:t>ny possible contamination of evidence</w:t>
      </w:r>
    </w:p>
    <w:p w14:paraId="643E16AD" w14:textId="77777777" w:rsidR="00FB6DE6" w:rsidRDefault="00FB6DE6" w:rsidP="001948DA">
      <w:pPr>
        <w:numPr>
          <w:ilvl w:val="0"/>
          <w:numId w:val="17"/>
        </w:numPr>
        <w:spacing w:before="100" w:beforeAutospacing="1" w:after="60" w:line="240" w:lineRule="auto"/>
        <w:ind w:left="1077" w:hanging="357"/>
      </w:pPr>
      <w:r>
        <w:t>t</w:t>
      </w:r>
      <w:r w:rsidRPr="004F3CD7">
        <w:t>he reliability of the evidence</w:t>
      </w:r>
    </w:p>
    <w:p w14:paraId="3CF8D4CC" w14:textId="77777777" w:rsidR="0047337F" w:rsidRPr="004F3CD7" w:rsidRDefault="0047337F" w:rsidP="001948DA">
      <w:pPr>
        <w:numPr>
          <w:ilvl w:val="0"/>
          <w:numId w:val="17"/>
        </w:numPr>
        <w:spacing w:before="100" w:beforeAutospacing="1" w:after="60" w:line="240" w:lineRule="auto"/>
        <w:ind w:left="1077" w:hanging="357"/>
      </w:pPr>
      <w:r>
        <w:t>w</w:t>
      </w:r>
      <w:r w:rsidRPr="004F3CD7">
        <w:t>hether the prosecution witnesses are available, competent and compellable</w:t>
      </w:r>
    </w:p>
    <w:p w14:paraId="310869CE" w14:textId="77777777" w:rsidR="0047337F" w:rsidRPr="004F3CD7" w:rsidRDefault="0047337F" w:rsidP="001948DA">
      <w:pPr>
        <w:numPr>
          <w:ilvl w:val="0"/>
          <w:numId w:val="17"/>
        </w:numPr>
        <w:spacing w:before="100" w:beforeAutospacing="1" w:after="60" w:line="240" w:lineRule="auto"/>
        <w:ind w:left="1077" w:hanging="357"/>
      </w:pPr>
      <w:r>
        <w:t>t</w:t>
      </w:r>
      <w:r w:rsidRPr="004F3CD7">
        <w:t>he credibility and reliability of the prosecution witnesses</w:t>
      </w:r>
    </w:p>
    <w:p w14:paraId="2ACFD98E" w14:textId="77777777" w:rsidR="0047337F" w:rsidRPr="004F3CD7" w:rsidRDefault="0047337F" w:rsidP="001948DA">
      <w:pPr>
        <w:numPr>
          <w:ilvl w:val="0"/>
          <w:numId w:val="17"/>
        </w:numPr>
        <w:spacing w:before="100" w:beforeAutospacing="1" w:after="60" w:line="240" w:lineRule="auto"/>
        <w:ind w:left="1077" w:hanging="357"/>
      </w:pPr>
      <w:r>
        <w:t>a</w:t>
      </w:r>
      <w:r w:rsidRPr="004F3CD7">
        <w:t>ny substantive conflict between eye-witnesses</w:t>
      </w:r>
    </w:p>
    <w:p w14:paraId="02D9EEA3" w14:textId="77777777" w:rsidR="0047337F" w:rsidRPr="004F3CD7" w:rsidRDefault="0047337F" w:rsidP="001948DA">
      <w:pPr>
        <w:numPr>
          <w:ilvl w:val="0"/>
          <w:numId w:val="17"/>
        </w:numPr>
        <w:spacing w:before="100" w:beforeAutospacing="1" w:after="60" w:line="240" w:lineRule="auto"/>
        <w:ind w:left="1077" w:hanging="357"/>
      </w:pPr>
      <w:r>
        <w:t>h</w:t>
      </w:r>
      <w:r w:rsidRPr="004F3CD7">
        <w:t>ow the witnesses are likely to stand up to giving evidence in court</w:t>
      </w:r>
    </w:p>
    <w:p w14:paraId="7DA492B7" w14:textId="77777777" w:rsidR="00FB6DE6" w:rsidRPr="004F3CD7" w:rsidRDefault="00FB6DE6" w:rsidP="001948DA">
      <w:pPr>
        <w:numPr>
          <w:ilvl w:val="0"/>
          <w:numId w:val="17"/>
        </w:numPr>
        <w:spacing w:before="100" w:beforeAutospacing="1" w:after="60" w:line="240" w:lineRule="auto"/>
        <w:ind w:left="1077" w:hanging="357"/>
      </w:pPr>
      <w:r>
        <w:t>a</w:t>
      </w:r>
      <w:r w:rsidRPr="004F3CD7">
        <w:t xml:space="preserve">ny possible </w:t>
      </w:r>
      <w:proofErr w:type="spellStart"/>
      <w:r w:rsidRPr="004F3CD7">
        <w:t>defence</w:t>
      </w:r>
      <w:proofErr w:type="spellEnd"/>
      <w:r>
        <w:t xml:space="preserve"> </w:t>
      </w:r>
    </w:p>
    <w:p w14:paraId="2D9D7CD5" w14:textId="77777777" w:rsidR="0047337F" w:rsidRPr="004F3CD7" w:rsidRDefault="0047337F" w:rsidP="001948DA">
      <w:pPr>
        <w:numPr>
          <w:ilvl w:val="0"/>
          <w:numId w:val="17"/>
        </w:numPr>
        <w:spacing w:before="100" w:beforeAutospacing="1" w:after="60" w:line="240" w:lineRule="auto"/>
        <w:ind w:left="1077" w:hanging="357"/>
      </w:pPr>
      <w:r>
        <w:t>a</w:t>
      </w:r>
      <w:r w:rsidRPr="004F3CD7">
        <w:t>ny other matter relevant to whether a jury or magistrate would find the person guilty.</w:t>
      </w:r>
    </w:p>
    <w:p w14:paraId="0DCAB5A6" w14:textId="496AEA52" w:rsidR="0047337F" w:rsidRPr="00E459A3" w:rsidRDefault="0047337F" w:rsidP="00CB0224">
      <w:pPr>
        <w:pStyle w:val="Heading2"/>
      </w:pPr>
      <w:bookmarkStart w:id="7" w:name="_Toc14170689"/>
      <w:r w:rsidRPr="00E459A3">
        <w:lastRenderedPageBreak/>
        <w:t xml:space="preserve">1.2 </w:t>
      </w:r>
      <w:r>
        <w:tab/>
      </w:r>
      <w:r w:rsidRPr="00E459A3">
        <w:t xml:space="preserve">Public </w:t>
      </w:r>
      <w:r w:rsidR="00AB4191">
        <w:t>i</w:t>
      </w:r>
      <w:r w:rsidRPr="00E459A3">
        <w:t>nterest</w:t>
      </w:r>
      <w:bookmarkEnd w:id="7"/>
    </w:p>
    <w:p w14:paraId="34A7529C" w14:textId="35A3482D" w:rsidR="0047337F" w:rsidRDefault="0047337F" w:rsidP="0047337F">
      <w:r>
        <w:t>Where a reasonable prospect of a conviction exists, consideration must be given to whether the prosecution is in the public interest.</w:t>
      </w:r>
      <w:r>
        <w:rPr>
          <w:rStyle w:val="FootnoteReference"/>
        </w:rPr>
        <w:footnoteReference w:id="6"/>
      </w:r>
      <w:r>
        <w:t xml:space="preserve"> Only where the public interest factors against a prosecution outweigh those in favour, will a prosecution not proceed.  </w:t>
      </w:r>
    </w:p>
    <w:p w14:paraId="1218F215" w14:textId="77777777" w:rsidR="0047337F" w:rsidRDefault="0047337F" w:rsidP="0047337F">
      <w:r>
        <w:t>Other public interest factors relevant to a decision to commence a criminal prosecution include but are not limited to:</w:t>
      </w:r>
      <w:r>
        <w:rPr>
          <w:rStyle w:val="FootnoteReference"/>
        </w:rPr>
        <w:footnoteReference w:id="7"/>
      </w:r>
    </w:p>
    <w:p w14:paraId="620BC713" w14:textId="77777777" w:rsidR="0047337F" w:rsidRPr="00B11566" w:rsidRDefault="0047337F" w:rsidP="00B11566">
      <w:pPr>
        <w:spacing w:before="100" w:beforeAutospacing="1" w:after="100" w:afterAutospacing="1" w:line="240" w:lineRule="auto"/>
        <w:rPr>
          <w:i/>
        </w:rPr>
      </w:pPr>
      <w:r w:rsidRPr="00B11566">
        <w:rPr>
          <w:i/>
        </w:rPr>
        <w:t>Offence related factors:</w:t>
      </w:r>
    </w:p>
    <w:p w14:paraId="78E10D9F" w14:textId="77777777" w:rsidR="0047337F" w:rsidRPr="004F3CD7" w:rsidRDefault="0047337F" w:rsidP="00541C09">
      <w:pPr>
        <w:pStyle w:val="ListParagraph"/>
        <w:numPr>
          <w:ilvl w:val="0"/>
          <w:numId w:val="23"/>
        </w:numPr>
        <w:spacing w:before="100" w:beforeAutospacing="1" w:after="60" w:line="240" w:lineRule="auto"/>
        <w:ind w:left="714" w:hanging="357"/>
      </w:pPr>
      <w:r>
        <w:t>t</w:t>
      </w:r>
      <w:r w:rsidRPr="004F3CD7">
        <w:t>he seriousness of the offence</w:t>
      </w:r>
    </w:p>
    <w:p w14:paraId="6CD49847" w14:textId="77777777" w:rsidR="0047337F" w:rsidRPr="004F3CD7" w:rsidRDefault="0047337F" w:rsidP="00541C09">
      <w:pPr>
        <w:pStyle w:val="ListParagraph"/>
        <w:numPr>
          <w:ilvl w:val="0"/>
          <w:numId w:val="23"/>
        </w:numPr>
        <w:spacing w:before="100" w:beforeAutospacing="1" w:after="60" w:line="240" w:lineRule="auto"/>
        <w:ind w:left="714" w:hanging="357"/>
      </w:pPr>
      <w:r>
        <w:t>w</w:t>
      </w:r>
      <w:r w:rsidRPr="004F3CD7">
        <w:t>hether the offence is of considerable public concern</w:t>
      </w:r>
    </w:p>
    <w:p w14:paraId="32E2BE06" w14:textId="77777777" w:rsidR="0047337F" w:rsidRPr="004F3CD7" w:rsidRDefault="0047337F" w:rsidP="00541C09">
      <w:pPr>
        <w:pStyle w:val="ListParagraph"/>
        <w:numPr>
          <w:ilvl w:val="0"/>
          <w:numId w:val="23"/>
        </w:numPr>
        <w:spacing w:before="100" w:beforeAutospacing="1" w:after="60" w:line="240" w:lineRule="auto"/>
        <w:ind w:left="714" w:hanging="357"/>
      </w:pPr>
      <w:r>
        <w:t>t</w:t>
      </w:r>
      <w:r w:rsidRPr="004F3CD7">
        <w:t>he age of the offence.</w:t>
      </w:r>
    </w:p>
    <w:p w14:paraId="3FA0CB1D" w14:textId="77777777" w:rsidR="0047337F" w:rsidRPr="00B11566" w:rsidRDefault="0047337F" w:rsidP="00B11566">
      <w:pPr>
        <w:spacing w:before="100" w:beforeAutospacing="1" w:after="100" w:afterAutospacing="1" w:line="240" w:lineRule="auto"/>
        <w:rPr>
          <w:i/>
        </w:rPr>
      </w:pPr>
      <w:r w:rsidRPr="00B11566">
        <w:rPr>
          <w:i/>
        </w:rPr>
        <w:t>Offender related factors:</w:t>
      </w:r>
    </w:p>
    <w:p w14:paraId="169CF6B2" w14:textId="77777777" w:rsidR="0047337F" w:rsidRPr="004F3CD7" w:rsidRDefault="0047337F" w:rsidP="00541C09">
      <w:pPr>
        <w:pStyle w:val="ListParagraph"/>
        <w:numPr>
          <w:ilvl w:val="0"/>
          <w:numId w:val="24"/>
        </w:numPr>
        <w:spacing w:before="100" w:beforeAutospacing="1" w:after="60" w:line="240" w:lineRule="auto"/>
        <w:ind w:left="714" w:hanging="357"/>
      </w:pPr>
      <w:r>
        <w:t>t</w:t>
      </w:r>
      <w:r w:rsidRPr="004F3CD7">
        <w:t>he culpability of the offender</w:t>
      </w:r>
    </w:p>
    <w:p w14:paraId="1EB0D85E" w14:textId="77777777" w:rsidR="0047337F" w:rsidRPr="004F3CD7" w:rsidRDefault="0047337F" w:rsidP="00541C09">
      <w:pPr>
        <w:pStyle w:val="ListParagraph"/>
        <w:numPr>
          <w:ilvl w:val="0"/>
          <w:numId w:val="24"/>
        </w:numPr>
        <w:spacing w:before="100" w:beforeAutospacing="1" w:after="60" w:line="240" w:lineRule="auto"/>
        <w:ind w:left="714" w:hanging="357"/>
      </w:pPr>
      <w:r>
        <w:t>t</w:t>
      </w:r>
      <w:r w:rsidRPr="004F3CD7">
        <w:t>he offender’s antecedents and background</w:t>
      </w:r>
    </w:p>
    <w:p w14:paraId="01694F7D" w14:textId="77777777" w:rsidR="0047337F" w:rsidRPr="004F3CD7" w:rsidRDefault="0047337F" w:rsidP="00541C09">
      <w:pPr>
        <w:pStyle w:val="ListParagraph"/>
        <w:numPr>
          <w:ilvl w:val="0"/>
          <w:numId w:val="24"/>
        </w:numPr>
        <w:spacing w:before="100" w:beforeAutospacing="1" w:after="60" w:line="240" w:lineRule="auto"/>
        <w:ind w:left="714" w:hanging="357"/>
      </w:pPr>
      <w:r>
        <w:t>t</w:t>
      </w:r>
      <w:r w:rsidRPr="004F3CD7">
        <w:t>he age, physical health, mental health or special infirmity of the offender</w:t>
      </w:r>
    </w:p>
    <w:p w14:paraId="401B30DF" w14:textId="023CBD01" w:rsidR="0047337F" w:rsidRPr="004F3CD7" w:rsidRDefault="0047337F" w:rsidP="00541C09">
      <w:pPr>
        <w:pStyle w:val="ListParagraph"/>
        <w:numPr>
          <w:ilvl w:val="0"/>
          <w:numId w:val="24"/>
        </w:numPr>
        <w:spacing w:before="100" w:beforeAutospacing="1" w:after="60" w:line="240" w:lineRule="auto"/>
        <w:ind w:left="714" w:hanging="357"/>
      </w:pPr>
      <w:r>
        <w:t>w</w:t>
      </w:r>
      <w:r w:rsidRPr="004F3CD7">
        <w:t>hether the offender is willing to cooperate in the investigation or prosecution of others, or the extent to which the offender has done so.</w:t>
      </w:r>
    </w:p>
    <w:p w14:paraId="6E2EB945" w14:textId="77777777" w:rsidR="0047337F" w:rsidRPr="00B11566" w:rsidRDefault="0047337F" w:rsidP="00B11566">
      <w:pPr>
        <w:spacing w:before="100" w:beforeAutospacing="1" w:after="100" w:afterAutospacing="1" w:line="240" w:lineRule="auto"/>
        <w:rPr>
          <w:i/>
        </w:rPr>
      </w:pPr>
      <w:r w:rsidRPr="00B11566">
        <w:rPr>
          <w:i/>
        </w:rPr>
        <w:t>Victim related factors:</w:t>
      </w:r>
    </w:p>
    <w:p w14:paraId="118684B4" w14:textId="77777777" w:rsidR="0047337F" w:rsidRPr="004F3CD7" w:rsidRDefault="0047337F" w:rsidP="00541C09">
      <w:pPr>
        <w:pStyle w:val="ListParagraph"/>
        <w:numPr>
          <w:ilvl w:val="0"/>
          <w:numId w:val="25"/>
        </w:numPr>
        <w:spacing w:before="100" w:beforeAutospacing="1" w:after="60" w:line="240" w:lineRule="auto"/>
        <w:ind w:left="714" w:hanging="357"/>
      </w:pPr>
      <w:r>
        <w:t>t</w:t>
      </w:r>
      <w:r w:rsidRPr="004F3CD7">
        <w:t>he attitude of the victim to a prosecution</w:t>
      </w:r>
    </w:p>
    <w:p w14:paraId="709DB1F3" w14:textId="77777777" w:rsidR="0047337F" w:rsidRPr="004F3CD7" w:rsidRDefault="0047337F" w:rsidP="00541C09">
      <w:pPr>
        <w:pStyle w:val="ListParagraph"/>
        <w:numPr>
          <w:ilvl w:val="0"/>
          <w:numId w:val="25"/>
        </w:numPr>
        <w:spacing w:before="100" w:beforeAutospacing="1" w:after="60" w:line="240" w:lineRule="auto"/>
        <w:ind w:left="714" w:hanging="357"/>
      </w:pPr>
      <w:r>
        <w:t>t</w:t>
      </w:r>
      <w:r w:rsidRPr="004F3CD7">
        <w:t>he entitlement of the victim to compensation</w:t>
      </w:r>
    </w:p>
    <w:p w14:paraId="6CC098D5" w14:textId="77777777" w:rsidR="0047337F" w:rsidRDefault="0047337F" w:rsidP="00541C09">
      <w:pPr>
        <w:pStyle w:val="ListParagraph"/>
        <w:numPr>
          <w:ilvl w:val="0"/>
          <w:numId w:val="25"/>
        </w:numPr>
        <w:spacing w:before="100" w:beforeAutospacing="1" w:after="60" w:line="240" w:lineRule="auto"/>
        <w:ind w:left="714" w:hanging="357"/>
      </w:pPr>
      <w:r>
        <w:t>t</w:t>
      </w:r>
      <w:r w:rsidRPr="004F3CD7">
        <w:t>he age, physical health, mental health or special infirmity of the victim.</w:t>
      </w:r>
    </w:p>
    <w:p w14:paraId="33B41067" w14:textId="77777777" w:rsidR="0047337F" w:rsidRPr="00B11566" w:rsidRDefault="0047337F" w:rsidP="00B11566">
      <w:pPr>
        <w:spacing w:before="100" w:beforeAutospacing="1" w:after="100" w:afterAutospacing="1" w:line="240" w:lineRule="auto"/>
        <w:rPr>
          <w:i/>
        </w:rPr>
      </w:pPr>
      <w:r w:rsidRPr="00B11566">
        <w:rPr>
          <w:i/>
        </w:rPr>
        <w:t>Other factors:</w:t>
      </w:r>
    </w:p>
    <w:p w14:paraId="1DE5FDFC" w14:textId="77777777" w:rsidR="0047337F" w:rsidRPr="004F3CD7" w:rsidRDefault="0047337F" w:rsidP="00541C09">
      <w:pPr>
        <w:pStyle w:val="ListParagraph"/>
        <w:numPr>
          <w:ilvl w:val="0"/>
          <w:numId w:val="26"/>
        </w:numPr>
        <w:spacing w:before="100" w:beforeAutospacing="1" w:after="60" w:line="240" w:lineRule="auto"/>
        <w:ind w:left="714" w:hanging="357"/>
      </w:pPr>
      <w:r>
        <w:t>c</w:t>
      </w:r>
      <w:r w:rsidRPr="004F3CD7">
        <w:t>ommunity protection</w:t>
      </w:r>
    </w:p>
    <w:p w14:paraId="1B4D79BA" w14:textId="77777777" w:rsidR="0047337F" w:rsidRPr="004F3CD7" w:rsidRDefault="0047337F" w:rsidP="00541C09">
      <w:pPr>
        <w:pStyle w:val="ListParagraph"/>
        <w:numPr>
          <w:ilvl w:val="0"/>
          <w:numId w:val="26"/>
        </w:numPr>
        <w:spacing w:before="100" w:beforeAutospacing="1" w:after="60" w:line="240" w:lineRule="auto"/>
        <w:ind w:left="714" w:hanging="357"/>
      </w:pPr>
      <w:r>
        <w:t>t</w:t>
      </w:r>
      <w:r w:rsidRPr="004F3CD7">
        <w:t>he likely sentence</w:t>
      </w:r>
    </w:p>
    <w:p w14:paraId="06438B7F" w14:textId="77777777" w:rsidR="0047337F" w:rsidRPr="004F3CD7" w:rsidRDefault="0047337F" w:rsidP="00541C09">
      <w:pPr>
        <w:pStyle w:val="ListParagraph"/>
        <w:numPr>
          <w:ilvl w:val="0"/>
          <w:numId w:val="26"/>
        </w:numPr>
        <w:spacing w:before="100" w:beforeAutospacing="1" w:after="60" w:line="240" w:lineRule="auto"/>
        <w:ind w:left="714" w:hanging="357"/>
      </w:pPr>
      <w:r>
        <w:t>t</w:t>
      </w:r>
      <w:r w:rsidRPr="004F3CD7">
        <w:t>he prevalence of the offence and the need for deterrence, both specific and general</w:t>
      </w:r>
    </w:p>
    <w:p w14:paraId="684B4015" w14:textId="77777777" w:rsidR="0047337F" w:rsidRPr="004F3CD7" w:rsidRDefault="0047337F" w:rsidP="00541C09">
      <w:pPr>
        <w:pStyle w:val="ListParagraph"/>
        <w:numPr>
          <w:ilvl w:val="0"/>
          <w:numId w:val="26"/>
        </w:numPr>
        <w:spacing w:before="100" w:beforeAutospacing="1" w:after="60" w:line="240" w:lineRule="auto"/>
        <w:ind w:left="714" w:hanging="357"/>
      </w:pPr>
      <w:r>
        <w:t>t</w:t>
      </w:r>
      <w:r w:rsidRPr="004F3CD7">
        <w:t>he need to maintain public confidence in basic constitutional institutions such as the Parliament and the courts</w:t>
      </w:r>
    </w:p>
    <w:p w14:paraId="29E64145" w14:textId="77777777" w:rsidR="0047337F" w:rsidRPr="004F3CD7" w:rsidRDefault="0047337F" w:rsidP="00541C09">
      <w:pPr>
        <w:pStyle w:val="ListParagraph"/>
        <w:numPr>
          <w:ilvl w:val="0"/>
          <w:numId w:val="26"/>
        </w:numPr>
        <w:spacing w:before="100" w:beforeAutospacing="1" w:after="60" w:line="240" w:lineRule="auto"/>
        <w:ind w:left="714" w:hanging="357"/>
      </w:pPr>
      <w:r>
        <w:t>w</w:t>
      </w:r>
      <w:r w:rsidRPr="004F3CD7">
        <w:t>hether the consequences of any resulting conviction would be unduly harsh and oppressive</w:t>
      </w:r>
    </w:p>
    <w:p w14:paraId="0162AD2A" w14:textId="77777777" w:rsidR="0047337F" w:rsidRPr="004F3CD7" w:rsidRDefault="0047337F" w:rsidP="00541C09">
      <w:pPr>
        <w:pStyle w:val="ListParagraph"/>
        <w:numPr>
          <w:ilvl w:val="0"/>
          <w:numId w:val="26"/>
        </w:numPr>
        <w:spacing w:before="100" w:beforeAutospacing="1" w:after="60" w:line="240" w:lineRule="auto"/>
        <w:ind w:left="714" w:hanging="357"/>
      </w:pPr>
      <w:r>
        <w:t>a</w:t>
      </w:r>
      <w:r w:rsidRPr="004F3CD7">
        <w:t>ny special circumstances that would prevent a fair trial from being conducted</w:t>
      </w:r>
    </w:p>
    <w:p w14:paraId="4199E778" w14:textId="77777777" w:rsidR="0047337F" w:rsidRPr="004F3CD7" w:rsidRDefault="0047337F" w:rsidP="00541C09">
      <w:pPr>
        <w:pStyle w:val="ListParagraph"/>
        <w:numPr>
          <w:ilvl w:val="0"/>
          <w:numId w:val="26"/>
        </w:numPr>
        <w:spacing w:before="100" w:beforeAutospacing="1" w:after="60" w:line="240" w:lineRule="auto"/>
        <w:ind w:left="714" w:hanging="357"/>
      </w:pPr>
      <w:r>
        <w:t>t</w:t>
      </w:r>
      <w:r w:rsidRPr="004F3CD7">
        <w:t>he age, physical health, mental health or special infirmity of any witnesses</w:t>
      </w:r>
    </w:p>
    <w:p w14:paraId="4851BDD0" w14:textId="77777777" w:rsidR="0047337F" w:rsidRPr="004F3CD7" w:rsidRDefault="0047337F" w:rsidP="00541C09">
      <w:pPr>
        <w:pStyle w:val="ListParagraph"/>
        <w:numPr>
          <w:ilvl w:val="0"/>
          <w:numId w:val="26"/>
        </w:numPr>
        <w:spacing w:before="100" w:beforeAutospacing="1" w:after="60" w:line="240" w:lineRule="auto"/>
        <w:ind w:left="714" w:hanging="357"/>
      </w:pPr>
      <w:r>
        <w:t>t</w:t>
      </w:r>
      <w:r w:rsidRPr="004F3CD7">
        <w:t>he obsolescence or obscurity of the law</w:t>
      </w:r>
    </w:p>
    <w:p w14:paraId="02EBA3FE" w14:textId="77777777" w:rsidR="0047337F" w:rsidRPr="004F3CD7" w:rsidRDefault="0047337F" w:rsidP="00541C09">
      <w:pPr>
        <w:pStyle w:val="ListParagraph"/>
        <w:numPr>
          <w:ilvl w:val="0"/>
          <w:numId w:val="26"/>
        </w:numPr>
        <w:spacing w:before="100" w:beforeAutospacing="1" w:after="60" w:line="240" w:lineRule="auto"/>
        <w:ind w:left="714" w:hanging="357"/>
      </w:pPr>
      <w:r>
        <w:t>w</w:t>
      </w:r>
      <w:r w:rsidRPr="004F3CD7">
        <w:t>hether the prosecution would be perceived as counter-productive, for example, by bringing the law into disrepute</w:t>
      </w:r>
    </w:p>
    <w:p w14:paraId="24FEE911" w14:textId="77777777" w:rsidR="0047337F" w:rsidRPr="004F3CD7" w:rsidRDefault="0047337F" w:rsidP="00541C09">
      <w:pPr>
        <w:pStyle w:val="ListParagraph"/>
        <w:numPr>
          <w:ilvl w:val="0"/>
          <w:numId w:val="26"/>
        </w:numPr>
        <w:spacing w:before="100" w:beforeAutospacing="1" w:after="60" w:line="240" w:lineRule="auto"/>
        <w:ind w:left="714" w:hanging="357"/>
      </w:pPr>
      <w:r>
        <w:t>t</w:t>
      </w:r>
      <w:r w:rsidRPr="004F3CD7">
        <w:t>he availability and efficacy of any alternatives to prosecution</w:t>
      </w:r>
    </w:p>
    <w:p w14:paraId="624007F1" w14:textId="77777777" w:rsidR="0047337F" w:rsidRPr="004F3CD7" w:rsidRDefault="0047337F" w:rsidP="00541C09">
      <w:pPr>
        <w:pStyle w:val="ListParagraph"/>
        <w:numPr>
          <w:ilvl w:val="0"/>
          <w:numId w:val="26"/>
        </w:numPr>
        <w:spacing w:before="100" w:beforeAutospacing="1" w:after="60" w:line="240" w:lineRule="auto"/>
        <w:ind w:left="714" w:hanging="357"/>
      </w:pPr>
      <w:r>
        <w:t>t</w:t>
      </w:r>
      <w:r w:rsidRPr="004F3CD7">
        <w:t>he likely length and expense of a trial</w:t>
      </w:r>
    </w:p>
    <w:p w14:paraId="4D7DA66E" w14:textId="77777777" w:rsidR="0047337F" w:rsidRPr="004F3CD7" w:rsidRDefault="0047337F" w:rsidP="00541C09">
      <w:pPr>
        <w:pStyle w:val="ListParagraph"/>
        <w:numPr>
          <w:ilvl w:val="0"/>
          <w:numId w:val="26"/>
        </w:numPr>
        <w:spacing w:before="100" w:beforeAutospacing="1" w:after="60" w:line="240" w:lineRule="auto"/>
        <w:ind w:left="714" w:hanging="357"/>
      </w:pPr>
      <w:r>
        <w:t>w</w:t>
      </w:r>
      <w:r w:rsidRPr="004F3CD7">
        <w:t>hether a sentence has already been imposed on the offender which adequately reflects the criminality of the episode</w:t>
      </w:r>
    </w:p>
    <w:p w14:paraId="6866A9CB" w14:textId="77777777" w:rsidR="0047337F" w:rsidRPr="004F3CD7" w:rsidRDefault="0047337F" w:rsidP="00541C09">
      <w:pPr>
        <w:pStyle w:val="ListParagraph"/>
        <w:numPr>
          <w:ilvl w:val="0"/>
          <w:numId w:val="26"/>
        </w:numPr>
        <w:spacing w:before="100" w:beforeAutospacing="1" w:after="60" w:line="240" w:lineRule="auto"/>
        <w:ind w:left="714" w:hanging="357"/>
      </w:pPr>
      <w:r>
        <w:t>a</w:t>
      </w:r>
      <w:r w:rsidRPr="004F3CD7">
        <w:t>ny mitigating or aggravating circumstances.</w:t>
      </w:r>
    </w:p>
    <w:p w14:paraId="458CB6CC" w14:textId="77777777" w:rsidR="0047337F" w:rsidRDefault="0047337F" w:rsidP="00CB0224">
      <w:pPr>
        <w:pStyle w:val="Heading2"/>
      </w:pPr>
      <w:bookmarkStart w:id="8" w:name="_Toc14170690"/>
      <w:r>
        <w:lastRenderedPageBreak/>
        <w:t>1.3</w:t>
      </w:r>
      <w:r>
        <w:tab/>
        <w:t xml:space="preserve"> Consultation with the Director of Public Prosecutions</w:t>
      </w:r>
      <w:bookmarkEnd w:id="8"/>
    </w:p>
    <w:p w14:paraId="424D9916" w14:textId="77777777" w:rsidR="0047337F" w:rsidRDefault="0047337F" w:rsidP="0047337F">
      <w:pPr>
        <w:spacing w:before="100" w:beforeAutospacing="1" w:after="100" w:afterAutospacing="1"/>
      </w:pPr>
      <w:r>
        <w:t xml:space="preserve">Where time and circumstances permit, the Director must request advice from the Director of Public Prosecutions (DPP) prior to commencing a criminal prosecution </w:t>
      </w:r>
      <w:r w:rsidRPr="006C11EA">
        <w:t>for indictable offences.</w:t>
      </w:r>
      <w:r>
        <w:rPr>
          <w:rStyle w:val="FootnoteReference"/>
        </w:rPr>
        <w:footnoteReference w:id="8"/>
      </w:r>
      <w:r>
        <w:t xml:space="preserve">  </w:t>
      </w:r>
    </w:p>
    <w:p w14:paraId="35F6A6D4" w14:textId="77777777" w:rsidR="0047337F" w:rsidRDefault="0047337F" w:rsidP="0047337F">
      <w:pPr>
        <w:spacing w:before="100" w:beforeAutospacing="1" w:after="100" w:afterAutospacing="1"/>
      </w:pPr>
      <w:r>
        <w:t>Any advice received from the DPP is subject to client legal privilege.</w:t>
      </w:r>
      <w:r>
        <w:rPr>
          <w:rStyle w:val="FootnoteReference"/>
        </w:rPr>
        <w:footnoteReference w:id="9"/>
      </w:r>
    </w:p>
    <w:p w14:paraId="526AD194" w14:textId="77777777" w:rsidR="0047337F" w:rsidRDefault="0047337F" w:rsidP="00CB0224">
      <w:pPr>
        <w:pStyle w:val="Heading2"/>
      </w:pPr>
      <w:bookmarkStart w:id="9" w:name="_Toc14170691"/>
      <w:r>
        <w:t>1.4</w:t>
      </w:r>
      <w:r>
        <w:tab/>
        <w:t>Consent of the Director of Public Prosecutions</w:t>
      </w:r>
      <w:bookmarkEnd w:id="9"/>
    </w:p>
    <w:p w14:paraId="66F70E4E" w14:textId="26A9B45C" w:rsidR="0047337F" w:rsidRDefault="0047337F" w:rsidP="0047337F">
      <w:pPr>
        <w:spacing w:before="100" w:beforeAutospacing="1" w:after="100" w:afterAutospacing="1"/>
      </w:pPr>
      <w:r>
        <w:t>Where the consent of the DPP is required prior to laying charges,</w:t>
      </w:r>
      <w:r>
        <w:rPr>
          <w:rStyle w:val="FootnoteReference"/>
        </w:rPr>
        <w:footnoteReference w:id="10"/>
      </w:r>
      <w:r>
        <w:t xml:space="preserve"> </w:t>
      </w:r>
      <w:r w:rsidR="00AB4191">
        <w:t xml:space="preserve">we </w:t>
      </w:r>
      <w:r>
        <w:t xml:space="preserve">will be guided by the criteria set out in this chapter when determining </w:t>
      </w:r>
      <w:proofErr w:type="gramStart"/>
      <w:r>
        <w:t>whether or not</w:t>
      </w:r>
      <w:proofErr w:type="gramEnd"/>
      <w:r>
        <w:t xml:space="preserve"> to refer the matter to the DPP.</w:t>
      </w:r>
    </w:p>
    <w:p w14:paraId="2EECA39F" w14:textId="77777777" w:rsidR="00EE6366" w:rsidRDefault="00EE6366">
      <w:pPr>
        <w:rPr>
          <w:rFonts w:eastAsiaTheme="majorEastAsia" w:cstheme="majorBidi"/>
          <w:b/>
          <w:color w:val="102849" w:themeColor="text2" w:themeTint="E6"/>
          <w:sz w:val="36"/>
          <w:szCs w:val="32"/>
        </w:rPr>
      </w:pPr>
      <w:r>
        <w:br w:type="page"/>
      </w:r>
    </w:p>
    <w:p w14:paraId="474DEA12" w14:textId="68AA38A4" w:rsidR="0047337F" w:rsidRPr="0047337F" w:rsidRDefault="0047337F" w:rsidP="00CB0224">
      <w:pPr>
        <w:pStyle w:val="Heading1"/>
      </w:pPr>
      <w:bookmarkStart w:id="10" w:name="_Toc14170692"/>
      <w:r w:rsidRPr="0047337F">
        <w:lastRenderedPageBreak/>
        <w:t>2.</w:t>
      </w:r>
      <w:r w:rsidRPr="0047337F">
        <w:tab/>
        <w:t xml:space="preserve">Prosecutorial </w:t>
      </w:r>
      <w:r w:rsidR="00AB4191">
        <w:t>e</w:t>
      </w:r>
      <w:r w:rsidRPr="0047337F">
        <w:t xml:space="preserve">thics – </w:t>
      </w:r>
      <w:r w:rsidR="00AB4191">
        <w:t>o</w:t>
      </w:r>
      <w:r w:rsidRPr="0047337F">
        <w:t xml:space="preserve">bligations </w:t>
      </w:r>
      <w:r w:rsidR="00AB4191">
        <w:t>and</w:t>
      </w:r>
      <w:r w:rsidR="00AB4191" w:rsidRPr="0047337F">
        <w:t xml:space="preserve"> </w:t>
      </w:r>
      <w:r w:rsidR="00AB4191">
        <w:t>d</w:t>
      </w:r>
      <w:r w:rsidRPr="0047337F">
        <w:t>uties</w:t>
      </w:r>
      <w:bookmarkEnd w:id="10"/>
    </w:p>
    <w:p w14:paraId="1319902E" w14:textId="5778F7AD" w:rsidR="0047337F" w:rsidRDefault="0047337F" w:rsidP="0047337F">
      <w:r>
        <w:t xml:space="preserve">In the performance of their duties, all </w:t>
      </w:r>
      <w:r w:rsidR="00AB4191">
        <w:t xml:space="preserve">our </w:t>
      </w:r>
      <w:r>
        <w:t>prosecutors must:</w:t>
      </w:r>
      <w:r>
        <w:rPr>
          <w:rStyle w:val="FootnoteReference"/>
        </w:rPr>
        <w:footnoteReference w:id="11"/>
      </w:r>
    </w:p>
    <w:p w14:paraId="56BCEDCE" w14:textId="3F7B60C8" w:rsidR="0047337F" w:rsidRPr="004F3CD7" w:rsidRDefault="00A77C9F" w:rsidP="0047337F">
      <w:pPr>
        <w:numPr>
          <w:ilvl w:val="0"/>
          <w:numId w:val="17"/>
        </w:numPr>
        <w:spacing w:before="100" w:beforeAutospacing="1" w:line="240" w:lineRule="auto"/>
        <w:ind w:left="1077" w:hanging="357"/>
      </w:pPr>
      <w:r>
        <w:t>a</w:t>
      </w:r>
      <w:r w:rsidR="0047337F" w:rsidRPr="004F3CD7">
        <w:t>ct independently</w:t>
      </w:r>
      <w:r w:rsidR="00AB4191">
        <w:t>,</w:t>
      </w:r>
      <w:r>
        <w:t xml:space="preserve"> as</w:t>
      </w:r>
      <w:r w:rsidR="0047337F" w:rsidRPr="004F3CD7">
        <w:t xml:space="preserve"> </w:t>
      </w:r>
      <w:r>
        <w:t>p</w:t>
      </w:r>
      <w:r w:rsidR="0047337F" w:rsidRPr="004F3CD7">
        <w:t>rosecutors represent the Director, not the victim or any other person</w:t>
      </w:r>
    </w:p>
    <w:p w14:paraId="28FBE169" w14:textId="69F90EC8" w:rsidR="0047337F" w:rsidRPr="004F3CD7" w:rsidRDefault="00A77C9F" w:rsidP="0047337F">
      <w:pPr>
        <w:numPr>
          <w:ilvl w:val="0"/>
          <w:numId w:val="17"/>
        </w:numPr>
        <w:spacing w:before="100" w:beforeAutospacing="1" w:line="240" w:lineRule="auto"/>
        <w:ind w:left="1077" w:hanging="357"/>
      </w:pPr>
      <w:r>
        <w:t>a</w:t>
      </w:r>
      <w:r w:rsidR="0047337F" w:rsidRPr="004F3CD7">
        <w:t>ct fairly to the accused</w:t>
      </w:r>
    </w:p>
    <w:p w14:paraId="6203505C" w14:textId="12B8F1A4" w:rsidR="0047337F" w:rsidRPr="004F3CD7" w:rsidRDefault="00A77C9F" w:rsidP="0047337F">
      <w:pPr>
        <w:numPr>
          <w:ilvl w:val="0"/>
          <w:numId w:val="17"/>
        </w:numPr>
        <w:spacing w:before="100" w:beforeAutospacing="1" w:line="240" w:lineRule="auto"/>
        <w:ind w:left="1077" w:hanging="357"/>
      </w:pPr>
      <w:r>
        <w:t>a</w:t>
      </w:r>
      <w:r w:rsidR="0047337F" w:rsidRPr="004F3CD7">
        <w:t>ct impartially</w:t>
      </w:r>
    </w:p>
    <w:p w14:paraId="342EC3BF" w14:textId="3E5B79EE" w:rsidR="0047337F" w:rsidRPr="004F3CD7" w:rsidRDefault="00A77C9F" w:rsidP="0047337F">
      <w:pPr>
        <w:numPr>
          <w:ilvl w:val="0"/>
          <w:numId w:val="17"/>
        </w:numPr>
        <w:spacing w:before="100" w:beforeAutospacing="1" w:line="240" w:lineRule="auto"/>
        <w:ind w:left="1077" w:hanging="357"/>
      </w:pPr>
      <w:r>
        <w:t>d</w:t>
      </w:r>
      <w:r w:rsidR="0047337F" w:rsidRPr="004F3CD7">
        <w:t>isclose to the accused any material which:</w:t>
      </w:r>
    </w:p>
    <w:p w14:paraId="01184690" w14:textId="77777777" w:rsidR="0047337F" w:rsidRPr="004F3CD7" w:rsidRDefault="0047337F" w:rsidP="0047337F">
      <w:pPr>
        <w:numPr>
          <w:ilvl w:val="1"/>
          <w:numId w:val="20"/>
        </w:numPr>
        <w:spacing w:before="100" w:beforeAutospacing="1" w:line="240" w:lineRule="auto"/>
      </w:pPr>
      <w:r w:rsidRPr="004F3CD7">
        <w:t>is relevant or possibly relevant to an issue in the case or</w:t>
      </w:r>
    </w:p>
    <w:p w14:paraId="1B57C36E" w14:textId="77777777" w:rsidR="0047337F" w:rsidRPr="004F3CD7" w:rsidRDefault="0047337F" w:rsidP="0047337F">
      <w:pPr>
        <w:numPr>
          <w:ilvl w:val="1"/>
          <w:numId w:val="20"/>
        </w:numPr>
        <w:spacing w:before="100" w:beforeAutospacing="1" w:line="240" w:lineRule="auto"/>
      </w:pPr>
      <w:r w:rsidRPr="004F3CD7">
        <w:t xml:space="preserve">raises or possibly raises a new issue whose existence is not apparent from the evidence the prosecution proposes to use or </w:t>
      </w:r>
    </w:p>
    <w:p w14:paraId="10F10086" w14:textId="5F8D86DB" w:rsidR="0047337F" w:rsidRPr="004F3CD7" w:rsidRDefault="0047337F" w:rsidP="0047337F">
      <w:pPr>
        <w:numPr>
          <w:ilvl w:val="1"/>
          <w:numId w:val="20"/>
        </w:numPr>
        <w:spacing w:before="100" w:beforeAutospacing="1" w:line="240" w:lineRule="auto"/>
      </w:pPr>
      <w:r w:rsidRPr="004F3CD7">
        <w:t>holds out a real</w:t>
      </w:r>
      <w:r w:rsidR="00AB4191">
        <w:t>,</w:t>
      </w:r>
      <w:r w:rsidRPr="004F3CD7">
        <w:t xml:space="preserve"> as opposed to fanciful</w:t>
      </w:r>
      <w:r w:rsidR="00AB4191">
        <w:t>,</w:t>
      </w:r>
      <w:r w:rsidRPr="004F3CD7">
        <w:t xml:space="preserve"> prospect of providing a line of inquiry which goes to (</w:t>
      </w:r>
      <w:proofErr w:type="spellStart"/>
      <w:r w:rsidRPr="004F3CD7">
        <w:t>i</w:t>
      </w:r>
      <w:proofErr w:type="spellEnd"/>
      <w:r w:rsidRPr="004F3CD7">
        <w:t>) or (ii) above or</w:t>
      </w:r>
    </w:p>
    <w:p w14:paraId="08ADBE15" w14:textId="77777777" w:rsidR="0047337F" w:rsidRPr="004F3CD7" w:rsidRDefault="0047337F" w:rsidP="0047337F">
      <w:pPr>
        <w:numPr>
          <w:ilvl w:val="1"/>
          <w:numId w:val="20"/>
        </w:numPr>
        <w:spacing w:before="100" w:beforeAutospacing="1" w:line="240" w:lineRule="auto"/>
        <w:ind w:left="1434" w:hanging="357"/>
      </w:pPr>
      <w:r w:rsidRPr="004F3CD7">
        <w:t>is or is possibly exculpatory</w:t>
      </w:r>
    </w:p>
    <w:p w14:paraId="0C61D99A" w14:textId="77777777" w:rsidR="0047337F" w:rsidRPr="004F3CD7" w:rsidRDefault="0047337F" w:rsidP="0047337F">
      <w:pPr>
        <w:ind w:left="1077"/>
      </w:pPr>
      <w:r w:rsidRPr="004F3CD7">
        <w:t>unless the material is subject to any claim of public interest immunity or client legal privilege or any statutory provisions to the contrary</w:t>
      </w:r>
    </w:p>
    <w:p w14:paraId="20E599FD" w14:textId="5C1AD208" w:rsidR="0047337F" w:rsidRPr="004F3CD7" w:rsidRDefault="00A77C9F" w:rsidP="0047337F">
      <w:pPr>
        <w:numPr>
          <w:ilvl w:val="0"/>
          <w:numId w:val="17"/>
        </w:numPr>
        <w:spacing w:before="100" w:beforeAutospacing="1" w:line="240" w:lineRule="auto"/>
        <w:ind w:left="1077" w:hanging="357"/>
      </w:pPr>
      <w:r>
        <w:t>a</w:t>
      </w:r>
      <w:r w:rsidR="0047337F" w:rsidRPr="004F3CD7">
        <w:t xml:space="preserve">ssist the court to avoid </w:t>
      </w:r>
      <w:proofErr w:type="spellStart"/>
      <w:r w:rsidR="0047337F" w:rsidRPr="004F3CD7">
        <w:t>appellable</w:t>
      </w:r>
      <w:proofErr w:type="spellEnd"/>
      <w:r w:rsidR="0047337F" w:rsidRPr="004F3CD7">
        <w:t xml:space="preserve"> error</w:t>
      </w:r>
    </w:p>
    <w:p w14:paraId="2351411D" w14:textId="2EDBDA66" w:rsidR="0047337F" w:rsidRPr="004F3CD7" w:rsidRDefault="00A77C9F" w:rsidP="0047337F">
      <w:pPr>
        <w:numPr>
          <w:ilvl w:val="0"/>
          <w:numId w:val="17"/>
        </w:numPr>
        <w:spacing w:before="100" w:beforeAutospacing="1" w:line="240" w:lineRule="auto"/>
        <w:ind w:left="1077" w:hanging="357"/>
      </w:pPr>
      <w:r>
        <w:t>t</w:t>
      </w:r>
      <w:r w:rsidR="0047337F" w:rsidRPr="004F3CD7">
        <w:t>reat victims of and persons adversely affected by crime with courtesy, respect, dignity and sensitivity</w:t>
      </w:r>
    </w:p>
    <w:p w14:paraId="7F3BA838" w14:textId="4ED2D971" w:rsidR="0047337F" w:rsidRPr="004F3CD7" w:rsidRDefault="00A77C9F" w:rsidP="0047337F">
      <w:pPr>
        <w:numPr>
          <w:ilvl w:val="0"/>
          <w:numId w:val="17"/>
        </w:numPr>
        <w:spacing w:before="100" w:beforeAutospacing="1" w:line="240" w:lineRule="auto"/>
        <w:ind w:left="1077" w:hanging="357"/>
      </w:pPr>
      <w:r>
        <w:t>n</w:t>
      </w:r>
      <w:r w:rsidR="0047337F" w:rsidRPr="004F3CD7">
        <w:t>ot make any submissions of fact or law which are not soundly base</w:t>
      </w:r>
      <w:r>
        <w:t>d</w:t>
      </w:r>
    </w:p>
    <w:p w14:paraId="2EB17B1F" w14:textId="09ECA7A2" w:rsidR="0047337F" w:rsidRPr="004F3CD7" w:rsidRDefault="00A77C9F" w:rsidP="0047337F">
      <w:pPr>
        <w:numPr>
          <w:ilvl w:val="0"/>
          <w:numId w:val="17"/>
        </w:numPr>
        <w:spacing w:before="100" w:beforeAutospacing="1" w:line="240" w:lineRule="auto"/>
        <w:ind w:left="1077" w:hanging="357"/>
      </w:pPr>
      <w:r>
        <w:t>e</w:t>
      </w:r>
      <w:r w:rsidR="0047337F" w:rsidRPr="004F3CD7">
        <w:t>ndeavor to ensure that criminal proceedings are completed expeditiously</w:t>
      </w:r>
    </w:p>
    <w:p w14:paraId="69CD1F6A" w14:textId="56E7B4B0" w:rsidR="0047337F" w:rsidRPr="004F3CD7" w:rsidRDefault="00A77C9F" w:rsidP="0047337F">
      <w:pPr>
        <w:numPr>
          <w:ilvl w:val="0"/>
          <w:numId w:val="17"/>
        </w:numPr>
        <w:spacing w:before="100" w:beforeAutospacing="1" w:line="240" w:lineRule="auto"/>
        <w:ind w:left="1077" w:hanging="357"/>
      </w:pPr>
      <w:r>
        <w:t>u</w:t>
      </w:r>
      <w:r w:rsidR="0047337F" w:rsidRPr="004F3CD7">
        <w:t>se temperate and dispassionate language</w:t>
      </w:r>
    </w:p>
    <w:p w14:paraId="7D3B0676" w14:textId="120B9EAE" w:rsidR="0047337F" w:rsidRPr="004F3CD7" w:rsidRDefault="00A77C9F" w:rsidP="0047337F">
      <w:pPr>
        <w:numPr>
          <w:ilvl w:val="0"/>
          <w:numId w:val="17"/>
        </w:numPr>
        <w:spacing w:before="100" w:beforeAutospacing="1" w:line="240" w:lineRule="auto"/>
        <w:ind w:left="1077" w:hanging="357"/>
      </w:pPr>
      <w:r>
        <w:t>a</w:t>
      </w:r>
      <w:r w:rsidR="0047337F" w:rsidRPr="004F3CD7">
        <w:t>void any real or potential conflict of interest</w:t>
      </w:r>
    </w:p>
    <w:p w14:paraId="5C73DEB7" w14:textId="49329244" w:rsidR="0047337F" w:rsidRPr="004F3CD7" w:rsidRDefault="00920FBA" w:rsidP="00D7599F">
      <w:pPr>
        <w:numPr>
          <w:ilvl w:val="0"/>
          <w:numId w:val="17"/>
        </w:numPr>
        <w:spacing w:before="100" w:beforeAutospacing="1" w:line="240" w:lineRule="auto"/>
        <w:ind w:left="1077" w:hanging="357"/>
      </w:pPr>
      <w:proofErr w:type="spellStart"/>
      <w:r>
        <w:t>e</w:t>
      </w:r>
      <w:r w:rsidR="0047337F" w:rsidRPr="004F3CD7">
        <w:t>ndeavour</w:t>
      </w:r>
      <w:proofErr w:type="spellEnd"/>
      <w:r w:rsidR="0047337F" w:rsidRPr="004F3CD7">
        <w:t xml:space="preserve"> to ensure that any conflict of interest involving a </w:t>
      </w:r>
      <w:proofErr w:type="spellStart"/>
      <w:r w:rsidR="0047337F" w:rsidRPr="004F3CD7">
        <w:t>defence</w:t>
      </w:r>
      <w:proofErr w:type="spellEnd"/>
      <w:r w:rsidR="0047337F" w:rsidRPr="004F3CD7">
        <w:t xml:space="preserve"> practitioner is acted upon</w:t>
      </w:r>
    </w:p>
    <w:p w14:paraId="64340A70" w14:textId="30832289" w:rsidR="0047337F" w:rsidRPr="004F3CD7" w:rsidRDefault="00A77C9F" w:rsidP="00D7599F">
      <w:pPr>
        <w:numPr>
          <w:ilvl w:val="0"/>
          <w:numId w:val="17"/>
        </w:numPr>
        <w:spacing w:before="100" w:beforeAutospacing="1" w:line="240" w:lineRule="auto"/>
        <w:ind w:left="1077" w:hanging="357"/>
      </w:pPr>
      <w:r>
        <w:t>n</w:t>
      </w:r>
      <w:r w:rsidR="0047337F" w:rsidRPr="004F3CD7">
        <w:t xml:space="preserve">ot communicate with the accused except in the presence of the accused’s legal </w:t>
      </w:r>
      <w:r w:rsidR="0047337F">
        <w:t>re</w:t>
      </w:r>
      <w:r w:rsidR="0047337F" w:rsidRPr="004F3CD7">
        <w:t>presentative</w:t>
      </w:r>
      <w:r>
        <w:t xml:space="preserve"> and</w:t>
      </w:r>
    </w:p>
    <w:p w14:paraId="3B816379" w14:textId="1A4B5798" w:rsidR="0047337F" w:rsidRPr="004F3CD7" w:rsidRDefault="00A77C9F" w:rsidP="00D7599F">
      <w:pPr>
        <w:numPr>
          <w:ilvl w:val="0"/>
          <w:numId w:val="17"/>
        </w:numPr>
        <w:spacing w:before="100" w:beforeAutospacing="1" w:line="240" w:lineRule="auto"/>
        <w:ind w:left="1077" w:hanging="357"/>
      </w:pPr>
      <w:r>
        <w:t>t</w:t>
      </w:r>
      <w:r w:rsidR="0047337F" w:rsidRPr="004F3CD7">
        <w:t xml:space="preserve">o the extent applicable, comply with the </w:t>
      </w:r>
      <w:r w:rsidR="0047337F" w:rsidRPr="00E91876">
        <w:rPr>
          <w:i/>
        </w:rPr>
        <w:t>Legal Profession Uniform Law Application Act</w:t>
      </w:r>
      <w:r w:rsidR="0047337F" w:rsidRPr="004F3CD7">
        <w:t xml:space="preserve"> </w:t>
      </w:r>
      <w:r w:rsidR="0047337F" w:rsidRPr="00F231F2">
        <w:rPr>
          <w:i/>
        </w:rPr>
        <w:t>2014</w:t>
      </w:r>
      <w:r w:rsidR="0047337F" w:rsidRPr="004F3CD7">
        <w:t xml:space="preserve">, the </w:t>
      </w:r>
      <w:r w:rsidR="0047337F" w:rsidRPr="00E91876">
        <w:rPr>
          <w:i/>
        </w:rPr>
        <w:t>Legal Profession Uniform General Rules</w:t>
      </w:r>
      <w:r w:rsidR="0047337F" w:rsidRPr="004F3CD7">
        <w:t xml:space="preserve"> </w:t>
      </w:r>
      <w:r w:rsidR="0047337F" w:rsidRPr="00F231F2">
        <w:rPr>
          <w:i/>
        </w:rPr>
        <w:t>2015</w:t>
      </w:r>
      <w:r w:rsidR="0047337F" w:rsidRPr="004F3CD7">
        <w:t xml:space="preserve">, the </w:t>
      </w:r>
      <w:r w:rsidR="0047337F" w:rsidRPr="00E91876">
        <w:rPr>
          <w:i/>
        </w:rPr>
        <w:t>Legal Profession Uniform Conduct (Barristers) Rules</w:t>
      </w:r>
      <w:r w:rsidR="0047337F" w:rsidRPr="00F231F2">
        <w:rPr>
          <w:i/>
        </w:rPr>
        <w:t xml:space="preserve"> 2015</w:t>
      </w:r>
      <w:r w:rsidR="0047337F" w:rsidRPr="004F3CD7">
        <w:t xml:space="preserve"> and the </w:t>
      </w:r>
      <w:r w:rsidR="0047337F" w:rsidRPr="00E91876">
        <w:rPr>
          <w:i/>
        </w:rPr>
        <w:t>Victorian Model Litigant Guidelines</w:t>
      </w:r>
      <w:r w:rsidR="0047337F" w:rsidRPr="004F3CD7">
        <w:t>.</w:t>
      </w:r>
    </w:p>
    <w:p w14:paraId="6DD1EB4D" w14:textId="77777777" w:rsidR="00EA12DA" w:rsidRDefault="00EA12DA">
      <w:pPr>
        <w:rPr>
          <w:rFonts w:eastAsiaTheme="majorEastAsia" w:cstheme="majorBidi"/>
          <w:b/>
          <w:color w:val="102849" w:themeColor="text2" w:themeTint="E6"/>
          <w:sz w:val="32"/>
          <w:szCs w:val="32"/>
        </w:rPr>
      </w:pPr>
      <w:r>
        <w:br w:type="page"/>
      </w:r>
    </w:p>
    <w:p w14:paraId="293CDAB7" w14:textId="55E7F259" w:rsidR="0047337F" w:rsidRDefault="0047337F" w:rsidP="00496286">
      <w:pPr>
        <w:pStyle w:val="Heading1"/>
        <w:tabs>
          <w:tab w:val="left" w:pos="709"/>
        </w:tabs>
        <w:ind w:left="426" w:hanging="568"/>
      </w:pPr>
      <w:bookmarkStart w:id="11" w:name="_Toc14170693"/>
      <w:r>
        <w:lastRenderedPageBreak/>
        <w:t>3</w:t>
      </w:r>
      <w:r>
        <w:tab/>
        <w:t xml:space="preserve">Victims and </w:t>
      </w:r>
      <w:r w:rsidR="001577FF">
        <w:t>p</w:t>
      </w:r>
      <w:r>
        <w:t xml:space="preserve">ersons </w:t>
      </w:r>
      <w:r w:rsidR="001577FF">
        <w:t>a</w:t>
      </w:r>
      <w:r>
        <w:t xml:space="preserve">dversely </w:t>
      </w:r>
      <w:r w:rsidR="001577FF">
        <w:t>a</w:t>
      </w:r>
      <w:r>
        <w:t xml:space="preserve">ffected by </w:t>
      </w:r>
      <w:r w:rsidR="001577FF">
        <w:t>c</w:t>
      </w:r>
      <w:r>
        <w:t>rime</w:t>
      </w:r>
      <w:bookmarkEnd w:id="11"/>
    </w:p>
    <w:p w14:paraId="1E9F6E22" w14:textId="56C281E9" w:rsidR="0047337F" w:rsidRDefault="001577FF" w:rsidP="0047337F">
      <w:pPr>
        <w:spacing w:before="100" w:beforeAutospacing="1" w:after="100" w:afterAutospacing="1"/>
      </w:pPr>
      <w:r>
        <w:t>We are</w:t>
      </w:r>
      <w:r w:rsidR="0047337F">
        <w:t xml:space="preserve"> committed to treating victims and persons adversely affected by crime with courtesy, respect and dignity and to ensuring compliance with the </w:t>
      </w:r>
      <w:r w:rsidR="0047337F" w:rsidRPr="005D6779">
        <w:rPr>
          <w:i/>
        </w:rPr>
        <w:t>Victim’s Charter Act</w:t>
      </w:r>
      <w:r w:rsidR="0047337F">
        <w:t xml:space="preserve"> </w:t>
      </w:r>
      <w:r w:rsidR="0047337F" w:rsidRPr="00F231F2">
        <w:rPr>
          <w:i/>
        </w:rPr>
        <w:t>2006</w:t>
      </w:r>
      <w:r w:rsidR="0047337F">
        <w:t>.</w:t>
      </w:r>
    </w:p>
    <w:p w14:paraId="6550C50C" w14:textId="1871D9A5" w:rsidR="0047337F" w:rsidRDefault="0047337F" w:rsidP="0047337F">
      <w:pPr>
        <w:pStyle w:val="Heading2"/>
      </w:pPr>
      <w:bookmarkStart w:id="12" w:name="_Toc14170694"/>
      <w:r>
        <w:t xml:space="preserve">3.1 </w:t>
      </w:r>
      <w:r>
        <w:tab/>
        <w:t xml:space="preserve">Keeping </w:t>
      </w:r>
      <w:r w:rsidR="001577FF">
        <w:t>v</w:t>
      </w:r>
      <w:r>
        <w:t xml:space="preserve">ictims </w:t>
      </w:r>
      <w:r w:rsidR="001577FF">
        <w:t>i</w:t>
      </w:r>
      <w:r>
        <w:t>nformed</w:t>
      </w:r>
      <w:bookmarkEnd w:id="12"/>
    </w:p>
    <w:p w14:paraId="66A44E20" w14:textId="7EFEAE38" w:rsidR="0047337F" w:rsidRDefault="0047337F" w:rsidP="0047337F">
      <w:pPr>
        <w:spacing w:before="100" w:beforeAutospacing="1" w:after="100" w:afterAutospacing="1"/>
      </w:pPr>
      <w:r>
        <w:t xml:space="preserve">In communicating with victims, </w:t>
      </w:r>
      <w:r w:rsidR="001577FF">
        <w:t xml:space="preserve">we </w:t>
      </w:r>
      <w:r>
        <w:t xml:space="preserve">will </w:t>
      </w:r>
      <w:proofErr w:type="gramStart"/>
      <w:r>
        <w:t>take into account</w:t>
      </w:r>
      <w:proofErr w:type="gramEnd"/>
      <w:r>
        <w:t>:</w:t>
      </w:r>
    </w:p>
    <w:p w14:paraId="485609A0" w14:textId="77777777" w:rsidR="0047337F" w:rsidRDefault="0047337F" w:rsidP="005C5C56">
      <w:pPr>
        <w:numPr>
          <w:ilvl w:val="0"/>
          <w:numId w:val="17"/>
        </w:numPr>
        <w:spacing w:before="100" w:beforeAutospacing="1" w:after="60" w:line="240" w:lineRule="auto"/>
        <w:ind w:left="1077" w:hanging="357"/>
      </w:pPr>
      <w:r>
        <w:t>whether the victim wishes to be contacted in relation to the prosecution</w:t>
      </w:r>
    </w:p>
    <w:p w14:paraId="27BC1D76" w14:textId="77777777" w:rsidR="0047337F" w:rsidRDefault="0047337F" w:rsidP="005C5C56">
      <w:pPr>
        <w:numPr>
          <w:ilvl w:val="0"/>
          <w:numId w:val="17"/>
        </w:numPr>
        <w:spacing w:before="100" w:beforeAutospacing="1" w:after="60" w:line="240" w:lineRule="auto"/>
        <w:ind w:left="1077" w:hanging="357"/>
      </w:pPr>
      <w:r>
        <w:t>the victim’s preferred method of communication</w:t>
      </w:r>
    </w:p>
    <w:p w14:paraId="76C305A4" w14:textId="77777777" w:rsidR="0047337F" w:rsidRDefault="0047337F" w:rsidP="005C5C56">
      <w:pPr>
        <w:numPr>
          <w:ilvl w:val="0"/>
          <w:numId w:val="17"/>
        </w:numPr>
        <w:spacing w:before="100" w:beforeAutospacing="1" w:after="60" w:line="240" w:lineRule="auto"/>
        <w:ind w:left="1077" w:hanging="357"/>
      </w:pPr>
      <w:r>
        <w:t xml:space="preserve">the </w:t>
      </w:r>
      <w:proofErr w:type="gramStart"/>
      <w:r>
        <w:t>particular circumstances</w:t>
      </w:r>
      <w:proofErr w:type="gramEnd"/>
      <w:r>
        <w:t xml:space="preserve"> of the victim.</w:t>
      </w:r>
    </w:p>
    <w:p w14:paraId="32BC5340" w14:textId="0B6E8DBD" w:rsidR="0047337F" w:rsidRDefault="0047337F" w:rsidP="0047337F">
      <w:pPr>
        <w:spacing w:before="100" w:beforeAutospacing="1" w:after="100" w:afterAutospacing="1"/>
      </w:pPr>
      <w:r>
        <w:t xml:space="preserve">Where a victim wishes to be informed of the proceedings, </w:t>
      </w:r>
      <w:r w:rsidR="001577FF">
        <w:t xml:space="preserve">we </w:t>
      </w:r>
      <w:r>
        <w:t>must provide information about the court process, the victim’s role as a witness, support services, possible entitlement to compensation, legal assistance and the victim’s register.</w:t>
      </w:r>
      <w:r>
        <w:rPr>
          <w:rStyle w:val="FootnoteReference"/>
        </w:rPr>
        <w:footnoteReference w:id="12"/>
      </w:r>
    </w:p>
    <w:p w14:paraId="7DD27CA9" w14:textId="2B4034A6" w:rsidR="0047337F" w:rsidRDefault="001577FF" w:rsidP="0047337F">
      <w:pPr>
        <w:spacing w:before="100" w:beforeAutospacing="1" w:after="100" w:afterAutospacing="1"/>
      </w:pPr>
      <w:r>
        <w:t xml:space="preserve">We </w:t>
      </w:r>
      <w:r w:rsidR="0047337F">
        <w:t>will also advise victims:</w:t>
      </w:r>
    </w:p>
    <w:p w14:paraId="0F056B5D" w14:textId="77777777" w:rsidR="0047337F" w:rsidRDefault="0047337F" w:rsidP="0047337F">
      <w:pPr>
        <w:numPr>
          <w:ilvl w:val="0"/>
          <w:numId w:val="17"/>
        </w:numPr>
        <w:spacing w:before="100" w:beforeAutospacing="1" w:after="100" w:afterAutospacing="1" w:line="240" w:lineRule="auto"/>
      </w:pPr>
      <w:r>
        <w:t>when and what charges are laid, along with any decision:</w:t>
      </w:r>
    </w:p>
    <w:p w14:paraId="5DF48DF3" w14:textId="77777777" w:rsidR="0047337F" w:rsidRDefault="0047337F" w:rsidP="005C5C56">
      <w:pPr>
        <w:numPr>
          <w:ilvl w:val="1"/>
          <w:numId w:val="21"/>
        </w:numPr>
        <w:spacing w:before="100" w:beforeAutospacing="1" w:after="60" w:line="240" w:lineRule="auto"/>
        <w:ind w:left="1434" w:hanging="357"/>
      </w:pPr>
      <w:r>
        <w:t>to substantially modify the charges</w:t>
      </w:r>
    </w:p>
    <w:p w14:paraId="09F681D7" w14:textId="77777777" w:rsidR="0047337F" w:rsidRDefault="0047337F" w:rsidP="005C5C56">
      <w:pPr>
        <w:numPr>
          <w:ilvl w:val="1"/>
          <w:numId w:val="21"/>
        </w:numPr>
        <w:spacing w:before="100" w:beforeAutospacing="1" w:after="60" w:line="240" w:lineRule="auto"/>
        <w:ind w:left="1434" w:hanging="357"/>
      </w:pPr>
      <w:r>
        <w:t xml:space="preserve">not to proceed with some or </w:t>
      </w:r>
      <w:proofErr w:type="gramStart"/>
      <w:r>
        <w:t>all of</w:t>
      </w:r>
      <w:proofErr w:type="gramEnd"/>
      <w:r>
        <w:t xml:space="preserve"> the charges or </w:t>
      </w:r>
    </w:p>
    <w:p w14:paraId="50DFD16C" w14:textId="77777777" w:rsidR="0047337F" w:rsidRDefault="0047337F" w:rsidP="005C5C56">
      <w:pPr>
        <w:numPr>
          <w:ilvl w:val="1"/>
          <w:numId w:val="21"/>
        </w:numPr>
        <w:spacing w:before="100" w:beforeAutospacing="1" w:after="60" w:line="240" w:lineRule="auto"/>
        <w:ind w:left="1434" w:hanging="357"/>
      </w:pPr>
      <w:r>
        <w:t>to accept a plea of guilty to a lesser charge.</w:t>
      </w:r>
    </w:p>
    <w:p w14:paraId="3571FE8B" w14:textId="77777777" w:rsidR="0047337F" w:rsidRDefault="0047337F" w:rsidP="0047337F">
      <w:pPr>
        <w:numPr>
          <w:ilvl w:val="0"/>
          <w:numId w:val="17"/>
        </w:numPr>
        <w:spacing w:before="100" w:beforeAutospacing="1" w:line="240" w:lineRule="auto"/>
        <w:ind w:hanging="357"/>
      </w:pPr>
      <w:r>
        <w:t>how to find the date, time and location of court hearings</w:t>
      </w:r>
    </w:p>
    <w:p w14:paraId="713ED9F5" w14:textId="77777777" w:rsidR="0047337F" w:rsidRDefault="0047337F" w:rsidP="0047337F">
      <w:pPr>
        <w:numPr>
          <w:ilvl w:val="0"/>
          <w:numId w:val="17"/>
        </w:numPr>
        <w:spacing w:before="100" w:beforeAutospacing="1" w:line="240" w:lineRule="auto"/>
        <w:ind w:hanging="357"/>
      </w:pPr>
      <w:r>
        <w:t>the date, time and location of any:</w:t>
      </w:r>
    </w:p>
    <w:p w14:paraId="133C8671" w14:textId="77777777" w:rsidR="0047337F" w:rsidRDefault="0047337F" w:rsidP="005C5C56">
      <w:pPr>
        <w:numPr>
          <w:ilvl w:val="1"/>
          <w:numId w:val="21"/>
        </w:numPr>
        <w:spacing w:before="100" w:beforeAutospacing="1" w:after="60" w:line="240" w:lineRule="auto"/>
        <w:ind w:hanging="357"/>
      </w:pPr>
      <w:r>
        <w:t>summary hearing</w:t>
      </w:r>
    </w:p>
    <w:p w14:paraId="13FE4909" w14:textId="77777777" w:rsidR="0047337F" w:rsidRDefault="0047337F" w:rsidP="005C5C56">
      <w:pPr>
        <w:numPr>
          <w:ilvl w:val="1"/>
          <w:numId w:val="21"/>
        </w:numPr>
        <w:spacing w:before="100" w:beforeAutospacing="1" w:after="60" w:line="240" w:lineRule="auto"/>
        <w:ind w:hanging="357"/>
      </w:pPr>
      <w:r>
        <w:t>plea prosecuted by CAV</w:t>
      </w:r>
    </w:p>
    <w:p w14:paraId="1D44A9A6" w14:textId="77777777" w:rsidR="0047337F" w:rsidRDefault="0047337F" w:rsidP="005C5C56">
      <w:pPr>
        <w:numPr>
          <w:ilvl w:val="1"/>
          <w:numId w:val="21"/>
        </w:numPr>
        <w:spacing w:before="100" w:beforeAutospacing="1" w:after="60" w:line="240" w:lineRule="auto"/>
        <w:ind w:hanging="357"/>
      </w:pPr>
      <w:r>
        <w:t>sentence where CAV is the prosecuting agency</w:t>
      </w:r>
    </w:p>
    <w:p w14:paraId="6E2D14CD" w14:textId="77777777" w:rsidR="0047337F" w:rsidRDefault="0047337F" w:rsidP="005C5C56">
      <w:pPr>
        <w:numPr>
          <w:ilvl w:val="1"/>
          <w:numId w:val="21"/>
        </w:numPr>
        <w:spacing w:before="100" w:beforeAutospacing="1" w:after="60" w:line="240" w:lineRule="auto"/>
        <w:ind w:hanging="357"/>
      </w:pPr>
      <w:r>
        <w:t>contested committal</w:t>
      </w:r>
    </w:p>
    <w:p w14:paraId="5283F1F6" w14:textId="77777777" w:rsidR="0047337F" w:rsidRDefault="0047337F" w:rsidP="005C5C56">
      <w:pPr>
        <w:numPr>
          <w:ilvl w:val="0"/>
          <w:numId w:val="17"/>
        </w:numPr>
        <w:spacing w:before="100" w:beforeAutospacing="1" w:after="60" w:line="240" w:lineRule="auto"/>
        <w:ind w:left="1083" w:hanging="357"/>
      </w:pPr>
      <w:r>
        <w:t>the outcome of any court hearings</w:t>
      </w:r>
    </w:p>
    <w:p w14:paraId="2AE63D04" w14:textId="77777777" w:rsidR="0047337F" w:rsidRDefault="0047337F" w:rsidP="005C5C56">
      <w:pPr>
        <w:numPr>
          <w:ilvl w:val="0"/>
          <w:numId w:val="17"/>
        </w:numPr>
        <w:spacing w:before="100" w:beforeAutospacing="1" w:after="60" w:line="240" w:lineRule="auto"/>
        <w:ind w:left="1083" w:hanging="357"/>
      </w:pPr>
      <w:r>
        <w:t>when an appeal is lodged and that the appeal will be conducted by the Director of Public Prosecutions</w:t>
      </w:r>
    </w:p>
    <w:p w14:paraId="5DBF8357" w14:textId="25134806" w:rsidR="0047337F" w:rsidRDefault="0047337F" w:rsidP="005C5C56">
      <w:pPr>
        <w:numPr>
          <w:ilvl w:val="0"/>
          <w:numId w:val="17"/>
        </w:numPr>
        <w:spacing w:before="100" w:beforeAutospacing="1" w:after="60" w:line="240" w:lineRule="auto"/>
        <w:ind w:left="1083" w:hanging="357"/>
      </w:pPr>
      <w:r>
        <w:t>if an offender is charged with a contravention of their sentence including</w:t>
      </w:r>
      <w:r w:rsidR="00DE6965">
        <w:t>:</w:t>
      </w:r>
    </w:p>
    <w:p w14:paraId="171E85FC" w14:textId="77777777" w:rsidR="0047337F" w:rsidRDefault="0047337F" w:rsidP="0047337F">
      <w:pPr>
        <w:numPr>
          <w:ilvl w:val="1"/>
          <w:numId w:val="21"/>
        </w:numPr>
        <w:spacing w:before="100" w:beforeAutospacing="1" w:line="240" w:lineRule="auto"/>
        <w:ind w:left="1434" w:hanging="357"/>
      </w:pPr>
      <w:r>
        <w:t xml:space="preserve">the contravention </w:t>
      </w:r>
      <w:proofErr w:type="gramStart"/>
      <w:r>
        <w:t>process</w:t>
      </w:r>
      <w:proofErr w:type="gramEnd"/>
    </w:p>
    <w:p w14:paraId="0906E52C" w14:textId="77777777" w:rsidR="0047337F" w:rsidRDefault="0047337F" w:rsidP="0047337F">
      <w:pPr>
        <w:numPr>
          <w:ilvl w:val="1"/>
          <w:numId w:val="21"/>
        </w:numPr>
        <w:spacing w:before="100" w:beforeAutospacing="1" w:line="240" w:lineRule="auto"/>
        <w:ind w:left="1434" w:hanging="357"/>
      </w:pPr>
      <w:r>
        <w:t>hearing date of the contravention</w:t>
      </w:r>
    </w:p>
    <w:p w14:paraId="68928D8B" w14:textId="77777777" w:rsidR="0047337F" w:rsidRDefault="0047337F" w:rsidP="0047337F">
      <w:pPr>
        <w:numPr>
          <w:ilvl w:val="1"/>
          <w:numId w:val="21"/>
        </w:numPr>
        <w:spacing w:before="100" w:beforeAutospacing="1" w:line="240" w:lineRule="auto"/>
        <w:ind w:left="1434" w:hanging="357"/>
      </w:pPr>
      <w:r>
        <w:t>outcome of the contravention.</w:t>
      </w:r>
    </w:p>
    <w:p w14:paraId="594CEF0D" w14:textId="5930857E" w:rsidR="0047337F" w:rsidRDefault="0047337F" w:rsidP="0047337F">
      <w:pPr>
        <w:spacing w:before="100" w:beforeAutospacing="1" w:after="100" w:afterAutospacing="1"/>
      </w:pPr>
      <w:r>
        <w:lastRenderedPageBreak/>
        <w:t xml:space="preserve">Where circumstances allow, </w:t>
      </w:r>
      <w:r w:rsidR="00B737CE">
        <w:t xml:space="preserve">we </w:t>
      </w:r>
      <w:r>
        <w:t>will make all reasonable attempts to seek the victim’s views prior to any decision regarding:</w:t>
      </w:r>
    </w:p>
    <w:p w14:paraId="777BB297" w14:textId="77777777" w:rsidR="0047337F" w:rsidRDefault="0047337F" w:rsidP="005C5C56">
      <w:pPr>
        <w:numPr>
          <w:ilvl w:val="0"/>
          <w:numId w:val="17"/>
        </w:numPr>
        <w:spacing w:before="100" w:beforeAutospacing="1" w:after="60" w:line="240" w:lineRule="auto"/>
        <w:ind w:left="1077" w:hanging="357"/>
      </w:pPr>
      <w:r>
        <w:t>resolution of the charges and</w:t>
      </w:r>
    </w:p>
    <w:p w14:paraId="5F7F4822" w14:textId="62B75EAA" w:rsidR="0047337F" w:rsidRDefault="0047337F" w:rsidP="005C5C56">
      <w:pPr>
        <w:numPr>
          <w:ilvl w:val="0"/>
          <w:numId w:val="17"/>
        </w:numPr>
        <w:spacing w:before="100" w:beforeAutospacing="1" w:after="60" w:line="240" w:lineRule="auto"/>
        <w:ind w:left="1077" w:hanging="357"/>
      </w:pPr>
      <w:r>
        <w:t>withdrawal of all charges.</w:t>
      </w:r>
    </w:p>
    <w:p w14:paraId="30FF352A" w14:textId="357E0DAA" w:rsidR="0047337F" w:rsidRDefault="0047337F" w:rsidP="0047337F">
      <w:pPr>
        <w:spacing w:before="100" w:beforeAutospacing="1" w:after="100" w:afterAutospacing="1"/>
      </w:pPr>
      <w:r>
        <w:t>The decision to resolve or withdraw all charges lies with the Director or the DPP</w:t>
      </w:r>
      <w:r>
        <w:rPr>
          <w:rStyle w:val="FootnoteReference"/>
        </w:rPr>
        <w:footnoteReference w:id="13"/>
      </w:r>
      <w:r>
        <w:t xml:space="preserve"> and must be made in accordance with Chapter</w:t>
      </w:r>
      <w:r w:rsidR="00B737CE">
        <w:t>s</w:t>
      </w:r>
      <w:r>
        <w:t xml:space="preserve"> 1 and 4 of these Guidelines. The victim’s views on resolution or withdrawal of all charges is a factor to be considered when determining whether a prosecution is in the public interest.  </w:t>
      </w:r>
    </w:p>
    <w:p w14:paraId="49A76CEA" w14:textId="77777777" w:rsidR="0047337F" w:rsidRDefault="0047337F" w:rsidP="0047337F">
      <w:pPr>
        <w:spacing w:before="100" w:beforeAutospacing="1" w:after="100" w:afterAutospacing="1"/>
      </w:pPr>
      <w:r>
        <w:t xml:space="preserve">Where withdrawal of all charges is considered on the grounds that there is no reasonable prospect of a conviction due to insufficient evidence, the views of the victim may have no impact on the decision. </w:t>
      </w:r>
    </w:p>
    <w:p w14:paraId="370A32FC" w14:textId="2E47A2AB" w:rsidR="0047337F" w:rsidRDefault="0047337F" w:rsidP="00CB0224">
      <w:pPr>
        <w:pStyle w:val="Heading2"/>
      </w:pPr>
      <w:bookmarkStart w:id="13" w:name="_Toc14170695"/>
      <w:r>
        <w:t xml:space="preserve">3.2 </w:t>
      </w:r>
      <w:r>
        <w:tab/>
        <w:t xml:space="preserve">Obligations to </w:t>
      </w:r>
      <w:r w:rsidR="00B737CE">
        <w:t>v</w:t>
      </w:r>
      <w:r>
        <w:t xml:space="preserve">ictims at </w:t>
      </w:r>
      <w:r w:rsidR="00B737CE">
        <w:t>c</w:t>
      </w:r>
      <w:r>
        <w:t>ourt</w:t>
      </w:r>
      <w:bookmarkEnd w:id="13"/>
    </w:p>
    <w:p w14:paraId="1D52CF8E" w14:textId="341555BE" w:rsidR="0047337F" w:rsidRDefault="0047337F" w:rsidP="0047337F">
      <w:pPr>
        <w:spacing w:before="100" w:beforeAutospacing="1" w:after="100" w:afterAutospacing="1"/>
      </w:pPr>
      <w:r>
        <w:t xml:space="preserve">Victims are entitled to attend court hearings and will be advised accordingly. When at court </w:t>
      </w:r>
      <w:r w:rsidR="00B737CE">
        <w:t xml:space="preserve">we </w:t>
      </w:r>
      <w:r>
        <w:t>ha</w:t>
      </w:r>
      <w:r w:rsidR="00B737CE">
        <w:t>ve</w:t>
      </w:r>
      <w:r>
        <w:t xml:space="preserve"> a duty to </w:t>
      </w:r>
      <w:proofErr w:type="spellStart"/>
      <w:r>
        <w:t>minimise</w:t>
      </w:r>
      <w:proofErr w:type="spellEnd"/>
      <w:r>
        <w:t xml:space="preserve"> the victim’s contact with the accused, </w:t>
      </w:r>
      <w:proofErr w:type="spellStart"/>
      <w:r>
        <w:t>defence</w:t>
      </w:r>
      <w:proofErr w:type="spellEnd"/>
      <w:r>
        <w:t xml:space="preserve"> witnesses and family members </w:t>
      </w:r>
      <w:r w:rsidR="00B737CE">
        <w:t>as much</w:t>
      </w:r>
      <w:r>
        <w:t xml:space="preserve"> as practicable. Where appropriate</w:t>
      </w:r>
      <w:r w:rsidR="00B737CE">
        <w:t>,</w:t>
      </w:r>
      <w:r>
        <w:t xml:space="preserve"> </w:t>
      </w:r>
      <w:r w:rsidR="00B737CE">
        <w:t xml:space="preserve">we </w:t>
      </w:r>
      <w:r>
        <w:t>will refer victims to Court Network for the provision of support at court.</w:t>
      </w:r>
      <w:r>
        <w:rPr>
          <w:rStyle w:val="FootnoteReference"/>
        </w:rPr>
        <w:footnoteReference w:id="14"/>
      </w:r>
      <w:r>
        <w:t xml:space="preserve"> Victims will also be shown rooms within the court building where they can wait privately if they desire.</w:t>
      </w:r>
    </w:p>
    <w:p w14:paraId="0CF1448B" w14:textId="36EF125B" w:rsidR="0047337F" w:rsidRDefault="0047337F" w:rsidP="00CB0224">
      <w:pPr>
        <w:pStyle w:val="Heading2"/>
      </w:pPr>
      <w:bookmarkStart w:id="14" w:name="_Toc14170696"/>
      <w:r>
        <w:t xml:space="preserve">3.3 </w:t>
      </w:r>
      <w:r>
        <w:tab/>
        <w:t>Victim Impact Statements</w:t>
      </w:r>
      <w:bookmarkEnd w:id="14"/>
    </w:p>
    <w:p w14:paraId="1EDF46B0" w14:textId="0129E365" w:rsidR="0047337F" w:rsidRDefault="0047337F" w:rsidP="0047337F">
      <w:r>
        <w:t xml:space="preserve">On a plea or finding of guilt, </w:t>
      </w:r>
      <w:r w:rsidR="00F52765">
        <w:t xml:space="preserve">we </w:t>
      </w:r>
      <w:r>
        <w:t xml:space="preserve">must advise victims of their right to make a Victim Impact Statements in accordance with Part 3 Division 1C of the </w:t>
      </w:r>
      <w:r w:rsidRPr="005D6779">
        <w:rPr>
          <w:i/>
        </w:rPr>
        <w:t>Sentencing Act</w:t>
      </w:r>
      <w:r>
        <w:t xml:space="preserve"> </w:t>
      </w:r>
      <w:r w:rsidRPr="00F231F2">
        <w:rPr>
          <w:i/>
        </w:rPr>
        <w:t>1991</w:t>
      </w:r>
      <w:r>
        <w:t>. Victims must also be informed of the manner in which a Victim Impact Statement can be presented to the court and that they may be subject to cross examination about the contents of their Victim Impact Statement.</w:t>
      </w:r>
    </w:p>
    <w:p w14:paraId="76A79EA2" w14:textId="0FABE3FF" w:rsidR="0047337F" w:rsidRDefault="0047337F" w:rsidP="0047337F">
      <w:r>
        <w:t xml:space="preserve">Where a victim intends to make a Victim Impact Statement, </w:t>
      </w:r>
      <w:r w:rsidR="00F52765">
        <w:t xml:space="preserve">we </w:t>
      </w:r>
      <w:r>
        <w:t xml:space="preserve">must provide the victim with </w:t>
      </w:r>
      <w:r w:rsidRPr="005A6BC8">
        <w:rPr>
          <w:i/>
        </w:rPr>
        <w:t xml:space="preserve">Guide to Victim Impact Statements </w:t>
      </w:r>
      <w:r w:rsidRPr="00DE6965">
        <w:t>and</w:t>
      </w:r>
      <w:r w:rsidRPr="005A6BC8">
        <w:rPr>
          <w:i/>
        </w:rPr>
        <w:t xml:space="preserve"> Victim Impact Statements Made Easy</w:t>
      </w:r>
      <w:r>
        <w:rPr>
          <w:rStyle w:val="FootnoteReference"/>
        </w:rPr>
        <w:footnoteReference w:id="15"/>
      </w:r>
      <w:r>
        <w:t xml:space="preserve"> and refer the victim to the Victims of Crime Helpline on 1800 819 817 for assistance in preparing the statement. </w:t>
      </w:r>
      <w:r w:rsidR="00F52765">
        <w:t>We are</w:t>
      </w:r>
      <w:r>
        <w:t xml:space="preserve"> not able to assist in the preparation of a Victim Impact Statement.</w:t>
      </w:r>
    </w:p>
    <w:p w14:paraId="177D9EBF" w14:textId="630D4D31" w:rsidR="0047337F" w:rsidRPr="008F2659" w:rsidRDefault="0047337F" w:rsidP="00CB0224">
      <w:pPr>
        <w:pStyle w:val="Heading2"/>
      </w:pPr>
      <w:bookmarkStart w:id="15" w:name="_Toc14170697"/>
      <w:r w:rsidRPr="008F2659">
        <w:t xml:space="preserve">3.4 </w:t>
      </w:r>
      <w:r>
        <w:tab/>
      </w:r>
      <w:r w:rsidRPr="008F2659">
        <w:t xml:space="preserve">Compensation and </w:t>
      </w:r>
      <w:r w:rsidR="00F52765">
        <w:t>f</w:t>
      </w:r>
      <w:r w:rsidRPr="008F2659">
        <w:t xml:space="preserve">inancial </w:t>
      </w:r>
      <w:r w:rsidR="00F52765">
        <w:t>a</w:t>
      </w:r>
      <w:r w:rsidRPr="008F2659">
        <w:t xml:space="preserve">ssistance for </w:t>
      </w:r>
      <w:r w:rsidR="00F52765">
        <w:t>v</w:t>
      </w:r>
      <w:r w:rsidRPr="008F2659">
        <w:t>ictims</w:t>
      </w:r>
      <w:bookmarkEnd w:id="15"/>
    </w:p>
    <w:p w14:paraId="493FBC75" w14:textId="1C206F7D" w:rsidR="0047337F" w:rsidRDefault="00F52765" w:rsidP="0047337F">
      <w:r>
        <w:t xml:space="preserve">We </w:t>
      </w:r>
      <w:r w:rsidR="0047337F">
        <w:t>must advise victims of their potential entitlement to restitution, compensation or financial assistance.</w:t>
      </w:r>
    </w:p>
    <w:p w14:paraId="2D2DC1C0" w14:textId="77777777" w:rsidR="0047337F" w:rsidRPr="00824C9A" w:rsidRDefault="0047337F" w:rsidP="0047337F">
      <w:r w:rsidRPr="00824C9A">
        <w:lastRenderedPageBreak/>
        <w:t>In a summary prosecution,</w:t>
      </w:r>
      <w:r w:rsidRPr="00824C9A">
        <w:rPr>
          <w:rStyle w:val="FootnoteReference"/>
        </w:rPr>
        <w:footnoteReference w:id="16"/>
      </w:r>
      <w:r w:rsidRPr="00824C9A">
        <w:t xml:space="preserve"> the Director may apply for a compensation or restitution order on behalf of a victim where:</w:t>
      </w:r>
      <w:r w:rsidRPr="00824C9A">
        <w:rPr>
          <w:rStyle w:val="FootnoteReference"/>
        </w:rPr>
        <w:footnoteReference w:id="17"/>
      </w:r>
    </w:p>
    <w:p w14:paraId="4F6EB625" w14:textId="77777777" w:rsidR="0047337F" w:rsidRPr="00824C9A" w:rsidRDefault="0047337F" w:rsidP="005C5C56">
      <w:pPr>
        <w:numPr>
          <w:ilvl w:val="0"/>
          <w:numId w:val="17"/>
        </w:numPr>
        <w:spacing w:before="100" w:beforeAutospacing="1" w:after="60" w:line="240" w:lineRule="auto"/>
        <w:ind w:left="1077" w:hanging="357"/>
      </w:pPr>
      <w:r>
        <w:t>t</w:t>
      </w:r>
      <w:r w:rsidRPr="00824C9A">
        <w:t>he offender pleads guilty to or is found guilty of an offence which caused the pain and suffering or property loss and</w:t>
      </w:r>
    </w:p>
    <w:p w14:paraId="654E89A6" w14:textId="77777777" w:rsidR="0047337F" w:rsidRPr="00824C9A" w:rsidRDefault="0047337F" w:rsidP="005C5C56">
      <w:pPr>
        <w:numPr>
          <w:ilvl w:val="0"/>
          <w:numId w:val="17"/>
        </w:numPr>
        <w:spacing w:before="100" w:beforeAutospacing="1" w:after="60" w:line="240" w:lineRule="auto"/>
        <w:ind w:left="1077" w:hanging="357"/>
      </w:pPr>
      <w:r>
        <w:t>t</w:t>
      </w:r>
      <w:r w:rsidRPr="00824C9A">
        <w:t xml:space="preserve">here is </w:t>
      </w:r>
      <w:proofErr w:type="gramStart"/>
      <w:r w:rsidRPr="00824C9A">
        <w:t>sufficient</w:t>
      </w:r>
      <w:proofErr w:type="gramEnd"/>
      <w:r w:rsidRPr="00824C9A">
        <w:t xml:space="preserve"> evidence of pain and suffering, property loss, damage or medical expenses to justify the application and</w:t>
      </w:r>
    </w:p>
    <w:p w14:paraId="110387D7" w14:textId="77777777" w:rsidR="0047337F" w:rsidRPr="00824C9A" w:rsidRDefault="0047337F" w:rsidP="005C5C56">
      <w:pPr>
        <w:numPr>
          <w:ilvl w:val="0"/>
          <w:numId w:val="17"/>
        </w:numPr>
        <w:spacing w:before="100" w:beforeAutospacing="1" w:after="60" w:line="240" w:lineRule="auto"/>
        <w:ind w:left="1077" w:hanging="357"/>
      </w:pPr>
      <w:r>
        <w:t>t</w:t>
      </w:r>
      <w:r w:rsidRPr="00824C9A">
        <w:t>he quantum of compensation or restitution can be readily determined and</w:t>
      </w:r>
    </w:p>
    <w:p w14:paraId="4F7EF11C" w14:textId="77777777" w:rsidR="0047337F" w:rsidRPr="00824C9A" w:rsidRDefault="0047337F" w:rsidP="005C5C56">
      <w:pPr>
        <w:numPr>
          <w:ilvl w:val="0"/>
          <w:numId w:val="17"/>
        </w:numPr>
        <w:spacing w:before="100" w:beforeAutospacing="1" w:after="60" w:line="240" w:lineRule="auto"/>
        <w:ind w:left="1077" w:hanging="357"/>
      </w:pPr>
      <w:r>
        <w:t>t</w:t>
      </w:r>
      <w:r w:rsidRPr="00824C9A">
        <w:t>he application is not opposed by the offender and</w:t>
      </w:r>
    </w:p>
    <w:p w14:paraId="6184D25D" w14:textId="360A4AFF" w:rsidR="00D36332" w:rsidRPr="00824C9A" w:rsidRDefault="0047337F" w:rsidP="005C5C56">
      <w:pPr>
        <w:numPr>
          <w:ilvl w:val="0"/>
          <w:numId w:val="17"/>
        </w:numPr>
        <w:spacing w:before="100" w:beforeAutospacing="1" w:after="60" w:line="240" w:lineRule="auto"/>
        <w:ind w:left="1077" w:hanging="357"/>
      </w:pPr>
      <w:r>
        <w:t>t</w:t>
      </w:r>
      <w:r w:rsidRPr="00824C9A">
        <w:t xml:space="preserve">here is reason to believe, </w:t>
      </w:r>
      <w:proofErr w:type="gramStart"/>
      <w:r w:rsidRPr="00824C9A">
        <w:t>on the basis of</w:t>
      </w:r>
      <w:proofErr w:type="gramEnd"/>
      <w:r w:rsidRPr="00824C9A">
        <w:t xml:space="preserve"> information concerning the offender’s financial situation, that there is a reasonable prospect that the order could be wholly or substantially enforced. </w:t>
      </w:r>
    </w:p>
    <w:p w14:paraId="7F7D413E" w14:textId="77777777" w:rsidR="005C5C56" w:rsidRDefault="005C5C56" w:rsidP="0047337F"/>
    <w:p w14:paraId="6CA6F6D7" w14:textId="20A445C5" w:rsidR="0047337F" w:rsidRDefault="0047337F" w:rsidP="0047337F">
      <w:r w:rsidRPr="00824C9A">
        <w:t xml:space="preserve">If one of the above conditions is not met, </w:t>
      </w:r>
      <w:r w:rsidR="00505F6B">
        <w:t>we</w:t>
      </w:r>
      <w:r w:rsidR="00505F6B" w:rsidRPr="00824C9A">
        <w:t xml:space="preserve"> </w:t>
      </w:r>
      <w:r w:rsidRPr="00824C9A">
        <w:t>must refer the victim to the Victims of Crime Helpline if they still wish to pursue compensation or other civil proceedings.</w:t>
      </w:r>
    </w:p>
    <w:p w14:paraId="5C5895B5" w14:textId="591547CB" w:rsidR="0047337F" w:rsidRDefault="00032B87" w:rsidP="0047337F">
      <w:r>
        <w:t xml:space="preserve">We </w:t>
      </w:r>
      <w:r w:rsidR="0047337F">
        <w:t>must not provide victims with any legal advice in relation to potential entitlements to compensation, financial assistance or civil causes of action.</w:t>
      </w:r>
    </w:p>
    <w:p w14:paraId="4D74277B" w14:textId="1049D1FF" w:rsidR="0047337F" w:rsidRDefault="0047337F" w:rsidP="00CB0224">
      <w:pPr>
        <w:pStyle w:val="Heading2"/>
      </w:pPr>
      <w:bookmarkStart w:id="16" w:name="_Toc14170698"/>
      <w:r>
        <w:t xml:space="preserve">3.5 </w:t>
      </w:r>
      <w:r>
        <w:tab/>
        <w:t>Protection of victims</w:t>
      </w:r>
      <w:r w:rsidR="00934BB0">
        <w:t>’</w:t>
      </w:r>
      <w:r>
        <w:t xml:space="preserve"> and witnesses’ personal information and privacy</w:t>
      </w:r>
      <w:bookmarkEnd w:id="16"/>
    </w:p>
    <w:p w14:paraId="7C1B74A5" w14:textId="6C3612E5" w:rsidR="0047337F" w:rsidRDefault="00934BB0" w:rsidP="0047337F">
      <w:r>
        <w:t xml:space="preserve">We must not disclose a </w:t>
      </w:r>
      <w:proofErr w:type="gramStart"/>
      <w:r w:rsidR="0047337F">
        <w:t>victim</w:t>
      </w:r>
      <w:r>
        <w:t>’s</w:t>
      </w:r>
      <w:proofErr w:type="gramEnd"/>
      <w:r w:rsidR="0047337F">
        <w:t xml:space="preserve"> or a person adversely affected by crime’s personal information including date of birth, address, telephone number and email address, except:</w:t>
      </w:r>
    </w:p>
    <w:p w14:paraId="4456CB69" w14:textId="77777777" w:rsidR="0047337F" w:rsidRDefault="0047337F" w:rsidP="005C5C56">
      <w:pPr>
        <w:numPr>
          <w:ilvl w:val="0"/>
          <w:numId w:val="17"/>
        </w:numPr>
        <w:spacing w:before="100" w:beforeAutospacing="1" w:after="60" w:line="240" w:lineRule="auto"/>
        <w:ind w:left="1077" w:hanging="357"/>
      </w:pPr>
      <w:r w:rsidRPr="00824C9A">
        <w:t>on instruction from the Director</w:t>
      </w:r>
      <w:r>
        <w:t xml:space="preserve"> where disclosure is permitted or required by law or prosecutorial ethics</w:t>
      </w:r>
      <w:r>
        <w:rPr>
          <w:rStyle w:val="FootnoteReference"/>
        </w:rPr>
        <w:footnoteReference w:id="18"/>
      </w:r>
      <w:r>
        <w:t xml:space="preserve"> or</w:t>
      </w:r>
    </w:p>
    <w:p w14:paraId="50C66385" w14:textId="77777777" w:rsidR="0047337F" w:rsidRPr="00EB5000" w:rsidRDefault="0047337F" w:rsidP="005C5C56">
      <w:pPr>
        <w:numPr>
          <w:ilvl w:val="0"/>
          <w:numId w:val="17"/>
        </w:numPr>
        <w:spacing w:before="100" w:beforeAutospacing="1" w:after="60" w:line="240" w:lineRule="auto"/>
        <w:ind w:left="1077" w:hanging="357"/>
      </w:pPr>
      <w:r>
        <w:t xml:space="preserve">where a court </w:t>
      </w:r>
      <w:proofErr w:type="gramStart"/>
      <w:r>
        <w:t>orders</w:t>
      </w:r>
      <w:proofErr w:type="gramEnd"/>
      <w:r>
        <w:t xml:space="preserve"> otherwise.</w:t>
      </w:r>
    </w:p>
    <w:p w14:paraId="65E4C021" w14:textId="77777777" w:rsidR="0047337F" w:rsidRDefault="0047337F" w:rsidP="0047337F">
      <w:pPr>
        <w:pStyle w:val="Heading1"/>
      </w:pPr>
      <w:r>
        <w:br w:type="page"/>
      </w:r>
      <w:bookmarkStart w:id="17" w:name="_Toc14170699"/>
      <w:r>
        <w:lastRenderedPageBreak/>
        <w:t>4</w:t>
      </w:r>
      <w:r>
        <w:tab/>
        <w:t>Resolution</w:t>
      </w:r>
      <w:bookmarkEnd w:id="17"/>
    </w:p>
    <w:p w14:paraId="13AB9186" w14:textId="77777777" w:rsidR="0047337F" w:rsidRDefault="0047337F" w:rsidP="0047337F">
      <w:pPr>
        <w:spacing w:before="100" w:beforeAutospacing="1" w:after="100" w:afterAutospacing="1"/>
      </w:pPr>
      <w:r>
        <w:t xml:space="preserve">Resolution of matters, particularly early resolution, plays an important role in achieving effective and efficient prosecutions.  </w:t>
      </w:r>
    </w:p>
    <w:p w14:paraId="37FA8BDC" w14:textId="77777777" w:rsidR="0047337F" w:rsidRDefault="0047337F" w:rsidP="0047337F">
      <w:pPr>
        <w:spacing w:before="100" w:beforeAutospacing="1" w:after="100" w:afterAutospacing="1"/>
      </w:pPr>
      <w:r>
        <w:t>Resolution removes the obligation on victims and witnesses to give evidence and provides certainty of outcome as well as significant financial savings to the community.</w:t>
      </w:r>
    </w:p>
    <w:p w14:paraId="21D44A05" w14:textId="20701D8D" w:rsidR="0047337F" w:rsidRDefault="00032B87" w:rsidP="0047337F">
      <w:pPr>
        <w:spacing w:before="100" w:beforeAutospacing="1" w:after="100" w:afterAutospacing="1"/>
      </w:pPr>
      <w:r>
        <w:t xml:space="preserve">We </w:t>
      </w:r>
      <w:r w:rsidR="0047337F">
        <w:t>must try to reach resolution of prosecutions at all stages of the proceeding.</w:t>
      </w:r>
      <w:r w:rsidR="0047337F">
        <w:rPr>
          <w:rStyle w:val="FootnoteReference"/>
        </w:rPr>
        <w:footnoteReference w:id="19"/>
      </w:r>
    </w:p>
    <w:p w14:paraId="68286626" w14:textId="637CCE10" w:rsidR="0047337F" w:rsidRDefault="0047337F" w:rsidP="00CB0224">
      <w:pPr>
        <w:pStyle w:val="Heading2"/>
      </w:pPr>
      <w:bookmarkStart w:id="18" w:name="_Toc14170700"/>
      <w:r>
        <w:t xml:space="preserve">4.1 </w:t>
      </w:r>
      <w:r>
        <w:tab/>
        <w:t xml:space="preserve">Process of </w:t>
      </w:r>
      <w:r w:rsidR="00032B87">
        <w:t>r</w:t>
      </w:r>
      <w:r>
        <w:t>esolution</w:t>
      </w:r>
      <w:bookmarkEnd w:id="18"/>
    </w:p>
    <w:p w14:paraId="70E3B2D1" w14:textId="082A65CB" w:rsidR="0047337F" w:rsidRDefault="0047337F" w:rsidP="0047337F">
      <w:r>
        <w:t>Plea offers should be made in writing. I</w:t>
      </w:r>
      <w:r w:rsidR="00032B87">
        <w:t xml:space="preserve">f </w:t>
      </w:r>
      <w:r>
        <w:t xml:space="preserve">a verbal offer is made by a </w:t>
      </w:r>
      <w:proofErr w:type="spellStart"/>
      <w:r>
        <w:t>defence</w:t>
      </w:r>
      <w:proofErr w:type="spellEnd"/>
      <w:r>
        <w:t xml:space="preserve"> practitioner, </w:t>
      </w:r>
      <w:r w:rsidR="00032B87">
        <w:t xml:space="preserve">we </w:t>
      </w:r>
      <w:r>
        <w:t>must respond in writing.</w:t>
      </w:r>
    </w:p>
    <w:p w14:paraId="6A4FF528" w14:textId="7386F19B" w:rsidR="0047337F" w:rsidRDefault="00032B87" w:rsidP="0047337F">
      <w:r>
        <w:t xml:space="preserve">We </w:t>
      </w:r>
      <w:r w:rsidR="0047337F">
        <w:t>must record any resolution in writing and provide a copy of the document to the accused’s legal representatives prior to the resolution being entered at court. The document must include:</w:t>
      </w:r>
      <w:r w:rsidR="0047337F">
        <w:rPr>
          <w:rStyle w:val="FootnoteReference"/>
        </w:rPr>
        <w:footnoteReference w:id="20"/>
      </w:r>
    </w:p>
    <w:p w14:paraId="187CFBD7" w14:textId="77777777" w:rsidR="0047337F" w:rsidRDefault="0047337F" w:rsidP="005C5C56">
      <w:pPr>
        <w:numPr>
          <w:ilvl w:val="0"/>
          <w:numId w:val="17"/>
        </w:numPr>
        <w:spacing w:before="100" w:beforeAutospacing="1" w:after="60" w:line="240" w:lineRule="auto"/>
        <w:ind w:left="1077" w:hanging="357"/>
      </w:pPr>
      <w:r>
        <w:t>the charges to which the accused will plead guilty</w:t>
      </w:r>
    </w:p>
    <w:p w14:paraId="0DD627B2" w14:textId="77777777" w:rsidR="0047337F" w:rsidRDefault="0047337F" w:rsidP="005C5C56">
      <w:pPr>
        <w:numPr>
          <w:ilvl w:val="0"/>
          <w:numId w:val="17"/>
        </w:numPr>
        <w:spacing w:before="100" w:beforeAutospacing="1" w:after="60" w:line="240" w:lineRule="auto"/>
        <w:ind w:left="1077" w:hanging="357"/>
      </w:pPr>
      <w:r>
        <w:t>any agreed facts</w:t>
      </w:r>
    </w:p>
    <w:p w14:paraId="6BBDA12B" w14:textId="77777777" w:rsidR="0047337F" w:rsidRDefault="0047337F" w:rsidP="005C5C56">
      <w:pPr>
        <w:numPr>
          <w:ilvl w:val="0"/>
          <w:numId w:val="17"/>
        </w:numPr>
        <w:spacing w:before="100" w:beforeAutospacing="1" w:after="60" w:line="240" w:lineRule="auto"/>
        <w:ind w:left="1077" w:hanging="357"/>
      </w:pPr>
      <w:r>
        <w:t>any agreement about sentencing submissions</w:t>
      </w:r>
    </w:p>
    <w:p w14:paraId="64DCCFBA" w14:textId="77777777" w:rsidR="0047337F" w:rsidRDefault="0047337F" w:rsidP="005C5C56">
      <w:pPr>
        <w:numPr>
          <w:ilvl w:val="0"/>
          <w:numId w:val="17"/>
        </w:numPr>
        <w:spacing w:before="100" w:beforeAutospacing="1" w:after="60" w:line="240" w:lineRule="auto"/>
        <w:ind w:left="1077" w:hanging="357"/>
      </w:pPr>
      <w:r>
        <w:t>any agreement about ancillary orders and</w:t>
      </w:r>
    </w:p>
    <w:p w14:paraId="722994F3" w14:textId="06F63E17" w:rsidR="00B82B49" w:rsidRDefault="0047337F" w:rsidP="005C5C56">
      <w:pPr>
        <w:numPr>
          <w:ilvl w:val="0"/>
          <w:numId w:val="17"/>
        </w:numPr>
        <w:spacing w:before="100" w:beforeAutospacing="1" w:after="60" w:line="240" w:lineRule="auto"/>
        <w:ind w:left="1077" w:hanging="357"/>
      </w:pPr>
      <w:r>
        <w:t>any other matter relevant to the accused’s decision to plead guilty.</w:t>
      </w:r>
    </w:p>
    <w:p w14:paraId="5C1A8B3D" w14:textId="77777777" w:rsidR="00B82B49" w:rsidRDefault="00B82B49" w:rsidP="00B82B49"/>
    <w:p w14:paraId="2DE52EEB" w14:textId="1AEFBDFF" w:rsidR="0047337F" w:rsidRDefault="0047337F" w:rsidP="00B82B49">
      <w:r>
        <w:t>Where it is impractical to record a resolution in writing prior to it being entered at court, the above factors relevant to the resolution must be entered into the record of the court at the time of entering the plea. The resolution must then be confirmed in writing as soon as practicable after court has concluded.</w:t>
      </w:r>
    </w:p>
    <w:p w14:paraId="4C45B993" w14:textId="7A58AEAF" w:rsidR="0047337F" w:rsidRDefault="0047337F" w:rsidP="00B82B49">
      <w:r>
        <w:t>Prior to resolution being reached</w:t>
      </w:r>
      <w:r w:rsidR="00A81149">
        <w:t>, we</w:t>
      </w:r>
      <w:r>
        <w:t xml:space="preserve"> must make reasonable attempts to seek the view of the victim regarding the proposed resolution, unless the victim does not want to be contacted regarding the prosecution. </w:t>
      </w:r>
    </w:p>
    <w:p w14:paraId="29ED0BD4" w14:textId="3732619E" w:rsidR="0047337F" w:rsidRPr="00824C9A" w:rsidRDefault="0047337F" w:rsidP="00B82B49">
      <w:r>
        <w:t xml:space="preserve">A victim’s views will be taken into consideration when determining whether a resolution is in the public interest. However, it is ultimately the Director’s or Director of Public Prosecution’s decision </w:t>
      </w:r>
      <w:r w:rsidRPr="00824C9A">
        <w:t>whether to resolve a matter.</w:t>
      </w:r>
    </w:p>
    <w:p w14:paraId="05EB8C2D" w14:textId="22D7AF8F" w:rsidR="0047337F" w:rsidRPr="006D2F16" w:rsidRDefault="0047337F" w:rsidP="00B82B49">
      <w:r w:rsidRPr="00824C9A">
        <w:t xml:space="preserve">Where an accused is unrepresented, any plea offers from the accused must be made and responded to in writing. </w:t>
      </w:r>
      <w:r w:rsidR="00A81149">
        <w:t>We</w:t>
      </w:r>
      <w:r w:rsidRPr="00824C9A">
        <w:t xml:space="preserve"> may only initiate resolution discussions with an unrepresented accused on instructions from the Director.</w:t>
      </w:r>
      <w:r>
        <w:t xml:space="preserve"> </w:t>
      </w:r>
    </w:p>
    <w:p w14:paraId="386D4AC1" w14:textId="77777777" w:rsidR="0047337F" w:rsidRPr="0047337F" w:rsidRDefault="0047337F" w:rsidP="00CB0224">
      <w:pPr>
        <w:pStyle w:val="Heading2"/>
        <w:rPr>
          <w:rStyle w:val="PlainTable31"/>
          <w:i w:val="0"/>
          <w:iCs w:val="0"/>
          <w:color w:val="7F7F7F" w:themeColor="text1" w:themeTint="80"/>
        </w:rPr>
      </w:pPr>
      <w:bookmarkStart w:id="19" w:name="_Toc14170701"/>
      <w:r w:rsidRPr="0047337F">
        <w:rPr>
          <w:rStyle w:val="PlainTable31"/>
          <w:i w:val="0"/>
          <w:iCs w:val="0"/>
          <w:color w:val="7F7F7F" w:themeColor="text1" w:themeTint="80"/>
        </w:rPr>
        <w:lastRenderedPageBreak/>
        <w:t>4.2</w:t>
      </w:r>
      <w:r w:rsidRPr="0047337F">
        <w:rPr>
          <w:rStyle w:val="PlainTable31"/>
          <w:i w:val="0"/>
          <w:iCs w:val="0"/>
          <w:color w:val="7F7F7F" w:themeColor="text1" w:themeTint="80"/>
        </w:rPr>
        <w:tab/>
        <w:t xml:space="preserve"> Summary Prosecutions</w:t>
      </w:r>
      <w:bookmarkEnd w:id="19"/>
      <w:r w:rsidRPr="0047337F">
        <w:rPr>
          <w:rStyle w:val="PlainTable31"/>
          <w:i w:val="0"/>
          <w:iCs w:val="0"/>
          <w:color w:val="7F7F7F" w:themeColor="text1" w:themeTint="80"/>
        </w:rPr>
        <w:t xml:space="preserve"> </w:t>
      </w:r>
    </w:p>
    <w:p w14:paraId="53D98EA0" w14:textId="4776CD87" w:rsidR="0047337F" w:rsidRPr="00824C9A" w:rsidRDefault="0047337F" w:rsidP="0047337F">
      <w:pPr>
        <w:spacing w:before="100" w:beforeAutospacing="1" w:after="100" w:afterAutospacing="1"/>
      </w:pPr>
      <w:r w:rsidRPr="00824C9A">
        <w:t>Resolution of a summary prosecution requires the consent of the Director. The Director must consider whether the proposed resolution is in the public interest and in doing so must have regard to:</w:t>
      </w:r>
      <w:r w:rsidRPr="00824C9A">
        <w:rPr>
          <w:rStyle w:val="FootnoteReference"/>
        </w:rPr>
        <w:footnoteReference w:id="21"/>
      </w:r>
    </w:p>
    <w:p w14:paraId="5C417906" w14:textId="77777777" w:rsidR="0047337F" w:rsidRPr="00824C9A" w:rsidRDefault="0047337F" w:rsidP="005C5C56">
      <w:pPr>
        <w:numPr>
          <w:ilvl w:val="0"/>
          <w:numId w:val="17"/>
        </w:numPr>
        <w:spacing w:before="100" w:beforeAutospacing="1" w:after="60" w:line="240" w:lineRule="auto"/>
        <w:ind w:hanging="357"/>
      </w:pPr>
      <w:r>
        <w:t>w</w:t>
      </w:r>
      <w:r w:rsidRPr="00824C9A">
        <w:t>hether there is a reasonable prospect of conviction on each charge</w:t>
      </w:r>
    </w:p>
    <w:p w14:paraId="56CCC068" w14:textId="77777777" w:rsidR="0047337F" w:rsidRPr="00824C9A" w:rsidRDefault="0047337F" w:rsidP="005C5C56">
      <w:pPr>
        <w:numPr>
          <w:ilvl w:val="0"/>
          <w:numId w:val="17"/>
        </w:numPr>
        <w:spacing w:before="100" w:beforeAutospacing="1" w:after="60" w:line="240" w:lineRule="auto"/>
        <w:ind w:hanging="357"/>
      </w:pPr>
      <w:r>
        <w:t>t</w:t>
      </w:r>
      <w:r w:rsidRPr="00824C9A">
        <w:t>he strength of the evidence on each charge</w:t>
      </w:r>
    </w:p>
    <w:p w14:paraId="07FE3ED6" w14:textId="77777777" w:rsidR="0047337F" w:rsidRPr="00824C9A" w:rsidRDefault="0047337F" w:rsidP="005C5C56">
      <w:pPr>
        <w:numPr>
          <w:ilvl w:val="0"/>
          <w:numId w:val="17"/>
        </w:numPr>
        <w:spacing w:before="100" w:beforeAutospacing="1" w:after="60" w:line="240" w:lineRule="auto"/>
        <w:ind w:hanging="357"/>
      </w:pPr>
      <w:r>
        <w:t>a</w:t>
      </w:r>
      <w:r w:rsidRPr="00824C9A">
        <w:t xml:space="preserve">ny </w:t>
      </w:r>
      <w:proofErr w:type="spellStart"/>
      <w:r w:rsidRPr="00824C9A">
        <w:t>defences</w:t>
      </w:r>
      <w:proofErr w:type="spellEnd"/>
    </w:p>
    <w:p w14:paraId="3FBD3E2E" w14:textId="77777777" w:rsidR="0047337F" w:rsidRPr="00824C9A" w:rsidRDefault="0047337F" w:rsidP="005C5C56">
      <w:pPr>
        <w:numPr>
          <w:ilvl w:val="0"/>
          <w:numId w:val="17"/>
        </w:numPr>
        <w:spacing w:before="100" w:beforeAutospacing="1" w:after="60" w:line="240" w:lineRule="auto"/>
        <w:ind w:hanging="357"/>
      </w:pPr>
      <w:r>
        <w:t>t</w:t>
      </w:r>
      <w:r w:rsidRPr="00824C9A">
        <w:t>he likelihood of an acquittal on any of the charges</w:t>
      </w:r>
    </w:p>
    <w:p w14:paraId="5A074B84" w14:textId="77777777" w:rsidR="0047337F" w:rsidRPr="00824C9A" w:rsidRDefault="0047337F" w:rsidP="005C5C56">
      <w:pPr>
        <w:numPr>
          <w:ilvl w:val="0"/>
          <w:numId w:val="17"/>
        </w:numPr>
        <w:spacing w:before="100" w:beforeAutospacing="1" w:after="60" w:line="240" w:lineRule="auto"/>
        <w:ind w:hanging="357"/>
      </w:pPr>
      <w:r>
        <w:t>w</w:t>
      </w:r>
      <w:r w:rsidRPr="00824C9A">
        <w:t>hether the charge or charges to which the accused will plead guilty:</w:t>
      </w:r>
    </w:p>
    <w:p w14:paraId="64E8FADE" w14:textId="77777777" w:rsidR="0047337F" w:rsidRPr="00824C9A" w:rsidRDefault="0047337F" w:rsidP="005C5C56">
      <w:pPr>
        <w:numPr>
          <w:ilvl w:val="1"/>
          <w:numId w:val="22"/>
        </w:numPr>
        <w:spacing w:before="100" w:beforeAutospacing="1" w:after="60" w:line="240" w:lineRule="auto"/>
        <w:ind w:hanging="357"/>
      </w:pPr>
      <w:r>
        <w:t>a</w:t>
      </w:r>
      <w:r w:rsidRPr="00824C9A">
        <w:t>dequately reflect the accused’s criminality</w:t>
      </w:r>
    </w:p>
    <w:p w14:paraId="58ECF069" w14:textId="77777777" w:rsidR="0047337F" w:rsidRPr="00824C9A" w:rsidRDefault="0047337F" w:rsidP="005C5C56">
      <w:pPr>
        <w:numPr>
          <w:ilvl w:val="1"/>
          <w:numId w:val="22"/>
        </w:numPr>
        <w:spacing w:before="100" w:beforeAutospacing="1" w:after="60" w:line="240" w:lineRule="auto"/>
        <w:ind w:hanging="357"/>
      </w:pPr>
      <w:r>
        <w:t>a</w:t>
      </w:r>
      <w:r w:rsidRPr="00824C9A">
        <w:t>llow for the imposition of an appropriate sentence</w:t>
      </w:r>
    </w:p>
    <w:p w14:paraId="14CFDD37" w14:textId="77777777" w:rsidR="0047337F" w:rsidRPr="00824C9A" w:rsidRDefault="0047337F" w:rsidP="005C5C56">
      <w:pPr>
        <w:numPr>
          <w:ilvl w:val="1"/>
          <w:numId w:val="22"/>
        </w:numPr>
        <w:spacing w:before="100" w:beforeAutospacing="1" w:after="60" w:line="240" w:lineRule="auto"/>
        <w:ind w:hanging="357"/>
      </w:pPr>
      <w:r>
        <w:t>a</w:t>
      </w:r>
      <w:r w:rsidRPr="00824C9A">
        <w:t>llow for the making of all appropriate ancillary orders</w:t>
      </w:r>
    </w:p>
    <w:p w14:paraId="05663E22" w14:textId="77777777" w:rsidR="0047337F" w:rsidRPr="00824C9A" w:rsidRDefault="0047337F" w:rsidP="005C5C56">
      <w:pPr>
        <w:numPr>
          <w:ilvl w:val="0"/>
          <w:numId w:val="17"/>
        </w:numPr>
        <w:spacing w:before="100" w:beforeAutospacing="1" w:after="60" w:line="240" w:lineRule="auto"/>
        <w:ind w:hanging="357"/>
      </w:pPr>
      <w:r>
        <w:t>t</w:t>
      </w:r>
      <w:r w:rsidRPr="00824C9A">
        <w:t>he views of the victims</w:t>
      </w:r>
    </w:p>
    <w:p w14:paraId="3E6A45D7" w14:textId="2AE04282" w:rsidR="0047337F" w:rsidRPr="00824C9A" w:rsidRDefault="0047337F" w:rsidP="005C5C56">
      <w:pPr>
        <w:numPr>
          <w:ilvl w:val="0"/>
          <w:numId w:val="17"/>
        </w:numPr>
        <w:spacing w:before="100" w:beforeAutospacing="1" w:after="60" w:line="240" w:lineRule="auto"/>
        <w:ind w:hanging="357"/>
      </w:pPr>
      <w:r>
        <w:t>t</w:t>
      </w:r>
      <w:r w:rsidRPr="00824C9A">
        <w:t xml:space="preserve">he need to </w:t>
      </w:r>
      <w:proofErr w:type="spellStart"/>
      <w:r w:rsidRPr="00824C9A">
        <w:t>minimise</w:t>
      </w:r>
      <w:proofErr w:type="spellEnd"/>
      <w:r w:rsidRPr="00824C9A">
        <w:t xml:space="preserve"> inconvenience and stress to witnesses, particularly those who may find it onerous to give evidence</w:t>
      </w:r>
    </w:p>
    <w:p w14:paraId="0E061862" w14:textId="77777777" w:rsidR="0047337F" w:rsidRPr="00824C9A" w:rsidRDefault="0047337F" w:rsidP="005C5C56">
      <w:pPr>
        <w:numPr>
          <w:ilvl w:val="0"/>
          <w:numId w:val="17"/>
        </w:numPr>
        <w:spacing w:before="100" w:beforeAutospacing="1" w:after="60" w:line="240" w:lineRule="auto"/>
        <w:ind w:hanging="357"/>
      </w:pPr>
      <w:r>
        <w:t>a</w:t>
      </w:r>
      <w:r w:rsidRPr="00824C9A">
        <w:t xml:space="preserve">ny proceeds of crime implications. </w:t>
      </w:r>
    </w:p>
    <w:p w14:paraId="1AE221D3" w14:textId="786439A2" w:rsidR="0047337F" w:rsidRPr="0047337F" w:rsidRDefault="0047337F" w:rsidP="00CB0224">
      <w:pPr>
        <w:pStyle w:val="Heading2"/>
        <w:rPr>
          <w:rStyle w:val="PlainTable31"/>
          <w:i w:val="0"/>
          <w:iCs w:val="0"/>
          <w:color w:val="7F7F7F" w:themeColor="text1" w:themeTint="80"/>
        </w:rPr>
      </w:pPr>
      <w:bookmarkStart w:id="20" w:name="_Toc14170702"/>
      <w:r w:rsidRPr="0047337F">
        <w:rPr>
          <w:rStyle w:val="PlainTable31"/>
          <w:i w:val="0"/>
          <w:iCs w:val="0"/>
          <w:color w:val="7F7F7F" w:themeColor="text1" w:themeTint="80"/>
        </w:rPr>
        <w:t>4.3</w:t>
      </w:r>
      <w:r w:rsidRPr="0047337F">
        <w:rPr>
          <w:rStyle w:val="PlainTable31"/>
          <w:i w:val="0"/>
          <w:iCs w:val="0"/>
          <w:color w:val="7F7F7F" w:themeColor="text1" w:themeTint="80"/>
        </w:rPr>
        <w:tab/>
        <w:t xml:space="preserve"> Indictable </w:t>
      </w:r>
      <w:r w:rsidR="00A81149">
        <w:rPr>
          <w:rStyle w:val="PlainTable31"/>
          <w:i w:val="0"/>
          <w:iCs w:val="0"/>
          <w:color w:val="7F7F7F" w:themeColor="text1" w:themeTint="80"/>
        </w:rPr>
        <w:t>p</w:t>
      </w:r>
      <w:r w:rsidRPr="0047337F">
        <w:rPr>
          <w:rStyle w:val="PlainTable31"/>
          <w:i w:val="0"/>
          <w:iCs w:val="0"/>
          <w:color w:val="7F7F7F" w:themeColor="text1" w:themeTint="80"/>
        </w:rPr>
        <w:t>rosecutions</w:t>
      </w:r>
      <w:bookmarkEnd w:id="20"/>
      <w:r w:rsidRPr="0047337F">
        <w:rPr>
          <w:rStyle w:val="PlainTable31"/>
          <w:i w:val="0"/>
          <w:iCs w:val="0"/>
          <w:color w:val="7F7F7F" w:themeColor="text1" w:themeTint="80"/>
        </w:rPr>
        <w:t xml:space="preserve"> </w:t>
      </w:r>
    </w:p>
    <w:p w14:paraId="7038544C" w14:textId="77777777" w:rsidR="0047337F" w:rsidRDefault="0047337F" w:rsidP="0047337F">
      <w:r>
        <w:t>Where the Director is conducting a prosecution of indictable offences at the committal phase in the Magistrates’ Court, all reasonable plea offers must be referred to the DPP.</w:t>
      </w:r>
    </w:p>
    <w:p w14:paraId="3C06CDBD" w14:textId="77777777" w:rsidR="0047337F" w:rsidRDefault="0047337F" w:rsidP="0047337F">
      <w:r>
        <w:t>As part of the referral, the Director may include a recommendation as to whether the plea offer is acceptable having regard to the criteria set out at Chapter 4.2 above.</w:t>
      </w:r>
    </w:p>
    <w:p w14:paraId="6C0F9550" w14:textId="77777777" w:rsidR="0047337F" w:rsidRPr="00BE4921" w:rsidRDefault="0047337F" w:rsidP="0047337F">
      <w:r>
        <w:t xml:space="preserve">The DPP is responsible for the decision </w:t>
      </w:r>
      <w:proofErr w:type="gramStart"/>
      <w:r>
        <w:t>whether or not</w:t>
      </w:r>
      <w:proofErr w:type="gramEnd"/>
      <w:r>
        <w:t xml:space="preserve"> to resolve an indictable prosecution. </w:t>
      </w:r>
    </w:p>
    <w:p w14:paraId="2CE00D1C" w14:textId="3803F5D6" w:rsidR="0047337F" w:rsidRDefault="0047337F" w:rsidP="0047337F">
      <w:pPr>
        <w:pStyle w:val="Heading1"/>
      </w:pPr>
      <w:r>
        <w:br w:type="page"/>
      </w:r>
      <w:bookmarkStart w:id="21" w:name="_Toc14170703"/>
      <w:r>
        <w:lastRenderedPageBreak/>
        <w:t>5</w:t>
      </w:r>
      <w:r>
        <w:tab/>
        <w:t xml:space="preserve">Prosecutorial </w:t>
      </w:r>
      <w:proofErr w:type="gramStart"/>
      <w:r w:rsidR="00A81149">
        <w:t>j</w:t>
      </w:r>
      <w:r>
        <w:t>urisdiction</w:t>
      </w:r>
      <w:bookmarkEnd w:id="21"/>
      <w:proofErr w:type="gramEnd"/>
    </w:p>
    <w:p w14:paraId="2A63A624" w14:textId="0AFAE17F" w:rsidR="0047337F" w:rsidRDefault="0047337F" w:rsidP="00CB0224">
      <w:pPr>
        <w:pStyle w:val="Heading2"/>
      </w:pPr>
      <w:bookmarkStart w:id="22" w:name="_Toc14170704"/>
      <w:r>
        <w:t xml:space="preserve">5.1 </w:t>
      </w:r>
      <w:r>
        <w:tab/>
        <w:t xml:space="preserve">Summary </w:t>
      </w:r>
      <w:r w:rsidR="00A81149">
        <w:t>o</w:t>
      </w:r>
      <w:r>
        <w:t>ffences</w:t>
      </w:r>
      <w:bookmarkEnd w:id="22"/>
    </w:p>
    <w:p w14:paraId="4BE98B0B" w14:textId="77777777" w:rsidR="0047337F" w:rsidRDefault="0047337F" w:rsidP="0047337F">
      <w:pPr>
        <w:spacing w:before="100" w:beforeAutospacing="1" w:after="100" w:afterAutospacing="1"/>
      </w:pPr>
      <w:r>
        <w:t>The Director has jurisdiction to prosecute summary offences pursuant to the Consumer Acts in the Magistrates’ Court.</w:t>
      </w:r>
    </w:p>
    <w:p w14:paraId="59880846" w14:textId="148DB8CC" w:rsidR="0047337F" w:rsidRDefault="0047337F" w:rsidP="00CB0224">
      <w:pPr>
        <w:pStyle w:val="Heading2"/>
      </w:pPr>
      <w:bookmarkStart w:id="23" w:name="_Toc14170705"/>
      <w:r>
        <w:t>5.2</w:t>
      </w:r>
      <w:r>
        <w:tab/>
        <w:t xml:space="preserve">Indictable </w:t>
      </w:r>
      <w:r w:rsidR="00A81149">
        <w:t>o</w:t>
      </w:r>
      <w:r>
        <w:t>ffences</w:t>
      </w:r>
      <w:bookmarkEnd w:id="23"/>
    </w:p>
    <w:p w14:paraId="52B2591E" w14:textId="33B77FF2" w:rsidR="0047337F" w:rsidRDefault="0047337F" w:rsidP="0047337F">
      <w:pPr>
        <w:spacing w:before="100" w:beforeAutospacing="1" w:after="100" w:afterAutospacing="1"/>
      </w:pPr>
      <w:r>
        <w:t>Indictable offences are prosecuted by the Director from the filing of charges through to the conclusion of the committal phase in the Magistrates’ Court. Matters are then transferred to the DPP to be prosecuted in the County and Supreme Courts.</w:t>
      </w:r>
      <w:r w:rsidR="00D36332">
        <w:t xml:space="preserve"> </w:t>
      </w:r>
    </w:p>
    <w:p w14:paraId="06DDDF55" w14:textId="21B440D5" w:rsidR="0047337F" w:rsidRDefault="0047337F" w:rsidP="0047337F">
      <w:pPr>
        <w:spacing w:before="100" w:beforeAutospacing="1" w:after="100" w:afterAutospacing="1"/>
      </w:pPr>
      <w:r>
        <w:t xml:space="preserve">All </w:t>
      </w:r>
      <w:r w:rsidR="00A81149">
        <w:t xml:space="preserve">our </w:t>
      </w:r>
      <w:r>
        <w:t>indictable prosecutions will be heard in the County Court unless the DPP has consented to the matter being heard in the Supreme Court.</w:t>
      </w:r>
      <w:r w:rsidR="00D36332">
        <w:t xml:space="preserve"> </w:t>
      </w:r>
      <w:r w:rsidR="00A81149">
        <w:t xml:space="preserve">A matter must be referred to the DPP for a determination on the appropriate jurisdiction if </w:t>
      </w:r>
      <w:r>
        <w:t xml:space="preserve">the Director is of the view that </w:t>
      </w:r>
      <w:r w:rsidR="00A81149">
        <w:t xml:space="preserve">the </w:t>
      </w:r>
      <w:r>
        <w:t>matter:</w:t>
      </w:r>
    </w:p>
    <w:p w14:paraId="08CD75E8" w14:textId="77777777" w:rsidR="0047337F" w:rsidRDefault="0047337F" w:rsidP="005C5C56">
      <w:pPr>
        <w:numPr>
          <w:ilvl w:val="0"/>
          <w:numId w:val="17"/>
        </w:numPr>
        <w:spacing w:before="100" w:beforeAutospacing="1" w:after="60" w:line="240" w:lineRule="auto"/>
        <w:ind w:left="1077" w:hanging="357"/>
      </w:pPr>
      <w:r>
        <w:t>raises a complex or novel question of law or</w:t>
      </w:r>
    </w:p>
    <w:p w14:paraId="6A8D5E9A" w14:textId="5DEB2DE9" w:rsidR="0047337F" w:rsidRDefault="0047337F" w:rsidP="00A75064">
      <w:pPr>
        <w:numPr>
          <w:ilvl w:val="0"/>
          <w:numId w:val="17"/>
        </w:numPr>
        <w:spacing w:before="100" w:beforeAutospacing="1" w:after="60" w:line="240" w:lineRule="auto"/>
        <w:ind w:left="1077" w:hanging="357"/>
      </w:pPr>
      <w:r>
        <w:t xml:space="preserve">is of special public significance because of the identity of the accused or the victim, the number of victims, the notoriety of the crime, the uniqueness of the offending, or the impact of the offending on the public mind or public safety.  </w:t>
      </w:r>
    </w:p>
    <w:p w14:paraId="4C733B45" w14:textId="77777777" w:rsidR="0047337F" w:rsidRDefault="0047337F" w:rsidP="0047337F">
      <w:pPr>
        <w:spacing w:before="100" w:beforeAutospacing="1" w:after="100" w:afterAutospacing="1"/>
      </w:pPr>
      <w:r>
        <w:t>A referral must be made prior to committal to ensure that the accused is committed to the appropriate jurisdiction.</w:t>
      </w:r>
    </w:p>
    <w:p w14:paraId="7BB5B389" w14:textId="632944D9" w:rsidR="0047337F" w:rsidRDefault="0047337F" w:rsidP="00CB0224">
      <w:pPr>
        <w:pStyle w:val="Heading2"/>
      </w:pPr>
      <w:bookmarkStart w:id="24" w:name="_Toc14170706"/>
      <w:r>
        <w:t xml:space="preserve">5.3 </w:t>
      </w:r>
      <w:r>
        <w:tab/>
        <w:t xml:space="preserve">Indictable </w:t>
      </w:r>
      <w:r w:rsidR="00A81149">
        <w:t>o</w:t>
      </w:r>
      <w:r>
        <w:t xml:space="preserve">ffences </w:t>
      </w:r>
      <w:r w:rsidR="00A81149">
        <w:t>t</w:t>
      </w:r>
      <w:r>
        <w:t xml:space="preserve">riable </w:t>
      </w:r>
      <w:r w:rsidR="00A81149">
        <w:t>s</w:t>
      </w:r>
      <w:r>
        <w:t>ummarily</w:t>
      </w:r>
      <w:bookmarkEnd w:id="24"/>
    </w:p>
    <w:p w14:paraId="04B57713" w14:textId="461EB76C" w:rsidR="0047337F" w:rsidRDefault="0047337F" w:rsidP="0047337F">
      <w:pPr>
        <w:spacing w:before="100" w:beforeAutospacing="1" w:after="100" w:afterAutospacing="1"/>
      </w:pPr>
      <w:r>
        <w:t xml:space="preserve">Where permitted at law, the Director may charge an indictable offence in the summary stream of the Magistrates’ Court. </w:t>
      </w:r>
      <w:r w:rsidR="00A81149">
        <w:t>I</w:t>
      </w:r>
      <w:r>
        <w:t xml:space="preserve">n determining the appropriate </w:t>
      </w:r>
      <w:proofErr w:type="gramStart"/>
      <w:r>
        <w:t>jurisdiction</w:t>
      </w:r>
      <w:proofErr w:type="gramEnd"/>
      <w:r w:rsidR="00A81149">
        <w:t xml:space="preserve"> we will consider</w:t>
      </w:r>
      <w:r>
        <w:t>:</w:t>
      </w:r>
      <w:r>
        <w:rPr>
          <w:rStyle w:val="FootnoteReference"/>
        </w:rPr>
        <w:footnoteReference w:id="22"/>
      </w:r>
    </w:p>
    <w:p w14:paraId="40A5C162" w14:textId="77777777" w:rsidR="0047337F" w:rsidRDefault="0047337F" w:rsidP="005C5C56">
      <w:pPr>
        <w:numPr>
          <w:ilvl w:val="0"/>
          <w:numId w:val="17"/>
        </w:numPr>
        <w:spacing w:before="100" w:beforeAutospacing="1" w:after="60" w:line="240" w:lineRule="auto"/>
        <w:ind w:left="1077" w:hanging="357"/>
      </w:pPr>
      <w:r>
        <w:t>the seriousness of the offending</w:t>
      </w:r>
    </w:p>
    <w:p w14:paraId="31F8B042" w14:textId="7936759B" w:rsidR="0047337F" w:rsidRDefault="00A81149" w:rsidP="005C5C56">
      <w:pPr>
        <w:numPr>
          <w:ilvl w:val="0"/>
          <w:numId w:val="17"/>
        </w:numPr>
        <w:spacing w:before="100" w:beforeAutospacing="1" w:after="60" w:line="240" w:lineRule="auto"/>
        <w:ind w:left="1077" w:hanging="357"/>
      </w:pPr>
      <w:r>
        <w:t xml:space="preserve">the </w:t>
      </w:r>
      <w:r w:rsidR="0047337F">
        <w:t>complexity of the proceeding</w:t>
      </w:r>
    </w:p>
    <w:p w14:paraId="2C8E9DC8" w14:textId="77777777" w:rsidR="0047337F" w:rsidRDefault="0047337F" w:rsidP="005C5C56">
      <w:pPr>
        <w:numPr>
          <w:ilvl w:val="0"/>
          <w:numId w:val="17"/>
        </w:numPr>
        <w:spacing w:before="100" w:beforeAutospacing="1" w:after="60" w:line="240" w:lineRule="auto"/>
        <w:ind w:left="1077" w:hanging="357"/>
      </w:pPr>
      <w:r>
        <w:t>adequacy of sentences available to the court, having regard to the seriousness of the offences and the criminal record of the accused</w:t>
      </w:r>
    </w:p>
    <w:p w14:paraId="7647D845" w14:textId="394AABDA" w:rsidR="0047337F" w:rsidRDefault="0047337F" w:rsidP="005C5C56">
      <w:pPr>
        <w:numPr>
          <w:ilvl w:val="0"/>
          <w:numId w:val="17"/>
        </w:numPr>
        <w:spacing w:before="100" w:beforeAutospacing="1" w:after="60" w:line="240" w:lineRule="auto"/>
        <w:ind w:left="1077" w:hanging="357"/>
      </w:pPr>
      <w:r>
        <w:t>if a co-accused is charge</w:t>
      </w:r>
      <w:r w:rsidR="00A81149">
        <w:t>d</w:t>
      </w:r>
      <w:r>
        <w:t xml:space="preserve"> with the same offence, which stream that charge is in</w:t>
      </w:r>
    </w:p>
    <w:p w14:paraId="3D40CE5F" w14:textId="77777777" w:rsidR="0047337F" w:rsidRDefault="0047337F" w:rsidP="005C5C56">
      <w:pPr>
        <w:numPr>
          <w:ilvl w:val="0"/>
          <w:numId w:val="17"/>
        </w:numPr>
        <w:spacing w:before="100" w:beforeAutospacing="1" w:after="60" w:line="240" w:lineRule="auto"/>
        <w:ind w:left="1077" w:hanging="357"/>
      </w:pPr>
      <w:r>
        <w:t>any proceeds of crime implications</w:t>
      </w:r>
    </w:p>
    <w:p w14:paraId="7A39DD5D" w14:textId="77777777" w:rsidR="0047337F" w:rsidRDefault="0047337F" w:rsidP="005C5C56">
      <w:pPr>
        <w:numPr>
          <w:ilvl w:val="0"/>
          <w:numId w:val="17"/>
        </w:numPr>
        <w:spacing w:before="100" w:beforeAutospacing="1" w:after="60" w:line="240" w:lineRule="auto"/>
        <w:ind w:left="1077" w:hanging="357"/>
      </w:pPr>
      <w:r>
        <w:t>any other relevant matter.</w:t>
      </w:r>
    </w:p>
    <w:p w14:paraId="18EE243C" w14:textId="717FEC8F" w:rsidR="0047337F" w:rsidRPr="00824C9A" w:rsidRDefault="0047337F" w:rsidP="00CB0224">
      <w:pPr>
        <w:pStyle w:val="Heading2"/>
      </w:pPr>
      <w:bookmarkStart w:id="25" w:name="_Toc14170707"/>
      <w:r w:rsidRPr="00824C9A">
        <w:lastRenderedPageBreak/>
        <w:t>5.4</w:t>
      </w:r>
      <w:r w:rsidRPr="00824C9A">
        <w:tab/>
        <w:t xml:space="preserve">Referral of </w:t>
      </w:r>
      <w:r w:rsidR="00A81149">
        <w:t>m</w:t>
      </w:r>
      <w:r w:rsidRPr="00824C9A">
        <w:t xml:space="preserve">atters </w:t>
      </w:r>
      <w:r w:rsidR="00A81149">
        <w:t>o</w:t>
      </w:r>
      <w:r w:rsidRPr="00824C9A">
        <w:t xml:space="preserve">utside </w:t>
      </w:r>
      <w:r w:rsidR="00A81149">
        <w:t>our</w:t>
      </w:r>
      <w:r w:rsidR="00A81149" w:rsidRPr="00824C9A">
        <w:t xml:space="preserve"> </w:t>
      </w:r>
      <w:r w:rsidR="00A81149">
        <w:t>j</w:t>
      </w:r>
      <w:r w:rsidRPr="00824C9A">
        <w:t>urisdiction</w:t>
      </w:r>
      <w:bookmarkEnd w:id="25"/>
    </w:p>
    <w:p w14:paraId="02F0D78F" w14:textId="77777777" w:rsidR="0047337F" w:rsidRDefault="0047337F" w:rsidP="0047337F">
      <w:pPr>
        <w:spacing w:before="100" w:beforeAutospacing="1" w:after="100" w:afterAutospacing="1"/>
      </w:pPr>
      <w:r w:rsidRPr="00824C9A">
        <w:t xml:space="preserve">Where the Director has a reasonable belief that a </w:t>
      </w:r>
      <w:r>
        <w:t xml:space="preserve">serious </w:t>
      </w:r>
      <w:r w:rsidRPr="00824C9A">
        <w:t xml:space="preserve">criminal offence has been committed </w:t>
      </w:r>
      <w:r>
        <w:t xml:space="preserve">pursuant to a law other than a Consumer Act </w:t>
      </w:r>
      <w:r w:rsidRPr="00824C9A">
        <w:t xml:space="preserve">(for example an offence pursuant to the </w:t>
      </w:r>
      <w:r w:rsidRPr="00824C9A">
        <w:rPr>
          <w:i/>
        </w:rPr>
        <w:t>Crimes Act</w:t>
      </w:r>
      <w:r w:rsidRPr="00824C9A">
        <w:t xml:space="preserve"> </w:t>
      </w:r>
      <w:r w:rsidRPr="00F231F2">
        <w:rPr>
          <w:i/>
        </w:rPr>
        <w:t>1958</w:t>
      </w:r>
      <w:r w:rsidRPr="00824C9A">
        <w:t>), the Director may refer the matter to Victoria Police</w:t>
      </w:r>
      <w:r>
        <w:t xml:space="preserve"> or other appropriate prosecuting agency</w:t>
      </w:r>
      <w:r w:rsidRPr="00824C9A">
        <w:t>.</w:t>
      </w:r>
      <w:r>
        <w:t xml:space="preserve"> </w:t>
      </w:r>
    </w:p>
    <w:p w14:paraId="731EB357" w14:textId="77777777" w:rsidR="002A4515" w:rsidRDefault="002A4515">
      <w:pPr>
        <w:rPr>
          <w:rFonts w:eastAsiaTheme="majorEastAsia" w:cstheme="majorBidi"/>
          <w:b/>
          <w:color w:val="102849" w:themeColor="text2" w:themeTint="E6"/>
          <w:sz w:val="32"/>
          <w:szCs w:val="32"/>
        </w:rPr>
      </w:pPr>
      <w:r>
        <w:br w:type="page"/>
      </w:r>
    </w:p>
    <w:p w14:paraId="6C8A408B" w14:textId="07E83AA6" w:rsidR="0047337F" w:rsidRDefault="0047337F" w:rsidP="0047337F">
      <w:pPr>
        <w:pStyle w:val="Heading1"/>
      </w:pPr>
      <w:bookmarkStart w:id="26" w:name="_Toc14170708"/>
      <w:r>
        <w:lastRenderedPageBreak/>
        <w:t>6</w:t>
      </w:r>
      <w:r>
        <w:tab/>
        <w:t>Appeals</w:t>
      </w:r>
      <w:bookmarkEnd w:id="26"/>
    </w:p>
    <w:p w14:paraId="0EDB0C2A" w14:textId="77777777" w:rsidR="0047337F" w:rsidRDefault="0047337F" w:rsidP="0047337F">
      <w:pPr>
        <w:spacing w:before="100" w:beforeAutospacing="1" w:after="100" w:afterAutospacing="1"/>
      </w:pPr>
      <w:r>
        <w:t xml:space="preserve">All criminal </w:t>
      </w:r>
      <w:r w:rsidRPr="00824C9A">
        <w:t>appeals initiated by a prosecuting agency</w:t>
      </w:r>
      <w:r>
        <w:t xml:space="preserve"> are conducted by the DPP.</w:t>
      </w:r>
      <w:r>
        <w:rPr>
          <w:rStyle w:val="FootnoteReference"/>
        </w:rPr>
        <w:footnoteReference w:id="23"/>
      </w:r>
    </w:p>
    <w:p w14:paraId="046E4E73" w14:textId="77777777" w:rsidR="0047337F" w:rsidRDefault="0047337F" w:rsidP="00CB0224">
      <w:pPr>
        <w:pStyle w:val="Heading2"/>
      </w:pPr>
      <w:bookmarkStart w:id="27" w:name="_Toc14170709"/>
      <w:r>
        <w:t>6.1</w:t>
      </w:r>
      <w:r>
        <w:tab/>
        <w:t>Appeals from Magistrates’ Court decisions</w:t>
      </w:r>
      <w:bookmarkEnd w:id="27"/>
    </w:p>
    <w:p w14:paraId="16C4452E" w14:textId="1B27DDA9" w:rsidR="0047337F" w:rsidRDefault="0047337F" w:rsidP="0047337F">
      <w:pPr>
        <w:spacing w:before="100" w:beforeAutospacing="1" w:after="100" w:afterAutospacing="1"/>
      </w:pPr>
      <w:r>
        <w:t>Following the conclusion of any summary jurisdiction matter, the Director will consider whether there are any grounds for an appeal. Appeals can only be made in relation to an inadequate sentence or a point of law.</w:t>
      </w:r>
    </w:p>
    <w:p w14:paraId="029EC06B" w14:textId="636F4B4C" w:rsidR="0047337F" w:rsidRDefault="0047337F" w:rsidP="0047337F">
      <w:pPr>
        <w:spacing w:before="100" w:beforeAutospacing="1" w:after="100" w:afterAutospacing="1"/>
      </w:pPr>
      <w:r>
        <w:t>If the Director determines that an appeal ought to be lodged, a recommendation will be forwarded to the DPP. Any such recommendation must be made in a timely manner having regard to any time limits for filing an appeal.</w:t>
      </w:r>
    </w:p>
    <w:p w14:paraId="1F488005" w14:textId="77777777" w:rsidR="0047337F" w:rsidRDefault="0047337F" w:rsidP="00CB0224">
      <w:pPr>
        <w:pStyle w:val="Heading2"/>
      </w:pPr>
      <w:bookmarkStart w:id="28" w:name="_Toc14170710"/>
      <w:r>
        <w:t xml:space="preserve">6.2 </w:t>
      </w:r>
      <w:r>
        <w:tab/>
        <w:t>Appeals from County or Supreme Court decisions</w:t>
      </w:r>
      <w:bookmarkEnd w:id="28"/>
    </w:p>
    <w:p w14:paraId="3B640DAB" w14:textId="3FA89793" w:rsidR="0047337F" w:rsidRDefault="0047337F" w:rsidP="0047337F">
      <w:pPr>
        <w:spacing w:before="100" w:beforeAutospacing="1" w:after="100" w:afterAutospacing="1"/>
      </w:pPr>
      <w:r>
        <w:t xml:space="preserve">The DPP has the carriage of all criminal matters in the Supreme and County Courts. The </w:t>
      </w:r>
      <w:r w:rsidR="00854A33">
        <w:t xml:space="preserve">DPP </w:t>
      </w:r>
      <w:r>
        <w:t>will consider whether any appeal may be lodged in respect of a decision from these courts.</w:t>
      </w:r>
    </w:p>
    <w:p w14:paraId="086D3F67" w14:textId="41CBAAA2" w:rsidR="0047337F" w:rsidRDefault="0047337F" w:rsidP="0047337F">
      <w:pPr>
        <w:spacing w:before="100" w:beforeAutospacing="1" w:after="100" w:afterAutospacing="1"/>
      </w:pPr>
      <w:r>
        <w:t xml:space="preserve">The Director may, if appropriate, make a submission to the DPP regarding whether an appeal ought to be lodged. However, the decision to institute an appeal </w:t>
      </w:r>
      <w:proofErr w:type="gramStart"/>
      <w:r>
        <w:t>rests</w:t>
      </w:r>
      <w:proofErr w:type="gramEnd"/>
      <w:r>
        <w:t xml:space="preserve"> with the DPP.</w:t>
      </w:r>
    </w:p>
    <w:p w14:paraId="62260392" w14:textId="77777777" w:rsidR="00EA12DA" w:rsidRDefault="00EA12DA">
      <w:pPr>
        <w:rPr>
          <w:rFonts w:eastAsiaTheme="majorEastAsia" w:cstheme="majorBidi"/>
          <w:b/>
          <w:color w:val="102849" w:themeColor="text2" w:themeTint="E6"/>
          <w:sz w:val="32"/>
          <w:szCs w:val="32"/>
        </w:rPr>
      </w:pPr>
      <w:r>
        <w:br w:type="page"/>
      </w:r>
    </w:p>
    <w:p w14:paraId="6763D7DF" w14:textId="79C8C2E6" w:rsidR="0047337F" w:rsidRDefault="0047337F" w:rsidP="0047337F">
      <w:pPr>
        <w:pStyle w:val="Heading1"/>
      </w:pPr>
      <w:bookmarkStart w:id="29" w:name="_Toc14170711"/>
      <w:r>
        <w:lastRenderedPageBreak/>
        <w:t>7</w:t>
      </w:r>
      <w:r>
        <w:tab/>
        <w:t xml:space="preserve">Director’s </w:t>
      </w:r>
      <w:proofErr w:type="spellStart"/>
      <w:r w:rsidR="00EE768C">
        <w:t>a</w:t>
      </w:r>
      <w:r>
        <w:t>uthorisation</w:t>
      </w:r>
      <w:proofErr w:type="spellEnd"/>
      <w:r>
        <w:t xml:space="preserve"> to </w:t>
      </w:r>
      <w:r w:rsidR="00EE768C">
        <w:t>b</w:t>
      </w:r>
      <w:r>
        <w:t xml:space="preserve">ring </w:t>
      </w:r>
      <w:r w:rsidR="00EE768C">
        <w:t>p</w:t>
      </w:r>
      <w:r>
        <w:t>roceedings</w:t>
      </w:r>
      <w:bookmarkEnd w:id="29"/>
    </w:p>
    <w:p w14:paraId="7C5D6C10" w14:textId="77777777" w:rsidR="0047337F" w:rsidRDefault="0047337F" w:rsidP="0047337F">
      <w:r>
        <w:t xml:space="preserve">Where appropriate, the Director may </w:t>
      </w:r>
      <w:proofErr w:type="spellStart"/>
      <w:r>
        <w:t>authorise</w:t>
      </w:r>
      <w:proofErr w:type="spellEnd"/>
      <w:r>
        <w:t xml:space="preserve"> another agency or person to bring a prosecution for contraventions of a Consumer Act in accordance with section 194(1)(b) of the </w:t>
      </w:r>
      <w:r w:rsidRPr="006F2BA3">
        <w:rPr>
          <w:i/>
        </w:rPr>
        <w:t xml:space="preserve">Australian Consumer Law and </w:t>
      </w:r>
      <w:proofErr w:type="gramStart"/>
      <w:r w:rsidRPr="006F2BA3">
        <w:rPr>
          <w:i/>
        </w:rPr>
        <w:t>Fair Trading</w:t>
      </w:r>
      <w:proofErr w:type="gramEnd"/>
      <w:r w:rsidRPr="006F2BA3">
        <w:rPr>
          <w:i/>
        </w:rPr>
        <w:t xml:space="preserve"> Act</w:t>
      </w:r>
      <w:r>
        <w:t xml:space="preserve"> </w:t>
      </w:r>
      <w:r w:rsidRPr="00F231F2">
        <w:rPr>
          <w:i/>
        </w:rPr>
        <w:t>2012</w:t>
      </w:r>
      <w:r>
        <w:t>.</w:t>
      </w:r>
    </w:p>
    <w:p w14:paraId="27078ACA" w14:textId="25E9DAFB" w:rsidR="0047337F" w:rsidRPr="00A103D9" w:rsidRDefault="0047337F" w:rsidP="0047337F">
      <w:r>
        <w:t>Any prosecution so conducted by another person or agency is subject to any policies or guidelines of that person or agency. These guidelines only apply to prosecutions conducted by the Director.</w:t>
      </w:r>
    </w:p>
    <w:p w14:paraId="67642D4A" w14:textId="77777777" w:rsidR="00EA12DA" w:rsidRDefault="00EA12DA" w:rsidP="0047337F">
      <w:pPr>
        <w:pStyle w:val="Heading1"/>
      </w:pPr>
    </w:p>
    <w:p w14:paraId="694A3D30" w14:textId="77777777" w:rsidR="002A4515" w:rsidRDefault="002A4515">
      <w:pPr>
        <w:rPr>
          <w:rFonts w:eastAsiaTheme="majorEastAsia" w:cstheme="majorBidi"/>
          <w:b/>
          <w:color w:val="102849" w:themeColor="text2" w:themeTint="E6"/>
          <w:sz w:val="32"/>
          <w:szCs w:val="32"/>
        </w:rPr>
      </w:pPr>
      <w:r>
        <w:br w:type="page"/>
      </w:r>
    </w:p>
    <w:p w14:paraId="092A5BC9" w14:textId="1782988B" w:rsidR="0047337F" w:rsidRDefault="0047337F" w:rsidP="0047337F">
      <w:pPr>
        <w:pStyle w:val="Heading1"/>
      </w:pPr>
      <w:bookmarkStart w:id="30" w:name="_Toc14170712"/>
      <w:r>
        <w:lastRenderedPageBreak/>
        <w:t>8</w:t>
      </w:r>
      <w:r>
        <w:tab/>
        <w:t xml:space="preserve">Proceeds of </w:t>
      </w:r>
      <w:r w:rsidR="00EE768C">
        <w:t>c</w:t>
      </w:r>
      <w:r>
        <w:t>rime</w:t>
      </w:r>
      <w:bookmarkEnd w:id="30"/>
    </w:p>
    <w:p w14:paraId="390FD0B6" w14:textId="0822B94F" w:rsidR="0047337F" w:rsidRPr="00824C9A" w:rsidRDefault="0047337F" w:rsidP="0047337F">
      <w:pPr>
        <w:spacing w:before="100" w:beforeAutospacing="1" w:after="100" w:afterAutospacing="1"/>
      </w:pPr>
      <w:r w:rsidRPr="00824C9A">
        <w:t xml:space="preserve">An offence against provisions of </w:t>
      </w:r>
      <w:r>
        <w:t>a Consumer Act</w:t>
      </w:r>
      <w:r w:rsidRPr="00824C9A">
        <w:t xml:space="preserve"> may give rise to the ability to </w:t>
      </w:r>
      <w:proofErr w:type="gramStart"/>
      <w:r w:rsidRPr="00824C9A">
        <w:t>take action</w:t>
      </w:r>
      <w:proofErr w:type="gramEnd"/>
      <w:r w:rsidRPr="00824C9A">
        <w:t xml:space="preserve"> pursuant to the </w:t>
      </w:r>
      <w:r w:rsidRPr="00824C9A">
        <w:rPr>
          <w:i/>
        </w:rPr>
        <w:t>Confiscation Act</w:t>
      </w:r>
      <w:r w:rsidRPr="00824C9A">
        <w:t xml:space="preserve"> </w:t>
      </w:r>
      <w:r w:rsidRPr="00F231F2">
        <w:rPr>
          <w:i/>
        </w:rPr>
        <w:t>1997</w:t>
      </w:r>
      <w:r w:rsidRPr="00824C9A">
        <w:t>. Where such power exists, the Director refers to and adopts Chapter</w:t>
      </w:r>
      <w:r>
        <w:t> </w:t>
      </w:r>
      <w:r w:rsidRPr="00824C9A">
        <w:t>11 of the DPP Policy.</w:t>
      </w:r>
    </w:p>
    <w:p w14:paraId="2EC6B3C7" w14:textId="5486B93A" w:rsidR="0047337F" w:rsidRPr="00451CC4" w:rsidRDefault="0047337F" w:rsidP="0047337F">
      <w:pPr>
        <w:spacing w:before="100" w:beforeAutospacing="1" w:after="100" w:afterAutospacing="1"/>
      </w:pPr>
      <w:r w:rsidRPr="00824C9A">
        <w:t>If appropriate</w:t>
      </w:r>
      <w:r w:rsidR="00EE768C">
        <w:t>,</w:t>
      </w:r>
      <w:r w:rsidRPr="00824C9A">
        <w:t xml:space="preserve"> the Director may refer the matter to the DPP for consideration of an action pursuant to the </w:t>
      </w:r>
      <w:r w:rsidRPr="00824C9A">
        <w:rPr>
          <w:i/>
        </w:rPr>
        <w:t>Confiscations Act</w:t>
      </w:r>
      <w:r w:rsidRPr="00824C9A">
        <w:t xml:space="preserve"> </w:t>
      </w:r>
      <w:r w:rsidRPr="00F231F2">
        <w:rPr>
          <w:i/>
        </w:rPr>
        <w:t>1997</w:t>
      </w:r>
      <w:r w:rsidRPr="00824C9A">
        <w:t>.</w:t>
      </w:r>
    </w:p>
    <w:p w14:paraId="17EBB515" w14:textId="77777777" w:rsidR="0047337F" w:rsidRDefault="0047337F" w:rsidP="0073112D">
      <w:pPr>
        <w:pStyle w:val="CAVbodycopy"/>
      </w:pPr>
    </w:p>
    <w:sectPr w:rsidR="0047337F" w:rsidSect="00854A33">
      <w:footerReference w:type="default" r:id="rId8"/>
      <w:headerReference w:type="first" r:id="rId9"/>
      <w:pgSz w:w="11900" w:h="16840"/>
      <w:pgMar w:top="1152"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02E76" w14:textId="77777777" w:rsidR="004510E1" w:rsidRDefault="004510E1">
      <w:pPr>
        <w:spacing w:after="0" w:line="240" w:lineRule="auto"/>
      </w:pPr>
      <w:r>
        <w:separator/>
      </w:r>
    </w:p>
    <w:p w14:paraId="09A3362B" w14:textId="77777777" w:rsidR="004510E1" w:rsidRDefault="004510E1"/>
    <w:p w14:paraId="5561C62B" w14:textId="77777777" w:rsidR="004510E1" w:rsidRDefault="004510E1"/>
  </w:endnote>
  <w:endnote w:type="continuationSeparator" w:id="0">
    <w:p w14:paraId="428E2605" w14:textId="77777777" w:rsidR="004510E1" w:rsidRDefault="004510E1">
      <w:pPr>
        <w:spacing w:after="0" w:line="240" w:lineRule="auto"/>
      </w:pPr>
      <w:r>
        <w:continuationSeparator/>
      </w:r>
    </w:p>
    <w:p w14:paraId="62556B66" w14:textId="77777777" w:rsidR="004510E1" w:rsidRDefault="004510E1"/>
    <w:p w14:paraId="0206233E" w14:textId="77777777" w:rsidR="004510E1" w:rsidRDefault="004510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7815352"/>
      <w:docPartObj>
        <w:docPartGallery w:val="Page Numbers (Bottom of Page)"/>
        <w:docPartUnique/>
      </w:docPartObj>
    </w:sdtPr>
    <w:sdtEndPr>
      <w:rPr>
        <w:noProof/>
        <w:sz w:val="20"/>
        <w:szCs w:val="20"/>
      </w:rPr>
    </w:sdtEndPr>
    <w:sdtContent>
      <w:p w14:paraId="252C2B26" w14:textId="77777777" w:rsidR="00E23F16" w:rsidRDefault="00E23F16" w:rsidP="007501DD">
        <w:pPr>
          <w:pStyle w:val="Footer"/>
          <w:jc w:val="right"/>
          <w:rPr>
            <w:noProo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E23F16" w14:paraId="5A7D4B82" w14:textId="77777777" w:rsidTr="00EA2B4E">
          <w:tc>
            <w:tcPr>
              <w:tcW w:w="4505" w:type="dxa"/>
            </w:tcPr>
            <w:p w14:paraId="2A801B83" w14:textId="77777777" w:rsidR="00E23F16" w:rsidRDefault="00E23F16" w:rsidP="00EA2B4E">
              <w:pPr>
                <w:pStyle w:val="Footer"/>
              </w:pPr>
            </w:p>
          </w:tc>
          <w:tc>
            <w:tcPr>
              <w:tcW w:w="4505" w:type="dxa"/>
            </w:tcPr>
            <w:p w14:paraId="0FAC27BE" w14:textId="77777777" w:rsidR="00E23F16" w:rsidRPr="007501DD" w:rsidRDefault="00E23F16" w:rsidP="007501DD">
              <w:pPr>
                <w:pStyle w:val="Footer"/>
                <w:jc w:val="right"/>
                <w:rPr>
                  <w:sz w:val="20"/>
                  <w:szCs w:val="20"/>
                </w:rPr>
              </w:pPr>
              <w:r>
                <w:rPr>
                  <w:sz w:val="20"/>
                  <w:szCs w:val="20"/>
                </w:rPr>
                <w:t xml:space="preserve">page </w:t>
              </w:r>
              <w:r w:rsidRPr="00EA2B4E">
                <w:rPr>
                  <w:sz w:val="20"/>
                  <w:szCs w:val="20"/>
                </w:rPr>
                <w:fldChar w:fldCharType="begin"/>
              </w:r>
              <w:r w:rsidRPr="00EA2B4E">
                <w:rPr>
                  <w:sz w:val="20"/>
                  <w:szCs w:val="20"/>
                </w:rPr>
                <w:instrText xml:space="preserve"> PAGE   \* MERGEFORMAT </w:instrText>
              </w:r>
              <w:r w:rsidRPr="00EA2B4E">
                <w:rPr>
                  <w:sz w:val="20"/>
                  <w:szCs w:val="20"/>
                </w:rPr>
                <w:fldChar w:fldCharType="separate"/>
              </w:r>
              <w:r>
                <w:rPr>
                  <w:noProof/>
                  <w:sz w:val="20"/>
                  <w:szCs w:val="20"/>
                </w:rPr>
                <w:t>3</w:t>
              </w:r>
              <w:r w:rsidRPr="00EA2B4E">
                <w:rPr>
                  <w:noProof/>
                  <w:sz w:val="20"/>
                  <w:szCs w:val="20"/>
                </w:rPr>
                <w:fldChar w:fldCharType="end"/>
              </w:r>
            </w:p>
          </w:tc>
        </w:tr>
      </w:tbl>
      <w:p w14:paraId="13C6AFDE" w14:textId="77777777" w:rsidR="00E23F16" w:rsidRDefault="00396025" w:rsidP="007501DD">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D7D9C" w14:textId="77777777" w:rsidR="004510E1" w:rsidRDefault="004510E1">
      <w:pPr>
        <w:spacing w:after="0" w:line="240" w:lineRule="auto"/>
      </w:pPr>
      <w:r>
        <w:separator/>
      </w:r>
    </w:p>
  </w:footnote>
  <w:footnote w:type="continuationSeparator" w:id="0">
    <w:p w14:paraId="7F080DC0" w14:textId="77777777" w:rsidR="004510E1" w:rsidRDefault="004510E1">
      <w:pPr>
        <w:spacing w:after="0" w:line="240" w:lineRule="auto"/>
      </w:pPr>
      <w:r>
        <w:continuationSeparator/>
      </w:r>
    </w:p>
    <w:p w14:paraId="73047AAE" w14:textId="77777777" w:rsidR="004510E1" w:rsidRDefault="004510E1"/>
    <w:p w14:paraId="0DE34FD6" w14:textId="77777777" w:rsidR="004510E1" w:rsidRDefault="004510E1"/>
  </w:footnote>
  <w:footnote w:id="1">
    <w:p w14:paraId="26B0000E" w14:textId="1E3A6AB1" w:rsidR="00E23F16" w:rsidRDefault="00E23F16" w:rsidP="0047337F">
      <w:pPr>
        <w:pStyle w:val="FootnoteText"/>
      </w:pPr>
      <w:r>
        <w:rPr>
          <w:rStyle w:val="FootnoteReference"/>
        </w:rPr>
        <w:footnoteRef/>
      </w:r>
      <w:r>
        <w:t xml:space="preserve"> For a full list of legislation we administer, see </w:t>
      </w:r>
      <w:hyperlink r:id="rId1" w:history="1">
        <w:r w:rsidRPr="003E4EC0">
          <w:rPr>
            <w:rStyle w:val="Hyperlink"/>
          </w:rPr>
          <w:t>consumer.vic.gov.au/legislation</w:t>
        </w:r>
      </w:hyperlink>
      <w:r w:rsidRPr="00FC3775">
        <w:t>.</w:t>
      </w:r>
    </w:p>
  </w:footnote>
  <w:footnote w:id="2">
    <w:p w14:paraId="48FEE284" w14:textId="41F8F9AC" w:rsidR="00E23F16" w:rsidRPr="006F2BA3" w:rsidRDefault="00E23F16" w:rsidP="0047337F">
      <w:pPr>
        <w:pStyle w:val="FootnoteText"/>
        <w:rPr>
          <w:i/>
          <w:lang w:val="en-US"/>
        </w:rPr>
      </w:pPr>
      <w:r>
        <w:rPr>
          <w:rStyle w:val="FootnoteReference"/>
        </w:rPr>
        <w:footnoteRef/>
      </w:r>
      <w:r>
        <w:t xml:space="preserve"> </w:t>
      </w:r>
      <w:r>
        <w:rPr>
          <w:lang w:val="en-US"/>
        </w:rPr>
        <w:t xml:space="preserve">For further information on the range of enforcement options available and the criteria for determining the appropriate options see </w:t>
      </w:r>
      <w:r w:rsidRPr="00C00725">
        <w:rPr>
          <w:lang w:val="en-US"/>
        </w:rPr>
        <w:t xml:space="preserve">our </w:t>
      </w:r>
      <w:hyperlink r:id="rId2" w:history="1">
        <w:r w:rsidRPr="00C00725">
          <w:rPr>
            <w:rStyle w:val="Hyperlink"/>
            <w:lang w:val="en-US"/>
          </w:rPr>
          <w:t>Compliance policy page</w:t>
        </w:r>
      </w:hyperlink>
      <w:r w:rsidRPr="00C00725">
        <w:rPr>
          <w:lang w:val="en-US"/>
        </w:rPr>
        <w:t xml:space="preserve"> at </w:t>
      </w:r>
      <w:r w:rsidRPr="00E060E7">
        <w:rPr>
          <w:lang w:val="en-US"/>
        </w:rPr>
        <w:t>consumer.vic.gov.au/about-us/regulatory-approach-and-compliance-policy/our-compliance-policy</w:t>
      </w:r>
    </w:p>
  </w:footnote>
  <w:footnote w:id="3">
    <w:p w14:paraId="7544BC17" w14:textId="77777777" w:rsidR="00E23F16" w:rsidRDefault="00E23F16" w:rsidP="0047337F">
      <w:pPr>
        <w:pStyle w:val="FootnoteText"/>
      </w:pPr>
      <w:r>
        <w:rPr>
          <w:rStyle w:val="FootnoteReference"/>
        </w:rPr>
        <w:footnoteRef/>
      </w:r>
      <w:r>
        <w:t xml:space="preserve"> The full text of the Policy of the Director of Public Prosecutions for Victoria can be found at </w:t>
      </w:r>
      <w:hyperlink r:id="rId3" w:history="1">
        <w:r w:rsidRPr="00FC3775">
          <w:rPr>
            <w:rStyle w:val="Hyperlink"/>
            <w:u w:val="none"/>
          </w:rPr>
          <w:t>http://www.opp.vic.gov.au/Resources/Policies</w:t>
        </w:r>
      </w:hyperlink>
      <w:r>
        <w:t xml:space="preserve">. </w:t>
      </w:r>
    </w:p>
  </w:footnote>
  <w:footnote w:id="4">
    <w:p w14:paraId="68F0ABE6" w14:textId="333CCB4A" w:rsidR="00E23F16" w:rsidRDefault="00E23F16" w:rsidP="0047337F">
      <w:pPr>
        <w:pStyle w:val="FootnoteText"/>
      </w:pPr>
      <w:r>
        <w:rPr>
          <w:rStyle w:val="FootnoteReference"/>
        </w:rPr>
        <w:footnoteRef/>
      </w:r>
      <w:r>
        <w:t xml:space="preserve"> Consumer Acts as defined by section 3 of the </w:t>
      </w:r>
      <w:r w:rsidRPr="007140D0">
        <w:rPr>
          <w:i/>
        </w:rPr>
        <w:t xml:space="preserve">Australian Consumer Law and </w:t>
      </w:r>
      <w:proofErr w:type="gramStart"/>
      <w:r w:rsidRPr="007140D0">
        <w:rPr>
          <w:i/>
        </w:rPr>
        <w:t>Fair</w:t>
      </w:r>
      <w:r>
        <w:rPr>
          <w:i/>
        </w:rPr>
        <w:t xml:space="preserve"> T</w:t>
      </w:r>
      <w:r w:rsidRPr="007140D0">
        <w:rPr>
          <w:i/>
        </w:rPr>
        <w:t>rading</w:t>
      </w:r>
      <w:proofErr w:type="gramEnd"/>
      <w:r w:rsidRPr="007140D0">
        <w:rPr>
          <w:i/>
        </w:rPr>
        <w:t xml:space="preserve"> Act</w:t>
      </w:r>
      <w:r>
        <w:t xml:space="preserve"> </w:t>
      </w:r>
      <w:r w:rsidRPr="00F231F2">
        <w:rPr>
          <w:i/>
        </w:rPr>
        <w:t>2012</w:t>
      </w:r>
    </w:p>
  </w:footnote>
  <w:footnote w:id="5">
    <w:p w14:paraId="73FF85F8" w14:textId="77777777" w:rsidR="00E23F16" w:rsidRDefault="00E23F16" w:rsidP="0047337F">
      <w:pPr>
        <w:pStyle w:val="FootnoteText"/>
      </w:pPr>
      <w:r>
        <w:rPr>
          <w:rStyle w:val="FootnoteReference"/>
        </w:rPr>
        <w:footnoteRef/>
      </w:r>
      <w:r>
        <w:t xml:space="preserve"> Adapted from Chapter 1, paragraph 4 of the DPP Policy.</w:t>
      </w:r>
    </w:p>
  </w:footnote>
  <w:footnote w:id="6">
    <w:p w14:paraId="2CC37F1E" w14:textId="757FD2E2" w:rsidR="00E23F16" w:rsidRDefault="00E23F16" w:rsidP="0047337F">
      <w:pPr>
        <w:pStyle w:val="FootnoteText"/>
      </w:pPr>
      <w:r>
        <w:rPr>
          <w:rStyle w:val="FootnoteReference"/>
        </w:rPr>
        <w:footnoteRef/>
      </w:r>
      <w:r>
        <w:t xml:space="preserve"> Note that the public interest in the context of consideration of a criminal prosecution is different to the public interest considerations set out in section 3.5 of the </w:t>
      </w:r>
      <w:r w:rsidRPr="00926A2D">
        <w:rPr>
          <w:i/>
        </w:rPr>
        <w:t>Consumer Affairs Victoria Regulatory Approach and Compliance Policy</w:t>
      </w:r>
      <w:r>
        <w:t>.</w:t>
      </w:r>
    </w:p>
  </w:footnote>
  <w:footnote w:id="7">
    <w:p w14:paraId="62F07DD5" w14:textId="77777777" w:rsidR="00E23F16" w:rsidRDefault="00E23F16" w:rsidP="0047337F">
      <w:pPr>
        <w:pStyle w:val="FootnoteText"/>
      </w:pPr>
      <w:r>
        <w:rPr>
          <w:rStyle w:val="FootnoteReference"/>
        </w:rPr>
        <w:footnoteRef/>
      </w:r>
      <w:r>
        <w:t xml:space="preserve"> Adapted from Chapter 1, paragraph 6 of the DPP Policy</w:t>
      </w:r>
    </w:p>
  </w:footnote>
  <w:footnote w:id="8">
    <w:p w14:paraId="3F184FB6" w14:textId="25AC348A" w:rsidR="00E23F16" w:rsidRDefault="00E23F16" w:rsidP="0047337F">
      <w:pPr>
        <w:pStyle w:val="FootnoteText"/>
      </w:pPr>
      <w:r>
        <w:rPr>
          <w:rStyle w:val="FootnoteReference"/>
        </w:rPr>
        <w:footnoteRef/>
      </w:r>
      <w:r>
        <w:t xml:space="preserve"> An example where time may not permit the obtaining of advice is that where a notice of suspension has been served in accordance with section 120 of the </w:t>
      </w:r>
      <w:r w:rsidRPr="00D953BD">
        <w:rPr>
          <w:i/>
        </w:rPr>
        <w:t xml:space="preserve">Australian Consumer Law and </w:t>
      </w:r>
      <w:proofErr w:type="gramStart"/>
      <w:r w:rsidRPr="00D953BD">
        <w:rPr>
          <w:i/>
        </w:rPr>
        <w:t>Fair Trading</w:t>
      </w:r>
      <w:proofErr w:type="gramEnd"/>
      <w:r w:rsidRPr="00D953BD">
        <w:rPr>
          <w:i/>
        </w:rPr>
        <w:t xml:space="preserve"> Ac</w:t>
      </w:r>
      <w:r w:rsidRPr="00F231F2">
        <w:rPr>
          <w:i/>
        </w:rPr>
        <w:t>t 2012</w:t>
      </w:r>
      <w:r>
        <w:t>, the Director must commence proceedings within 14 days or the suspension will lapse (section 122).</w:t>
      </w:r>
    </w:p>
  </w:footnote>
  <w:footnote w:id="9">
    <w:p w14:paraId="22B6D236" w14:textId="770AB81E" w:rsidR="00E23F16" w:rsidRDefault="00E23F16" w:rsidP="0047337F">
      <w:pPr>
        <w:pStyle w:val="FootnoteText"/>
      </w:pPr>
      <w:r>
        <w:rPr>
          <w:rStyle w:val="FootnoteReference"/>
        </w:rPr>
        <w:footnoteRef/>
      </w:r>
      <w:r>
        <w:t xml:space="preserve"> See Chapter 13, paragraphs 15 and 16 of the DPP Policy. </w:t>
      </w:r>
    </w:p>
  </w:footnote>
  <w:footnote w:id="10">
    <w:p w14:paraId="5AAB13F8" w14:textId="0BB4CD4B" w:rsidR="00E23F16" w:rsidRDefault="00E23F16" w:rsidP="0047337F">
      <w:pPr>
        <w:pStyle w:val="FootnoteText"/>
      </w:pPr>
      <w:r>
        <w:rPr>
          <w:rStyle w:val="FootnoteReference"/>
        </w:rPr>
        <w:footnoteRef/>
      </w:r>
      <w:r>
        <w:t xml:space="preserve"> For example, a charge pursuant to section 90 of the </w:t>
      </w:r>
      <w:r w:rsidRPr="00456BD0">
        <w:rPr>
          <w:i/>
        </w:rPr>
        <w:t>Estate Agents Act</w:t>
      </w:r>
      <w:r>
        <w:t xml:space="preserve"> </w:t>
      </w:r>
      <w:r w:rsidRPr="00F231F2">
        <w:rPr>
          <w:i/>
        </w:rPr>
        <w:t>1980</w:t>
      </w:r>
      <w:r>
        <w:t>.</w:t>
      </w:r>
    </w:p>
  </w:footnote>
  <w:footnote w:id="11">
    <w:p w14:paraId="7029ED54" w14:textId="77777777" w:rsidR="00E23F16" w:rsidRDefault="00E23F16" w:rsidP="0047337F">
      <w:pPr>
        <w:pStyle w:val="FootnoteText"/>
      </w:pPr>
      <w:r>
        <w:rPr>
          <w:rStyle w:val="FootnoteReference"/>
        </w:rPr>
        <w:footnoteRef/>
      </w:r>
      <w:r>
        <w:t xml:space="preserve"> Adapted from Chapter 2, paragraph 3 of the DPP Policy.</w:t>
      </w:r>
    </w:p>
  </w:footnote>
  <w:footnote w:id="12">
    <w:p w14:paraId="1382A05C" w14:textId="1AE61F93" w:rsidR="00E23F16" w:rsidRDefault="00E23F16" w:rsidP="0047337F">
      <w:pPr>
        <w:pStyle w:val="FootnoteText"/>
      </w:pPr>
      <w:r>
        <w:rPr>
          <w:rStyle w:val="FootnoteReference"/>
        </w:rPr>
        <w:footnoteRef/>
      </w:r>
      <w:r>
        <w:t xml:space="preserve"> Victims will be provided with the booklet A Victim’s Guide to Support Services and The Criminal Justice System published by the Victims Support Agency. See </w:t>
      </w:r>
      <w:hyperlink r:id="rId4" w:history="1">
        <w:r w:rsidRPr="00F231F2">
          <w:rPr>
            <w:rStyle w:val="Hyperlink"/>
            <w:u w:val="none"/>
          </w:rPr>
          <w:t>https://www.victimsofcrime.vic.gov.au/a-victims-guide-to-support-services-and-the-criminal-justice-system</w:t>
        </w:r>
      </w:hyperlink>
    </w:p>
  </w:footnote>
  <w:footnote w:id="13">
    <w:p w14:paraId="154EB22E" w14:textId="77777777" w:rsidR="00E23F16" w:rsidRDefault="00E23F16" w:rsidP="0047337F">
      <w:pPr>
        <w:pStyle w:val="FootnoteText"/>
      </w:pPr>
      <w:r>
        <w:rPr>
          <w:rStyle w:val="FootnoteReference"/>
        </w:rPr>
        <w:footnoteRef/>
      </w:r>
      <w:r>
        <w:t xml:space="preserve"> See Chapter 4 – Resolution.</w:t>
      </w:r>
    </w:p>
  </w:footnote>
  <w:footnote w:id="14">
    <w:p w14:paraId="07165080" w14:textId="641B7A02" w:rsidR="00E23F16" w:rsidRDefault="00E23F16" w:rsidP="0047337F">
      <w:pPr>
        <w:pStyle w:val="FootnoteText"/>
      </w:pPr>
      <w:r>
        <w:rPr>
          <w:rStyle w:val="FootnoteReference"/>
        </w:rPr>
        <w:footnoteRef/>
      </w:r>
      <w:r>
        <w:t xml:space="preserve"> See </w:t>
      </w:r>
      <w:hyperlink r:id="rId5" w:history="1">
        <w:r w:rsidRPr="00424579">
          <w:rPr>
            <w:rStyle w:val="Hyperlink"/>
          </w:rPr>
          <w:t>courtnetwork.com.au/</w:t>
        </w:r>
      </w:hyperlink>
      <w:r w:rsidRPr="00F231F2">
        <w:t>.</w:t>
      </w:r>
      <w:r>
        <w:t xml:space="preserve"> </w:t>
      </w:r>
    </w:p>
  </w:footnote>
  <w:footnote w:id="15">
    <w:p w14:paraId="7E1B0468" w14:textId="5CCF77F9" w:rsidR="00E23F16" w:rsidRDefault="00E23F16" w:rsidP="0047337F">
      <w:pPr>
        <w:pStyle w:val="FootnoteText"/>
      </w:pPr>
      <w:r>
        <w:rPr>
          <w:rStyle w:val="FootnoteReference"/>
        </w:rPr>
        <w:footnoteRef/>
      </w:r>
      <w:r>
        <w:t xml:space="preserve"> These documents can be located at </w:t>
      </w:r>
      <w:hyperlink r:id="rId6" w:history="1">
        <w:r w:rsidRPr="00424579">
          <w:rPr>
            <w:rStyle w:val="Hyperlink"/>
          </w:rPr>
          <w:t>victimsofcrime.vic.gov.au/guide-to-victim-impact-statements</w:t>
        </w:r>
      </w:hyperlink>
      <w:r>
        <w:t xml:space="preserve"> and </w:t>
      </w:r>
      <w:hyperlink r:id="rId7" w:history="1">
        <w:r w:rsidRPr="00424579">
          <w:rPr>
            <w:rStyle w:val="Hyperlink"/>
          </w:rPr>
          <w:t>victimsofcrime.vic.gov.au/victim-impact-statements-made-easy</w:t>
        </w:r>
      </w:hyperlink>
      <w:r>
        <w:t xml:space="preserve">. </w:t>
      </w:r>
    </w:p>
  </w:footnote>
  <w:footnote w:id="16">
    <w:p w14:paraId="6D84F5AD" w14:textId="77777777" w:rsidR="00E23F16" w:rsidRDefault="00E23F16" w:rsidP="0047337F">
      <w:pPr>
        <w:pStyle w:val="FootnoteText"/>
      </w:pPr>
      <w:r>
        <w:rPr>
          <w:rStyle w:val="FootnoteReference"/>
        </w:rPr>
        <w:footnoteRef/>
      </w:r>
      <w:r>
        <w:t xml:space="preserve"> Note that any application for compensation or restitution in an indictable matter will be made by the DPP.</w:t>
      </w:r>
    </w:p>
  </w:footnote>
  <w:footnote w:id="17">
    <w:p w14:paraId="20D1DD45" w14:textId="77777777" w:rsidR="00E23F16" w:rsidRDefault="00E23F16" w:rsidP="0047337F">
      <w:pPr>
        <w:pStyle w:val="FootnoteText"/>
      </w:pPr>
      <w:r>
        <w:rPr>
          <w:rStyle w:val="FootnoteReference"/>
        </w:rPr>
        <w:footnoteRef/>
      </w:r>
      <w:r>
        <w:t xml:space="preserve"> Adapted from Chapter 4, paragraph 25 of the DPP Policy.</w:t>
      </w:r>
    </w:p>
  </w:footnote>
  <w:footnote w:id="18">
    <w:p w14:paraId="2E225771" w14:textId="77777777" w:rsidR="00E23F16" w:rsidRDefault="00E23F16" w:rsidP="0047337F">
      <w:pPr>
        <w:pStyle w:val="FootnoteText"/>
      </w:pPr>
      <w:r>
        <w:rPr>
          <w:rStyle w:val="FootnoteReference"/>
        </w:rPr>
        <w:footnoteRef/>
      </w:r>
      <w:r>
        <w:t xml:space="preserve"> For </w:t>
      </w:r>
      <w:proofErr w:type="gramStart"/>
      <w:r>
        <w:t>example</w:t>
      </w:r>
      <w:proofErr w:type="gramEnd"/>
      <w:r>
        <w:t xml:space="preserve"> section 114(1)(b) of the </w:t>
      </w:r>
      <w:r w:rsidRPr="004D5E55">
        <w:rPr>
          <w:i/>
        </w:rPr>
        <w:t>Criminal Procedure Act</w:t>
      </w:r>
      <w:r>
        <w:t xml:space="preserve"> </w:t>
      </w:r>
      <w:r w:rsidRPr="00F231F2">
        <w:rPr>
          <w:i/>
        </w:rPr>
        <w:t>2009</w:t>
      </w:r>
      <w:r>
        <w:t xml:space="preserve"> allows for disclosure of an address or telephone number where it is relevant to an offence charged and is not likely to present a reasonably ascertainable risk to the welfare or physical safety of any person.</w:t>
      </w:r>
    </w:p>
  </w:footnote>
  <w:footnote w:id="19">
    <w:p w14:paraId="76814671" w14:textId="77777777" w:rsidR="00E23F16" w:rsidRDefault="00E23F16" w:rsidP="0047337F">
      <w:pPr>
        <w:pStyle w:val="FootnoteText"/>
      </w:pPr>
      <w:r>
        <w:rPr>
          <w:rStyle w:val="FootnoteReference"/>
        </w:rPr>
        <w:footnoteRef/>
      </w:r>
      <w:r>
        <w:t xml:space="preserve"> </w:t>
      </w:r>
      <w:r w:rsidRPr="00000D24">
        <w:t>Note Chapter 4.3 any</w:t>
      </w:r>
      <w:r>
        <w:t xml:space="preserve"> proposed resolution of indictable matters must be consented to by the Director of Public Prosecutions before an agreement can be </w:t>
      </w:r>
      <w:proofErr w:type="gramStart"/>
      <w:r>
        <w:t>entered into</w:t>
      </w:r>
      <w:proofErr w:type="gramEnd"/>
      <w:r>
        <w:t>.</w:t>
      </w:r>
    </w:p>
  </w:footnote>
  <w:footnote w:id="20">
    <w:p w14:paraId="58784653" w14:textId="77777777" w:rsidR="00E23F16" w:rsidRDefault="00E23F16" w:rsidP="0047337F">
      <w:pPr>
        <w:pStyle w:val="FootnoteText"/>
      </w:pPr>
      <w:r>
        <w:rPr>
          <w:rStyle w:val="FootnoteReference"/>
        </w:rPr>
        <w:footnoteRef/>
      </w:r>
      <w:r>
        <w:t xml:space="preserve"> Adapted from Chapter 4, paragraph 16 of the DPP Policy.</w:t>
      </w:r>
    </w:p>
  </w:footnote>
  <w:footnote w:id="21">
    <w:p w14:paraId="192EBFF0" w14:textId="77777777" w:rsidR="00E23F16" w:rsidRDefault="00E23F16" w:rsidP="0047337F">
      <w:pPr>
        <w:pStyle w:val="FootnoteText"/>
      </w:pPr>
      <w:r>
        <w:rPr>
          <w:rStyle w:val="FootnoteReference"/>
        </w:rPr>
        <w:footnoteRef/>
      </w:r>
      <w:r>
        <w:t xml:space="preserve"> Adapted from Chapter 4, paragraph 3 of the DPP Policy.</w:t>
      </w:r>
    </w:p>
  </w:footnote>
  <w:footnote w:id="22">
    <w:p w14:paraId="31860F3D" w14:textId="77777777" w:rsidR="00E23F16" w:rsidRDefault="00E23F16" w:rsidP="0047337F">
      <w:pPr>
        <w:pStyle w:val="FootnoteText"/>
      </w:pPr>
      <w:r>
        <w:rPr>
          <w:rStyle w:val="FootnoteReference"/>
        </w:rPr>
        <w:footnoteRef/>
      </w:r>
      <w:r>
        <w:t xml:space="preserve"> Adapted from Chapter 5, paragraph 2 of the DPP Policy.</w:t>
      </w:r>
    </w:p>
  </w:footnote>
  <w:footnote w:id="23">
    <w:p w14:paraId="7F0361B6" w14:textId="77777777" w:rsidR="00E23F16" w:rsidRDefault="00E23F16" w:rsidP="0047337F">
      <w:pPr>
        <w:pStyle w:val="FootnoteText"/>
      </w:pPr>
      <w:r>
        <w:rPr>
          <w:rStyle w:val="FootnoteReference"/>
        </w:rPr>
        <w:footnoteRef/>
      </w:r>
      <w:r>
        <w:t xml:space="preserve"> See Chapter 9 of the DPP Policy for the criteria governing when the DPP will lodge an appeal.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9D0A9" w14:textId="77777777" w:rsidR="00E23F16" w:rsidRDefault="00E23F16">
    <w:pPr>
      <w:pStyle w:val="Header"/>
    </w:pPr>
    <w:r>
      <w:rPr>
        <w:noProof/>
        <w:lang w:val="en-AU" w:eastAsia="en-AU"/>
      </w:rPr>
      <w:drawing>
        <wp:anchor distT="0" distB="0" distL="114300" distR="114300" simplePos="0" relativeHeight="251659264" behindDoc="1" locked="0" layoutInCell="1" allowOverlap="1" wp14:anchorId="61B07B2E" wp14:editId="4A7286F3">
          <wp:simplePos x="0" y="0"/>
          <wp:positionH relativeFrom="page">
            <wp:posOffset>-19050</wp:posOffset>
          </wp:positionH>
          <wp:positionV relativeFrom="page">
            <wp:align>top</wp:align>
          </wp:positionV>
          <wp:extent cx="7576455" cy="10717017"/>
          <wp:effectExtent l="0" t="0" r="5715"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_Word_Document_V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6455" cy="107170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AB8A8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E8ED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44E5CF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0725E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23A55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2E5C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20DE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BEA9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62011C"/>
    <w:lvl w:ilvl="0">
      <w:start w:val="1"/>
      <w:numFmt w:val="decimal"/>
      <w:lvlText w:val="%1."/>
      <w:lvlJc w:val="left"/>
      <w:pPr>
        <w:tabs>
          <w:tab w:val="num" w:pos="360"/>
        </w:tabs>
        <w:ind w:left="360" w:hanging="360"/>
      </w:pPr>
      <w:rPr>
        <w:rFonts w:hint="default"/>
        <w:b/>
        <w:i w:val="0"/>
      </w:rPr>
    </w:lvl>
  </w:abstractNum>
  <w:abstractNum w:abstractNumId="9" w15:restartNumberingAfterBreak="0">
    <w:nsid w:val="FFFFFF89"/>
    <w:multiLevelType w:val="singleLevel"/>
    <w:tmpl w:val="71E4D62E"/>
    <w:lvl w:ilvl="0">
      <w:start w:val="1"/>
      <w:numFmt w:val="bullet"/>
      <w:lvlText w:val=""/>
      <w:lvlJc w:val="left"/>
      <w:pPr>
        <w:tabs>
          <w:tab w:val="num" w:pos="432"/>
        </w:tabs>
        <w:ind w:left="432" w:hanging="432"/>
      </w:pPr>
      <w:rPr>
        <w:rFonts w:ascii="Symbol" w:hAnsi="Symbol" w:hint="default"/>
      </w:rPr>
    </w:lvl>
  </w:abstractNum>
  <w:abstractNum w:abstractNumId="10" w15:restartNumberingAfterBreak="0">
    <w:nsid w:val="08751C80"/>
    <w:multiLevelType w:val="hybridMultilevel"/>
    <w:tmpl w:val="08DC557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EE81B01"/>
    <w:multiLevelType w:val="hybridMultilevel"/>
    <w:tmpl w:val="4C6E9B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91682F"/>
    <w:multiLevelType w:val="hybridMultilevel"/>
    <w:tmpl w:val="5B30D4B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B0E1D2C"/>
    <w:multiLevelType w:val="hybridMultilevel"/>
    <w:tmpl w:val="C54C93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DA33D1"/>
    <w:multiLevelType w:val="hybridMultilevel"/>
    <w:tmpl w:val="9F16C02E"/>
    <w:lvl w:ilvl="0" w:tplc="2D128166">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3231B3"/>
    <w:multiLevelType w:val="hybridMultilevel"/>
    <w:tmpl w:val="A5903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1B1C5A"/>
    <w:multiLevelType w:val="hybridMultilevel"/>
    <w:tmpl w:val="A3127486"/>
    <w:lvl w:ilvl="0" w:tplc="A96E589A">
      <w:start w:val="1"/>
      <w:numFmt w:val="decimal"/>
      <w:pStyle w:val="ListNumber"/>
      <w:lvlText w:val="%1."/>
      <w:lvlJc w:val="left"/>
      <w:pPr>
        <w:tabs>
          <w:tab w:val="num" w:pos="432"/>
        </w:tabs>
        <w:ind w:left="432" w:hanging="432"/>
      </w:pPr>
      <w:rPr>
        <w:rFonts w:hint="default"/>
        <w:b/>
        <w:i w:val="0"/>
        <w:color w:val="266CBF"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B04CC6"/>
    <w:multiLevelType w:val="hybridMultilevel"/>
    <w:tmpl w:val="0DE80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FC2B92"/>
    <w:multiLevelType w:val="hybridMultilevel"/>
    <w:tmpl w:val="79B20C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013DBE"/>
    <w:multiLevelType w:val="multilevel"/>
    <w:tmpl w:val="C8DAF3D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208205E"/>
    <w:multiLevelType w:val="hybridMultilevel"/>
    <w:tmpl w:val="F7CAC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B20DC5"/>
    <w:multiLevelType w:val="hybridMultilevel"/>
    <w:tmpl w:val="0728F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9322F4"/>
    <w:multiLevelType w:val="hybridMultilevel"/>
    <w:tmpl w:val="5AA62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676903"/>
    <w:multiLevelType w:val="hybridMultilevel"/>
    <w:tmpl w:val="DEF280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9"/>
    <w:lvlOverride w:ilvl="0">
      <w:startOverride w:val="1"/>
    </w:lvlOverride>
  </w:num>
  <w:num w:numId="13">
    <w:abstractNumId w:val="14"/>
  </w:num>
  <w:num w:numId="14">
    <w:abstractNumId w:val="16"/>
  </w:num>
  <w:num w:numId="15">
    <w:abstractNumId w:val="10"/>
  </w:num>
  <w:num w:numId="16">
    <w:abstractNumId w:val="12"/>
  </w:num>
  <w:num w:numId="17">
    <w:abstractNumId w:val="23"/>
  </w:num>
  <w:num w:numId="18">
    <w:abstractNumId w:val="19"/>
  </w:num>
  <w:num w:numId="19">
    <w:abstractNumId w:val="20"/>
  </w:num>
  <w:num w:numId="20">
    <w:abstractNumId w:val="13"/>
  </w:num>
  <w:num w:numId="21">
    <w:abstractNumId w:val="18"/>
  </w:num>
  <w:num w:numId="22">
    <w:abstractNumId w:val="11"/>
  </w:num>
  <w:num w:numId="23">
    <w:abstractNumId w:val="17"/>
  </w:num>
  <w:num w:numId="24">
    <w:abstractNumId w:val="15"/>
  </w:num>
  <w:num w:numId="25">
    <w:abstractNumId w:val="2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3E"/>
    <w:rsid w:val="00000D24"/>
    <w:rsid w:val="0001311F"/>
    <w:rsid w:val="00025314"/>
    <w:rsid w:val="000269E0"/>
    <w:rsid w:val="00032B87"/>
    <w:rsid w:val="000501E4"/>
    <w:rsid w:val="000537B6"/>
    <w:rsid w:val="00072943"/>
    <w:rsid w:val="00093B36"/>
    <w:rsid w:val="000C67E5"/>
    <w:rsid w:val="000D4349"/>
    <w:rsid w:val="000F6A47"/>
    <w:rsid w:val="001026C4"/>
    <w:rsid w:val="00111DF1"/>
    <w:rsid w:val="00120353"/>
    <w:rsid w:val="0013400D"/>
    <w:rsid w:val="001419A7"/>
    <w:rsid w:val="00157563"/>
    <w:rsid w:val="001577FF"/>
    <w:rsid w:val="0016544D"/>
    <w:rsid w:val="00174F81"/>
    <w:rsid w:val="001910D7"/>
    <w:rsid w:val="001948DA"/>
    <w:rsid w:val="001D71D8"/>
    <w:rsid w:val="001E6E4C"/>
    <w:rsid w:val="001F5D44"/>
    <w:rsid w:val="0023357A"/>
    <w:rsid w:val="00237804"/>
    <w:rsid w:val="00240715"/>
    <w:rsid w:val="00252767"/>
    <w:rsid w:val="00255141"/>
    <w:rsid w:val="002951B8"/>
    <w:rsid w:val="002A064C"/>
    <w:rsid w:val="002A4515"/>
    <w:rsid w:val="002C37B3"/>
    <w:rsid w:val="002F4371"/>
    <w:rsid w:val="00312321"/>
    <w:rsid w:val="00321EA0"/>
    <w:rsid w:val="00325B7B"/>
    <w:rsid w:val="003359D0"/>
    <w:rsid w:val="00361EBC"/>
    <w:rsid w:val="003715FE"/>
    <w:rsid w:val="00373406"/>
    <w:rsid w:val="00396025"/>
    <w:rsid w:val="003A6B8D"/>
    <w:rsid w:val="003E4EC0"/>
    <w:rsid w:val="003F1473"/>
    <w:rsid w:val="003F3424"/>
    <w:rsid w:val="003F6B22"/>
    <w:rsid w:val="0042125E"/>
    <w:rsid w:val="00424579"/>
    <w:rsid w:val="0044031F"/>
    <w:rsid w:val="004510E1"/>
    <w:rsid w:val="0047337F"/>
    <w:rsid w:val="00477441"/>
    <w:rsid w:val="00496286"/>
    <w:rsid w:val="004A6103"/>
    <w:rsid w:val="004C2C80"/>
    <w:rsid w:val="004D35AD"/>
    <w:rsid w:val="00503586"/>
    <w:rsid w:val="00505F6B"/>
    <w:rsid w:val="00511B64"/>
    <w:rsid w:val="00541C09"/>
    <w:rsid w:val="00594CA2"/>
    <w:rsid w:val="005B081D"/>
    <w:rsid w:val="005B5B2E"/>
    <w:rsid w:val="005C5C56"/>
    <w:rsid w:val="0062164D"/>
    <w:rsid w:val="00641DB8"/>
    <w:rsid w:val="00641E53"/>
    <w:rsid w:val="0064293E"/>
    <w:rsid w:val="00653095"/>
    <w:rsid w:val="00662C38"/>
    <w:rsid w:val="006B0EDA"/>
    <w:rsid w:val="006B4405"/>
    <w:rsid w:val="006B576D"/>
    <w:rsid w:val="007056AA"/>
    <w:rsid w:val="007061E8"/>
    <w:rsid w:val="00712B0B"/>
    <w:rsid w:val="0073112D"/>
    <w:rsid w:val="007318A9"/>
    <w:rsid w:val="007356C4"/>
    <w:rsid w:val="007501DD"/>
    <w:rsid w:val="00765F45"/>
    <w:rsid w:val="007B3645"/>
    <w:rsid w:val="007E40B9"/>
    <w:rsid w:val="00854A33"/>
    <w:rsid w:val="008745A4"/>
    <w:rsid w:val="008B566E"/>
    <w:rsid w:val="008E4489"/>
    <w:rsid w:val="00905A2B"/>
    <w:rsid w:val="00920FBA"/>
    <w:rsid w:val="00925065"/>
    <w:rsid w:val="00926A2D"/>
    <w:rsid w:val="00934BB0"/>
    <w:rsid w:val="00951E86"/>
    <w:rsid w:val="0095450B"/>
    <w:rsid w:val="00975EDE"/>
    <w:rsid w:val="00997E3E"/>
    <w:rsid w:val="009B4315"/>
    <w:rsid w:val="009C03AA"/>
    <w:rsid w:val="009E437E"/>
    <w:rsid w:val="009F11C1"/>
    <w:rsid w:val="00A24935"/>
    <w:rsid w:val="00A50D2D"/>
    <w:rsid w:val="00A50EFE"/>
    <w:rsid w:val="00A57DE2"/>
    <w:rsid w:val="00A75064"/>
    <w:rsid w:val="00A77373"/>
    <w:rsid w:val="00A77C9F"/>
    <w:rsid w:val="00A81149"/>
    <w:rsid w:val="00A830F3"/>
    <w:rsid w:val="00AB31F8"/>
    <w:rsid w:val="00AB4191"/>
    <w:rsid w:val="00AC2715"/>
    <w:rsid w:val="00AC49DC"/>
    <w:rsid w:val="00AC685F"/>
    <w:rsid w:val="00B11566"/>
    <w:rsid w:val="00B40245"/>
    <w:rsid w:val="00B46B07"/>
    <w:rsid w:val="00B5004A"/>
    <w:rsid w:val="00B737CE"/>
    <w:rsid w:val="00B768E2"/>
    <w:rsid w:val="00B82B49"/>
    <w:rsid w:val="00B831D8"/>
    <w:rsid w:val="00B918EE"/>
    <w:rsid w:val="00BD7743"/>
    <w:rsid w:val="00BE127D"/>
    <w:rsid w:val="00C00725"/>
    <w:rsid w:val="00C14214"/>
    <w:rsid w:val="00C156F2"/>
    <w:rsid w:val="00C57FB3"/>
    <w:rsid w:val="00C925F6"/>
    <w:rsid w:val="00CA0CE4"/>
    <w:rsid w:val="00CB0224"/>
    <w:rsid w:val="00CB5AAC"/>
    <w:rsid w:val="00CC2047"/>
    <w:rsid w:val="00CD3F8F"/>
    <w:rsid w:val="00D21015"/>
    <w:rsid w:val="00D36332"/>
    <w:rsid w:val="00D66123"/>
    <w:rsid w:val="00D7599F"/>
    <w:rsid w:val="00DE6965"/>
    <w:rsid w:val="00DF5D88"/>
    <w:rsid w:val="00E060E7"/>
    <w:rsid w:val="00E153A5"/>
    <w:rsid w:val="00E23F16"/>
    <w:rsid w:val="00E5484E"/>
    <w:rsid w:val="00E922A2"/>
    <w:rsid w:val="00EA12DA"/>
    <w:rsid w:val="00EA2B4E"/>
    <w:rsid w:val="00EC1093"/>
    <w:rsid w:val="00EE6366"/>
    <w:rsid w:val="00EE768C"/>
    <w:rsid w:val="00EF452C"/>
    <w:rsid w:val="00F172E7"/>
    <w:rsid w:val="00F242A3"/>
    <w:rsid w:val="00F45ECE"/>
    <w:rsid w:val="00F521F4"/>
    <w:rsid w:val="00F52430"/>
    <w:rsid w:val="00F52765"/>
    <w:rsid w:val="00F95E1B"/>
    <w:rsid w:val="00FB6DE6"/>
    <w:rsid w:val="00FF4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BC46FB"/>
  <w15:chartTrackingRefBased/>
  <w15:docId w15:val="{9DFF292E-0647-4895-A6F4-53EE9AE1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8"/>
        <w:szCs w:val="28"/>
        <w:lang w:val="en-US" w:eastAsia="ja-JP" w:bidi="ar-SA"/>
      </w:rPr>
    </w:rPrDefault>
    <w:pPrDefault>
      <w:pPr>
        <w:spacing w:after="12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5E1B"/>
    <w:rPr>
      <w:rFonts w:ascii="Arial" w:eastAsiaTheme="minorEastAsia" w:hAnsi="Arial"/>
      <w:color w:val="auto"/>
      <w:sz w:val="22"/>
    </w:rPr>
  </w:style>
  <w:style w:type="paragraph" w:styleId="Heading1">
    <w:name w:val="heading 1"/>
    <w:basedOn w:val="Normal"/>
    <w:next w:val="Normal"/>
    <w:link w:val="Heading1Char"/>
    <w:uiPriority w:val="9"/>
    <w:qFormat/>
    <w:rsid w:val="004D35AD"/>
    <w:pPr>
      <w:keepNext/>
      <w:keepLines/>
      <w:spacing w:before="360"/>
      <w:outlineLvl w:val="0"/>
    </w:pPr>
    <w:rPr>
      <w:rFonts w:eastAsiaTheme="majorEastAsia" w:cstheme="majorBidi"/>
      <w:b/>
      <w:color w:val="102849" w:themeColor="text2" w:themeTint="E6"/>
      <w:sz w:val="32"/>
      <w:szCs w:val="32"/>
    </w:rPr>
  </w:style>
  <w:style w:type="paragraph" w:styleId="Heading2">
    <w:name w:val="heading 2"/>
    <w:basedOn w:val="Normal"/>
    <w:next w:val="Normal"/>
    <w:link w:val="Heading2Char"/>
    <w:uiPriority w:val="9"/>
    <w:unhideWhenUsed/>
    <w:qFormat/>
    <w:rsid w:val="00EE6366"/>
    <w:pPr>
      <w:keepNext/>
      <w:keepLines/>
      <w:spacing w:before="480"/>
      <w:outlineLvl w:val="1"/>
    </w:pPr>
    <w:rPr>
      <w:rFonts w:eastAsiaTheme="majorEastAsia" w:cstheme="majorBidi"/>
      <w:b/>
      <w:color w:val="7F7F7F" w:themeColor="text1" w:themeTint="80"/>
      <w:sz w:val="24"/>
      <w:szCs w:val="26"/>
    </w:rPr>
  </w:style>
  <w:style w:type="paragraph" w:styleId="Heading3">
    <w:name w:val="heading 3"/>
    <w:basedOn w:val="Normal"/>
    <w:next w:val="Normal"/>
    <w:link w:val="Heading3Char"/>
    <w:uiPriority w:val="9"/>
    <w:unhideWhenUsed/>
    <w:qFormat/>
    <w:pPr>
      <w:keepNext/>
      <w:keepLines/>
      <w:spacing w:before="360"/>
      <w:outlineLvl w:val="2"/>
    </w:pPr>
    <w:rPr>
      <w:rFonts w:asciiTheme="majorHAnsi" w:eastAsiaTheme="majorEastAsia" w:hAnsiTheme="majorHAnsi" w:cstheme="majorBidi"/>
      <w:color w:val="266CBF" w:themeColor="accent1"/>
      <w:sz w:val="34"/>
      <w:szCs w:val="24"/>
    </w:rPr>
  </w:style>
  <w:style w:type="paragraph" w:styleId="Heading4">
    <w:name w:val="heading 4"/>
    <w:basedOn w:val="Normal"/>
    <w:next w:val="Normal"/>
    <w:link w:val="Heading4Char"/>
    <w:uiPriority w:val="9"/>
    <w:semiHidden/>
    <w:unhideWhenUsed/>
    <w:qFormat/>
    <w:pPr>
      <w:keepNext/>
      <w:keepLines/>
      <w:spacing w:before="360"/>
      <w:outlineLvl w:val="3"/>
    </w:pPr>
    <w:rPr>
      <w:rFonts w:asciiTheme="majorHAnsi" w:eastAsiaTheme="majorEastAsia" w:hAnsiTheme="majorHAnsi" w:cstheme="majorBidi"/>
      <w:i/>
      <w:iCs/>
      <w:color w:val="266CBF" w:themeColor="accent1"/>
      <w:sz w:val="34"/>
    </w:rPr>
  </w:style>
  <w:style w:type="paragraph" w:styleId="Heading5">
    <w:name w:val="heading 5"/>
    <w:basedOn w:val="Normal"/>
    <w:next w:val="Normal"/>
    <w:link w:val="Heading5Char"/>
    <w:uiPriority w:val="9"/>
    <w:semiHidden/>
    <w:unhideWhenUsed/>
    <w:qFormat/>
    <w:pPr>
      <w:keepNext/>
      <w:keepLines/>
      <w:spacing w:before="360"/>
      <w:outlineLvl w:val="4"/>
    </w:pPr>
    <w:rPr>
      <w:rFonts w:asciiTheme="majorHAnsi" w:eastAsiaTheme="majorEastAsia" w:hAnsiTheme="majorHAnsi" w:cstheme="majorBidi"/>
      <w:b/>
      <w:color w:val="266CBF" w:themeColor="accent1"/>
    </w:rPr>
  </w:style>
  <w:style w:type="paragraph" w:styleId="Heading6">
    <w:name w:val="heading 6"/>
    <w:basedOn w:val="Normal"/>
    <w:next w:val="Normal"/>
    <w:link w:val="Heading6Char"/>
    <w:uiPriority w:val="9"/>
    <w:semiHidden/>
    <w:unhideWhenUsed/>
    <w:qFormat/>
    <w:pPr>
      <w:keepNext/>
      <w:keepLines/>
      <w:spacing w:before="360"/>
      <w:outlineLvl w:val="5"/>
    </w:pPr>
    <w:rPr>
      <w:rFonts w:asciiTheme="majorHAnsi" w:eastAsiaTheme="majorEastAsia" w:hAnsiTheme="majorHAnsi" w:cstheme="majorBidi"/>
      <w:b/>
      <w:i/>
      <w:color w:val="266CBF" w:themeColor="accent1"/>
    </w:rPr>
  </w:style>
  <w:style w:type="paragraph" w:styleId="Heading7">
    <w:name w:val="heading 7"/>
    <w:basedOn w:val="Normal"/>
    <w:next w:val="Normal"/>
    <w:link w:val="Heading7Char"/>
    <w:uiPriority w:val="9"/>
    <w:semiHidden/>
    <w:unhideWhenUsed/>
    <w:qFormat/>
    <w:pPr>
      <w:keepNext/>
      <w:keepLines/>
      <w:spacing w:before="36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pPr>
      <w:keepNext/>
      <w:keepLines/>
      <w:spacing w:before="360"/>
      <w:outlineLvl w:val="7"/>
    </w:pPr>
    <w:rPr>
      <w:rFonts w:asciiTheme="majorHAnsi" w:eastAsiaTheme="majorEastAsia" w:hAnsiTheme="majorHAnsi" w:cstheme="majorBidi"/>
      <w:szCs w:val="21"/>
    </w:rPr>
  </w:style>
  <w:style w:type="paragraph" w:styleId="Heading9">
    <w:name w:val="heading 9"/>
    <w:basedOn w:val="Normal"/>
    <w:next w:val="Normal"/>
    <w:link w:val="Heading9Char"/>
    <w:uiPriority w:val="9"/>
    <w:semiHidden/>
    <w:unhideWhenUsed/>
    <w:qFormat/>
    <w:pPr>
      <w:keepNext/>
      <w:keepLines/>
      <w:spacing w:before="360"/>
      <w:outlineLvl w:val="8"/>
    </w:pPr>
    <w:rPr>
      <w:rFonts w:asciiTheme="majorHAnsi" w:eastAsiaTheme="majorEastAsia" w:hAnsiTheme="majorHAnsi"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after="0" w:line="240" w:lineRule="auto"/>
    </w:pPr>
  </w:style>
  <w:style w:type="paragraph" w:styleId="Title">
    <w:name w:val="Title"/>
    <w:basedOn w:val="Normal"/>
    <w:link w:val="TitleChar"/>
    <w:uiPriority w:val="10"/>
    <w:unhideWhenUsed/>
    <w:qFormat/>
    <w:pPr>
      <w:spacing w:after="0" w:line="240" w:lineRule="auto"/>
      <w:contextualSpacing/>
    </w:pPr>
    <w:rPr>
      <w:rFonts w:asciiTheme="majorHAnsi" w:eastAsiaTheme="majorEastAsia" w:hAnsiTheme="majorHAnsi" w:cstheme="majorBidi"/>
      <w:b/>
      <w:color w:val="266CBF" w:themeColor="accent1"/>
      <w:kern w:val="28"/>
      <w:sz w:val="90"/>
      <w:szCs w:val="56"/>
    </w:rPr>
  </w:style>
  <w:style w:type="character" w:customStyle="1" w:styleId="Heading1Char">
    <w:name w:val="Heading 1 Char"/>
    <w:basedOn w:val="DefaultParagraphFont"/>
    <w:link w:val="Heading1"/>
    <w:uiPriority w:val="9"/>
    <w:rsid w:val="004D35AD"/>
    <w:rPr>
      <w:rFonts w:ascii="Arial" w:eastAsiaTheme="majorEastAsia" w:hAnsi="Arial" w:cstheme="majorBidi"/>
      <w:b/>
      <w:color w:val="102849" w:themeColor="text2" w:themeTint="E6"/>
      <w:sz w:val="32"/>
      <w:szCs w:val="3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ListBullet">
    <w:name w:val="List Bullet"/>
    <w:basedOn w:val="Normal"/>
    <w:uiPriority w:val="10"/>
    <w:qFormat/>
    <w:pPr>
      <w:numPr>
        <w:numId w:val="13"/>
      </w:numPr>
    </w:pPr>
  </w:style>
  <w:style w:type="paragraph" w:styleId="Subtitle">
    <w:name w:val="Subtitle"/>
    <w:basedOn w:val="Normal"/>
    <w:link w:val="SubtitleChar"/>
    <w:uiPriority w:val="11"/>
    <w:semiHidden/>
    <w:unhideWhenUsed/>
    <w:qFormat/>
    <w:pPr>
      <w:numPr>
        <w:ilvl w:val="1"/>
      </w:numPr>
      <w:spacing w:after="480" w:line="240" w:lineRule="auto"/>
      <w:contextualSpacing/>
    </w:pPr>
    <w:rPr>
      <w:sz w:val="34"/>
      <w:szCs w:val="22"/>
    </w:rPr>
  </w:style>
  <w:style w:type="character" w:customStyle="1" w:styleId="SubtitleChar">
    <w:name w:val="Subtitle Char"/>
    <w:basedOn w:val="DefaultParagraphFont"/>
    <w:link w:val="Subtitle"/>
    <w:uiPriority w:val="11"/>
    <w:semiHidden/>
    <w:rPr>
      <w:rFonts w:eastAsiaTheme="minorEastAsia"/>
      <w:sz w:val="34"/>
      <w:szCs w:val="22"/>
    </w:rPr>
  </w:style>
  <w:style w:type="character" w:customStyle="1" w:styleId="Heading2Char">
    <w:name w:val="Heading 2 Char"/>
    <w:basedOn w:val="DefaultParagraphFont"/>
    <w:link w:val="Heading2"/>
    <w:uiPriority w:val="9"/>
    <w:rsid w:val="00EE6366"/>
    <w:rPr>
      <w:rFonts w:ascii="Arial" w:eastAsiaTheme="majorEastAsia" w:hAnsi="Arial" w:cstheme="majorBidi"/>
      <w:b/>
      <w:color w:val="7F7F7F" w:themeColor="text1" w:themeTint="80"/>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66CBF" w:themeColor="accent1"/>
      <w:sz w:val="3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66CBF" w:themeColor="accent1"/>
      <w:sz w:val="3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266CBF"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color w:val="266CBF" w:themeColor="accent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zCs w:val="21"/>
    </w:rPr>
  </w:style>
  <w:style w:type="character" w:styleId="SubtleEmphasis">
    <w:name w:val="Subtle Emphasis"/>
    <w:basedOn w:val="DefaultParagraphFont"/>
    <w:uiPriority w:val="19"/>
    <w:semiHidden/>
    <w:unhideWhenUsed/>
    <w:qFormat/>
    <w:rPr>
      <w:i/>
      <w:iCs/>
      <w:color w:val="595959" w:themeColor="text1" w:themeTint="A6"/>
    </w:rPr>
  </w:style>
  <w:style w:type="character" w:styleId="Emphasis">
    <w:name w:val="Emphasis"/>
    <w:basedOn w:val="DefaultParagraphFont"/>
    <w:uiPriority w:val="20"/>
    <w:semiHidden/>
    <w:unhideWhenUsed/>
    <w:qFormat/>
    <w:rPr>
      <w:b/>
      <w:iCs/>
    </w:rPr>
  </w:style>
  <w:style w:type="character" w:styleId="IntenseEmphasis">
    <w:name w:val="Intense Emphasis"/>
    <w:basedOn w:val="DefaultParagraphFont"/>
    <w:uiPriority w:val="21"/>
    <w:semiHidden/>
    <w:unhideWhenUsed/>
    <w:qFormat/>
    <w:rPr>
      <w:i/>
      <w:iCs/>
      <w:color w:val="266CBF" w:themeColor="accent1"/>
    </w:rPr>
  </w:style>
  <w:style w:type="character" w:styleId="Strong">
    <w:name w:val="Strong"/>
    <w:basedOn w:val="DefaultParagraphFont"/>
    <w:uiPriority w:val="22"/>
    <w:semiHidden/>
    <w:unhideWhenUsed/>
    <w:qFormat/>
    <w:rPr>
      <w:b/>
      <w:bCs/>
      <w:i/>
      <w:color w:val="266CBF" w:themeColor="accent1"/>
    </w:rPr>
  </w:style>
  <w:style w:type="paragraph" w:styleId="Quote">
    <w:name w:val="Quote"/>
    <w:basedOn w:val="Normal"/>
    <w:next w:val="Normal"/>
    <w:link w:val="QuoteChar"/>
    <w:uiPriority w:val="29"/>
    <w:semiHidden/>
    <w:unhideWhenUsed/>
    <w:qFormat/>
    <w:pPr>
      <w:spacing w:before="240" w:after="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after="240"/>
    </w:pPr>
    <w:rPr>
      <w:b/>
      <w:i/>
      <w:iCs/>
      <w:color w:val="266CBF" w:themeColor="accent1"/>
      <w:sz w:val="36"/>
    </w:rPr>
  </w:style>
  <w:style w:type="character" w:customStyle="1" w:styleId="IntenseQuoteChar">
    <w:name w:val="Intense Quote Char"/>
    <w:basedOn w:val="DefaultParagraphFont"/>
    <w:link w:val="IntenseQuote"/>
    <w:uiPriority w:val="30"/>
    <w:semiHidden/>
    <w:rPr>
      <w:b/>
      <w:i/>
      <w:iCs/>
      <w:color w:val="266CBF" w:themeColor="accent1"/>
      <w:sz w:val="36"/>
    </w:rPr>
  </w:style>
  <w:style w:type="character" w:styleId="SubtleReference">
    <w:name w:val="Subtle Reference"/>
    <w:basedOn w:val="DefaultParagraphFont"/>
    <w:uiPriority w:val="31"/>
    <w:semiHidden/>
    <w:unhideWhenUsed/>
    <w:qFormat/>
    <w:rPr>
      <w:caps/>
      <w:smallCaps w:val="0"/>
      <w:color w:val="595959" w:themeColor="text1" w:themeTint="A6"/>
    </w:rPr>
  </w:style>
  <w:style w:type="character" w:styleId="IntenseReference">
    <w:name w:val="Intense Reference"/>
    <w:basedOn w:val="DefaultParagraphFont"/>
    <w:uiPriority w:val="32"/>
    <w:semiHidden/>
    <w:unhideWhenUsed/>
    <w:qFormat/>
    <w:rPr>
      <w:b/>
      <w:bCs/>
      <w:caps/>
      <w:smallCaps w:val="0"/>
      <w:color w:val="595959" w:themeColor="text1" w:themeTint="A6"/>
      <w:spacing w:val="0"/>
    </w:rPr>
  </w:style>
  <w:style w:type="character" w:styleId="BookTitle">
    <w:name w:val="Book Title"/>
    <w:basedOn w:val="DefaultParagraphFont"/>
    <w:uiPriority w:val="33"/>
    <w:semiHidden/>
    <w:unhideWhenUsed/>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24"/>
      <w:szCs w:val="18"/>
    </w:rPr>
  </w:style>
  <w:style w:type="character" w:styleId="PlaceholderText">
    <w:name w:val="Placeholder Text"/>
    <w:basedOn w:val="DefaultParagraphFont"/>
    <w:uiPriority w:val="99"/>
    <w:semiHidden/>
    <w:rPr>
      <w:color w:val="808080"/>
    </w:rPr>
  </w:style>
  <w:style w:type="paragraph" w:styleId="TOCHeading">
    <w:name w:val="TOC Heading"/>
    <w:basedOn w:val="Heading1"/>
    <w:next w:val="Normal"/>
    <w:uiPriority w:val="39"/>
    <w:unhideWhenUsed/>
    <w:qFormat/>
    <w:pPr>
      <w:outlineLvl w:val="9"/>
    </w:pPr>
  </w:style>
  <w:style w:type="paragraph" w:styleId="ListNumber">
    <w:name w:val="List Number"/>
    <w:basedOn w:val="Normal"/>
    <w:uiPriority w:val="10"/>
    <w:unhideWhenUsed/>
    <w:qFormat/>
    <w:pPr>
      <w:numPr>
        <w:numId w:val="14"/>
      </w:numPr>
    </w:pPr>
  </w:style>
  <w:style w:type="character" w:customStyle="1" w:styleId="TitleChar">
    <w:name w:val="Title Char"/>
    <w:basedOn w:val="DefaultParagraphFont"/>
    <w:link w:val="Title"/>
    <w:uiPriority w:val="10"/>
    <w:rPr>
      <w:rFonts w:asciiTheme="majorHAnsi" w:eastAsiaTheme="majorEastAsia" w:hAnsiTheme="majorHAnsi" w:cstheme="majorBidi"/>
      <w:b/>
      <w:color w:val="266CBF" w:themeColor="accent1"/>
      <w:kern w:val="28"/>
      <w:sz w:val="90"/>
      <w:szCs w:val="56"/>
    </w:rPr>
  </w:style>
  <w:style w:type="character" w:styleId="Hyperlink">
    <w:name w:val="Hyperlink"/>
    <w:basedOn w:val="DefaultParagraphFont"/>
    <w:uiPriority w:val="99"/>
    <w:unhideWhenUsed/>
    <w:rPr>
      <w:color w:val="266CBF" w:themeColor="hyperlink"/>
      <w:u w:val="single"/>
    </w:rPr>
  </w:style>
  <w:style w:type="table" w:styleId="TableGrid">
    <w:name w:val="Table Grid"/>
    <w:basedOn w:val="TableNormal"/>
    <w:uiPriority w:val="39"/>
    <w:rsid w:val="00750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A2B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EA2B4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1">
    <w:name w:val="List Table 1 Light Accent 1"/>
    <w:basedOn w:val="TableNormal"/>
    <w:uiPriority w:val="46"/>
    <w:rsid w:val="00EA2B4E"/>
    <w:pPr>
      <w:spacing w:after="0" w:line="240" w:lineRule="auto"/>
    </w:pPr>
    <w:tblPr>
      <w:tblStyleRowBandSize w:val="1"/>
      <w:tblStyleColBandSize w:val="1"/>
    </w:tblPr>
    <w:tblStylePr w:type="firstRow">
      <w:rPr>
        <w:b/>
        <w:bCs/>
      </w:rPr>
      <w:tblPr/>
      <w:tcPr>
        <w:tcBorders>
          <w:bottom w:val="single" w:sz="4" w:space="0" w:color="72A5E3" w:themeColor="accent1" w:themeTint="99"/>
        </w:tcBorders>
      </w:tcPr>
    </w:tblStylePr>
    <w:tblStylePr w:type="lastRow">
      <w:rPr>
        <w:b/>
        <w:bCs/>
      </w:rPr>
      <w:tblPr/>
      <w:tcPr>
        <w:tcBorders>
          <w:top w:val="single" w:sz="4" w:space="0" w:color="72A5E3" w:themeColor="accent1" w:themeTint="99"/>
        </w:tcBorders>
      </w:tcPr>
    </w:tblStylePr>
    <w:tblStylePr w:type="firstCol">
      <w:rPr>
        <w:b/>
        <w:bCs/>
      </w:rPr>
    </w:tblStylePr>
    <w:tblStylePr w:type="lastCol">
      <w:rPr>
        <w:b/>
        <w:bCs/>
      </w:rPr>
    </w:tblStylePr>
    <w:tblStylePr w:type="band1Vert">
      <w:tblPr/>
      <w:tcPr>
        <w:shd w:val="clear" w:color="auto" w:fill="D0E1F5" w:themeFill="accent1" w:themeFillTint="33"/>
      </w:tcPr>
    </w:tblStylePr>
    <w:tblStylePr w:type="band1Horz">
      <w:tblPr/>
      <w:tcPr>
        <w:shd w:val="clear" w:color="auto" w:fill="D0E1F5" w:themeFill="accent1" w:themeFillTint="33"/>
      </w:tcPr>
    </w:tblStylePr>
  </w:style>
  <w:style w:type="table" w:styleId="PlainTable2">
    <w:name w:val="Plain Table 2"/>
    <w:basedOn w:val="TableNormal"/>
    <w:uiPriority w:val="42"/>
    <w:rsid w:val="001419A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unhideWhenUsed/>
    <w:qFormat/>
    <w:rsid w:val="00F95E1B"/>
    <w:pPr>
      <w:ind w:left="720"/>
      <w:contextualSpacing/>
    </w:pPr>
  </w:style>
  <w:style w:type="paragraph" w:customStyle="1" w:styleId="CAVheading1">
    <w:name w:val="CAV heading1"/>
    <w:basedOn w:val="Normal"/>
    <w:link w:val="CAVheading1Char"/>
    <w:autoRedefine/>
    <w:qFormat/>
    <w:rsid w:val="0062164D"/>
    <w:pPr>
      <w:spacing w:before="1120"/>
    </w:pPr>
    <w:rPr>
      <w:rFonts w:cs="Arial"/>
      <w:b/>
      <w:color w:val="0072CE"/>
      <w:sz w:val="52"/>
      <w:szCs w:val="72"/>
      <w:lang w:val="en-AU"/>
    </w:rPr>
  </w:style>
  <w:style w:type="paragraph" w:customStyle="1" w:styleId="CAVsub-heading2">
    <w:name w:val="CAV sub-heading2"/>
    <w:basedOn w:val="Normal"/>
    <w:link w:val="CAVsub-heading2Char"/>
    <w:autoRedefine/>
    <w:qFormat/>
    <w:rsid w:val="003F3424"/>
    <w:rPr>
      <w:rFonts w:cs="Arial"/>
      <w:color w:val="53565A"/>
      <w:sz w:val="40"/>
      <w:szCs w:val="48"/>
      <w:lang w:val="en-AU"/>
    </w:rPr>
  </w:style>
  <w:style w:type="character" w:customStyle="1" w:styleId="CAVheading1Char">
    <w:name w:val="CAV heading1 Char"/>
    <w:basedOn w:val="DefaultParagraphFont"/>
    <w:link w:val="CAVheading1"/>
    <w:rsid w:val="0062164D"/>
    <w:rPr>
      <w:rFonts w:ascii="Arial" w:eastAsiaTheme="minorEastAsia" w:hAnsi="Arial" w:cs="Arial"/>
      <w:b/>
      <w:color w:val="0072CE"/>
      <w:sz w:val="52"/>
      <w:szCs w:val="72"/>
      <w:lang w:val="en-AU"/>
    </w:rPr>
  </w:style>
  <w:style w:type="paragraph" w:customStyle="1" w:styleId="CAVheading3">
    <w:name w:val="CAV heading 3"/>
    <w:basedOn w:val="Heading1"/>
    <w:link w:val="CAVheading3Char"/>
    <w:autoRedefine/>
    <w:qFormat/>
    <w:rsid w:val="003F3424"/>
    <w:rPr>
      <w:color w:val="0072CE"/>
    </w:rPr>
  </w:style>
  <w:style w:type="character" w:customStyle="1" w:styleId="CAVsub-heading2Char">
    <w:name w:val="CAV sub-heading2 Char"/>
    <w:basedOn w:val="DefaultParagraphFont"/>
    <w:link w:val="CAVsub-heading2"/>
    <w:rsid w:val="003F3424"/>
    <w:rPr>
      <w:rFonts w:ascii="Arial" w:eastAsiaTheme="minorEastAsia" w:hAnsi="Arial" w:cs="Arial"/>
      <w:color w:val="53565A"/>
      <w:sz w:val="40"/>
      <w:szCs w:val="48"/>
      <w:lang w:val="en-AU"/>
    </w:rPr>
  </w:style>
  <w:style w:type="paragraph" w:customStyle="1" w:styleId="CAVheading4">
    <w:name w:val="CAV heading 4"/>
    <w:basedOn w:val="Heading2"/>
    <w:link w:val="CAVheading4Char"/>
    <w:autoRedefine/>
    <w:qFormat/>
    <w:rsid w:val="003F3424"/>
    <w:rPr>
      <w:color w:val="53565A"/>
    </w:rPr>
  </w:style>
  <w:style w:type="character" w:customStyle="1" w:styleId="CAVheading3Char">
    <w:name w:val="CAV heading 3 Char"/>
    <w:basedOn w:val="Heading1Char"/>
    <w:link w:val="CAVheading3"/>
    <w:rsid w:val="003F3424"/>
    <w:rPr>
      <w:rFonts w:ascii="Arial" w:eastAsiaTheme="majorEastAsia" w:hAnsi="Arial" w:cstheme="majorBidi"/>
      <w:b/>
      <w:color w:val="0072CE"/>
      <w:sz w:val="36"/>
      <w:szCs w:val="32"/>
    </w:rPr>
  </w:style>
  <w:style w:type="paragraph" w:customStyle="1" w:styleId="CAVbodycopy">
    <w:name w:val="CAV body copy"/>
    <w:basedOn w:val="Normal"/>
    <w:link w:val="CAVbodycopyChar"/>
    <w:autoRedefine/>
    <w:qFormat/>
    <w:rsid w:val="003F3424"/>
  </w:style>
  <w:style w:type="character" w:customStyle="1" w:styleId="CAVheading4Char">
    <w:name w:val="CAV heading 4 Char"/>
    <w:basedOn w:val="Heading2Char"/>
    <w:link w:val="CAVheading4"/>
    <w:rsid w:val="003F3424"/>
    <w:rPr>
      <w:rFonts w:ascii="Arial" w:eastAsiaTheme="majorEastAsia" w:hAnsi="Arial" w:cstheme="majorBidi"/>
      <w:b/>
      <w:color w:val="53565A"/>
      <w:sz w:val="24"/>
      <w:szCs w:val="26"/>
    </w:rPr>
  </w:style>
  <w:style w:type="character" w:customStyle="1" w:styleId="CAVbodycopyChar">
    <w:name w:val="CAV body copy Char"/>
    <w:basedOn w:val="DefaultParagraphFont"/>
    <w:link w:val="CAVbodycopy"/>
    <w:rsid w:val="003F3424"/>
    <w:rPr>
      <w:rFonts w:ascii="Arial" w:eastAsiaTheme="minorEastAsia" w:hAnsi="Arial"/>
      <w:color w:val="auto"/>
      <w:sz w:val="22"/>
    </w:rPr>
  </w:style>
  <w:style w:type="character" w:styleId="CommentReference">
    <w:name w:val="annotation reference"/>
    <w:uiPriority w:val="99"/>
    <w:semiHidden/>
    <w:unhideWhenUsed/>
    <w:rsid w:val="0047337F"/>
    <w:rPr>
      <w:sz w:val="16"/>
      <w:szCs w:val="16"/>
    </w:rPr>
  </w:style>
  <w:style w:type="paragraph" w:styleId="CommentText">
    <w:name w:val="annotation text"/>
    <w:link w:val="CommentTextChar"/>
    <w:uiPriority w:val="99"/>
    <w:unhideWhenUsed/>
    <w:rsid w:val="0047337F"/>
    <w:pPr>
      <w:spacing w:after="0" w:line="240" w:lineRule="auto"/>
    </w:pPr>
    <w:rPr>
      <w:rFonts w:ascii="Arial" w:eastAsia="Calibri" w:hAnsi="Arial" w:cs="Arial"/>
      <w:color w:val="auto"/>
      <w:sz w:val="20"/>
      <w:szCs w:val="20"/>
      <w:lang w:val="en-AU" w:eastAsia="en-AU"/>
    </w:rPr>
  </w:style>
  <w:style w:type="character" w:customStyle="1" w:styleId="CommentTextChar">
    <w:name w:val="Comment Text Char"/>
    <w:basedOn w:val="DefaultParagraphFont"/>
    <w:link w:val="CommentText"/>
    <w:uiPriority w:val="99"/>
    <w:rsid w:val="0047337F"/>
    <w:rPr>
      <w:rFonts w:ascii="Arial" w:eastAsia="Calibri" w:hAnsi="Arial" w:cs="Arial"/>
      <w:color w:val="auto"/>
      <w:sz w:val="20"/>
      <w:szCs w:val="20"/>
      <w:lang w:val="en-AU" w:eastAsia="en-AU"/>
    </w:rPr>
  </w:style>
  <w:style w:type="character" w:styleId="FootnoteReference">
    <w:name w:val="footnote reference"/>
    <w:uiPriority w:val="99"/>
    <w:unhideWhenUsed/>
    <w:rsid w:val="0047337F"/>
    <w:rPr>
      <w:vertAlign w:val="superscript"/>
    </w:rPr>
  </w:style>
  <w:style w:type="paragraph" w:styleId="FootnoteText">
    <w:name w:val="footnote text"/>
    <w:link w:val="FootnoteTextChar"/>
    <w:uiPriority w:val="99"/>
    <w:unhideWhenUsed/>
    <w:rsid w:val="0047337F"/>
    <w:pPr>
      <w:spacing w:after="0" w:line="240" w:lineRule="auto"/>
    </w:pPr>
    <w:rPr>
      <w:rFonts w:ascii="Arial" w:eastAsia="Calibri" w:hAnsi="Arial" w:cs="Arial"/>
      <w:color w:val="auto"/>
      <w:sz w:val="20"/>
      <w:szCs w:val="20"/>
      <w:lang w:val="en-AU" w:eastAsia="en-AU"/>
    </w:rPr>
  </w:style>
  <w:style w:type="character" w:customStyle="1" w:styleId="FootnoteTextChar">
    <w:name w:val="Footnote Text Char"/>
    <w:basedOn w:val="DefaultParagraphFont"/>
    <w:link w:val="FootnoteText"/>
    <w:uiPriority w:val="99"/>
    <w:rsid w:val="0047337F"/>
    <w:rPr>
      <w:rFonts w:ascii="Arial" w:eastAsia="Calibri" w:hAnsi="Arial" w:cs="Arial"/>
      <w:color w:val="auto"/>
      <w:sz w:val="20"/>
      <w:szCs w:val="20"/>
      <w:lang w:val="en-AU" w:eastAsia="en-AU"/>
    </w:rPr>
  </w:style>
  <w:style w:type="character" w:customStyle="1" w:styleId="PlainTable31">
    <w:name w:val="Plain Table 31"/>
    <w:uiPriority w:val="19"/>
    <w:qFormat/>
    <w:rsid w:val="0047337F"/>
    <w:rPr>
      <w:i/>
      <w:iCs/>
      <w:color w:val="404040"/>
    </w:rPr>
  </w:style>
  <w:style w:type="paragraph" w:styleId="BalloonText">
    <w:name w:val="Balloon Text"/>
    <w:basedOn w:val="Normal"/>
    <w:link w:val="BalloonTextChar"/>
    <w:uiPriority w:val="99"/>
    <w:semiHidden/>
    <w:unhideWhenUsed/>
    <w:rsid w:val="004733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37F"/>
    <w:rPr>
      <w:rFonts w:ascii="Segoe UI" w:eastAsiaTheme="minorEastAsia" w:hAnsi="Segoe UI" w:cs="Segoe UI"/>
      <w:color w:val="auto"/>
      <w:sz w:val="18"/>
      <w:szCs w:val="18"/>
    </w:rPr>
  </w:style>
  <w:style w:type="paragraph" w:styleId="CommentSubject">
    <w:name w:val="annotation subject"/>
    <w:basedOn w:val="CommentText"/>
    <w:next w:val="CommentText"/>
    <w:link w:val="CommentSubjectChar"/>
    <w:uiPriority w:val="99"/>
    <w:semiHidden/>
    <w:unhideWhenUsed/>
    <w:rsid w:val="007B3645"/>
    <w:pPr>
      <w:spacing w:after="120"/>
    </w:pPr>
    <w:rPr>
      <w:rFonts w:eastAsiaTheme="minorEastAsia" w:cstheme="minorBidi"/>
      <w:b/>
      <w:bCs/>
      <w:lang w:val="en-US" w:eastAsia="ja-JP"/>
    </w:rPr>
  </w:style>
  <w:style w:type="character" w:customStyle="1" w:styleId="CommentSubjectChar">
    <w:name w:val="Comment Subject Char"/>
    <w:basedOn w:val="CommentTextChar"/>
    <w:link w:val="CommentSubject"/>
    <w:uiPriority w:val="99"/>
    <w:semiHidden/>
    <w:rsid w:val="007B3645"/>
    <w:rPr>
      <w:rFonts w:ascii="Arial" w:eastAsiaTheme="minorEastAsia" w:hAnsi="Arial" w:cs="Arial"/>
      <w:b/>
      <w:bCs/>
      <w:color w:val="auto"/>
      <w:sz w:val="20"/>
      <w:szCs w:val="20"/>
      <w:lang w:val="en-AU" w:eastAsia="en-AU"/>
    </w:rPr>
  </w:style>
  <w:style w:type="character" w:styleId="FollowedHyperlink">
    <w:name w:val="FollowedHyperlink"/>
    <w:basedOn w:val="DefaultParagraphFont"/>
    <w:uiPriority w:val="99"/>
    <w:semiHidden/>
    <w:unhideWhenUsed/>
    <w:rsid w:val="00237804"/>
    <w:rPr>
      <w:color w:val="8956A5" w:themeColor="followedHyperlink"/>
      <w:u w:val="single"/>
    </w:rPr>
  </w:style>
  <w:style w:type="paragraph" w:styleId="TOC1">
    <w:name w:val="toc 1"/>
    <w:basedOn w:val="Normal"/>
    <w:next w:val="Normal"/>
    <w:autoRedefine/>
    <w:uiPriority w:val="39"/>
    <w:unhideWhenUsed/>
    <w:rsid w:val="008B566E"/>
    <w:pPr>
      <w:spacing w:after="100"/>
    </w:pPr>
  </w:style>
  <w:style w:type="paragraph" w:styleId="TOC2">
    <w:name w:val="toc 2"/>
    <w:basedOn w:val="Normal"/>
    <w:next w:val="Normal"/>
    <w:autoRedefine/>
    <w:uiPriority w:val="39"/>
    <w:unhideWhenUsed/>
    <w:rsid w:val="008B566E"/>
    <w:pPr>
      <w:spacing w:after="100"/>
      <w:ind w:left="220"/>
    </w:pPr>
  </w:style>
  <w:style w:type="character" w:styleId="UnresolvedMention">
    <w:name w:val="Unresolved Mention"/>
    <w:basedOn w:val="DefaultParagraphFont"/>
    <w:uiPriority w:val="99"/>
    <w:semiHidden/>
    <w:unhideWhenUsed/>
    <w:rsid w:val="00102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286940">
      <w:bodyDiv w:val="1"/>
      <w:marLeft w:val="0"/>
      <w:marRight w:val="0"/>
      <w:marTop w:val="0"/>
      <w:marBottom w:val="0"/>
      <w:divBdr>
        <w:top w:val="none" w:sz="0" w:space="0" w:color="auto"/>
        <w:left w:val="none" w:sz="0" w:space="0" w:color="auto"/>
        <w:bottom w:val="none" w:sz="0" w:space="0" w:color="auto"/>
        <w:right w:val="none" w:sz="0" w:space="0" w:color="auto"/>
      </w:divBdr>
    </w:div>
    <w:div w:id="129382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opp.vic.gov.au/Resources/Policies" TargetMode="External"/><Relationship Id="rId7" Type="http://schemas.openxmlformats.org/officeDocument/2006/relationships/hyperlink" Target="file:///C:\Users\mmcdonou\AppData\Roaming\Hewlett-Packard\HP%20TRIM\Offline%20Records%20(P1)\Compliance%20~%20-%20COMPLIANCE%20&amp;%20ENFORCEMENT(3)\victimsofcrime.vic.gov.au\victim-impact-statements-made-easy" TargetMode="External"/><Relationship Id="rId2" Type="http://schemas.openxmlformats.org/officeDocument/2006/relationships/hyperlink" Target="file:///C:\Users\mmcdonou\AppData\Roaming\Hewlett-Packard\HP%20TRIM\Offline%20Records%20(P1)\Compliance%20~%20-%20COMPLIANCE%20&amp;%20ENFORCEMENT(3)\consumer.vic.gov.au\about-us\regulatory-approach-and-compliance-policy\our-compliance-policy" TargetMode="External"/><Relationship Id="rId1" Type="http://schemas.openxmlformats.org/officeDocument/2006/relationships/hyperlink" Target="file:///C:\Users\mmcdonou\AppData\Roaming\Hewlett-Packard\HP%20TRIM\Offline%20Records%20(P1)\Compliance%20~%20-%20COMPLIANCE%20&amp;%20ENFORCEMENT(3)\consumer.vic.gov.au\legislation" TargetMode="External"/><Relationship Id="rId6" Type="http://schemas.openxmlformats.org/officeDocument/2006/relationships/hyperlink" Target="file:///C:\Users\mmcdonou\AppData\Roaming\Hewlett-Packard\HP%20TRIM\Offline%20Records%20(P1)\Compliance%20~%20-%20COMPLIANCE%20&amp;%20ENFORCEMENT(3)\victimsofcrime.vic.gov.au\guide-to-victim-impact-statements" TargetMode="External"/><Relationship Id="rId5" Type="http://schemas.openxmlformats.org/officeDocument/2006/relationships/hyperlink" Target="file:///C:\Users\mmcdonou\AppData\Roaming\Hewlett-Packard\HP%20TRIM\Offline%20Records%20(P1)\Compliance%20~%20-%20COMPLIANCE%20&amp;%20ENFORCEMENT(3)\courtnetwork.com.au\" TargetMode="External"/><Relationship Id="rId4" Type="http://schemas.openxmlformats.org/officeDocument/2006/relationships/hyperlink" Target="https://www.victimsofcrime.vic.gov.au/a-victims-guide-to-support-services-and-the-criminal-justice-syste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ake a List">
      <a:dk1>
        <a:sysClr val="windowText" lastClr="000000"/>
      </a:dk1>
      <a:lt1>
        <a:sysClr val="window" lastClr="FFFFFF"/>
      </a:lt1>
      <a:dk2>
        <a:srgbClr val="081424"/>
      </a:dk2>
      <a:lt2>
        <a:srgbClr val="EBEBEB"/>
      </a:lt2>
      <a:accent1>
        <a:srgbClr val="266CBF"/>
      </a:accent1>
      <a:accent2>
        <a:srgbClr val="EF8271"/>
      </a:accent2>
      <a:accent3>
        <a:srgbClr val="5DB372"/>
      </a:accent3>
      <a:accent4>
        <a:srgbClr val="E5C34E"/>
      </a:accent4>
      <a:accent5>
        <a:srgbClr val="F18846"/>
      </a:accent5>
      <a:accent6>
        <a:srgbClr val="8956A5"/>
      </a:accent6>
      <a:hlink>
        <a:srgbClr val="266CBF"/>
      </a:hlink>
      <a:folHlink>
        <a:srgbClr val="8956A5"/>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4ACD7-311F-4541-A93E-428723E4F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3387</Words>
  <Characters>19312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EOS Design Team</dc:creator>
  <cp:keywords/>
  <dc:description/>
  <cp:lastModifiedBy>Malcolm D McDonough (DJCS)</cp:lastModifiedBy>
  <cp:revision>4</cp:revision>
  <cp:lastPrinted>2019-07-31T02:08:00Z</cp:lastPrinted>
  <dcterms:created xsi:type="dcterms:W3CDTF">2019-07-31T05:13:00Z</dcterms:created>
  <dcterms:modified xsi:type="dcterms:W3CDTF">2019-07-31T05:15:00Z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TF10002046</vt:lpwstr>
  </property>
</Properties>
</file>