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CellMar>
          <w:left w:w="0" w:type="dxa"/>
          <w:right w:w="0" w:type="dxa"/>
        </w:tblCellMar>
        <w:tblLook w:val="04A0" w:firstRow="1" w:lastRow="0" w:firstColumn="1" w:lastColumn="0" w:noHBand="0" w:noVBand="1"/>
      </w:tblPr>
      <w:tblGrid>
        <w:gridCol w:w="10093"/>
      </w:tblGrid>
      <w:tr w:rsidR="001817CD" w:rsidRPr="003072C6" w14:paraId="65BB5C72" w14:textId="77777777" w:rsidTr="009E7424">
        <w:trPr>
          <w:trHeight w:val="2552"/>
        </w:trPr>
        <w:tc>
          <w:tcPr>
            <w:tcW w:w="10093" w:type="dxa"/>
            <w:shd w:val="clear" w:color="auto" w:fill="auto"/>
          </w:tcPr>
          <w:bookmarkStart w:id="0" w:name="maintitle"/>
          <w:p w14:paraId="5877BBE9" w14:textId="77777777" w:rsidR="00C416E1" w:rsidRPr="003072C6" w:rsidRDefault="00BF12F7" w:rsidP="00E91933">
            <w:pPr>
              <w:pStyle w:val="DJRreportmaintitlecover"/>
            </w:pPr>
            <w:sdt>
              <w:sdtPr>
                <w:alias w:val="Document title"/>
                <w:tag w:val="Document title"/>
                <w:id w:val="-1691831389"/>
                <w:placeholder>
                  <w:docPart w:val="F754C1D6055045D6ABBA483989315204"/>
                </w:placeholder>
                <w:text/>
              </w:sdtPr>
              <w:sdtContent>
                <w:r w:rsidR="006D2AD0">
                  <w:t>Statement of Expectations Evaluation Report</w:t>
                </w:r>
              </w:sdtContent>
            </w:sdt>
            <w:bookmarkEnd w:id="0"/>
          </w:p>
          <w:p w14:paraId="0470C5D8" w14:textId="77777777" w:rsidR="00444D82" w:rsidRDefault="00444D82" w:rsidP="00F070E5">
            <w:pPr>
              <w:pStyle w:val="DJRreportsubtitlecover"/>
            </w:pPr>
          </w:p>
          <w:bookmarkStart w:id="1" w:name="busunit"/>
          <w:p w14:paraId="7562AE08" w14:textId="77777777" w:rsidR="00434920" w:rsidRPr="003072C6" w:rsidRDefault="00BF12F7" w:rsidP="00E80B2E">
            <w:pPr>
              <w:pStyle w:val="DJRreportsubtitlecover"/>
            </w:pPr>
            <w:sdt>
              <w:sdtPr>
                <w:alias w:val="Business unit"/>
                <w:tag w:val="Business unit"/>
                <w:id w:val="-1278633730"/>
                <w:placeholder>
                  <w:docPart w:val="257ACA5AB27F416BB3DDDA77A2E3FA28"/>
                </w:placeholder>
                <w:text/>
              </w:sdtPr>
              <w:sdtContent>
                <w:r w:rsidR="00E80B2E">
                  <w:t>Consumer Affairs Victoria</w:t>
                </w:r>
              </w:sdtContent>
            </w:sdt>
            <w:bookmarkEnd w:id="1"/>
          </w:p>
        </w:tc>
      </w:tr>
    </w:tbl>
    <w:p w14:paraId="5FD65ED9" w14:textId="77777777" w:rsidR="00C51B1C" w:rsidRPr="00256E7C" w:rsidRDefault="00C51B1C" w:rsidP="00D15BB2">
      <w:pPr>
        <w:pStyle w:val="DJRbody"/>
        <w:sectPr w:rsidR="00C51B1C" w:rsidRPr="00256E7C" w:rsidSect="006E5DBA">
          <w:headerReference w:type="default" r:id="rId8"/>
          <w:footerReference w:type="default" r:id="rId9"/>
          <w:type w:val="continuous"/>
          <w:pgSz w:w="11906" w:h="16838" w:code="9"/>
          <w:pgMar w:top="1985" w:right="851" w:bottom="1134" w:left="851" w:header="454" w:footer="567" w:gutter="0"/>
          <w:cols w:space="720"/>
          <w:titlePg/>
          <w:docGrid w:linePitch="360"/>
        </w:sectPr>
      </w:pPr>
    </w:p>
    <w:p w14:paraId="3E019814" w14:textId="77777777" w:rsidR="001D2A2D" w:rsidRDefault="00D673AB" w:rsidP="00B15D5E">
      <w:pPr>
        <w:pStyle w:val="DJRbody"/>
      </w:pPr>
      <w:r>
        <w:rPr>
          <w:noProof/>
          <w:lang w:eastAsia="en-AU"/>
        </w:rPr>
        <w:drawing>
          <wp:anchor distT="0" distB="0" distL="114300" distR="114300" simplePos="0" relativeHeight="251654656" behindDoc="1" locked="1" layoutInCell="1" allowOverlap="1" wp14:anchorId="494443D6" wp14:editId="5AEB4367">
            <wp:simplePos x="0" y="0"/>
            <wp:positionH relativeFrom="page">
              <wp:posOffset>0</wp:posOffset>
            </wp:positionH>
            <wp:positionV relativeFrom="page">
              <wp:posOffset>3561080</wp:posOffset>
            </wp:positionV>
            <wp:extent cx="7560000" cy="7128000"/>
            <wp:effectExtent l="0" t="0" r="3175" b="0"/>
            <wp:wrapNone/>
            <wp:docPr id="1"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State Justice cover.png"/>
                    <pic:cNvPicPr/>
                  </pic:nvPicPr>
                  <pic:blipFill rotWithShape="1">
                    <a:blip r:embed="rId10">
                      <a:extLst>
                        <a:ext uri="{28A0092B-C50C-407E-A947-70E740481C1C}">
                          <a14:useLocalDpi xmlns:a14="http://schemas.microsoft.com/office/drawing/2010/main" val="0"/>
                        </a:ext>
                      </a:extLst>
                    </a:blip>
                    <a:srcRect t="33336"/>
                    <a:stretch/>
                  </pic:blipFill>
                  <pic:spPr bwMode="auto">
                    <a:xfrm>
                      <a:off x="0" y="0"/>
                      <a:ext cx="7560000" cy="712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40AA9" w14:textId="77777777" w:rsidR="0084768A" w:rsidRDefault="0084768A" w:rsidP="00B15D5E">
      <w:pPr>
        <w:pStyle w:val="DJRbody"/>
      </w:pPr>
    </w:p>
    <w:p w14:paraId="0D89D59B" w14:textId="77777777" w:rsidR="002430EB" w:rsidRDefault="002430EB" w:rsidP="000B1380">
      <w:pPr>
        <w:pStyle w:val="DJRTOCheadingreport"/>
        <w:sectPr w:rsidR="002430EB" w:rsidSect="006E5DBA">
          <w:headerReference w:type="even" r:id="rId11"/>
          <w:headerReference w:type="default" r:id="rId12"/>
          <w:footerReference w:type="default" r:id="rId13"/>
          <w:headerReference w:type="first" r:id="rId14"/>
          <w:type w:val="continuous"/>
          <w:pgSz w:w="11906" w:h="16838" w:code="9"/>
          <w:pgMar w:top="1871" w:right="851" w:bottom="1588" w:left="851" w:header="1106" w:footer="567" w:gutter="0"/>
          <w:cols w:space="720"/>
          <w:docGrid w:linePitch="360"/>
        </w:sectPr>
      </w:pPr>
    </w:p>
    <w:p w14:paraId="7BD45779" w14:textId="77777777" w:rsidR="00AC0C3B" w:rsidRPr="00711B0C" w:rsidRDefault="002B124B" w:rsidP="000B1380">
      <w:pPr>
        <w:pStyle w:val="DJRTOCheadingreport"/>
      </w:pPr>
      <w:r>
        <w:lastRenderedPageBreak/>
        <w:t>Table of c</w:t>
      </w:r>
      <w:r w:rsidR="00AC0C3B" w:rsidRPr="00711B0C">
        <w:t>ontents</w:t>
      </w:r>
    </w:p>
    <w:p w14:paraId="756A01B3" w14:textId="77777777" w:rsidR="000C59D1" w:rsidRDefault="000E7BFA">
      <w:pPr>
        <w:pStyle w:val="TOC1"/>
        <w:tabs>
          <w:tab w:val="left" w:pos="400"/>
        </w:tabs>
        <w:rPr>
          <w:rFonts w:asciiTheme="minorHAnsi" w:eastAsiaTheme="minorEastAsia" w:hAnsiTheme="minorHAnsi" w:cstheme="minorBidi"/>
          <w:b w:val="0"/>
          <w:color w:val="auto"/>
          <w:sz w:val="22"/>
          <w:szCs w:val="22"/>
          <w:lang w:eastAsia="en-AU"/>
        </w:rPr>
      </w:pPr>
      <w:r>
        <w:rPr>
          <w:b w:val="0"/>
          <w:noProof w:val="0"/>
        </w:rPr>
        <w:fldChar w:fldCharType="begin"/>
      </w:r>
      <w:r>
        <w:rPr>
          <w:b w:val="0"/>
          <w:noProof w:val="0"/>
        </w:rPr>
        <w:instrText xml:space="preserve"> TOC \o "1-2" \h \z \u </w:instrText>
      </w:r>
      <w:r>
        <w:rPr>
          <w:b w:val="0"/>
          <w:noProof w:val="0"/>
        </w:rPr>
        <w:fldChar w:fldCharType="separate"/>
      </w:r>
      <w:hyperlink w:anchor="_Toc533678775" w:history="1">
        <w:r w:rsidR="000C59D1" w:rsidRPr="00BE4004">
          <w:rPr>
            <w:rStyle w:val="Hyperlink"/>
          </w:rPr>
          <w:t>1.</w:t>
        </w:r>
        <w:r w:rsidR="000C59D1">
          <w:rPr>
            <w:rFonts w:asciiTheme="minorHAnsi" w:eastAsiaTheme="minorEastAsia" w:hAnsiTheme="minorHAnsi" w:cstheme="minorBidi"/>
            <w:b w:val="0"/>
            <w:color w:val="auto"/>
            <w:sz w:val="22"/>
            <w:szCs w:val="22"/>
            <w:lang w:eastAsia="en-AU"/>
          </w:rPr>
          <w:tab/>
        </w:r>
        <w:r w:rsidR="000C59D1" w:rsidRPr="00BE4004">
          <w:rPr>
            <w:rStyle w:val="Hyperlink"/>
          </w:rPr>
          <w:t>Introduction and background</w:t>
        </w:r>
        <w:r w:rsidR="000C59D1">
          <w:rPr>
            <w:webHidden/>
          </w:rPr>
          <w:tab/>
        </w:r>
        <w:r w:rsidR="000C59D1">
          <w:rPr>
            <w:webHidden/>
          </w:rPr>
          <w:fldChar w:fldCharType="begin"/>
        </w:r>
        <w:r w:rsidR="000C59D1">
          <w:rPr>
            <w:webHidden/>
          </w:rPr>
          <w:instrText xml:space="preserve"> PAGEREF _Toc533678775 \h </w:instrText>
        </w:r>
        <w:r w:rsidR="000C59D1">
          <w:rPr>
            <w:webHidden/>
          </w:rPr>
        </w:r>
        <w:r w:rsidR="000C59D1">
          <w:rPr>
            <w:webHidden/>
          </w:rPr>
          <w:fldChar w:fldCharType="separate"/>
        </w:r>
        <w:r w:rsidR="00BF12F7">
          <w:rPr>
            <w:webHidden/>
          </w:rPr>
          <w:t>3</w:t>
        </w:r>
        <w:r w:rsidR="000C59D1">
          <w:rPr>
            <w:webHidden/>
          </w:rPr>
          <w:fldChar w:fldCharType="end"/>
        </w:r>
      </w:hyperlink>
    </w:p>
    <w:p w14:paraId="7ED035B2" w14:textId="77777777" w:rsidR="000C59D1" w:rsidRDefault="00BF12F7">
      <w:pPr>
        <w:pStyle w:val="TOC2"/>
        <w:rPr>
          <w:rFonts w:asciiTheme="minorHAnsi" w:eastAsiaTheme="minorEastAsia" w:hAnsiTheme="minorHAnsi" w:cstheme="minorBidi"/>
          <w:sz w:val="22"/>
          <w:szCs w:val="22"/>
          <w:lang w:eastAsia="en-AU"/>
        </w:rPr>
      </w:pPr>
      <w:hyperlink w:anchor="_Toc533678776" w:history="1">
        <w:r w:rsidR="000C59D1" w:rsidRPr="00BE4004">
          <w:rPr>
            <w:rStyle w:val="Hyperlink"/>
          </w:rPr>
          <w:t>1.1</w:t>
        </w:r>
        <w:r w:rsidR="000C59D1">
          <w:rPr>
            <w:rFonts w:asciiTheme="minorHAnsi" w:eastAsiaTheme="minorEastAsia" w:hAnsiTheme="minorHAnsi" w:cstheme="minorBidi"/>
            <w:sz w:val="22"/>
            <w:szCs w:val="22"/>
            <w:lang w:eastAsia="en-AU"/>
          </w:rPr>
          <w:tab/>
        </w:r>
        <w:r w:rsidR="000C59D1" w:rsidRPr="00BE4004">
          <w:rPr>
            <w:rStyle w:val="Hyperlink"/>
          </w:rPr>
          <w:t>Evaluation purpose</w:t>
        </w:r>
        <w:r w:rsidR="000C59D1">
          <w:rPr>
            <w:webHidden/>
          </w:rPr>
          <w:tab/>
        </w:r>
        <w:r w:rsidR="000C59D1">
          <w:rPr>
            <w:webHidden/>
          </w:rPr>
          <w:fldChar w:fldCharType="begin"/>
        </w:r>
        <w:r w:rsidR="000C59D1">
          <w:rPr>
            <w:webHidden/>
          </w:rPr>
          <w:instrText xml:space="preserve"> PAGEREF _Toc533678776 \h </w:instrText>
        </w:r>
        <w:r w:rsidR="000C59D1">
          <w:rPr>
            <w:webHidden/>
          </w:rPr>
        </w:r>
        <w:r w:rsidR="000C59D1">
          <w:rPr>
            <w:webHidden/>
          </w:rPr>
          <w:fldChar w:fldCharType="separate"/>
        </w:r>
        <w:r>
          <w:rPr>
            <w:webHidden/>
          </w:rPr>
          <w:t>3</w:t>
        </w:r>
        <w:r w:rsidR="000C59D1">
          <w:rPr>
            <w:webHidden/>
          </w:rPr>
          <w:fldChar w:fldCharType="end"/>
        </w:r>
      </w:hyperlink>
    </w:p>
    <w:p w14:paraId="14A8EFAB" w14:textId="77777777" w:rsidR="000C59D1" w:rsidRDefault="00BF12F7">
      <w:pPr>
        <w:pStyle w:val="TOC2"/>
        <w:rPr>
          <w:rFonts w:asciiTheme="minorHAnsi" w:eastAsiaTheme="minorEastAsia" w:hAnsiTheme="minorHAnsi" w:cstheme="minorBidi"/>
          <w:sz w:val="22"/>
          <w:szCs w:val="22"/>
          <w:lang w:eastAsia="en-AU"/>
        </w:rPr>
      </w:pPr>
      <w:hyperlink w:anchor="_Toc533678777" w:history="1">
        <w:r w:rsidR="000C59D1" w:rsidRPr="00BE4004">
          <w:rPr>
            <w:rStyle w:val="Hyperlink"/>
          </w:rPr>
          <w:t>1.2</w:t>
        </w:r>
        <w:r w:rsidR="000C59D1">
          <w:rPr>
            <w:rFonts w:asciiTheme="minorHAnsi" w:eastAsiaTheme="minorEastAsia" w:hAnsiTheme="minorHAnsi" w:cstheme="minorBidi"/>
            <w:sz w:val="22"/>
            <w:szCs w:val="22"/>
            <w:lang w:eastAsia="en-AU"/>
          </w:rPr>
          <w:tab/>
        </w:r>
        <w:r w:rsidR="000C59D1" w:rsidRPr="00BE4004">
          <w:rPr>
            <w:rStyle w:val="Hyperlink"/>
          </w:rPr>
          <w:t>Statement of Expectations</w:t>
        </w:r>
        <w:r w:rsidR="000C59D1">
          <w:rPr>
            <w:webHidden/>
          </w:rPr>
          <w:tab/>
        </w:r>
        <w:r w:rsidR="000C59D1">
          <w:rPr>
            <w:webHidden/>
          </w:rPr>
          <w:fldChar w:fldCharType="begin"/>
        </w:r>
        <w:r w:rsidR="000C59D1">
          <w:rPr>
            <w:webHidden/>
          </w:rPr>
          <w:instrText xml:space="preserve"> PAGEREF _Toc533678777 \h </w:instrText>
        </w:r>
        <w:r w:rsidR="000C59D1">
          <w:rPr>
            <w:webHidden/>
          </w:rPr>
        </w:r>
        <w:r w:rsidR="000C59D1">
          <w:rPr>
            <w:webHidden/>
          </w:rPr>
          <w:fldChar w:fldCharType="separate"/>
        </w:r>
        <w:r>
          <w:rPr>
            <w:webHidden/>
          </w:rPr>
          <w:t>3</w:t>
        </w:r>
        <w:r w:rsidR="000C59D1">
          <w:rPr>
            <w:webHidden/>
          </w:rPr>
          <w:fldChar w:fldCharType="end"/>
        </w:r>
      </w:hyperlink>
    </w:p>
    <w:p w14:paraId="2FFF2C4B" w14:textId="77777777" w:rsidR="000C59D1" w:rsidRDefault="00BF12F7">
      <w:pPr>
        <w:pStyle w:val="TOC2"/>
        <w:rPr>
          <w:rFonts w:asciiTheme="minorHAnsi" w:eastAsiaTheme="minorEastAsia" w:hAnsiTheme="minorHAnsi" w:cstheme="minorBidi"/>
          <w:sz w:val="22"/>
          <w:szCs w:val="22"/>
          <w:lang w:eastAsia="en-AU"/>
        </w:rPr>
      </w:pPr>
      <w:hyperlink w:anchor="_Toc533678778" w:history="1">
        <w:r w:rsidR="000C59D1" w:rsidRPr="00BE4004">
          <w:rPr>
            <w:rStyle w:val="Hyperlink"/>
          </w:rPr>
          <w:t>1.3</w:t>
        </w:r>
        <w:r w:rsidR="000C59D1">
          <w:rPr>
            <w:rFonts w:asciiTheme="minorHAnsi" w:eastAsiaTheme="minorEastAsia" w:hAnsiTheme="minorHAnsi" w:cstheme="minorBidi"/>
            <w:sz w:val="22"/>
            <w:szCs w:val="22"/>
            <w:lang w:eastAsia="en-AU"/>
          </w:rPr>
          <w:tab/>
        </w:r>
        <w:r w:rsidR="000C59D1" w:rsidRPr="00BE4004">
          <w:rPr>
            <w:rStyle w:val="Hyperlink"/>
          </w:rPr>
          <w:t>Consumer Affairs Victoria</w:t>
        </w:r>
        <w:r w:rsidR="000C59D1">
          <w:rPr>
            <w:webHidden/>
          </w:rPr>
          <w:tab/>
        </w:r>
        <w:r w:rsidR="000C59D1">
          <w:rPr>
            <w:webHidden/>
          </w:rPr>
          <w:fldChar w:fldCharType="begin"/>
        </w:r>
        <w:r w:rsidR="000C59D1">
          <w:rPr>
            <w:webHidden/>
          </w:rPr>
          <w:instrText xml:space="preserve"> PAGEREF _Toc533678778 \h </w:instrText>
        </w:r>
        <w:r w:rsidR="000C59D1">
          <w:rPr>
            <w:webHidden/>
          </w:rPr>
        </w:r>
        <w:r w:rsidR="000C59D1">
          <w:rPr>
            <w:webHidden/>
          </w:rPr>
          <w:fldChar w:fldCharType="separate"/>
        </w:r>
        <w:r>
          <w:rPr>
            <w:webHidden/>
          </w:rPr>
          <w:t>4</w:t>
        </w:r>
        <w:r w:rsidR="000C59D1">
          <w:rPr>
            <w:webHidden/>
          </w:rPr>
          <w:fldChar w:fldCharType="end"/>
        </w:r>
      </w:hyperlink>
    </w:p>
    <w:p w14:paraId="6B53036C" w14:textId="77777777" w:rsidR="000C59D1" w:rsidRDefault="00BF12F7">
      <w:pPr>
        <w:pStyle w:val="TOC2"/>
        <w:rPr>
          <w:rFonts w:asciiTheme="minorHAnsi" w:eastAsiaTheme="minorEastAsia" w:hAnsiTheme="minorHAnsi" w:cstheme="minorBidi"/>
          <w:sz w:val="22"/>
          <w:szCs w:val="22"/>
          <w:lang w:eastAsia="en-AU"/>
        </w:rPr>
      </w:pPr>
      <w:hyperlink w:anchor="_Toc533678779" w:history="1">
        <w:r w:rsidR="000C59D1" w:rsidRPr="00BE4004">
          <w:rPr>
            <w:rStyle w:val="Hyperlink"/>
          </w:rPr>
          <w:t>1.4</w:t>
        </w:r>
        <w:r w:rsidR="000C59D1">
          <w:rPr>
            <w:rFonts w:asciiTheme="minorHAnsi" w:eastAsiaTheme="minorEastAsia" w:hAnsiTheme="minorHAnsi" w:cstheme="minorBidi"/>
            <w:sz w:val="22"/>
            <w:szCs w:val="22"/>
            <w:lang w:eastAsia="en-AU"/>
          </w:rPr>
          <w:tab/>
        </w:r>
        <w:r w:rsidR="000C59D1" w:rsidRPr="00BE4004">
          <w:rPr>
            <w:rStyle w:val="Hyperlink"/>
          </w:rPr>
          <w:t>Evaluation methodology</w:t>
        </w:r>
        <w:r w:rsidR="000C59D1">
          <w:rPr>
            <w:webHidden/>
          </w:rPr>
          <w:tab/>
        </w:r>
        <w:r w:rsidR="000C59D1">
          <w:rPr>
            <w:webHidden/>
          </w:rPr>
          <w:fldChar w:fldCharType="begin"/>
        </w:r>
        <w:r w:rsidR="000C59D1">
          <w:rPr>
            <w:webHidden/>
          </w:rPr>
          <w:instrText xml:space="preserve"> PAGEREF _Toc533678779 \h </w:instrText>
        </w:r>
        <w:r w:rsidR="000C59D1">
          <w:rPr>
            <w:webHidden/>
          </w:rPr>
        </w:r>
        <w:r w:rsidR="000C59D1">
          <w:rPr>
            <w:webHidden/>
          </w:rPr>
          <w:fldChar w:fldCharType="separate"/>
        </w:r>
        <w:r>
          <w:rPr>
            <w:webHidden/>
          </w:rPr>
          <w:t>5</w:t>
        </w:r>
        <w:r w:rsidR="000C59D1">
          <w:rPr>
            <w:webHidden/>
          </w:rPr>
          <w:fldChar w:fldCharType="end"/>
        </w:r>
      </w:hyperlink>
    </w:p>
    <w:p w14:paraId="6AB73FB1" w14:textId="77777777" w:rsidR="000C59D1" w:rsidRDefault="00BF12F7">
      <w:pPr>
        <w:pStyle w:val="TOC1"/>
        <w:tabs>
          <w:tab w:val="left" w:pos="400"/>
        </w:tabs>
        <w:rPr>
          <w:rFonts w:asciiTheme="minorHAnsi" w:eastAsiaTheme="minorEastAsia" w:hAnsiTheme="minorHAnsi" w:cstheme="minorBidi"/>
          <w:b w:val="0"/>
          <w:color w:val="auto"/>
          <w:sz w:val="22"/>
          <w:szCs w:val="22"/>
          <w:lang w:eastAsia="en-AU"/>
        </w:rPr>
      </w:pPr>
      <w:hyperlink w:anchor="_Toc533678780" w:history="1">
        <w:r w:rsidR="000C59D1" w:rsidRPr="00BE4004">
          <w:rPr>
            <w:rStyle w:val="Hyperlink"/>
          </w:rPr>
          <w:t>2.</w:t>
        </w:r>
        <w:r w:rsidR="000C59D1">
          <w:rPr>
            <w:rFonts w:asciiTheme="minorHAnsi" w:eastAsiaTheme="minorEastAsia" w:hAnsiTheme="minorHAnsi" w:cstheme="minorBidi"/>
            <w:b w:val="0"/>
            <w:color w:val="auto"/>
            <w:sz w:val="22"/>
            <w:szCs w:val="22"/>
            <w:lang w:eastAsia="en-AU"/>
          </w:rPr>
          <w:tab/>
        </w:r>
        <w:r w:rsidR="000C59D1" w:rsidRPr="00BE4004">
          <w:rPr>
            <w:rStyle w:val="Hyperlink"/>
          </w:rPr>
          <w:t>Process evaluation</w:t>
        </w:r>
        <w:r w:rsidR="000C59D1">
          <w:rPr>
            <w:webHidden/>
          </w:rPr>
          <w:tab/>
        </w:r>
        <w:r w:rsidR="000C59D1">
          <w:rPr>
            <w:webHidden/>
          </w:rPr>
          <w:fldChar w:fldCharType="begin"/>
        </w:r>
        <w:r w:rsidR="000C59D1">
          <w:rPr>
            <w:webHidden/>
          </w:rPr>
          <w:instrText xml:space="preserve"> PAGEREF _Toc533678780 \h </w:instrText>
        </w:r>
        <w:r w:rsidR="000C59D1">
          <w:rPr>
            <w:webHidden/>
          </w:rPr>
        </w:r>
        <w:r w:rsidR="000C59D1">
          <w:rPr>
            <w:webHidden/>
          </w:rPr>
          <w:fldChar w:fldCharType="separate"/>
        </w:r>
        <w:r>
          <w:rPr>
            <w:webHidden/>
          </w:rPr>
          <w:t>7</w:t>
        </w:r>
        <w:r w:rsidR="000C59D1">
          <w:rPr>
            <w:webHidden/>
          </w:rPr>
          <w:fldChar w:fldCharType="end"/>
        </w:r>
      </w:hyperlink>
    </w:p>
    <w:p w14:paraId="13135414" w14:textId="77777777" w:rsidR="000C59D1" w:rsidRDefault="00BF12F7">
      <w:pPr>
        <w:pStyle w:val="TOC2"/>
        <w:rPr>
          <w:rFonts w:asciiTheme="minorHAnsi" w:eastAsiaTheme="minorEastAsia" w:hAnsiTheme="minorHAnsi" w:cstheme="minorBidi"/>
          <w:sz w:val="22"/>
          <w:szCs w:val="22"/>
          <w:lang w:eastAsia="en-AU"/>
        </w:rPr>
      </w:pPr>
      <w:hyperlink w:anchor="_Toc533678781" w:history="1">
        <w:r w:rsidR="000C59D1" w:rsidRPr="00BE4004">
          <w:rPr>
            <w:rStyle w:val="Hyperlink"/>
          </w:rPr>
          <w:t>2.1</w:t>
        </w:r>
        <w:r w:rsidR="000C59D1">
          <w:rPr>
            <w:rFonts w:asciiTheme="minorHAnsi" w:eastAsiaTheme="minorEastAsia" w:hAnsiTheme="minorHAnsi" w:cstheme="minorBidi"/>
            <w:sz w:val="22"/>
            <w:szCs w:val="22"/>
            <w:lang w:eastAsia="en-AU"/>
          </w:rPr>
          <w:tab/>
        </w:r>
        <w:r w:rsidR="000C59D1" w:rsidRPr="00BE4004">
          <w:rPr>
            <w:rStyle w:val="Hyperlink"/>
          </w:rPr>
          <w:t>SOE development process</w:t>
        </w:r>
        <w:r w:rsidR="000C59D1">
          <w:rPr>
            <w:webHidden/>
          </w:rPr>
          <w:tab/>
        </w:r>
        <w:r w:rsidR="000C59D1">
          <w:rPr>
            <w:webHidden/>
          </w:rPr>
          <w:fldChar w:fldCharType="begin"/>
        </w:r>
        <w:r w:rsidR="000C59D1">
          <w:rPr>
            <w:webHidden/>
          </w:rPr>
          <w:instrText xml:space="preserve"> PAGEREF _Toc533678781 \h </w:instrText>
        </w:r>
        <w:r w:rsidR="000C59D1">
          <w:rPr>
            <w:webHidden/>
          </w:rPr>
        </w:r>
        <w:r w:rsidR="000C59D1">
          <w:rPr>
            <w:webHidden/>
          </w:rPr>
          <w:fldChar w:fldCharType="separate"/>
        </w:r>
        <w:r>
          <w:rPr>
            <w:webHidden/>
          </w:rPr>
          <w:t>7</w:t>
        </w:r>
        <w:r w:rsidR="000C59D1">
          <w:rPr>
            <w:webHidden/>
          </w:rPr>
          <w:fldChar w:fldCharType="end"/>
        </w:r>
      </w:hyperlink>
    </w:p>
    <w:p w14:paraId="678D3085" w14:textId="77777777" w:rsidR="000C59D1" w:rsidRDefault="00BF12F7">
      <w:pPr>
        <w:pStyle w:val="TOC1"/>
        <w:tabs>
          <w:tab w:val="left" w:pos="400"/>
        </w:tabs>
        <w:rPr>
          <w:rFonts w:asciiTheme="minorHAnsi" w:eastAsiaTheme="minorEastAsia" w:hAnsiTheme="minorHAnsi" w:cstheme="minorBidi"/>
          <w:b w:val="0"/>
          <w:color w:val="auto"/>
          <w:sz w:val="22"/>
          <w:szCs w:val="22"/>
          <w:lang w:eastAsia="en-AU"/>
        </w:rPr>
      </w:pPr>
      <w:hyperlink w:anchor="_Toc533678782" w:history="1">
        <w:r w:rsidR="000C59D1" w:rsidRPr="00BE4004">
          <w:rPr>
            <w:rStyle w:val="Hyperlink"/>
          </w:rPr>
          <w:t>3.</w:t>
        </w:r>
        <w:r w:rsidR="000C59D1">
          <w:rPr>
            <w:rFonts w:asciiTheme="minorHAnsi" w:eastAsiaTheme="minorEastAsia" w:hAnsiTheme="minorHAnsi" w:cstheme="minorBidi"/>
            <w:b w:val="0"/>
            <w:color w:val="auto"/>
            <w:sz w:val="22"/>
            <w:szCs w:val="22"/>
            <w:lang w:eastAsia="en-AU"/>
          </w:rPr>
          <w:tab/>
        </w:r>
        <w:r w:rsidR="000C59D1" w:rsidRPr="00BE4004">
          <w:rPr>
            <w:rStyle w:val="Hyperlink"/>
          </w:rPr>
          <w:t>Outcomes evaluation</w:t>
        </w:r>
        <w:r w:rsidR="000C59D1">
          <w:rPr>
            <w:webHidden/>
          </w:rPr>
          <w:tab/>
        </w:r>
        <w:r w:rsidR="000C59D1">
          <w:rPr>
            <w:webHidden/>
          </w:rPr>
          <w:fldChar w:fldCharType="begin"/>
        </w:r>
        <w:r w:rsidR="000C59D1">
          <w:rPr>
            <w:webHidden/>
          </w:rPr>
          <w:instrText xml:space="preserve"> PAGEREF _Toc533678782 \h </w:instrText>
        </w:r>
        <w:r w:rsidR="000C59D1">
          <w:rPr>
            <w:webHidden/>
          </w:rPr>
        </w:r>
        <w:r w:rsidR="000C59D1">
          <w:rPr>
            <w:webHidden/>
          </w:rPr>
          <w:fldChar w:fldCharType="separate"/>
        </w:r>
        <w:r>
          <w:rPr>
            <w:webHidden/>
          </w:rPr>
          <w:t>9</w:t>
        </w:r>
        <w:r w:rsidR="000C59D1">
          <w:rPr>
            <w:webHidden/>
          </w:rPr>
          <w:fldChar w:fldCharType="end"/>
        </w:r>
      </w:hyperlink>
    </w:p>
    <w:p w14:paraId="2E8B536E" w14:textId="77777777" w:rsidR="000C59D1" w:rsidRDefault="00BF12F7">
      <w:pPr>
        <w:pStyle w:val="TOC2"/>
        <w:rPr>
          <w:rFonts w:asciiTheme="minorHAnsi" w:eastAsiaTheme="minorEastAsia" w:hAnsiTheme="minorHAnsi" w:cstheme="minorBidi"/>
          <w:sz w:val="22"/>
          <w:szCs w:val="22"/>
          <w:lang w:eastAsia="en-AU"/>
        </w:rPr>
      </w:pPr>
      <w:hyperlink w:anchor="_Toc533678783" w:history="1">
        <w:r w:rsidR="000C59D1" w:rsidRPr="00BE4004">
          <w:rPr>
            <w:rStyle w:val="Hyperlink"/>
          </w:rPr>
          <w:t>3.1</w:t>
        </w:r>
        <w:r w:rsidR="000C59D1">
          <w:rPr>
            <w:rFonts w:asciiTheme="minorHAnsi" w:eastAsiaTheme="minorEastAsia" w:hAnsiTheme="minorHAnsi" w:cstheme="minorBidi"/>
            <w:sz w:val="22"/>
            <w:szCs w:val="22"/>
            <w:lang w:eastAsia="en-AU"/>
          </w:rPr>
          <w:tab/>
        </w:r>
        <w:r w:rsidR="000C59D1" w:rsidRPr="00BE4004">
          <w:rPr>
            <w:rStyle w:val="Hyperlink"/>
          </w:rPr>
          <w:t>Timeliness</w:t>
        </w:r>
        <w:r w:rsidR="000C59D1">
          <w:rPr>
            <w:webHidden/>
          </w:rPr>
          <w:tab/>
        </w:r>
        <w:r w:rsidR="000C59D1">
          <w:rPr>
            <w:webHidden/>
          </w:rPr>
          <w:fldChar w:fldCharType="begin"/>
        </w:r>
        <w:r w:rsidR="000C59D1">
          <w:rPr>
            <w:webHidden/>
          </w:rPr>
          <w:instrText xml:space="preserve"> PAGEREF _Toc533678783 \h </w:instrText>
        </w:r>
        <w:r w:rsidR="000C59D1">
          <w:rPr>
            <w:webHidden/>
          </w:rPr>
        </w:r>
        <w:r w:rsidR="000C59D1">
          <w:rPr>
            <w:webHidden/>
          </w:rPr>
          <w:fldChar w:fldCharType="separate"/>
        </w:r>
        <w:r>
          <w:rPr>
            <w:webHidden/>
          </w:rPr>
          <w:t>9</w:t>
        </w:r>
        <w:r w:rsidR="000C59D1">
          <w:rPr>
            <w:webHidden/>
          </w:rPr>
          <w:fldChar w:fldCharType="end"/>
        </w:r>
      </w:hyperlink>
    </w:p>
    <w:p w14:paraId="320C7921" w14:textId="77777777" w:rsidR="000C59D1" w:rsidRDefault="00BF12F7">
      <w:pPr>
        <w:pStyle w:val="TOC2"/>
        <w:rPr>
          <w:rFonts w:asciiTheme="minorHAnsi" w:eastAsiaTheme="minorEastAsia" w:hAnsiTheme="minorHAnsi" w:cstheme="minorBidi"/>
          <w:sz w:val="22"/>
          <w:szCs w:val="22"/>
          <w:lang w:eastAsia="en-AU"/>
        </w:rPr>
      </w:pPr>
      <w:hyperlink w:anchor="_Toc533678784" w:history="1">
        <w:r w:rsidR="000C59D1" w:rsidRPr="00BE4004">
          <w:rPr>
            <w:rStyle w:val="Hyperlink"/>
          </w:rPr>
          <w:t>3.2</w:t>
        </w:r>
        <w:r w:rsidR="000C59D1">
          <w:rPr>
            <w:rFonts w:asciiTheme="minorHAnsi" w:eastAsiaTheme="minorEastAsia" w:hAnsiTheme="minorHAnsi" w:cstheme="minorBidi"/>
            <w:sz w:val="22"/>
            <w:szCs w:val="22"/>
            <w:lang w:eastAsia="en-AU"/>
          </w:rPr>
          <w:tab/>
        </w:r>
        <w:r w:rsidR="000C59D1" w:rsidRPr="00BE4004">
          <w:rPr>
            <w:rStyle w:val="Hyperlink"/>
          </w:rPr>
          <w:t>Risk-based strategies</w:t>
        </w:r>
        <w:r w:rsidR="000C59D1">
          <w:rPr>
            <w:webHidden/>
          </w:rPr>
          <w:tab/>
        </w:r>
        <w:r w:rsidR="000C59D1">
          <w:rPr>
            <w:webHidden/>
          </w:rPr>
          <w:fldChar w:fldCharType="begin"/>
        </w:r>
        <w:r w:rsidR="000C59D1">
          <w:rPr>
            <w:webHidden/>
          </w:rPr>
          <w:instrText xml:space="preserve"> PAGEREF _Toc533678784 \h </w:instrText>
        </w:r>
        <w:r w:rsidR="000C59D1">
          <w:rPr>
            <w:webHidden/>
          </w:rPr>
        </w:r>
        <w:r w:rsidR="000C59D1">
          <w:rPr>
            <w:webHidden/>
          </w:rPr>
          <w:fldChar w:fldCharType="separate"/>
        </w:r>
        <w:r>
          <w:rPr>
            <w:webHidden/>
          </w:rPr>
          <w:t>13</w:t>
        </w:r>
        <w:r w:rsidR="000C59D1">
          <w:rPr>
            <w:webHidden/>
          </w:rPr>
          <w:fldChar w:fldCharType="end"/>
        </w:r>
      </w:hyperlink>
    </w:p>
    <w:p w14:paraId="238FBC7C" w14:textId="77777777" w:rsidR="000C59D1" w:rsidRDefault="00BF12F7">
      <w:pPr>
        <w:pStyle w:val="TOC2"/>
        <w:rPr>
          <w:rFonts w:asciiTheme="minorHAnsi" w:eastAsiaTheme="minorEastAsia" w:hAnsiTheme="minorHAnsi" w:cstheme="minorBidi"/>
          <w:sz w:val="22"/>
          <w:szCs w:val="22"/>
          <w:lang w:eastAsia="en-AU"/>
        </w:rPr>
      </w:pPr>
      <w:hyperlink w:anchor="_Toc533678785" w:history="1">
        <w:r w:rsidR="000C59D1" w:rsidRPr="00BE4004">
          <w:rPr>
            <w:rStyle w:val="Hyperlink"/>
          </w:rPr>
          <w:t>3.3</w:t>
        </w:r>
        <w:r w:rsidR="000C59D1">
          <w:rPr>
            <w:rFonts w:asciiTheme="minorHAnsi" w:eastAsiaTheme="minorEastAsia" w:hAnsiTheme="minorHAnsi" w:cstheme="minorBidi"/>
            <w:sz w:val="22"/>
            <w:szCs w:val="22"/>
            <w:lang w:eastAsia="en-AU"/>
          </w:rPr>
          <w:tab/>
        </w:r>
        <w:r w:rsidR="000C59D1" w:rsidRPr="00BE4004">
          <w:rPr>
            <w:rStyle w:val="Hyperlink"/>
          </w:rPr>
          <w:t>Compliance-related assistance and advice</w:t>
        </w:r>
        <w:r w:rsidR="000C59D1">
          <w:rPr>
            <w:webHidden/>
          </w:rPr>
          <w:tab/>
        </w:r>
        <w:r w:rsidR="000C59D1">
          <w:rPr>
            <w:webHidden/>
          </w:rPr>
          <w:fldChar w:fldCharType="begin"/>
        </w:r>
        <w:r w:rsidR="000C59D1">
          <w:rPr>
            <w:webHidden/>
          </w:rPr>
          <w:instrText xml:space="preserve"> PAGEREF _Toc533678785 \h </w:instrText>
        </w:r>
        <w:r w:rsidR="000C59D1">
          <w:rPr>
            <w:webHidden/>
          </w:rPr>
        </w:r>
        <w:r w:rsidR="000C59D1">
          <w:rPr>
            <w:webHidden/>
          </w:rPr>
          <w:fldChar w:fldCharType="separate"/>
        </w:r>
        <w:r>
          <w:rPr>
            <w:webHidden/>
          </w:rPr>
          <w:t>15</w:t>
        </w:r>
        <w:r w:rsidR="000C59D1">
          <w:rPr>
            <w:webHidden/>
          </w:rPr>
          <w:fldChar w:fldCharType="end"/>
        </w:r>
      </w:hyperlink>
    </w:p>
    <w:p w14:paraId="5C3E9E30" w14:textId="77777777" w:rsidR="000C59D1" w:rsidRDefault="00BF12F7">
      <w:pPr>
        <w:pStyle w:val="TOC2"/>
        <w:rPr>
          <w:rFonts w:asciiTheme="minorHAnsi" w:eastAsiaTheme="minorEastAsia" w:hAnsiTheme="minorHAnsi" w:cstheme="minorBidi"/>
          <w:sz w:val="22"/>
          <w:szCs w:val="22"/>
          <w:lang w:eastAsia="en-AU"/>
        </w:rPr>
      </w:pPr>
      <w:hyperlink w:anchor="_Toc533678786" w:history="1">
        <w:r w:rsidR="000C59D1" w:rsidRPr="00BE4004">
          <w:rPr>
            <w:rStyle w:val="Hyperlink"/>
          </w:rPr>
          <w:t>3.4</w:t>
        </w:r>
        <w:r w:rsidR="000C59D1">
          <w:rPr>
            <w:rFonts w:asciiTheme="minorHAnsi" w:eastAsiaTheme="minorEastAsia" w:hAnsiTheme="minorHAnsi" w:cstheme="minorBidi"/>
            <w:sz w:val="22"/>
            <w:szCs w:val="22"/>
            <w:lang w:eastAsia="en-AU"/>
          </w:rPr>
          <w:tab/>
        </w:r>
        <w:r w:rsidR="000C59D1" w:rsidRPr="00BE4004">
          <w:rPr>
            <w:rStyle w:val="Hyperlink"/>
          </w:rPr>
          <w:t>Assessment of regulator performance against SOE targets</w:t>
        </w:r>
        <w:r w:rsidR="000C59D1">
          <w:rPr>
            <w:webHidden/>
          </w:rPr>
          <w:tab/>
        </w:r>
        <w:r w:rsidR="000C59D1">
          <w:rPr>
            <w:webHidden/>
          </w:rPr>
          <w:fldChar w:fldCharType="begin"/>
        </w:r>
        <w:r w:rsidR="000C59D1">
          <w:rPr>
            <w:webHidden/>
          </w:rPr>
          <w:instrText xml:space="preserve"> PAGEREF _Toc533678786 \h </w:instrText>
        </w:r>
        <w:r w:rsidR="000C59D1">
          <w:rPr>
            <w:webHidden/>
          </w:rPr>
        </w:r>
        <w:r w:rsidR="000C59D1">
          <w:rPr>
            <w:webHidden/>
          </w:rPr>
          <w:fldChar w:fldCharType="separate"/>
        </w:r>
        <w:r>
          <w:rPr>
            <w:webHidden/>
          </w:rPr>
          <w:t>19</w:t>
        </w:r>
        <w:r w:rsidR="000C59D1">
          <w:rPr>
            <w:webHidden/>
          </w:rPr>
          <w:fldChar w:fldCharType="end"/>
        </w:r>
      </w:hyperlink>
    </w:p>
    <w:p w14:paraId="694779AB" w14:textId="77777777" w:rsidR="000C59D1" w:rsidRDefault="00BF12F7">
      <w:pPr>
        <w:pStyle w:val="TOC1"/>
        <w:tabs>
          <w:tab w:val="left" w:pos="400"/>
        </w:tabs>
        <w:rPr>
          <w:rFonts w:asciiTheme="minorHAnsi" w:eastAsiaTheme="minorEastAsia" w:hAnsiTheme="minorHAnsi" w:cstheme="minorBidi"/>
          <w:b w:val="0"/>
          <w:color w:val="auto"/>
          <w:sz w:val="22"/>
          <w:szCs w:val="22"/>
          <w:lang w:eastAsia="en-AU"/>
        </w:rPr>
      </w:pPr>
      <w:hyperlink w:anchor="_Toc533678787" w:history="1">
        <w:r w:rsidR="000C59D1" w:rsidRPr="00BE4004">
          <w:rPr>
            <w:rStyle w:val="Hyperlink"/>
          </w:rPr>
          <w:t>4.</w:t>
        </w:r>
        <w:r w:rsidR="000C59D1">
          <w:rPr>
            <w:rFonts w:asciiTheme="minorHAnsi" w:eastAsiaTheme="minorEastAsia" w:hAnsiTheme="minorHAnsi" w:cstheme="minorBidi"/>
            <w:b w:val="0"/>
            <w:color w:val="auto"/>
            <w:sz w:val="22"/>
            <w:szCs w:val="22"/>
            <w:lang w:eastAsia="en-AU"/>
          </w:rPr>
          <w:tab/>
        </w:r>
        <w:r w:rsidR="000C59D1" w:rsidRPr="00BE4004">
          <w:rPr>
            <w:rStyle w:val="Hyperlink"/>
          </w:rPr>
          <w:t>Lessons Learned</w:t>
        </w:r>
        <w:r w:rsidR="000C59D1">
          <w:rPr>
            <w:webHidden/>
          </w:rPr>
          <w:tab/>
        </w:r>
        <w:r w:rsidR="000C59D1">
          <w:rPr>
            <w:webHidden/>
          </w:rPr>
          <w:fldChar w:fldCharType="begin"/>
        </w:r>
        <w:r w:rsidR="000C59D1">
          <w:rPr>
            <w:webHidden/>
          </w:rPr>
          <w:instrText xml:space="preserve"> PAGEREF _Toc533678787 \h </w:instrText>
        </w:r>
        <w:r w:rsidR="000C59D1">
          <w:rPr>
            <w:webHidden/>
          </w:rPr>
        </w:r>
        <w:r w:rsidR="000C59D1">
          <w:rPr>
            <w:webHidden/>
          </w:rPr>
          <w:fldChar w:fldCharType="separate"/>
        </w:r>
        <w:r>
          <w:rPr>
            <w:webHidden/>
          </w:rPr>
          <w:t>21</w:t>
        </w:r>
        <w:r w:rsidR="000C59D1">
          <w:rPr>
            <w:webHidden/>
          </w:rPr>
          <w:fldChar w:fldCharType="end"/>
        </w:r>
      </w:hyperlink>
    </w:p>
    <w:p w14:paraId="761373FA" w14:textId="77777777" w:rsidR="000C59D1" w:rsidRDefault="00BF12F7">
      <w:pPr>
        <w:pStyle w:val="TOC2"/>
        <w:rPr>
          <w:rFonts w:asciiTheme="minorHAnsi" w:eastAsiaTheme="minorEastAsia" w:hAnsiTheme="minorHAnsi" w:cstheme="minorBidi"/>
          <w:sz w:val="22"/>
          <w:szCs w:val="22"/>
          <w:lang w:eastAsia="en-AU"/>
        </w:rPr>
      </w:pPr>
      <w:hyperlink w:anchor="_Toc533678788" w:history="1">
        <w:r w:rsidR="000C59D1" w:rsidRPr="00BE4004">
          <w:rPr>
            <w:rStyle w:val="Hyperlink"/>
          </w:rPr>
          <w:t>4.1</w:t>
        </w:r>
        <w:r w:rsidR="000C59D1">
          <w:rPr>
            <w:rFonts w:asciiTheme="minorHAnsi" w:eastAsiaTheme="minorEastAsia" w:hAnsiTheme="minorHAnsi" w:cstheme="minorBidi"/>
            <w:sz w:val="22"/>
            <w:szCs w:val="22"/>
            <w:lang w:eastAsia="en-AU"/>
          </w:rPr>
          <w:tab/>
        </w:r>
        <w:r w:rsidR="000C59D1" w:rsidRPr="00BE4004">
          <w:rPr>
            <w:rStyle w:val="Hyperlink"/>
          </w:rPr>
          <w:t>Interpretation of the SOE Framework and Guidelines</w:t>
        </w:r>
        <w:r w:rsidR="000C59D1">
          <w:rPr>
            <w:webHidden/>
          </w:rPr>
          <w:tab/>
        </w:r>
        <w:r w:rsidR="000C59D1">
          <w:rPr>
            <w:webHidden/>
          </w:rPr>
          <w:fldChar w:fldCharType="begin"/>
        </w:r>
        <w:r w:rsidR="000C59D1">
          <w:rPr>
            <w:webHidden/>
          </w:rPr>
          <w:instrText xml:space="preserve"> PAGEREF _Toc533678788 \h </w:instrText>
        </w:r>
        <w:r w:rsidR="000C59D1">
          <w:rPr>
            <w:webHidden/>
          </w:rPr>
        </w:r>
        <w:r w:rsidR="000C59D1">
          <w:rPr>
            <w:webHidden/>
          </w:rPr>
          <w:fldChar w:fldCharType="separate"/>
        </w:r>
        <w:r>
          <w:rPr>
            <w:webHidden/>
          </w:rPr>
          <w:t>21</w:t>
        </w:r>
        <w:r w:rsidR="000C59D1">
          <w:rPr>
            <w:webHidden/>
          </w:rPr>
          <w:fldChar w:fldCharType="end"/>
        </w:r>
      </w:hyperlink>
    </w:p>
    <w:p w14:paraId="63553C5F" w14:textId="77777777" w:rsidR="000C59D1" w:rsidRDefault="00BF12F7">
      <w:pPr>
        <w:pStyle w:val="TOC2"/>
        <w:rPr>
          <w:rFonts w:asciiTheme="minorHAnsi" w:eastAsiaTheme="minorEastAsia" w:hAnsiTheme="minorHAnsi" w:cstheme="minorBidi"/>
          <w:sz w:val="22"/>
          <w:szCs w:val="22"/>
          <w:lang w:eastAsia="en-AU"/>
        </w:rPr>
      </w:pPr>
      <w:hyperlink w:anchor="_Toc533678789" w:history="1">
        <w:r w:rsidR="000C59D1" w:rsidRPr="00BE4004">
          <w:rPr>
            <w:rStyle w:val="Hyperlink"/>
          </w:rPr>
          <w:t>4.2</w:t>
        </w:r>
        <w:r w:rsidR="000C59D1">
          <w:rPr>
            <w:rFonts w:asciiTheme="minorHAnsi" w:eastAsiaTheme="minorEastAsia" w:hAnsiTheme="minorHAnsi" w:cstheme="minorBidi"/>
            <w:sz w:val="22"/>
            <w:szCs w:val="22"/>
            <w:lang w:eastAsia="en-AU"/>
          </w:rPr>
          <w:tab/>
        </w:r>
        <w:r w:rsidR="000C59D1" w:rsidRPr="00BE4004">
          <w:rPr>
            <w:rStyle w:val="Hyperlink"/>
          </w:rPr>
          <w:t>Flexiblity of Framework</w:t>
        </w:r>
        <w:r w:rsidR="000C59D1">
          <w:rPr>
            <w:webHidden/>
          </w:rPr>
          <w:tab/>
        </w:r>
        <w:r w:rsidR="000C59D1">
          <w:rPr>
            <w:webHidden/>
          </w:rPr>
          <w:fldChar w:fldCharType="begin"/>
        </w:r>
        <w:r w:rsidR="000C59D1">
          <w:rPr>
            <w:webHidden/>
          </w:rPr>
          <w:instrText xml:space="preserve"> PAGEREF _Toc533678789 \h </w:instrText>
        </w:r>
        <w:r w:rsidR="000C59D1">
          <w:rPr>
            <w:webHidden/>
          </w:rPr>
        </w:r>
        <w:r w:rsidR="000C59D1">
          <w:rPr>
            <w:webHidden/>
          </w:rPr>
          <w:fldChar w:fldCharType="separate"/>
        </w:r>
        <w:r>
          <w:rPr>
            <w:webHidden/>
          </w:rPr>
          <w:t>21</w:t>
        </w:r>
        <w:r w:rsidR="000C59D1">
          <w:rPr>
            <w:webHidden/>
          </w:rPr>
          <w:fldChar w:fldCharType="end"/>
        </w:r>
      </w:hyperlink>
    </w:p>
    <w:p w14:paraId="57FA00C5" w14:textId="77777777" w:rsidR="000C59D1" w:rsidRDefault="00BF12F7">
      <w:pPr>
        <w:pStyle w:val="TOC2"/>
        <w:rPr>
          <w:rFonts w:asciiTheme="minorHAnsi" w:eastAsiaTheme="minorEastAsia" w:hAnsiTheme="minorHAnsi" w:cstheme="minorBidi"/>
          <w:sz w:val="22"/>
          <w:szCs w:val="22"/>
          <w:lang w:eastAsia="en-AU"/>
        </w:rPr>
      </w:pPr>
      <w:hyperlink w:anchor="_Toc533678790" w:history="1">
        <w:r w:rsidR="000C59D1" w:rsidRPr="00BE4004">
          <w:rPr>
            <w:rStyle w:val="Hyperlink"/>
          </w:rPr>
          <w:t>4.3</w:t>
        </w:r>
        <w:r w:rsidR="000C59D1">
          <w:rPr>
            <w:rFonts w:asciiTheme="minorHAnsi" w:eastAsiaTheme="minorEastAsia" w:hAnsiTheme="minorHAnsi" w:cstheme="minorBidi"/>
            <w:sz w:val="22"/>
            <w:szCs w:val="22"/>
            <w:lang w:eastAsia="en-AU"/>
          </w:rPr>
          <w:tab/>
        </w:r>
        <w:r w:rsidR="000C59D1" w:rsidRPr="00BE4004">
          <w:rPr>
            <w:rStyle w:val="Hyperlink"/>
          </w:rPr>
          <w:t>Resourcing and Planning</w:t>
        </w:r>
        <w:r w:rsidR="000C59D1">
          <w:rPr>
            <w:webHidden/>
          </w:rPr>
          <w:tab/>
        </w:r>
        <w:r w:rsidR="000C59D1">
          <w:rPr>
            <w:webHidden/>
          </w:rPr>
          <w:fldChar w:fldCharType="begin"/>
        </w:r>
        <w:r w:rsidR="000C59D1">
          <w:rPr>
            <w:webHidden/>
          </w:rPr>
          <w:instrText xml:space="preserve"> PAGEREF _Toc533678790 \h </w:instrText>
        </w:r>
        <w:r w:rsidR="000C59D1">
          <w:rPr>
            <w:webHidden/>
          </w:rPr>
        </w:r>
        <w:r w:rsidR="000C59D1">
          <w:rPr>
            <w:webHidden/>
          </w:rPr>
          <w:fldChar w:fldCharType="separate"/>
        </w:r>
        <w:r>
          <w:rPr>
            <w:webHidden/>
          </w:rPr>
          <w:t>22</w:t>
        </w:r>
        <w:r w:rsidR="000C59D1">
          <w:rPr>
            <w:webHidden/>
          </w:rPr>
          <w:fldChar w:fldCharType="end"/>
        </w:r>
      </w:hyperlink>
    </w:p>
    <w:p w14:paraId="2CFC73DD" w14:textId="77777777" w:rsidR="000C59D1" w:rsidRDefault="00BF12F7">
      <w:pPr>
        <w:pStyle w:val="TOC1"/>
        <w:tabs>
          <w:tab w:val="left" w:pos="1400"/>
        </w:tabs>
        <w:rPr>
          <w:rFonts w:asciiTheme="minorHAnsi" w:eastAsiaTheme="minorEastAsia" w:hAnsiTheme="minorHAnsi" w:cstheme="minorBidi"/>
          <w:b w:val="0"/>
          <w:color w:val="auto"/>
          <w:sz w:val="22"/>
          <w:szCs w:val="22"/>
          <w:lang w:eastAsia="en-AU"/>
        </w:rPr>
      </w:pPr>
      <w:hyperlink w:anchor="_Toc533678791" w:history="1">
        <w:r w:rsidR="000C59D1" w:rsidRPr="00BE4004">
          <w:rPr>
            <w:rStyle w:val="Hyperlink"/>
          </w:rPr>
          <w:t>Appendix 1</w:t>
        </w:r>
        <w:r w:rsidR="000C59D1">
          <w:rPr>
            <w:rFonts w:asciiTheme="minorHAnsi" w:eastAsiaTheme="minorEastAsia" w:hAnsiTheme="minorHAnsi" w:cstheme="minorBidi"/>
            <w:b w:val="0"/>
            <w:color w:val="auto"/>
            <w:sz w:val="22"/>
            <w:szCs w:val="22"/>
            <w:lang w:eastAsia="en-AU"/>
          </w:rPr>
          <w:tab/>
        </w:r>
        <w:r w:rsidR="000C59D1" w:rsidRPr="00BE4004">
          <w:rPr>
            <w:rStyle w:val="Hyperlink"/>
          </w:rPr>
          <w:t>Process evaluation methodology</w:t>
        </w:r>
        <w:r w:rsidR="000C59D1">
          <w:rPr>
            <w:webHidden/>
          </w:rPr>
          <w:tab/>
        </w:r>
        <w:r w:rsidR="000C59D1">
          <w:rPr>
            <w:webHidden/>
          </w:rPr>
          <w:fldChar w:fldCharType="begin"/>
        </w:r>
        <w:r w:rsidR="000C59D1">
          <w:rPr>
            <w:webHidden/>
          </w:rPr>
          <w:instrText xml:space="preserve"> PAGEREF _Toc533678791 \h </w:instrText>
        </w:r>
        <w:r w:rsidR="000C59D1">
          <w:rPr>
            <w:webHidden/>
          </w:rPr>
        </w:r>
        <w:r w:rsidR="000C59D1">
          <w:rPr>
            <w:webHidden/>
          </w:rPr>
          <w:fldChar w:fldCharType="separate"/>
        </w:r>
        <w:r>
          <w:rPr>
            <w:webHidden/>
          </w:rPr>
          <w:t>23</w:t>
        </w:r>
        <w:r w:rsidR="000C59D1">
          <w:rPr>
            <w:webHidden/>
          </w:rPr>
          <w:fldChar w:fldCharType="end"/>
        </w:r>
      </w:hyperlink>
    </w:p>
    <w:p w14:paraId="6BF5A725" w14:textId="77777777" w:rsidR="000C59D1" w:rsidRDefault="00BF12F7">
      <w:pPr>
        <w:pStyle w:val="TOC1"/>
        <w:tabs>
          <w:tab w:val="left" w:pos="1400"/>
        </w:tabs>
        <w:rPr>
          <w:rFonts w:asciiTheme="minorHAnsi" w:eastAsiaTheme="minorEastAsia" w:hAnsiTheme="minorHAnsi" w:cstheme="minorBidi"/>
          <w:b w:val="0"/>
          <w:color w:val="auto"/>
          <w:sz w:val="22"/>
          <w:szCs w:val="22"/>
          <w:lang w:eastAsia="en-AU"/>
        </w:rPr>
      </w:pPr>
      <w:hyperlink w:anchor="_Toc533678792" w:history="1">
        <w:r w:rsidR="000C59D1" w:rsidRPr="00BE4004">
          <w:rPr>
            <w:rStyle w:val="Hyperlink"/>
          </w:rPr>
          <w:t>Appendix 2</w:t>
        </w:r>
        <w:r w:rsidR="000C59D1">
          <w:rPr>
            <w:rFonts w:asciiTheme="minorHAnsi" w:eastAsiaTheme="minorEastAsia" w:hAnsiTheme="minorHAnsi" w:cstheme="minorBidi"/>
            <w:b w:val="0"/>
            <w:color w:val="auto"/>
            <w:sz w:val="22"/>
            <w:szCs w:val="22"/>
            <w:lang w:eastAsia="en-AU"/>
          </w:rPr>
          <w:tab/>
        </w:r>
        <w:r w:rsidR="000C59D1" w:rsidRPr="00BE4004">
          <w:rPr>
            <w:rStyle w:val="Hyperlink"/>
          </w:rPr>
          <w:t>Outcome evaluation methodology</w:t>
        </w:r>
        <w:r w:rsidR="000C59D1">
          <w:rPr>
            <w:webHidden/>
          </w:rPr>
          <w:tab/>
        </w:r>
        <w:r w:rsidR="000C59D1">
          <w:rPr>
            <w:webHidden/>
          </w:rPr>
          <w:fldChar w:fldCharType="begin"/>
        </w:r>
        <w:r w:rsidR="000C59D1">
          <w:rPr>
            <w:webHidden/>
          </w:rPr>
          <w:instrText xml:space="preserve"> PAGEREF _Toc533678792 \h </w:instrText>
        </w:r>
        <w:r w:rsidR="000C59D1">
          <w:rPr>
            <w:webHidden/>
          </w:rPr>
        </w:r>
        <w:r w:rsidR="000C59D1">
          <w:rPr>
            <w:webHidden/>
          </w:rPr>
          <w:fldChar w:fldCharType="separate"/>
        </w:r>
        <w:r>
          <w:rPr>
            <w:webHidden/>
          </w:rPr>
          <w:t>25</w:t>
        </w:r>
        <w:r w:rsidR="000C59D1">
          <w:rPr>
            <w:webHidden/>
          </w:rPr>
          <w:fldChar w:fldCharType="end"/>
        </w:r>
      </w:hyperlink>
    </w:p>
    <w:p w14:paraId="4A1A29AE" w14:textId="77777777" w:rsidR="000C59D1" w:rsidRDefault="00BF12F7">
      <w:pPr>
        <w:pStyle w:val="TOC1"/>
        <w:tabs>
          <w:tab w:val="left" w:pos="1400"/>
        </w:tabs>
        <w:rPr>
          <w:rFonts w:asciiTheme="minorHAnsi" w:eastAsiaTheme="minorEastAsia" w:hAnsiTheme="minorHAnsi" w:cstheme="minorBidi"/>
          <w:b w:val="0"/>
          <w:color w:val="auto"/>
          <w:sz w:val="22"/>
          <w:szCs w:val="22"/>
          <w:lang w:eastAsia="en-AU"/>
        </w:rPr>
      </w:pPr>
      <w:hyperlink w:anchor="_Toc533678793" w:history="1">
        <w:r w:rsidR="000C59D1" w:rsidRPr="00BE4004">
          <w:rPr>
            <w:rStyle w:val="Hyperlink"/>
          </w:rPr>
          <w:t>Appendix 3</w:t>
        </w:r>
        <w:r w:rsidR="000C59D1">
          <w:rPr>
            <w:rFonts w:asciiTheme="minorHAnsi" w:eastAsiaTheme="minorEastAsia" w:hAnsiTheme="minorHAnsi" w:cstheme="minorBidi"/>
            <w:b w:val="0"/>
            <w:color w:val="auto"/>
            <w:sz w:val="22"/>
            <w:szCs w:val="22"/>
            <w:lang w:eastAsia="en-AU"/>
          </w:rPr>
          <w:tab/>
        </w:r>
        <w:r w:rsidR="000C59D1" w:rsidRPr="00BE4004">
          <w:rPr>
            <w:rStyle w:val="Hyperlink"/>
          </w:rPr>
          <w:t>SOE letter and response</w:t>
        </w:r>
        <w:r w:rsidR="000C59D1">
          <w:rPr>
            <w:webHidden/>
          </w:rPr>
          <w:tab/>
        </w:r>
        <w:r w:rsidR="000C59D1">
          <w:rPr>
            <w:webHidden/>
          </w:rPr>
          <w:fldChar w:fldCharType="begin"/>
        </w:r>
        <w:r w:rsidR="000C59D1">
          <w:rPr>
            <w:webHidden/>
          </w:rPr>
          <w:instrText xml:space="preserve"> PAGEREF _Toc533678793 \h </w:instrText>
        </w:r>
        <w:r w:rsidR="000C59D1">
          <w:rPr>
            <w:webHidden/>
          </w:rPr>
        </w:r>
        <w:r w:rsidR="000C59D1">
          <w:rPr>
            <w:webHidden/>
          </w:rPr>
          <w:fldChar w:fldCharType="separate"/>
        </w:r>
        <w:r>
          <w:rPr>
            <w:webHidden/>
          </w:rPr>
          <w:t>32</w:t>
        </w:r>
        <w:r w:rsidR="000C59D1">
          <w:rPr>
            <w:webHidden/>
          </w:rPr>
          <w:fldChar w:fldCharType="end"/>
        </w:r>
      </w:hyperlink>
    </w:p>
    <w:p w14:paraId="68BDE022" w14:textId="77777777" w:rsidR="000C59D1" w:rsidRDefault="00BF12F7">
      <w:pPr>
        <w:pStyle w:val="TOC1"/>
        <w:tabs>
          <w:tab w:val="left" w:pos="400"/>
        </w:tabs>
        <w:rPr>
          <w:rFonts w:asciiTheme="minorHAnsi" w:eastAsiaTheme="minorEastAsia" w:hAnsiTheme="minorHAnsi" w:cstheme="minorBidi"/>
          <w:b w:val="0"/>
          <w:color w:val="auto"/>
          <w:sz w:val="22"/>
          <w:szCs w:val="22"/>
          <w:lang w:eastAsia="en-AU"/>
        </w:rPr>
      </w:pPr>
      <w:hyperlink w:anchor="_Toc533678794" w:history="1">
        <w:r w:rsidR="000C59D1" w:rsidRPr="00BE4004">
          <w:rPr>
            <w:rStyle w:val="Hyperlink"/>
          </w:rPr>
          <w:t>5.</w:t>
        </w:r>
        <w:r w:rsidR="000C59D1">
          <w:rPr>
            <w:rFonts w:asciiTheme="minorHAnsi" w:eastAsiaTheme="minorEastAsia" w:hAnsiTheme="minorHAnsi" w:cstheme="minorBidi"/>
            <w:b w:val="0"/>
            <w:color w:val="auto"/>
            <w:sz w:val="22"/>
            <w:szCs w:val="22"/>
            <w:lang w:eastAsia="en-AU"/>
          </w:rPr>
          <w:tab/>
        </w:r>
        <w:r w:rsidR="000C59D1" w:rsidRPr="00BE4004">
          <w:rPr>
            <w:rStyle w:val="Hyperlink"/>
          </w:rPr>
          <w:t>Document information</w:t>
        </w:r>
        <w:r w:rsidR="000C59D1">
          <w:rPr>
            <w:webHidden/>
          </w:rPr>
          <w:tab/>
        </w:r>
        <w:r w:rsidR="000C59D1">
          <w:rPr>
            <w:webHidden/>
          </w:rPr>
          <w:fldChar w:fldCharType="begin"/>
        </w:r>
        <w:r w:rsidR="000C59D1">
          <w:rPr>
            <w:webHidden/>
          </w:rPr>
          <w:instrText xml:space="preserve"> PAGEREF _Toc533678794 \h </w:instrText>
        </w:r>
        <w:r w:rsidR="000C59D1">
          <w:rPr>
            <w:webHidden/>
          </w:rPr>
        </w:r>
        <w:r w:rsidR="000C59D1">
          <w:rPr>
            <w:webHidden/>
          </w:rPr>
          <w:fldChar w:fldCharType="separate"/>
        </w:r>
        <w:r>
          <w:rPr>
            <w:webHidden/>
          </w:rPr>
          <w:t>39</w:t>
        </w:r>
        <w:r w:rsidR="000C59D1">
          <w:rPr>
            <w:webHidden/>
          </w:rPr>
          <w:fldChar w:fldCharType="end"/>
        </w:r>
      </w:hyperlink>
    </w:p>
    <w:p w14:paraId="480E35A6" w14:textId="77777777" w:rsidR="003E2E12" w:rsidRPr="003072C6" w:rsidRDefault="000E7BFA" w:rsidP="00CB1FFB">
      <w:pPr>
        <w:pStyle w:val="TOC2"/>
        <w:outlineLvl w:val="2"/>
      </w:pPr>
      <w:r>
        <w:rPr>
          <w:b/>
          <w:noProof w:val="0"/>
          <w:color w:val="007DC3" w:themeColor="accent1"/>
        </w:rPr>
        <w:fldChar w:fldCharType="end"/>
      </w:r>
    </w:p>
    <w:p w14:paraId="642D0BC7" w14:textId="77777777" w:rsidR="00256E7C" w:rsidRPr="003072C6" w:rsidRDefault="003E2E12" w:rsidP="00F01884">
      <w:pPr>
        <w:pStyle w:val="DJRbody"/>
      </w:pPr>
      <w:r w:rsidRPr="00256E7C">
        <w:br w:type="page"/>
      </w:r>
    </w:p>
    <w:p w14:paraId="2F29AF67" w14:textId="77777777" w:rsidR="00EC2AE9" w:rsidRDefault="00EC2AE9" w:rsidP="00EC2AE9">
      <w:pPr>
        <w:pStyle w:val="Heading1"/>
        <w:spacing w:before="0"/>
      </w:pPr>
      <w:bookmarkStart w:id="2" w:name="_Toc533678775"/>
      <w:r>
        <w:lastRenderedPageBreak/>
        <w:t>Introduction</w:t>
      </w:r>
      <w:r w:rsidR="006D2AD0">
        <w:t xml:space="preserve"> and background</w:t>
      </w:r>
      <w:bookmarkEnd w:id="2"/>
    </w:p>
    <w:p w14:paraId="03424C05" w14:textId="0B59DD6A" w:rsidR="00180D0C" w:rsidRDefault="00180D0C" w:rsidP="00180D0C">
      <w:pPr>
        <w:pStyle w:val="DJRbody"/>
      </w:pPr>
      <w:r>
        <w:t xml:space="preserve">A </w:t>
      </w:r>
      <w:r w:rsidRPr="0061264A">
        <w:t xml:space="preserve">Statement of Expectations </w:t>
      </w:r>
      <w:r>
        <w:t xml:space="preserve">(SOE) is an agreement on performance improvements and targets between the </w:t>
      </w:r>
      <w:r w:rsidR="00D835AB">
        <w:t>minister</w:t>
      </w:r>
      <w:r>
        <w:t xml:space="preserve"> and the regulator.</w:t>
      </w:r>
    </w:p>
    <w:p w14:paraId="05BCD217" w14:textId="77777777" w:rsidR="00E00C53" w:rsidRDefault="00E00C53" w:rsidP="00E00C53">
      <w:pPr>
        <w:pStyle w:val="DJRbody"/>
      </w:pPr>
      <w:r>
        <w:t>T</w:t>
      </w:r>
      <w:r w:rsidRPr="0061264A">
        <w:t xml:space="preserve">he Victorian Government’s Statement of Expectations Framework for Regulators (the </w:t>
      </w:r>
      <w:r>
        <w:t xml:space="preserve">SOE </w:t>
      </w:r>
      <w:r w:rsidRPr="0061264A">
        <w:t xml:space="preserve">Framework), </w:t>
      </w:r>
      <w:r>
        <w:t>requires</w:t>
      </w:r>
      <w:r w:rsidRPr="0061264A">
        <w:t xml:space="preserve"> departments to evaluate the </w:t>
      </w:r>
      <w:r>
        <w:t xml:space="preserve">SOEs </w:t>
      </w:r>
      <w:r w:rsidRPr="0061264A">
        <w:t>of the</w:t>
      </w:r>
      <w:r>
        <w:t>ir portfolio</w:t>
      </w:r>
      <w:r w:rsidRPr="0061264A">
        <w:t xml:space="preserve"> re</w:t>
      </w:r>
      <w:r>
        <w:t>gulators</w:t>
      </w:r>
      <w:r w:rsidRPr="0061264A">
        <w:t>.</w:t>
      </w:r>
      <w:r>
        <w:t xml:space="preserve"> </w:t>
      </w:r>
    </w:p>
    <w:p w14:paraId="25CBA42D" w14:textId="56F60579" w:rsidR="00180D0C" w:rsidRDefault="00180D0C" w:rsidP="00180D0C">
      <w:pPr>
        <w:pStyle w:val="DJRbody"/>
      </w:pPr>
      <w:r>
        <w:t xml:space="preserve">The Guidelines for Evaluations of Statements of Expectations for Regulators (the SOE Guidelines) also require that these </w:t>
      </w:r>
      <w:r w:rsidRPr="00FE3D5D">
        <w:t>evaluation report</w:t>
      </w:r>
      <w:r>
        <w:t xml:space="preserve">s be published, </w:t>
      </w:r>
      <w:r w:rsidRPr="00FE3D5D">
        <w:t>along with a link to the</w:t>
      </w:r>
      <w:r>
        <w:t xml:space="preserve"> relevant</w:t>
      </w:r>
      <w:r w:rsidRPr="00FE3D5D">
        <w:t xml:space="preserve"> </w:t>
      </w:r>
      <w:r>
        <w:t xml:space="preserve">SOE </w:t>
      </w:r>
      <w:r w:rsidRPr="00FE3D5D">
        <w:t xml:space="preserve">and </w:t>
      </w:r>
      <w:r>
        <w:t xml:space="preserve">the </w:t>
      </w:r>
      <w:r w:rsidRPr="00FE3D5D">
        <w:t xml:space="preserve">regulator’s response to </w:t>
      </w:r>
      <w:r>
        <w:t xml:space="preserve">its SOE, on both the regulator’s website and </w:t>
      </w:r>
      <w:r w:rsidR="00CE2DD6">
        <w:t>Department of Justice and Community Safety</w:t>
      </w:r>
      <w:r>
        <w:t xml:space="preserve">’s </w:t>
      </w:r>
      <w:r w:rsidR="00CE2DD6">
        <w:t xml:space="preserve">(DJCS) </w:t>
      </w:r>
      <w:r>
        <w:t>website.</w:t>
      </w:r>
    </w:p>
    <w:p w14:paraId="30B3FEF9" w14:textId="4D193BFD" w:rsidR="00801951" w:rsidRDefault="00180D0C" w:rsidP="00180D0C">
      <w:pPr>
        <w:pStyle w:val="DJRbody"/>
      </w:pPr>
      <w:r>
        <w:t xml:space="preserve">In April 2018, the Strategic Planning Unit (SPU) was commissioned by the </w:t>
      </w:r>
      <w:r w:rsidR="00114ADA">
        <w:t xml:space="preserve">Regulation </w:t>
      </w:r>
      <w:r>
        <w:t xml:space="preserve">Division of </w:t>
      </w:r>
      <w:r w:rsidR="00CE2DD6">
        <w:t>DJCS</w:t>
      </w:r>
      <w:r>
        <w:t xml:space="preserve"> </w:t>
      </w:r>
      <w:r w:rsidR="006D2AD0">
        <w:t xml:space="preserve">to undertake </w:t>
      </w:r>
      <w:r w:rsidR="00CB1BAB">
        <w:t>an</w:t>
      </w:r>
      <w:r w:rsidR="006D2AD0">
        <w:t xml:space="preserve"> evaluation </w:t>
      </w:r>
      <w:r w:rsidR="00CB1BAB">
        <w:t xml:space="preserve">of the </w:t>
      </w:r>
      <w:r w:rsidR="00CB1BAB" w:rsidRPr="00A35812">
        <w:t>1 June 201</w:t>
      </w:r>
      <w:r w:rsidR="00CB1BAB">
        <w:t>7</w:t>
      </w:r>
      <w:r w:rsidR="00CB1BAB" w:rsidRPr="00A35812">
        <w:t xml:space="preserve"> to 30 June 2019</w:t>
      </w:r>
      <w:r w:rsidR="00CB1BAB">
        <w:t xml:space="preserve"> SOE </w:t>
      </w:r>
      <w:r w:rsidR="006D2AD0">
        <w:t>for Consumer Affairs Victoria (CAV).</w:t>
      </w:r>
      <w:r w:rsidR="006A445E">
        <w:t xml:space="preserve"> SPU is a </w:t>
      </w:r>
      <w:r w:rsidR="00CE2DD6">
        <w:t>DJCS</w:t>
      </w:r>
      <w:r w:rsidR="006A445E">
        <w:t xml:space="preserve"> internal consulting group, working across the department delivering evaluation services, including process and outcomes evaluations; cost effectiveness analysis; and the development of evaluation frameworks and plans.</w:t>
      </w:r>
    </w:p>
    <w:p w14:paraId="0449673C" w14:textId="77777777" w:rsidR="00EC2AE9" w:rsidRDefault="006D2AD0" w:rsidP="006D2AD0">
      <w:pPr>
        <w:pStyle w:val="Heading2"/>
      </w:pPr>
      <w:bookmarkStart w:id="3" w:name="_Toc533678776"/>
      <w:r>
        <w:t>Evaluation</w:t>
      </w:r>
      <w:r w:rsidR="00EC2AE9">
        <w:t xml:space="preserve"> purpose</w:t>
      </w:r>
      <w:bookmarkEnd w:id="3"/>
    </w:p>
    <w:p w14:paraId="0F0A14EF" w14:textId="77777777" w:rsidR="006D2AD0" w:rsidRDefault="006D2AD0" w:rsidP="006D2AD0">
      <w:pPr>
        <w:pStyle w:val="DJRbody"/>
      </w:pPr>
      <w:r>
        <w:t>Consistent with the SOE Framework, the purpose of this evaluation is to assist CAV to identify opportunities, and develop plans, to:</w:t>
      </w:r>
    </w:p>
    <w:p w14:paraId="10D1C7C7" w14:textId="77777777" w:rsidR="006D2AD0" w:rsidRPr="006D2AD0" w:rsidRDefault="006D2AD0" w:rsidP="006D2AD0">
      <w:pPr>
        <w:pStyle w:val="DJRbullet1"/>
      </w:pPr>
      <w:r w:rsidRPr="006D2AD0">
        <w:t>improve regulator performance</w:t>
      </w:r>
    </w:p>
    <w:p w14:paraId="5AE9E48C" w14:textId="77777777" w:rsidR="006D2AD0" w:rsidRPr="006D2AD0" w:rsidRDefault="006D2AD0" w:rsidP="006D2AD0">
      <w:pPr>
        <w:pStyle w:val="DJRbullet1"/>
      </w:pPr>
      <w:r w:rsidRPr="006D2AD0">
        <w:t>improve regulator outcomes</w:t>
      </w:r>
    </w:p>
    <w:p w14:paraId="59F1C518" w14:textId="77777777" w:rsidR="00797C96" w:rsidRPr="00797C96" w:rsidRDefault="006D2AD0" w:rsidP="006D2AD0">
      <w:pPr>
        <w:pStyle w:val="DJRbullet1"/>
      </w:pPr>
      <w:proofErr w:type="gramStart"/>
      <w:r w:rsidRPr="006D2AD0">
        <w:t>reduce</w:t>
      </w:r>
      <w:proofErr w:type="gramEnd"/>
      <w:r w:rsidRPr="006D2AD0">
        <w:t xml:space="preserve"> costs on regulated parties.</w:t>
      </w:r>
    </w:p>
    <w:p w14:paraId="50C0F1BE" w14:textId="77777777" w:rsidR="00EC2AE9" w:rsidRDefault="006D2AD0" w:rsidP="006D2AD0">
      <w:pPr>
        <w:pStyle w:val="Heading2"/>
      </w:pPr>
      <w:bookmarkStart w:id="4" w:name="_Toc533678777"/>
      <w:r>
        <w:t>Statement of Expectations</w:t>
      </w:r>
      <w:bookmarkEnd w:id="4"/>
    </w:p>
    <w:p w14:paraId="60A7F18F" w14:textId="77777777" w:rsidR="00180D0C" w:rsidRDefault="00180D0C" w:rsidP="00180D0C">
      <w:pPr>
        <w:pStyle w:val="DJRbody"/>
      </w:pPr>
      <w:bookmarkStart w:id="5" w:name="_Ref512513615"/>
      <w:r w:rsidRPr="0061264A">
        <w:t xml:space="preserve">The </w:t>
      </w:r>
      <w:r>
        <w:t xml:space="preserve">SOE </w:t>
      </w:r>
      <w:r w:rsidRPr="0061264A">
        <w:t>Framework seeks to improve regulator performance by promoting greater efficiency and effectiveness in the administration and enforcement of regulation to deliver better economic and social outcomes for Victoria.</w:t>
      </w:r>
      <w:r>
        <w:t xml:space="preserve"> The SOE Framework includes elements of good regulatory practice, which are summarised in </w:t>
      </w:r>
      <w:r>
        <w:fldChar w:fldCharType="begin"/>
      </w:r>
      <w:r>
        <w:instrText xml:space="preserve"> REF _Ref530140178 \h </w:instrText>
      </w:r>
      <w:r>
        <w:fldChar w:fldCharType="separate"/>
      </w:r>
      <w:r w:rsidR="00BF12F7" w:rsidRPr="00525DC5">
        <w:t xml:space="preserve">Table </w:t>
      </w:r>
      <w:r w:rsidR="00BF12F7">
        <w:rPr>
          <w:noProof/>
        </w:rPr>
        <w:t>1</w:t>
      </w:r>
      <w:r>
        <w:fldChar w:fldCharType="end"/>
      </w:r>
      <w:r>
        <w:t xml:space="preserve"> below:</w:t>
      </w:r>
    </w:p>
    <w:p w14:paraId="25EAEA38" w14:textId="77777777" w:rsidR="00180D0C" w:rsidRPr="00525DC5" w:rsidRDefault="00180D0C" w:rsidP="00180D0C">
      <w:pPr>
        <w:pStyle w:val="TableLabel"/>
      </w:pPr>
      <w:bookmarkStart w:id="6" w:name="_Ref530140178"/>
      <w:r w:rsidRPr="00525DC5">
        <w:t xml:space="preserve">Table </w:t>
      </w:r>
      <w:r>
        <w:rPr>
          <w:noProof/>
        </w:rPr>
        <w:fldChar w:fldCharType="begin"/>
      </w:r>
      <w:r>
        <w:rPr>
          <w:noProof/>
        </w:rPr>
        <w:instrText xml:space="preserve"> SEQ Table \* ARABIC </w:instrText>
      </w:r>
      <w:r>
        <w:rPr>
          <w:noProof/>
        </w:rPr>
        <w:fldChar w:fldCharType="separate"/>
      </w:r>
      <w:r w:rsidR="00BF12F7">
        <w:rPr>
          <w:noProof/>
        </w:rPr>
        <w:t>1</w:t>
      </w:r>
      <w:r>
        <w:rPr>
          <w:noProof/>
        </w:rPr>
        <w:fldChar w:fldCharType="end"/>
      </w:r>
      <w:bookmarkEnd w:id="6"/>
      <w:r w:rsidRPr="00525DC5">
        <w:t>:</w:t>
      </w:r>
      <w:r w:rsidRPr="00525DC5">
        <w:tab/>
      </w:r>
      <w:r>
        <w:t>Elements of Good Regulatory Practice – SOE Guidelines</w:t>
      </w:r>
    </w:p>
    <w:tbl>
      <w:tblPr>
        <w:tblW w:w="4281"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6"/>
        <w:gridCol w:w="285"/>
        <w:gridCol w:w="7511"/>
      </w:tblGrid>
      <w:tr w:rsidR="00180D0C" w:rsidRPr="00AF360A" w14:paraId="6699E925" w14:textId="77777777" w:rsidTr="007D6AC6">
        <w:tc>
          <w:tcPr>
            <w:tcW w:w="536" w:type="pct"/>
            <w:tcBorders>
              <w:top w:val="nil"/>
              <w:left w:val="nil"/>
              <w:bottom w:val="single" w:sz="4" w:space="0" w:color="auto"/>
              <w:right w:val="nil"/>
            </w:tcBorders>
            <w:shd w:val="clear" w:color="auto" w:fill="auto"/>
          </w:tcPr>
          <w:p w14:paraId="40283611" w14:textId="77777777" w:rsidR="00180D0C" w:rsidRPr="00AF360A" w:rsidRDefault="00180D0C" w:rsidP="007D6AC6">
            <w:pPr>
              <w:pStyle w:val="TableHeader"/>
              <w:spacing w:before="0" w:after="0"/>
            </w:pPr>
          </w:p>
        </w:tc>
        <w:tc>
          <w:tcPr>
            <w:tcW w:w="163" w:type="pct"/>
            <w:tcBorders>
              <w:top w:val="nil"/>
              <w:left w:val="nil"/>
              <w:bottom w:val="nil"/>
              <w:right w:val="nil"/>
            </w:tcBorders>
          </w:tcPr>
          <w:p w14:paraId="61AF0E34" w14:textId="77777777" w:rsidR="00180D0C" w:rsidRDefault="00180D0C" w:rsidP="007D6AC6">
            <w:pPr>
              <w:pStyle w:val="TableHeader"/>
              <w:spacing w:before="0" w:after="0"/>
            </w:pPr>
          </w:p>
        </w:tc>
        <w:tc>
          <w:tcPr>
            <w:tcW w:w="4301" w:type="pct"/>
            <w:tcBorders>
              <w:left w:val="nil"/>
              <w:bottom w:val="single" w:sz="4" w:space="0" w:color="auto"/>
            </w:tcBorders>
            <w:shd w:val="clear" w:color="auto" w:fill="16145F"/>
          </w:tcPr>
          <w:p w14:paraId="13C0CD8A" w14:textId="77777777" w:rsidR="00180D0C" w:rsidRPr="00AF360A" w:rsidRDefault="00180D0C" w:rsidP="007D6AC6">
            <w:pPr>
              <w:pStyle w:val="TableHeader"/>
              <w:spacing w:before="0" w:after="0"/>
              <w:jc w:val="center"/>
            </w:pPr>
            <w:r>
              <w:t xml:space="preserve">Mandatory </w:t>
            </w:r>
            <w:r w:rsidRPr="00AF360A">
              <w:t>Element</w:t>
            </w:r>
            <w:r>
              <w:t>s</w:t>
            </w:r>
          </w:p>
        </w:tc>
      </w:tr>
      <w:tr w:rsidR="00180D0C" w:rsidRPr="00AF360A" w14:paraId="1247C1A5" w14:textId="77777777" w:rsidTr="007D6AC6">
        <w:tc>
          <w:tcPr>
            <w:tcW w:w="536" w:type="pct"/>
            <w:vMerge w:val="restart"/>
            <w:tcBorders>
              <w:right w:val="single" w:sz="4" w:space="0" w:color="auto"/>
            </w:tcBorders>
            <w:shd w:val="clear" w:color="auto" w:fill="auto"/>
            <w:textDirection w:val="btLr"/>
          </w:tcPr>
          <w:p w14:paraId="39920B41" w14:textId="77777777" w:rsidR="00180D0C" w:rsidRPr="00AF360A" w:rsidRDefault="00180D0C" w:rsidP="007D6AC6">
            <w:pPr>
              <w:pStyle w:val="TableText"/>
              <w:spacing w:before="0" w:after="0"/>
              <w:ind w:left="113" w:right="113"/>
              <w:jc w:val="center"/>
            </w:pPr>
            <w:r>
              <w:t>Performance</w:t>
            </w:r>
          </w:p>
        </w:tc>
        <w:tc>
          <w:tcPr>
            <w:tcW w:w="163" w:type="pct"/>
            <w:tcBorders>
              <w:top w:val="nil"/>
              <w:left w:val="single" w:sz="4" w:space="0" w:color="auto"/>
              <w:bottom w:val="nil"/>
              <w:right w:val="single" w:sz="4" w:space="0" w:color="auto"/>
            </w:tcBorders>
          </w:tcPr>
          <w:p w14:paraId="32C69C26"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086127FD" w14:textId="77777777" w:rsidR="00180D0C" w:rsidRPr="00AF360A" w:rsidRDefault="00180D0C" w:rsidP="007D6AC6">
            <w:pPr>
              <w:pStyle w:val="TableText"/>
              <w:spacing w:before="0" w:after="0"/>
            </w:pPr>
            <w:r w:rsidRPr="00AF360A">
              <w:t>Timeliness</w:t>
            </w:r>
          </w:p>
        </w:tc>
      </w:tr>
      <w:tr w:rsidR="00180D0C" w:rsidRPr="00AF360A" w14:paraId="1FE30551" w14:textId="77777777" w:rsidTr="007D6AC6">
        <w:tc>
          <w:tcPr>
            <w:tcW w:w="536" w:type="pct"/>
            <w:vMerge/>
            <w:tcBorders>
              <w:right w:val="single" w:sz="4" w:space="0" w:color="auto"/>
            </w:tcBorders>
            <w:shd w:val="clear" w:color="auto" w:fill="auto"/>
          </w:tcPr>
          <w:p w14:paraId="65DC9B46"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5B3DBF71"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6AE64B48" w14:textId="77777777" w:rsidR="00180D0C" w:rsidRPr="00AF360A" w:rsidRDefault="00180D0C" w:rsidP="007D6AC6">
            <w:pPr>
              <w:pStyle w:val="TableText"/>
              <w:spacing w:before="0" w:after="0"/>
            </w:pPr>
            <w:r w:rsidRPr="00AF360A">
              <w:t>Risk-based strategies</w:t>
            </w:r>
          </w:p>
        </w:tc>
      </w:tr>
      <w:tr w:rsidR="00180D0C" w:rsidRPr="00AF360A" w14:paraId="1851D917" w14:textId="77777777" w:rsidTr="007D6AC6">
        <w:tc>
          <w:tcPr>
            <w:tcW w:w="536" w:type="pct"/>
            <w:vMerge/>
            <w:tcBorders>
              <w:right w:val="single" w:sz="4" w:space="0" w:color="auto"/>
            </w:tcBorders>
            <w:shd w:val="clear" w:color="auto" w:fill="auto"/>
          </w:tcPr>
          <w:p w14:paraId="634FA727"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01CC5BE3"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17EDC957" w14:textId="77777777" w:rsidR="00180D0C" w:rsidRPr="00AF360A" w:rsidRDefault="00180D0C" w:rsidP="007D6AC6">
            <w:pPr>
              <w:pStyle w:val="TableText"/>
              <w:spacing w:before="0" w:after="0"/>
            </w:pPr>
            <w:r w:rsidRPr="00AF360A">
              <w:t>Compliance-related assistance and advice</w:t>
            </w:r>
          </w:p>
        </w:tc>
      </w:tr>
      <w:tr w:rsidR="00180D0C" w:rsidRPr="00C3406C" w14:paraId="0CB0A960" w14:textId="77777777" w:rsidTr="007D6AC6">
        <w:tc>
          <w:tcPr>
            <w:tcW w:w="536" w:type="pct"/>
            <w:vMerge/>
            <w:tcBorders>
              <w:right w:val="single" w:sz="4" w:space="0" w:color="auto"/>
            </w:tcBorders>
            <w:shd w:val="clear" w:color="auto" w:fill="auto"/>
          </w:tcPr>
          <w:p w14:paraId="1702009A" w14:textId="77777777" w:rsidR="00180D0C" w:rsidRPr="00AF360A" w:rsidRDefault="00180D0C" w:rsidP="007D6AC6">
            <w:pPr>
              <w:pStyle w:val="TableText"/>
              <w:spacing w:before="0" w:after="0"/>
            </w:pPr>
          </w:p>
        </w:tc>
        <w:tc>
          <w:tcPr>
            <w:tcW w:w="163" w:type="pct"/>
            <w:tcBorders>
              <w:top w:val="nil"/>
              <w:left w:val="single" w:sz="4" w:space="0" w:color="auto"/>
              <w:bottom w:val="nil"/>
              <w:right w:val="nil"/>
            </w:tcBorders>
          </w:tcPr>
          <w:p w14:paraId="42DDE518" w14:textId="77777777" w:rsidR="00180D0C" w:rsidRPr="00C3406C" w:rsidRDefault="00180D0C" w:rsidP="007D6AC6">
            <w:pPr>
              <w:pStyle w:val="TableText"/>
              <w:spacing w:before="0" w:after="0"/>
              <w:rPr>
                <w:b/>
              </w:rPr>
            </w:pPr>
          </w:p>
        </w:tc>
        <w:tc>
          <w:tcPr>
            <w:tcW w:w="4301" w:type="pct"/>
            <w:tcBorders>
              <w:left w:val="nil"/>
              <w:bottom w:val="single" w:sz="4" w:space="0" w:color="auto"/>
            </w:tcBorders>
            <w:shd w:val="clear" w:color="auto" w:fill="16145F"/>
          </w:tcPr>
          <w:p w14:paraId="55AA98B1" w14:textId="77777777" w:rsidR="00180D0C" w:rsidRPr="006D3CC8" w:rsidRDefault="00180D0C" w:rsidP="007D6AC6">
            <w:pPr>
              <w:pStyle w:val="TableText"/>
              <w:spacing w:before="0" w:after="0"/>
              <w:jc w:val="center"/>
              <w:rPr>
                <w:b/>
                <w:sz w:val="20"/>
                <w:szCs w:val="20"/>
              </w:rPr>
            </w:pPr>
            <w:r w:rsidRPr="006D3CC8">
              <w:rPr>
                <w:b/>
                <w:sz w:val="20"/>
                <w:szCs w:val="20"/>
              </w:rPr>
              <w:t>Recommended Elements</w:t>
            </w:r>
          </w:p>
        </w:tc>
      </w:tr>
      <w:tr w:rsidR="00180D0C" w:rsidRPr="00AF360A" w14:paraId="74BB5EE6" w14:textId="77777777" w:rsidTr="007D6AC6">
        <w:tc>
          <w:tcPr>
            <w:tcW w:w="536" w:type="pct"/>
            <w:vMerge/>
            <w:tcBorders>
              <w:right w:val="single" w:sz="4" w:space="0" w:color="auto"/>
            </w:tcBorders>
            <w:shd w:val="clear" w:color="auto" w:fill="auto"/>
          </w:tcPr>
          <w:p w14:paraId="705E9101"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76EDB7FD"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18B86304" w14:textId="77777777" w:rsidR="00180D0C" w:rsidRPr="00AF360A" w:rsidRDefault="00180D0C" w:rsidP="007D6AC6">
            <w:pPr>
              <w:pStyle w:val="TableText"/>
              <w:spacing w:before="0" w:after="0"/>
            </w:pPr>
            <w:r w:rsidRPr="00AF360A">
              <w:t>Incentive-based regulation</w:t>
            </w:r>
          </w:p>
        </w:tc>
      </w:tr>
      <w:tr w:rsidR="00180D0C" w:rsidRPr="00C3406C" w14:paraId="3907369F" w14:textId="77777777" w:rsidTr="007D6AC6">
        <w:tc>
          <w:tcPr>
            <w:tcW w:w="536" w:type="pct"/>
            <w:vMerge/>
            <w:tcBorders>
              <w:right w:val="single" w:sz="4" w:space="0" w:color="auto"/>
            </w:tcBorders>
            <w:shd w:val="clear" w:color="auto" w:fill="auto"/>
          </w:tcPr>
          <w:p w14:paraId="5334A493" w14:textId="77777777" w:rsidR="00180D0C" w:rsidRPr="00AF360A" w:rsidRDefault="00180D0C" w:rsidP="007D6AC6">
            <w:pPr>
              <w:pStyle w:val="TableText"/>
              <w:spacing w:before="0" w:after="0"/>
            </w:pPr>
          </w:p>
        </w:tc>
        <w:tc>
          <w:tcPr>
            <w:tcW w:w="163" w:type="pct"/>
            <w:tcBorders>
              <w:top w:val="nil"/>
              <w:left w:val="single" w:sz="4" w:space="0" w:color="auto"/>
              <w:bottom w:val="nil"/>
              <w:right w:val="nil"/>
            </w:tcBorders>
          </w:tcPr>
          <w:p w14:paraId="259A8188" w14:textId="77777777" w:rsidR="00180D0C" w:rsidRPr="00C3406C" w:rsidRDefault="00180D0C" w:rsidP="007D6AC6">
            <w:pPr>
              <w:pStyle w:val="TableText"/>
              <w:spacing w:before="0" w:after="0"/>
              <w:rPr>
                <w:b/>
              </w:rPr>
            </w:pPr>
          </w:p>
        </w:tc>
        <w:tc>
          <w:tcPr>
            <w:tcW w:w="4301" w:type="pct"/>
            <w:tcBorders>
              <w:left w:val="nil"/>
              <w:bottom w:val="single" w:sz="4" w:space="0" w:color="auto"/>
            </w:tcBorders>
            <w:shd w:val="clear" w:color="auto" w:fill="16145F"/>
          </w:tcPr>
          <w:p w14:paraId="336807FD" w14:textId="77777777" w:rsidR="00180D0C" w:rsidRPr="006D3CC8" w:rsidRDefault="00180D0C" w:rsidP="007D6AC6">
            <w:pPr>
              <w:pStyle w:val="TableText"/>
              <w:spacing w:before="0" w:after="0"/>
              <w:jc w:val="center"/>
              <w:rPr>
                <w:b/>
                <w:sz w:val="20"/>
                <w:szCs w:val="20"/>
              </w:rPr>
            </w:pPr>
            <w:r w:rsidRPr="006D3CC8">
              <w:rPr>
                <w:b/>
                <w:sz w:val="20"/>
                <w:szCs w:val="20"/>
              </w:rPr>
              <w:t>Suggested Elements</w:t>
            </w:r>
          </w:p>
        </w:tc>
      </w:tr>
      <w:tr w:rsidR="00180D0C" w:rsidRPr="00AF360A" w14:paraId="01ABF4A3" w14:textId="77777777" w:rsidTr="007D6AC6">
        <w:tc>
          <w:tcPr>
            <w:tcW w:w="536" w:type="pct"/>
            <w:vMerge/>
            <w:tcBorders>
              <w:bottom w:val="single" w:sz="4" w:space="0" w:color="auto"/>
              <w:right w:val="single" w:sz="4" w:space="0" w:color="auto"/>
            </w:tcBorders>
            <w:shd w:val="clear" w:color="auto" w:fill="auto"/>
          </w:tcPr>
          <w:p w14:paraId="64C75710"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4E63F0D4"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6B1AE40F" w14:textId="77777777" w:rsidR="00180D0C" w:rsidRPr="00AF360A" w:rsidRDefault="00180D0C" w:rsidP="007D6AC6">
            <w:pPr>
              <w:pStyle w:val="TableText"/>
              <w:spacing w:before="0" w:after="0"/>
            </w:pPr>
            <w:r w:rsidRPr="00AF360A">
              <w:t>Clear and consistent regulatory activities</w:t>
            </w:r>
          </w:p>
        </w:tc>
      </w:tr>
      <w:tr w:rsidR="00180D0C" w:rsidRPr="00AF360A" w14:paraId="78BB08C5" w14:textId="77777777" w:rsidTr="007D6AC6">
        <w:tc>
          <w:tcPr>
            <w:tcW w:w="536" w:type="pct"/>
            <w:vMerge w:val="restart"/>
            <w:tcBorders>
              <w:top w:val="single" w:sz="4" w:space="0" w:color="auto"/>
              <w:right w:val="single" w:sz="4" w:space="0" w:color="auto"/>
            </w:tcBorders>
            <w:shd w:val="clear" w:color="auto" w:fill="auto"/>
            <w:textDirection w:val="btLr"/>
          </w:tcPr>
          <w:p w14:paraId="3CD4B4F5" w14:textId="77777777" w:rsidR="00180D0C" w:rsidRPr="00AF360A" w:rsidRDefault="00180D0C" w:rsidP="007D6AC6">
            <w:pPr>
              <w:pStyle w:val="TableText"/>
              <w:spacing w:before="0" w:after="0"/>
              <w:ind w:left="113" w:right="113"/>
              <w:jc w:val="center"/>
            </w:pPr>
            <w:r>
              <w:t>Governance</w:t>
            </w:r>
          </w:p>
        </w:tc>
        <w:tc>
          <w:tcPr>
            <w:tcW w:w="163" w:type="pct"/>
            <w:tcBorders>
              <w:top w:val="nil"/>
              <w:left w:val="single" w:sz="4" w:space="0" w:color="auto"/>
              <w:bottom w:val="nil"/>
              <w:right w:val="single" w:sz="4" w:space="0" w:color="auto"/>
            </w:tcBorders>
          </w:tcPr>
          <w:p w14:paraId="472EE722"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6D65E2CF" w14:textId="77777777" w:rsidR="00180D0C" w:rsidRPr="00AF360A" w:rsidRDefault="00180D0C" w:rsidP="007D6AC6">
            <w:pPr>
              <w:pStyle w:val="TableText"/>
              <w:spacing w:before="0" w:after="0"/>
            </w:pPr>
            <w:r w:rsidRPr="00AF360A">
              <w:t>Role Clarity</w:t>
            </w:r>
          </w:p>
        </w:tc>
      </w:tr>
      <w:tr w:rsidR="00180D0C" w:rsidRPr="00AF360A" w14:paraId="62F00B71" w14:textId="77777777" w:rsidTr="007D6AC6">
        <w:tc>
          <w:tcPr>
            <w:tcW w:w="536" w:type="pct"/>
            <w:vMerge/>
            <w:tcBorders>
              <w:right w:val="single" w:sz="4" w:space="0" w:color="auto"/>
            </w:tcBorders>
            <w:shd w:val="clear" w:color="auto" w:fill="auto"/>
          </w:tcPr>
          <w:p w14:paraId="3A4C6B39"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20BA34B6"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2284FD24" w14:textId="77777777" w:rsidR="00180D0C" w:rsidRPr="00AF360A" w:rsidRDefault="00180D0C" w:rsidP="007D6AC6">
            <w:pPr>
              <w:pStyle w:val="TableText"/>
              <w:spacing w:before="0" w:after="0"/>
            </w:pPr>
            <w:r w:rsidRPr="00AF360A">
              <w:t>Cooperation amongst regulators</w:t>
            </w:r>
          </w:p>
        </w:tc>
      </w:tr>
      <w:tr w:rsidR="00180D0C" w:rsidRPr="00AF360A" w14:paraId="2A94C256" w14:textId="77777777" w:rsidTr="007D6AC6">
        <w:tc>
          <w:tcPr>
            <w:tcW w:w="536" w:type="pct"/>
            <w:vMerge/>
            <w:tcBorders>
              <w:right w:val="single" w:sz="4" w:space="0" w:color="auto"/>
            </w:tcBorders>
            <w:shd w:val="clear" w:color="auto" w:fill="auto"/>
          </w:tcPr>
          <w:p w14:paraId="2DF3E530"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00AC34F0"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69778E23" w14:textId="77777777" w:rsidR="00180D0C" w:rsidRPr="00AF360A" w:rsidRDefault="00180D0C" w:rsidP="007D6AC6">
            <w:pPr>
              <w:pStyle w:val="TableText"/>
              <w:spacing w:before="0" w:after="0"/>
            </w:pPr>
            <w:r w:rsidRPr="00AF360A">
              <w:t>Stakeholder consultation and engagement</w:t>
            </w:r>
          </w:p>
        </w:tc>
      </w:tr>
      <w:tr w:rsidR="00180D0C" w:rsidRPr="00AF360A" w14:paraId="6D2BFB10" w14:textId="77777777" w:rsidTr="00871606">
        <w:trPr>
          <w:trHeight w:val="606"/>
        </w:trPr>
        <w:tc>
          <w:tcPr>
            <w:tcW w:w="536" w:type="pct"/>
            <w:vMerge/>
            <w:tcBorders>
              <w:right w:val="single" w:sz="4" w:space="0" w:color="auto"/>
            </w:tcBorders>
            <w:shd w:val="clear" w:color="auto" w:fill="auto"/>
          </w:tcPr>
          <w:p w14:paraId="27F03895" w14:textId="77777777" w:rsidR="00180D0C" w:rsidRPr="00AF360A" w:rsidRDefault="00180D0C" w:rsidP="007D6AC6">
            <w:pPr>
              <w:pStyle w:val="TableText"/>
              <w:spacing w:before="0" w:after="0"/>
            </w:pPr>
          </w:p>
        </w:tc>
        <w:tc>
          <w:tcPr>
            <w:tcW w:w="163" w:type="pct"/>
            <w:tcBorders>
              <w:top w:val="nil"/>
              <w:left w:val="single" w:sz="4" w:space="0" w:color="auto"/>
              <w:bottom w:val="nil"/>
              <w:right w:val="single" w:sz="4" w:space="0" w:color="auto"/>
            </w:tcBorders>
          </w:tcPr>
          <w:p w14:paraId="45B76FB7" w14:textId="77777777" w:rsidR="00180D0C" w:rsidRPr="00AF360A" w:rsidRDefault="00180D0C" w:rsidP="007D6AC6">
            <w:pPr>
              <w:pStyle w:val="TableText"/>
              <w:spacing w:before="0" w:after="0"/>
            </w:pPr>
          </w:p>
        </w:tc>
        <w:tc>
          <w:tcPr>
            <w:tcW w:w="4301" w:type="pct"/>
            <w:tcBorders>
              <w:left w:val="single" w:sz="4" w:space="0" w:color="auto"/>
            </w:tcBorders>
            <w:shd w:val="clear" w:color="auto" w:fill="auto"/>
          </w:tcPr>
          <w:p w14:paraId="2945932D" w14:textId="77777777" w:rsidR="00180D0C" w:rsidRPr="00AF360A" w:rsidRDefault="00180D0C" w:rsidP="007D6AC6">
            <w:pPr>
              <w:pStyle w:val="TableText"/>
              <w:spacing w:before="0" w:after="0"/>
            </w:pPr>
            <w:r w:rsidRPr="00AF360A">
              <w:t>Accountability and transparency</w:t>
            </w:r>
          </w:p>
        </w:tc>
      </w:tr>
    </w:tbl>
    <w:p w14:paraId="4B4B8D39" w14:textId="77777777" w:rsidR="00180D0C" w:rsidRPr="00E0125B" w:rsidRDefault="00180D0C" w:rsidP="00180D0C">
      <w:pPr>
        <w:pStyle w:val="DJRbodyaftertablefigure"/>
      </w:pPr>
      <w:bookmarkStart w:id="7" w:name="_Toc521391717"/>
      <w:bookmarkEnd w:id="5"/>
      <w:r w:rsidRPr="00E0125B">
        <w:lastRenderedPageBreak/>
        <w:t xml:space="preserve">The SOE Framework </w:t>
      </w:r>
      <w:r>
        <w:t>requires</w:t>
      </w:r>
      <w:r w:rsidRPr="00E0125B">
        <w:t xml:space="preserve"> the </w:t>
      </w:r>
      <w:r>
        <w:t xml:space="preserve">preparation of the </w:t>
      </w:r>
      <w:r w:rsidRPr="00E0125B">
        <w:t>SOE letter, the regulator response and the evaluation report.</w:t>
      </w:r>
    </w:p>
    <w:p w14:paraId="2C7599A7" w14:textId="77777777" w:rsidR="00180D0C" w:rsidRPr="00C31888" w:rsidRDefault="00180D0C" w:rsidP="00180D0C">
      <w:pPr>
        <w:pStyle w:val="DJRbodyafterbullets"/>
      </w:pPr>
      <w:r>
        <w:t>In developing the SOE letter, government departments consult with regulators to identify key elements of good regulatory practice, and develop</w:t>
      </w:r>
      <w:r w:rsidRPr="00C31888">
        <w:t>:</w:t>
      </w:r>
    </w:p>
    <w:p w14:paraId="36945C42" w14:textId="77777777" w:rsidR="00180D0C" w:rsidRPr="00C31888" w:rsidRDefault="00180D0C" w:rsidP="00180D0C">
      <w:pPr>
        <w:pStyle w:val="DJRbullet1"/>
      </w:pPr>
      <w:r>
        <w:t>a</w:t>
      </w:r>
      <w:r w:rsidRPr="00C31888">
        <w:t xml:space="preserve"> self</w:t>
      </w:r>
      <w:r w:rsidRPr="00C31888">
        <w:noBreakHyphen/>
        <w:t>assessment against the elements of good regulatory practice being undertaken in order to establish a b</w:t>
      </w:r>
      <w:r>
        <w:t>aseline of current performance</w:t>
      </w:r>
    </w:p>
    <w:p w14:paraId="74A4197A" w14:textId="77777777" w:rsidR="00180D0C" w:rsidRPr="00C31888" w:rsidRDefault="00180D0C" w:rsidP="00180D0C">
      <w:pPr>
        <w:pStyle w:val="DJRbullet1"/>
      </w:pPr>
      <w:proofErr w:type="gramStart"/>
      <w:r>
        <w:rPr>
          <w:bCs/>
        </w:rPr>
        <w:t>a</w:t>
      </w:r>
      <w:proofErr w:type="gramEnd"/>
      <w:r w:rsidRPr="00C31888">
        <w:rPr>
          <w:bCs/>
        </w:rPr>
        <w:t xml:space="preserve"> Good Regulatory Practice Plan, </w:t>
      </w:r>
      <w:r w:rsidRPr="00C31888">
        <w:t xml:space="preserve">focusing on </w:t>
      </w:r>
      <w:r>
        <w:t>elements</w:t>
      </w:r>
      <w:r w:rsidRPr="00C31888">
        <w:t xml:space="preserve"> identified in the self</w:t>
      </w:r>
      <w:r w:rsidRPr="00C31888">
        <w:noBreakHyphen/>
        <w:t>assessment</w:t>
      </w:r>
      <w:r>
        <w:t xml:space="preserve"> </w:t>
      </w:r>
      <w:r w:rsidRPr="00C31888">
        <w:t xml:space="preserve">as having the greatest </w:t>
      </w:r>
      <w:r>
        <w:t>opportunity for improvement.</w:t>
      </w:r>
    </w:p>
    <w:p w14:paraId="567264CA" w14:textId="77777777" w:rsidR="00180D0C" w:rsidRDefault="00180D0C" w:rsidP="00180D0C">
      <w:pPr>
        <w:pStyle w:val="DJRbodyafterbullets"/>
      </w:pPr>
      <w:r>
        <w:t xml:space="preserve">The regulator then prepares SOE targets for their minister’s consideration using the SOE Framework and Guidelines. </w:t>
      </w:r>
    </w:p>
    <w:p w14:paraId="7D9182CE" w14:textId="77777777" w:rsidR="00180D0C" w:rsidRPr="00C31888" w:rsidRDefault="00180D0C" w:rsidP="00180D0C">
      <w:pPr>
        <w:pStyle w:val="DJRbodyafterbullets"/>
      </w:pPr>
      <w:r>
        <w:t xml:space="preserve">Based on consultation with the regulator, the minister identifies key areas of governance and operational performance where there are opportunities for the regulator to make improvements that would reduce cost impacts on business. The minister sends an SOE letter </w:t>
      </w:r>
      <w:r w:rsidRPr="00C31888">
        <w:t xml:space="preserve">to each regulator, </w:t>
      </w:r>
      <w:r>
        <w:t>asking it to respond with activities it will undertake to achieve specified performance improvements and targets.</w:t>
      </w:r>
    </w:p>
    <w:p w14:paraId="5254087A" w14:textId="04462D64" w:rsidR="00180D0C" w:rsidRDefault="00180D0C" w:rsidP="00180D0C">
      <w:pPr>
        <w:pStyle w:val="DJRbody"/>
      </w:pPr>
      <w:r>
        <w:t xml:space="preserve">The regulator develops its response, consulting with business and the broader community (as appropriate) outlining how it will achieve the required improvements and targets. The response details the actions that </w:t>
      </w:r>
      <w:proofErr w:type="gramStart"/>
      <w:r>
        <w:t>will be taken</w:t>
      </w:r>
      <w:proofErr w:type="gramEnd"/>
      <w:r>
        <w:t xml:space="preserve"> to meet the ministerial expectations and performance targets, and is published on the regulator</w:t>
      </w:r>
      <w:r w:rsidR="00122DDC">
        <w:t>’</w:t>
      </w:r>
      <w:r>
        <w:t>s website, with progress reports provided regularly through corporate planning and annual financial reporting cycles.</w:t>
      </w:r>
    </w:p>
    <w:p w14:paraId="38FA88FA" w14:textId="77777777" w:rsidR="00F95057" w:rsidRDefault="006D2AD0" w:rsidP="009A2D55">
      <w:pPr>
        <w:pStyle w:val="Heading2"/>
      </w:pPr>
      <w:bookmarkStart w:id="8" w:name="_Toc533678778"/>
      <w:bookmarkEnd w:id="7"/>
      <w:r>
        <w:t>Consumer Affairs Victoria</w:t>
      </w:r>
      <w:bookmarkEnd w:id="8"/>
    </w:p>
    <w:p w14:paraId="64F8BC66" w14:textId="77777777" w:rsidR="001A49A6" w:rsidRPr="00D44B83" w:rsidRDefault="001A49A6" w:rsidP="001A49A6">
      <w:pPr>
        <w:pStyle w:val="DJRbody"/>
      </w:pPr>
      <w:r>
        <w:t>CAV</w:t>
      </w:r>
      <w:r w:rsidRPr="00D44B83">
        <w:t xml:space="preserve"> is a business unit of </w:t>
      </w:r>
      <w:r>
        <w:t>DJCS</w:t>
      </w:r>
      <w:r w:rsidRPr="00D44B83">
        <w:t xml:space="preserve">, </w:t>
      </w:r>
      <w:r>
        <w:t>within the Victorian government, and is Victor</w:t>
      </w:r>
      <w:r w:rsidRPr="00D44B83">
        <w:t>i</w:t>
      </w:r>
      <w:r>
        <w:t>a’s consumer affairs regulator, with the following key functions:</w:t>
      </w:r>
    </w:p>
    <w:p w14:paraId="35608419" w14:textId="77777777" w:rsidR="001A49A6" w:rsidRPr="00D44B83" w:rsidRDefault="001A49A6" w:rsidP="001A49A6">
      <w:pPr>
        <w:pStyle w:val="DJRbullet1"/>
      </w:pPr>
      <w:r w:rsidRPr="00D44B83">
        <w:t xml:space="preserve">review and advise the state government on consumer legislation and industry codes </w:t>
      </w:r>
    </w:p>
    <w:p w14:paraId="52B89443" w14:textId="77777777" w:rsidR="001A49A6" w:rsidRPr="00D44B83" w:rsidRDefault="001A49A6" w:rsidP="001A49A6">
      <w:pPr>
        <w:pStyle w:val="DJRbullet1"/>
      </w:pPr>
      <w:r w:rsidRPr="00D44B83">
        <w:t>advise and educate consumers, tenants, businesses and landlords on their rights, responsibilities and changes to the law </w:t>
      </w:r>
    </w:p>
    <w:p w14:paraId="0E1CBEBC" w14:textId="77777777" w:rsidR="001A49A6" w:rsidRPr="00D44B83" w:rsidRDefault="001A49A6" w:rsidP="001A49A6">
      <w:pPr>
        <w:pStyle w:val="DJRbullet1"/>
      </w:pPr>
      <w:r w:rsidRPr="00D44B83">
        <w:t>register and license businesses and occupations </w:t>
      </w:r>
    </w:p>
    <w:p w14:paraId="7FCDF774" w14:textId="77777777" w:rsidR="001A49A6" w:rsidRPr="00D44B83" w:rsidRDefault="001A49A6" w:rsidP="001A49A6">
      <w:pPr>
        <w:pStyle w:val="DJRbullet1"/>
      </w:pPr>
      <w:r>
        <w:t xml:space="preserve">conciliate disputes </w:t>
      </w:r>
      <w:r w:rsidRPr="00D44B83">
        <w:t>between consumers and traders, and tenants and landlords</w:t>
      </w:r>
      <w:r>
        <w:t xml:space="preserve"> </w:t>
      </w:r>
    </w:p>
    <w:p w14:paraId="1B9B1015" w14:textId="77777777" w:rsidR="001A49A6" w:rsidRDefault="001A49A6" w:rsidP="001A49A6">
      <w:pPr>
        <w:pStyle w:val="DJRbullet1"/>
      </w:pPr>
      <w:proofErr w:type="gramStart"/>
      <w:r w:rsidRPr="00D44B83">
        <w:t>enforce</w:t>
      </w:r>
      <w:proofErr w:type="gramEnd"/>
      <w:r w:rsidRPr="00D44B83">
        <w:t xml:space="preserve"> and ensure compliance with consumer laws.</w:t>
      </w:r>
    </w:p>
    <w:p w14:paraId="26C4C1AF" w14:textId="3399DE2A" w:rsidR="001A49A6" w:rsidRDefault="00775502" w:rsidP="001A49A6">
      <w:pPr>
        <w:pStyle w:val="DJRbodyafterbullets"/>
        <w:rPr>
          <w:lang w:eastAsia="en-AU"/>
        </w:rPr>
      </w:pPr>
      <w:r>
        <w:rPr>
          <w:rFonts w:ascii="Helv" w:hAnsi="Helv" w:cs="Helv"/>
          <w:color w:val="000000"/>
          <w:lang w:eastAsia="en-AU"/>
        </w:rPr>
        <w:t>In Victoria, CAV shares responsibility with ASIC for administering the Australian Consumer Law</w:t>
      </w:r>
      <w:r w:rsidR="001A49A6">
        <w:rPr>
          <w:lang w:eastAsia="en-AU"/>
        </w:rPr>
        <w:t xml:space="preserve">, which is a single, uniform national law covering consumer protection and fair trading. In Victoria, the Australian Consumer Law provisions are in the </w:t>
      </w:r>
      <w:r w:rsidR="001A49A6">
        <w:rPr>
          <w:i/>
          <w:iCs/>
          <w:lang w:eastAsia="en-AU"/>
        </w:rPr>
        <w:t>Australian Consumer Law and Fair Trading Act 2012</w:t>
      </w:r>
      <w:r w:rsidR="001A49A6">
        <w:rPr>
          <w:lang w:eastAsia="en-AU"/>
        </w:rPr>
        <w:t xml:space="preserve"> (ACLFTA).</w:t>
      </w:r>
    </w:p>
    <w:p w14:paraId="35577D9F" w14:textId="77777777" w:rsidR="00EB2749" w:rsidRDefault="00A35812" w:rsidP="00A35812">
      <w:pPr>
        <w:pStyle w:val="Heading3"/>
      </w:pPr>
      <w:r>
        <w:t xml:space="preserve">CAV </w:t>
      </w:r>
      <w:r w:rsidR="004416C7">
        <w:t>Statement of Expectations</w:t>
      </w:r>
    </w:p>
    <w:p w14:paraId="787B0B0F" w14:textId="27AFD39C" w:rsidR="004416C7" w:rsidRDefault="004416C7" w:rsidP="004416C7">
      <w:pPr>
        <w:pStyle w:val="DJRbody"/>
      </w:pPr>
      <w:r>
        <w:t xml:space="preserve">On 28 June 2017, the Minister for Consumer Affairs, Gaming and Liquor Regulation </w:t>
      </w:r>
      <w:r w:rsidR="00CF491C">
        <w:t xml:space="preserve">(the </w:t>
      </w:r>
      <w:r w:rsidR="00CE2DD6">
        <w:t>m</w:t>
      </w:r>
      <w:r w:rsidR="00CF491C">
        <w:t xml:space="preserve">inister) </w:t>
      </w:r>
      <w:r w:rsidR="00217C13">
        <w:t xml:space="preserve">wrote to CAV, </w:t>
      </w:r>
      <w:r w:rsidR="00180D0C">
        <w:t xml:space="preserve">setting out </w:t>
      </w:r>
      <w:r w:rsidR="00CE2DD6">
        <w:t xml:space="preserve">her </w:t>
      </w:r>
      <w:r w:rsidR="00180D0C">
        <w:t xml:space="preserve">expectations and requesting the activities that CAV would undertake to achieve performance improvements and targets. CAV responded to the </w:t>
      </w:r>
      <w:r w:rsidR="00D835AB">
        <w:t>m</w:t>
      </w:r>
      <w:r w:rsidR="00013678">
        <w:t>inister’s</w:t>
      </w:r>
      <w:r w:rsidR="00180D0C">
        <w:t xml:space="preserve"> letter and published its response on the CAV website:</w:t>
      </w:r>
    </w:p>
    <w:tbl>
      <w:tblPr>
        <w:tblStyle w:val="DJRReporttablestyleNavy"/>
        <w:tblW w:w="0" w:type="auto"/>
        <w:tblLook w:val="01E0" w:firstRow="1" w:lastRow="1" w:firstColumn="1" w:lastColumn="1" w:noHBand="0" w:noVBand="0"/>
      </w:tblPr>
      <w:tblGrid>
        <w:gridCol w:w="5214"/>
        <w:gridCol w:w="4300"/>
      </w:tblGrid>
      <w:tr w:rsidR="00180D0C" w:rsidRPr="004045DD" w14:paraId="469AC74B" w14:textId="77777777" w:rsidTr="007D6AC6">
        <w:trPr>
          <w:cnfStyle w:val="100000000000" w:firstRow="1" w:lastRow="0" w:firstColumn="0" w:lastColumn="0" w:oddVBand="0" w:evenVBand="0" w:oddHBand="0" w:evenHBand="0" w:firstRowFirstColumn="0" w:firstRowLastColumn="0" w:lastRowFirstColumn="0" w:lastRowLastColumn="0"/>
        </w:trPr>
        <w:tc>
          <w:tcPr>
            <w:tcW w:w="0" w:type="auto"/>
            <w:gridSpan w:val="2"/>
          </w:tcPr>
          <w:p w14:paraId="4878351F" w14:textId="27624A00" w:rsidR="00180D0C" w:rsidRPr="004045DD" w:rsidRDefault="00180D0C" w:rsidP="007D6AC6">
            <w:pPr>
              <w:pStyle w:val="BodyText-List"/>
              <w:numPr>
                <w:ilvl w:val="0"/>
                <w:numId w:val="0"/>
              </w:numPr>
              <w:spacing w:after="60"/>
              <w:ind w:left="63"/>
              <w:rPr>
                <w:sz w:val="18"/>
                <w:szCs w:val="18"/>
              </w:rPr>
            </w:pPr>
            <w:r>
              <w:rPr>
                <w:sz w:val="18"/>
                <w:szCs w:val="18"/>
              </w:rPr>
              <w:t>Timeliness</w:t>
            </w:r>
          </w:p>
        </w:tc>
      </w:tr>
      <w:tr w:rsidR="00217C13" w:rsidRPr="004045DD" w14:paraId="17D80DA3" w14:textId="77777777" w:rsidTr="00180D0C">
        <w:tc>
          <w:tcPr>
            <w:tcW w:w="0" w:type="auto"/>
          </w:tcPr>
          <w:p w14:paraId="2954563E" w14:textId="28E3203F" w:rsidR="00217C13" w:rsidRPr="007C0B92" w:rsidRDefault="00217C13" w:rsidP="007D6AC6">
            <w:pPr>
              <w:pStyle w:val="BodyText-List"/>
              <w:numPr>
                <w:ilvl w:val="0"/>
                <w:numId w:val="0"/>
              </w:numPr>
              <w:spacing w:after="60"/>
              <w:ind w:left="63"/>
              <w:rPr>
                <w:sz w:val="18"/>
                <w:szCs w:val="18"/>
              </w:rPr>
            </w:pPr>
            <w:r>
              <w:rPr>
                <w:sz w:val="18"/>
                <w:szCs w:val="18"/>
              </w:rPr>
              <w:t>Improvement strategies</w:t>
            </w:r>
          </w:p>
        </w:tc>
        <w:tc>
          <w:tcPr>
            <w:tcW w:w="0" w:type="auto"/>
          </w:tcPr>
          <w:p w14:paraId="237D454B" w14:textId="2C58E110" w:rsidR="00217C13" w:rsidRPr="004045DD" w:rsidRDefault="00217C13" w:rsidP="007D6AC6">
            <w:pPr>
              <w:pStyle w:val="BodyText-List"/>
              <w:numPr>
                <w:ilvl w:val="0"/>
                <w:numId w:val="0"/>
              </w:numPr>
              <w:spacing w:after="60"/>
              <w:ind w:left="63"/>
              <w:rPr>
                <w:sz w:val="18"/>
                <w:szCs w:val="18"/>
              </w:rPr>
            </w:pPr>
            <w:r>
              <w:rPr>
                <w:sz w:val="18"/>
                <w:szCs w:val="18"/>
              </w:rPr>
              <w:t>CAV Response</w:t>
            </w:r>
          </w:p>
        </w:tc>
      </w:tr>
      <w:tr w:rsidR="00180D0C" w:rsidRPr="004045DD" w14:paraId="25C5734B" w14:textId="77777777" w:rsidTr="00180D0C">
        <w:tc>
          <w:tcPr>
            <w:tcW w:w="0" w:type="auto"/>
          </w:tcPr>
          <w:p w14:paraId="2E715BBA" w14:textId="1F71891E" w:rsidR="00180D0C" w:rsidRPr="004045DD" w:rsidRDefault="00180D0C" w:rsidP="007D6AC6">
            <w:pPr>
              <w:pStyle w:val="BodyText-List"/>
              <w:numPr>
                <w:ilvl w:val="0"/>
                <w:numId w:val="0"/>
              </w:numPr>
              <w:spacing w:after="60"/>
              <w:ind w:left="63"/>
              <w:rPr>
                <w:sz w:val="18"/>
                <w:szCs w:val="18"/>
              </w:rPr>
            </w:pPr>
            <w:r w:rsidRPr="007C0B92">
              <w:rPr>
                <w:sz w:val="18"/>
                <w:szCs w:val="18"/>
              </w:rPr>
              <w:t xml:space="preserve">Make it easier for licensees and registrants to submit required data </w:t>
            </w:r>
            <w:r w:rsidR="00122DDC">
              <w:rPr>
                <w:sz w:val="18"/>
                <w:szCs w:val="18"/>
              </w:rPr>
              <w:t>on-line</w:t>
            </w:r>
            <w:r w:rsidRPr="007C0B92">
              <w:rPr>
                <w:sz w:val="18"/>
                <w:szCs w:val="18"/>
              </w:rPr>
              <w:t>,</w:t>
            </w:r>
            <w:r w:rsidRPr="004045DD">
              <w:rPr>
                <w:sz w:val="18"/>
                <w:szCs w:val="18"/>
              </w:rPr>
              <w:t xml:space="preserve"> check on their application status and remain compliant with their obligations</w:t>
            </w:r>
          </w:p>
        </w:tc>
        <w:tc>
          <w:tcPr>
            <w:tcW w:w="0" w:type="auto"/>
          </w:tcPr>
          <w:p w14:paraId="4DD8BEAB" w14:textId="77777777" w:rsidR="00180D0C" w:rsidRDefault="00180D0C" w:rsidP="007D6AC6">
            <w:pPr>
              <w:pStyle w:val="BodyText-List"/>
              <w:numPr>
                <w:ilvl w:val="0"/>
                <w:numId w:val="0"/>
              </w:numPr>
              <w:spacing w:after="60"/>
              <w:ind w:left="63"/>
              <w:rPr>
                <w:sz w:val="18"/>
                <w:szCs w:val="18"/>
              </w:rPr>
            </w:pPr>
            <w:r w:rsidRPr="004045DD">
              <w:rPr>
                <w:sz w:val="18"/>
                <w:szCs w:val="18"/>
              </w:rPr>
              <w:t>More efficient digital services</w:t>
            </w:r>
          </w:p>
          <w:p w14:paraId="0F1786A2" w14:textId="77777777" w:rsidR="00180D0C" w:rsidRPr="004045DD" w:rsidRDefault="00180D0C" w:rsidP="007D6AC6">
            <w:pPr>
              <w:pStyle w:val="BodyText-List"/>
              <w:tabs>
                <w:tab w:val="clear" w:pos="1190"/>
                <w:tab w:val="num" w:pos="459"/>
              </w:tabs>
              <w:spacing w:after="60"/>
              <w:ind w:left="459"/>
              <w:rPr>
                <w:sz w:val="18"/>
                <w:szCs w:val="18"/>
              </w:rPr>
            </w:pPr>
            <w:r w:rsidRPr="004045DD">
              <w:rPr>
                <w:sz w:val="18"/>
                <w:szCs w:val="18"/>
              </w:rPr>
              <w:t>Replace legacy systems with enterprise wide application</w:t>
            </w:r>
          </w:p>
          <w:p w14:paraId="1494A688" w14:textId="77777777" w:rsidR="00180D0C" w:rsidRPr="004045DD" w:rsidRDefault="00180D0C" w:rsidP="007D6AC6">
            <w:pPr>
              <w:pStyle w:val="BodyText-List"/>
              <w:tabs>
                <w:tab w:val="clear" w:pos="1190"/>
                <w:tab w:val="num" w:pos="459"/>
              </w:tabs>
              <w:spacing w:after="60"/>
              <w:ind w:left="459"/>
              <w:rPr>
                <w:sz w:val="18"/>
                <w:szCs w:val="18"/>
              </w:rPr>
            </w:pPr>
            <w:r w:rsidRPr="004045DD">
              <w:rPr>
                <w:sz w:val="18"/>
                <w:szCs w:val="18"/>
              </w:rPr>
              <w:t xml:space="preserve">Extend </w:t>
            </w:r>
            <w:proofErr w:type="spellStart"/>
            <w:r w:rsidRPr="004045DD">
              <w:rPr>
                <w:sz w:val="18"/>
                <w:szCs w:val="18"/>
              </w:rPr>
              <w:t>MyC</w:t>
            </w:r>
            <w:r>
              <w:rPr>
                <w:sz w:val="18"/>
                <w:szCs w:val="18"/>
              </w:rPr>
              <w:t>AV</w:t>
            </w:r>
            <w:proofErr w:type="spellEnd"/>
            <w:r w:rsidRPr="004045DD">
              <w:rPr>
                <w:sz w:val="18"/>
                <w:szCs w:val="18"/>
              </w:rPr>
              <w:t xml:space="preserve"> for licensing and registration transactions</w:t>
            </w:r>
          </w:p>
        </w:tc>
      </w:tr>
      <w:tr w:rsidR="00180D0C" w:rsidRPr="004045DD" w14:paraId="360DF61B" w14:textId="77777777" w:rsidTr="00180D0C">
        <w:tc>
          <w:tcPr>
            <w:tcW w:w="0" w:type="auto"/>
          </w:tcPr>
          <w:p w14:paraId="22E4CD74" w14:textId="77777777" w:rsidR="00180D0C" w:rsidRPr="004045DD" w:rsidRDefault="00180D0C" w:rsidP="007D6AC6">
            <w:pPr>
              <w:pStyle w:val="BodyText-List"/>
              <w:numPr>
                <w:ilvl w:val="0"/>
                <w:numId w:val="0"/>
              </w:numPr>
              <w:spacing w:after="60"/>
              <w:ind w:left="63"/>
              <w:rPr>
                <w:sz w:val="18"/>
                <w:szCs w:val="18"/>
              </w:rPr>
            </w:pPr>
            <w:r w:rsidRPr="004045DD">
              <w:rPr>
                <w:sz w:val="18"/>
                <w:szCs w:val="18"/>
              </w:rPr>
              <w:lastRenderedPageBreak/>
              <w:t>Expand use of the Residential Tenancies Bond Authority’s Electronic Transactions by property managers to make it easier to submit forms</w:t>
            </w:r>
          </w:p>
        </w:tc>
        <w:tc>
          <w:tcPr>
            <w:tcW w:w="0" w:type="auto"/>
          </w:tcPr>
          <w:p w14:paraId="3EAAA060" w14:textId="77777777" w:rsidR="00180D0C" w:rsidRDefault="00180D0C" w:rsidP="007D6AC6">
            <w:pPr>
              <w:pStyle w:val="BodyText-List"/>
              <w:numPr>
                <w:ilvl w:val="0"/>
                <w:numId w:val="0"/>
              </w:numPr>
              <w:spacing w:after="60"/>
              <w:ind w:left="168"/>
              <w:rPr>
                <w:rFonts w:ascii="SegoeUI" w:hAnsi="SegoeUI" w:cs="SegoeUI"/>
                <w:sz w:val="18"/>
                <w:szCs w:val="18"/>
                <w:lang w:eastAsia="en-AU"/>
              </w:rPr>
            </w:pPr>
            <w:r w:rsidRPr="004045DD">
              <w:rPr>
                <w:rFonts w:ascii="SegoeUI" w:hAnsi="SegoeUI" w:cs="SegoeUI"/>
                <w:sz w:val="18"/>
                <w:szCs w:val="18"/>
                <w:lang w:eastAsia="en-AU"/>
              </w:rPr>
              <w:t>New on-line service to replace five paper based processes for landlords and estate agents</w:t>
            </w:r>
          </w:p>
          <w:p w14:paraId="32D7566C" w14:textId="77777777" w:rsidR="00180D0C" w:rsidRPr="004045DD" w:rsidRDefault="00180D0C" w:rsidP="007D6AC6">
            <w:pPr>
              <w:pStyle w:val="BodyText-List"/>
              <w:tabs>
                <w:tab w:val="clear" w:pos="1190"/>
                <w:tab w:val="num" w:pos="459"/>
              </w:tabs>
              <w:spacing w:after="60"/>
              <w:ind w:left="459"/>
              <w:rPr>
                <w:sz w:val="18"/>
                <w:szCs w:val="18"/>
              </w:rPr>
            </w:pPr>
            <w:r>
              <w:rPr>
                <w:sz w:val="18"/>
                <w:szCs w:val="18"/>
              </w:rPr>
              <w:t>Reduced</w:t>
            </w:r>
            <w:r w:rsidRPr="004045DD">
              <w:rPr>
                <w:sz w:val="18"/>
                <w:szCs w:val="18"/>
              </w:rPr>
              <w:t xml:space="preserve"> paper based processes</w:t>
            </w:r>
          </w:p>
          <w:p w14:paraId="0A1B3505" w14:textId="77777777" w:rsidR="00180D0C" w:rsidRPr="004045DD" w:rsidRDefault="00180D0C" w:rsidP="007D6AC6">
            <w:pPr>
              <w:pStyle w:val="BodyText-List"/>
              <w:tabs>
                <w:tab w:val="clear" w:pos="1190"/>
                <w:tab w:val="num" w:pos="459"/>
              </w:tabs>
              <w:spacing w:after="60"/>
              <w:ind w:left="459"/>
              <w:rPr>
                <w:sz w:val="18"/>
                <w:szCs w:val="18"/>
              </w:rPr>
            </w:pPr>
            <w:r w:rsidRPr="004045DD">
              <w:rPr>
                <w:sz w:val="18"/>
                <w:szCs w:val="18"/>
              </w:rPr>
              <w:t xml:space="preserve">Education program </w:t>
            </w:r>
            <w:r>
              <w:rPr>
                <w:sz w:val="18"/>
                <w:szCs w:val="18"/>
              </w:rPr>
              <w:t>under development</w:t>
            </w:r>
          </w:p>
          <w:p w14:paraId="50CDB4BE" w14:textId="77777777" w:rsidR="00180D0C" w:rsidRPr="004045DD" w:rsidRDefault="00180D0C" w:rsidP="007D6AC6">
            <w:pPr>
              <w:pStyle w:val="BodyText-List"/>
              <w:tabs>
                <w:tab w:val="clear" w:pos="1190"/>
                <w:tab w:val="num" w:pos="459"/>
              </w:tabs>
              <w:spacing w:after="60"/>
              <w:ind w:left="459"/>
              <w:rPr>
                <w:sz w:val="18"/>
                <w:szCs w:val="18"/>
              </w:rPr>
            </w:pPr>
            <w:r w:rsidRPr="004045DD">
              <w:rPr>
                <w:sz w:val="18"/>
                <w:szCs w:val="18"/>
              </w:rPr>
              <w:t>New on-line system developed and launched</w:t>
            </w:r>
          </w:p>
          <w:p w14:paraId="7E9BB223" w14:textId="77777777" w:rsidR="00180D0C" w:rsidRPr="004045DD" w:rsidRDefault="00180D0C" w:rsidP="007D6AC6">
            <w:pPr>
              <w:pStyle w:val="BodyText-List"/>
              <w:tabs>
                <w:tab w:val="clear" w:pos="1190"/>
                <w:tab w:val="num" w:pos="459"/>
              </w:tabs>
              <w:spacing w:after="60"/>
              <w:ind w:left="459"/>
              <w:rPr>
                <w:rFonts w:ascii="SegoeUI" w:hAnsi="SegoeUI" w:cs="SegoeUI"/>
                <w:sz w:val="18"/>
                <w:szCs w:val="18"/>
                <w:lang w:eastAsia="en-AU"/>
              </w:rPr>
            </w:pPr>
            <w:r w:rsidRPr="004045DD">
              <w:rPr>
                <w:sz w:val="18"/>
                <w:szCs w:val="18"/>
              </w:rPr>
              <w:t>Current attitudes to e-transactions analysed and assessed</w:t>
            </w:r>
          </w:p>
        </w:tc>
      </w:tr>
      <w:tr w:rsidR="00180D0C" w:rsidRPr="00286D22" w14:paraId="27406674" w14:textId="77777777" w:rsidTr="00180D0C">
        <w:tc>
          <w:tcPr>
            <w:tcW w:w="0" w:type="auto"/>
          </w:tcPr>
          <w:p w14:paraId="562D005F" w14:textId="77777777" w:rsidR="00180D0C" w:rsidRPr="00286D22" w:rsidRDefault="00180D0C" w:rsidP="007D6AC6">
            <w:pPr>
              <w:pStyle w:val="BodyText-List"/>
              <w:numPr>
                <w:ilvl w:val="0"/>
                <w:numId w:val="0"/>
              </w:numPr>
              <w:spacing w:after="60"/>
              <w:ind w:left="63"/>
              <w:rPr>
                <w:sz w:val="18"/>
                <w:szCs w:val="18"/>
              </w:rPr>
            </w:pPr>
            <w:r w:rsidRPr="00286D22">
              <w:rPr>
                <w:sz w:val="18"/>
                <w:szCs w:val="18"/>
              </w:rPr>
              <w:t>Reduce red tape and duplicated reporting requirements for a range of not-for-profit incorporated associations and registered fundraisers</w:t>
            </w:r>
          </w:p>
        </w:tc>
        <w:tc>
          <w:tcPr>
            <w:tcW w:w="0" w:type="auto"/>
          </w:tcPr>
          <w:p w14:paraId="17741155" w14:textId="3CE5B5F2" w:rsidR="00180D0C" w:rsidRPr="00180D0C" w:rsidRDefault="00180D0C" w:rsidP="007D6AC6">
            <w:pPr>
              <w:pStyle w:val="BodyText-List"/>
              <w:numPr>
                <w:ilvl w:val="0"/>
                <w:numId w:val="0"/>
              </w:numPr>
              <w:spacing w:after="60"/>
              <w:ind w:left="168"/>
              <w:rPr>
                <w:rFonts w:ascii="SegoeUI" w:hAnsi="SegoeUI" w:cs="SegoeUI"/>
                <w:sz w:val="18"/>
                <w:szCs w:val="18"/>
                <w:lang w:eastAsia="en-AU"/>
              </w:rPr>
            </w:pPr>
            <w:r w:rsidRPr="00180D0C">
              <w:rPr>
                <w:rFonts w:ascii="SegoeUI" w:hAnsi="SegoeUI" w:cs="SegoeUI"/>
                <w:sz w:val="18"/>
                <w:szCs w:val="18"/>
                <w:lang w:eastAsia="en-AU"/>
              </w:rPr>
              <w:t xml:space="preserve">“Report </w:t>
            </w:r>
            <w:r w:rsidR="00E430EF">
              <w:rPr>
                <w:rFonts w:ascii="SegoeUI" w:hAnsi="SegoeUI" w:cs="SegoeUI"/>
                <w:sz w:val="18"/>
                <w:szCs w:val="18"/>
                <w:lang w:eastAsia="en-AU"/>
              </w:rPr>
              <w:t>o</w:t>
            </w:r>
            <w:r w:rsidRPr="00180D0C">
              <w:rPr>
                <w:rFonts w:ascii="SegoeUI" w:hAnsi="SegoeUI" w:cs="SegoeUI"/>
                <w:sz w:val="18"/>
                <w:szCs w:val="18"/>
                <w:lang w:eastAsia="en-AU"/>
              </w:rPr>
              <w:t>nce-</w:t>
            </w:r>
            <w:r w:rsidR="00E430EF">
              <w:rPr>
                <w:rFonts w:ascii="SegoeUI" w:hAnsi="SegoeUI" w:cs="SegoeUI"/>
                <w:sz w:val="18"/>
                <w:szCs w:val="18"/>
                <w:lang w:eastAsia="en-AU"/>
              </w:rPr>
              <w:t>u</w:t>
            </w:r>
            <w:r w:rsidRPr="00180D0C">
              <w:rPr>
                <w:rFonts w:ascii="SegoeUI" w:hAnsi="SegoeUI" w:cs="SegoeUI"/>
                <w:sz w:val="18"/>
                <w:szCs w:val="18"/>
                <w:lang w:eastAsia="en-AU"/>
              </w:rPr>
              <w:t xml:space="preserve">se </w:t>
            </w:r>
            <w:r w:rsidR="00E430EF">
              <w:rPr>
                <w:rFonts w:ascii="SegoeUI" w:hAnsi="SegoeUI" w:cs="SegoeUI"/>
                <w:sz w:val="18"/>
                <w:szCs w:val="18"/>
                <w:lang w:eastAsia="en-AU"/>
              </w:rPr>
              <w:t>o</w:t>
            </w:r>
            <w:r w:rsidRPr="00180D0C">
              <w:rPr>
                <w:rFonts w:ascii="SegoeUI" w:hAnsi="SegoeUI" w:cs="SegoeUI"/>
                <w:sz w:val="18"/>
                <w:szCs w:val="18"/>
                <w:lang w:eastAsia="en-AU"/>
              </w:rPr>
              <w:t>ften” approach to annual reporting requirements</w:t>
            </w:r>
          </w:p>
          <w:p w14:paraId="5AC9B508" w14:textId="3CFA7A94" w:rsidR="00180D0C" w:rsidRPr="00180D0C" w:rsidRDefault="00180D0C" w:rsidP="007D6AC6">
            <w:pPr>
              <w:pStyle w:val="BodyText-List"/>
              <w:tabs>
                <w:tab w:val="clear" w:pos="1190"/>
                <w:tab w:val="num" w:pos="459"/>
              </w:tabs>
              <w:spacing w:after="60"/>
              <w:ind w:left="459"/>
              <w:rPr>
                <w:rFonts w:ascii="SegoeUI" w:hAnsi="SegoeUI" w:cs="SegoeUI"/>
                <w:sz w:val="18"/>
                <w:szCs w:val="18"/>
                <w:lang w:eastAsia="en-AU"/>
              </w:rPr>
            </w:pPr>
            <w:r w:rsidRPr="00180D0C">
              <w:rPr>
                <w:rFonts w:ascii="SegoeUI" w:hAnsi="SegoeUI" w:cs="SegoeUI"/>
                <w:sz w:val="18"/>
                <w:szCs w:val="18"/>
                <w:lang w:eastAsia="en-AU"/>
              </w:rPr>
              <w:t>Education program</w:t>
            </w:r>
            <w:r w:rsidR="00122DDC">
              <w:rPr>
                <w:rFonts w:ascii="SegoeUI" w:hAnsi="SegoeUI" w:cs="SegoeUI"/>
                <w:sz w:val="18"/>
                <w:szCs w:val="18"/>
                <w:lang w:eastAsia="en-AU"/>
              </w:rPr>
              <w:t xml:space="preserve"> implemented for charities and n</w:t>
            </w:r>
            <w:r w:rsidRPr="00180D0C">
              <w:rPr>
                <w:rFonts w:ascii="SegoeUI" w:hAnsi="SegoeUI" w:cs="SegoeUI"/>
                <w:sz w:val="18"/>
                <w:szCs w:val="18"/>
                <w:lang w:eastAsia="en-AU"/>
              </w:rPr>
              <w:t>ot</w:t>
            </w:r>
            <w:r w:rsidR="001F1176">
              <w:rPr>
                <w:rFonts w:ascii="SegoeUI" w:hAnsi="SegoeUI" w:cs="SegoeUI"/>
                <w:sz w:val="18"/>
                <w:szCs w:val="18"/>
                <w:lang w:eastAsia="en-AU"/>
              </w:rPr>
              <w:t>-</w:t>
            </w:r>
            <w:r w:rsidRPr="00180D0C">
              <w:rPr>
                <w:rFonts w:ascii="SegoeUI" w:hAnsi="SegoeUI" w:cs="SegoeUI"/>
                <w:sz w:val="18"/>
                <w:szCs w:val="18"/>
                <w:lang w:eastAsia="en-AU"/>
              </w:rPr>
              <w:t>fo</w:t>
            </w:r>
            <w:r w:rsidR="001F1176">
              <w:rPr>
                <w:rFonts w:ascii="SegoeUI" w:hAnsi="SegoeUI" w:cs="SegoeUI"/>
                <w:sz w:val="18"/>
                <w:szCs w:val="18"/>
                <w:lang w:eastAsia="en-AU"/>
              </w:rPr>
              <w:t>r-</w:t>
            </w:r>
            <w:r w:rsidR="00122DDC">
              <w:rPr>
                <w:rFonts w:ascii="SegoeUI" w:hAnsi="SegoeUI" w:cs="SegoeUI"/>
                <w:sz w:val="18"/>
                <w:szCs w:val="18"/>
                <w:lang w:eastAsia="en-AU"/>
              </w:rPr>
              <w:t>p</w:t>
            </w:r>
            <w:r w:rsidRPr="00180D0C">
              <w:rPr>
                <w:rFonts w:ascii="SegoeUI" w:hAnsi="SegoeUI" w:cs="SegoeUI"/>
                <w:sz w:val="18"/>
                <w:szCs w:val="18"/>
                <w:lang w:eastAsia="en-AU"/>
              </w:rPr>
              <w:t>rofit organisations</w:t>
            </w:r>
          </w:p>
          <w:p w14:paraId="0732D4DE" w14:textId="77777777" w:rsidR="00180D0C" w:rsidRPr="00180D0C" w:rsidRDefault="00180D0C" w:rsidP="007D6AC6">
            <w:pPr>
              <w:pStyle w:val="BodyText-List"/>
              <w:tabs>
                <w:tab w:val="clear" w:pos="1190"/>
                <w:tab w:val="num" w:pos="459"/>
              </w:tabs>
              <w:spacing w:after="60"/>
              <w:ind w:left="459"/>
              <w:rPr>
                <w:rFonts w:ascii="SegoeUI" w:hAnsi="SegoeUI" w:cs="SegoeUI"/>
                <w:sz w:val="18"/>
                <w:szCs w:val="18"/>
                <w:lang w:eastAsia="en-AU"/>
              </w:rPr>
            </w:pPr>
            <w:r w:rsidRPr="00180D0C">
              <w:rPr>
                <w:rFonts w:ascii="SegoeUI" w:hAnsi="SegoeUI" w:cs="SegoeUI"/>
                <w:sz w:val="18"/>
                <w:szCs w:val="18"/>
                <w:lang w:eastAsia="en-AU"/>
              </w:rPr>
              <w:t>Collaborative national approach</w:t>
            </w:r>
          </w:p>
          <w:p w14:paraId="441CFDC6" w14:textId="79508742" w:rsidR="00180D0C" w:rsidRPr="00180D0C" w:rsidRDefault="00122DDC" w:rsidP="001F1176">
            <w:pPr>
              <w:pStyle w:val="BodyText-List"/>
              <w:tabs>
                <w:tab w:val="clear" w:pos="1190"/>
                <w:tab w:val="num" w:pos="459"/>
              </w:tabs>
              <w:spacing w:after="60"/>
              <w:ind w:left="459"/>
              <w:rPr>
                <w:rFonts w:ascii="SegoeUI" w:hAnsi="SegoeUI" w:cs="SegoeUI"/>
                <w:sz w:val="18"/>
                <w:szCs w:val="18"/>
                <w:lang w:eastAsia="en-AU"/>
              </w:rPr>
            </w:pPr>
            <w:r>
              <w:rPr>
                <w:rFonts w:ascii="SegoeUI" w:hAnsi="SegoeUI" w:cs="SegoeUI"/>
                <w:sz w:val="18"/>
                <w:szCs w:val="18"/>
                <w:lang w:eastAsia="en-AU"/>
              </w:rPr>
              <w:t xml:space="preserve">Memorandum of understanding </w:t>
            </w:r>
            <w:r w:rsidR="00180D0C" w:rsidRPr="00180D0C">
              <w:rPr>
                <w:rFonts w:ascii="SegoeUI" w:hAnsi="SegoeUI" w:cs="SegoeUI"/>
                <w:sz w:val="18"/>
                <w:szCs w:val="18"/>
                <w:lang w:eastAsia="en-AU"/>
              </w:rPr>
              <w:t>between Australian Charities and Not-for</w:t>
            </w:r>
            <w:r w:rsidR="001F1176">
              <w:rPr>
                <w:rFonts w:ascii="SegoeUI" w:hAnsi="SegoeUI" w:cs="SegoeUI"/>
                <w:sz w:val="18"/>
                <w:szCs w:val="18"/>
                <w:lang w:eastAsia="en-AU"/>
              </w:rPr>
              <w:t>-</w:t>
            </w:r>
            <w:r w:rsidR="00180D0C" w:rsidRPr="00180D0C">
              <w:rPr>
                <w:rFonts w:ascii="SegoeUI" w:hAnsi="SegoeUI" w:cs="SegoeUI"/>
                <w:sz w:val="18"/>
                <w:szCs w:val="18"/>
                <w:lang w:eastAsia="en-AU"/>
              </w:rPr>
              <w:t>profits Commission and CAV</w:t>
            </w:r>
          </w:p>
        </w:tc>
      </w:tr>
    </w:tbl>
    <w:p w14:paraId="3510B9FC" w14:textId="2E2E8DA4" w:rsidR="004416C7" w:rsidRDefault="004416C7" w:rsidP="00A35812">
      <w:pPr>
        <w:pStyle w:val="DJRbodyafterbullets"/>
      </w:pPr>
    </w:p>
    <w:tbl>
      <w:tblPr>
        <w:tblStyle w:val="DJRReporttablestyleNavy"/>
        <w:tblW w:w="0" w:type="auto"/>
        <w:tblLook w:val="01E0" w:firstRow="1" w:lastRow="1" w:firstColumn="1" w:lastColumn="1" w:noHBand="0" w:noVBand="0"/>
      </w:tblPr>
      <w:tblGrid>
        <w:gridCol w:w="5552"/>
        <w:gridCol w:w="3962"/>
      </w:tblGrid>
      <w:tr w:rsidR="00180D0C" w:rsidRPr="004045DD" w14:paraId="06D1A080" w14:textId="77777777" w:rsidTr="007D6AC6">
        <w:trPr>
          <w:cnfStyle w:val="100000000000" w:firstRow="1" w:lastRow="0" w:firstColumn="0" w:lastColumn="0" w:oddVBand="0" w:evenVBand="0" w:oddHBand="0" w:evenHBand="0" w:firstRowFirstColumn="0" w:firstRowLastColumn="0" w:lastRowFirstColumn="0" w:lastRowLastColumn="0"/>
        </w:trPr>
        <w:tc>
          <w:tcPr>
            <w:tcW w:w="9514" w:type="dxa"/>
            <w:gridSpan w:val="2"/>
          </w:tcPr>
          <w:p w14:paraId="660271B9" w14:textId="59455744" w:rsidR="00180D0C" w:rsidRDefault="00180D0C" w:rsidP="007D6AC6">
            <w:pPr>
              <w:pStyle w:val="BodyText-List"/>
              <w:numPr>
                <w:ilvl w:val="0"/>
                <w:numId w:val="0"/>
              </w:numPr>
              <w:spacing w:after="60"/>
              <w:ind w:left="168"/>
              <w:rPr>
                <w:rFonts w:ascii="SegoeUI" w:hAnsi="SegoeUI" w:cs="SegoeUI"/>
                <w:sz w:val="18"/>
                <w:szCs w:val="18"/>
                <w:lang w:eastAsia="en-AU"/>
              </w:rPr>
            </w:pPr>
            <w:r>
              <w:rPr>
                <w:sz w:val="18"/>
                <w:szCs w:val="18"/>
              </w:rPr>
              <w:t>Risk-based strategies</w:t>
            </w:r>
          </w:p>
        </w:tc>
      </w:tr>
      <w:tr w:rsidR="00217C13" w:rsidRPr="004045DD" w14:paraId="52ACAA60" w14:textId="77777777" w:rsidTr="00217C13">
        <w:tc>
          <w:tcPr>
            <w:tcW w:w="5552" w:type="dxa"/>
          </w:tcPr>
          <w:p w14:paraId="68904006" w14:textId="77777777" w:rsidR="00217C13" w:rsidRPr="007C0B92" w:rsidRDefault="00217C13" w:rsidP="00217C13">
            <w:pPr>
              <w:pStyle w:val="BodyText-List"/>
              <w:numPr>
                <w:ilvl w:val="0"/>
                <w:numId w:val="0"/>
              </w:numPr>
              <w:spacing w:after="60"/>
              <w:ind w:left="63"/>
              <w:rPr>
                <w:sz w:val="18"/>
                <w:szCs w:val="18"/>
              </w:rPr>
            </w:pPr>
            <w:r>
              <w:rPr>
                <w:sz w:val="18"/>
                <w:szCs w:val="18"/>
              </w:rPr>
              <w:t>Improvement strategies</w:t>
            </w:r>
          </w:p>
        </w:tc>
        <w:tc>
          <w:tcPr>
            <w:tcW w:w="3962" w:type="dxa"/>
          </w:tcPr>
          <w:p w14:paraId="00F50425" w14:textId="77777777" w:rsidR="00217C13" w:rsidRPr="004045DD" w:rsidRDefault="00217C13" w:rsidP="00217C13">
            <w:pPr>
              <w:pStyle w:val="BodyText-List"/>
              <w:numPr>
                <w:ilvl w:val="0"/>
                <w:numId w:val="0"/>
              </w:numPr>
              <w:spacing w:after="60"/>
              <w:ind w:left="63"/>
              <w:rPr>
                <w:sz w:val="18"/>
                <w:szCs w:val="18"/>
              </w:rPr>
            </w:pPr>
            <w:r>
              <w:rPr>
                <w:sz w:val="18"/>
                <w:szCs w:val="18"/>
              </w:rPr>
              <w:t>CAV Response</w:t>
            </w:r>
          </w:p>
        </w:tc>
      </w:tr>
      <w:tr w:rsidR="00180D0C" w:rsidRPr="004045DD" w14:paraId="38ABD1D2" w14:textId="77777777" w:rsidTr="00217C13">
        <w:tc>
          <w:tcPr>
            <w:tcW w:w="5552" w:type="dxa"/>
          </w:tcPr>
          <w:p w14:paraId="474EF277" w14:textId="77777777" w:rsidR="00180D0C" w:rsidRPr="004045DD" w:rsidRDefault="00180D0C" w:rsidP="007D6AC6">
            <w:pPr>
              <w:pStyle w:val="BodyText-List"/>
              <w:numPr>
                <w:ilvl w:val="0"/>
                <w:numId w:val="0"/>
              </w:numPr>
              <w:spacing w:after="60"/>
              <w:ind w:left="63"/>
              <w:rPr>
                <w:sz w:val="18"/>
                <w:szCs w:val="18"/>
              </w:rPr>
            </w:pPr>
            <w:r w:rsidRPr="004045DD">
              <w:rPr>
                <w:sz w:val="18"/>
                <w:szCs w:val="18"/>
              </w:rPr>
              <w:t>Improve CAV compliance operations to concentrate on areas of greatest risk to the achievement of regulatory outcomes</w:t>
            </w:r>
          </w:p>
        </w:tc>
        <w:tc>
          <w:tcPr>
            <w:tcW w:w="3962" w:type="dxa"/>
          </w:tcPr>
          <w:p w14:paraId="3AB88A9C" w14:textId="77777777" w:rsidR="00180D0C" w:rsidRDefault="00180D0C" w:rsidP="007D6AC6">
            <w:pPr>
              <w:pStyle w:val="BodyText-List"/>
              <w:numPr>
                <w:ilvl w:val="0"/>
                <w:numId w:val="0"/>
              </w:numPr>
              <w:spacing w:after="60"/>
              <w:ind w:left="168"/>
              <w:rPr>
                <w:rFonts w:ascii="SegoeUI" w:hAnsi="SegoeUI" w:cs="SegoeUI"/>
                <w:sz w:val="18"/>
                <w:szCs w:val="18"/>
                <w:lang w:eastAsia="en-AU"/>
              </w:rPr>
            </w:pPr>
            <w:r>
              <w:rPr>
                <w:rFonts w:ascii="SegoeUI" w:hAnsi="SegoeUI" w:cs="SegoeUI"/>
                <w:sz w:val="18"/>
                <w:szCs w:val="18"/>
                <w:lang w:eastAsia="en-AU"/>
              </w:rPr>
              <w:t xml:space="preserve">Establish </w:t>
            </w:r>
            <w:r w:rsidRPr="004045DD">
              <w:rPr>
                <w:rFonts w:ascii="SegoeUI" w:hAnsi="SegoeUI" w:cs="SegoeUI"/>
                <w:sz w:val="18"/>
                <w:szCs w:val="18"/>
                <w:lang w:eastAsia="en-AU"/>
              </w:rPr>
              <w:t>Compliance Operating Model</w:t>
            </w:r>
          </w:p>
          <w:p w14:paraId="54AA522B" w14:textId="77777777" w:rsidR="00180D0C" w:rsidRPr="004045DD" w:rsidRDefault="00180D0C" w:rsidP="007D6AC6">
            <w:pPr>
              <w:pStyle w:val="BodyText-List"/>
              <w:tabs>
                <w:tab w:val="clear" w:pos="1190"/>
                <w:tab w:val="num" w:pos="429"/>
              </w:tabs>
              <w:spacing w:after="60"/>
              <w:ind w:left="429" w:hanging="261"/>
              <w:rPr>
                <w:sz w:val="18"/>
                <w:szCs w:val="18"/>
              </w:rPr>
            </w:pPr>
            <w:r w:rsidRPr="004045DD">
              <w:rPr>
                <w:sz w:val="18"/>
                <w:szCs w:val="18"/>
              </w:rPr>
              <w:t>Strengthened risk management framework</w:t>
            </w:r>
          </w:p>
          <w:p w14:paraId="251F311C" w14:textId="77777777" w:rsidR="00180D0C" w:rsidRPr="004045DD" w:rsidRDefault="00180D0C" w:rsidP="007D6AC6">
            <w:pPr>
              <w:pStyle w:val="BodyText-List"/>
              <w:numPr>
                <w:ilvl w:val="0"/>
                <w:numId w:val="0"/>
              </w:numPr>
              <w:spacing w:after="60"/>
              <w:rPr>
                <w:rFonts w:ascii="SegoeUI" w:hAnsi="SegoeUI" w:cs="SegoeUI"/>
                <w:sz w:val="18"/>
                <w:szCs w:val="18"/>
                <w:lang w:eastAsia="en-AU"/>
              </w:rPr>
            </w:pPr>
          </w:p>
        </w:tc>
      </w:tr>
    </w:tbl>
    <w:p w14:paraId="2B9825DF" w14:textId="0FB45933" w:rsidR="00180D0C" w:rsidRDefault="00180D0C" w:rsidP="00A35812">
      <w:pPr>
        <w:pStyle w:val="DJRbodyafterbullets"/>
      </w:pPr>
    </w:p>
    <w:tbl>
      <w:tblPr>
        <w:tblStyle w:val="DJRReporttablestyleNavy"/>
        <w:tblW w:w="0" w:type="auto"/>
        <w:tblLook w:val="01E0" w:firstRow="1" w:lastRow="1" w:firstColumn="1" w:lastColumn="1" w:noHBand="0" w:noVBand="0"/>
      </w:tblPr>
      <w:tblGrid>
        <w:gridCol w:w="5552"/>
        <w:gridCol w:w="3962"/>
      </w:tblGrid>
      <w:tr w:rsidR="00180D0C" w:rsidRPr="004045DD" w14:paraId="3C59387D" w14:textId="77777777" w:rsidTr="00180D0C">
        <w:trPr>
          <w:cnfStyle w:val="100000000000" w:firstRow="1" w:lastRow="0" w:firstColumn="0" w:lastColumn="0" w:oddVBand="0" w:evenVBand="0" w:oddHBand="0" w:evenHBand="0" w:firstRowFirstColumn="0" w:firstRowLastColumn="0" w:lastRowFirstColumn="0" w:lastRowLastColumn="0"/>
        </w:trPr>
        <w:tc>
          <w:tcPr>
            <w:tcW w:w="0" w:type="auto"/>
            <w:gridSpan w:val="2"/>
          </w:tcPr>
          <w:p w14:paraId="4C282D28" w14:textId="14CEC25C" w:rsidR="00180D0C" w:rsidRPr="004045DD" w:rsidRDefault="00180D0C" w:rsidP="007D6AC6">
            <w:pPr>
              <w:pStyle w:val="BodyText-List"/>
              <w:numPr>
                <w:ilvl w:val="0"/>
                <w:numId w:val="0"/>
              </w:numPr>
              <w:spacing w:after="60"/>
              <w:ind w:left="168"/>
              <w:rPr>
                <w:rFonts w:ascii="SegoeUI" w:hAnsi="SegoeUI" w:cs="SegoeUI"/>
                <w:sz w:val="18"/>
                <w:szCs w:val="18"/>
                <w:lang w:eastAsia="en-AU"/>
              </w:rPr>
            </w:pPr>
            <w:r>
              <w:t>Compliance-related assistance and advice</w:t>
            </w:r>
          </w:p>
        </w:tc>
      </w:tr>
      <w:tr w:rsidR="00217C13" w:rsidRPr="004045DD" w14:paraId="64C16749" w14:textId="77777777" w:rsidTr="00217C13">
        <w:tc>
          <w:tcPr>
            <w:tcW w:w="0" w:type="auto"/>
          </w:tcPr>
          <w:p w14:paraId="451101CA" w14:textId="77777777" w:rsidR="00217C13" w:rsidRPr="007C0B92" w:rsidRDefault="00217C13" w:rsidP="00217C13">
            <w:pPr>
              <w:pStyle w:val="BodyText-List"/>
              <w:numPr>
                <w:ilvl w:val="0"/>
                <w:numId w:val="0"/>
              </w:numPr>
              <w:spacing w:after="60"/>
              <w:ind w:left="63"/>
              <w:rPr>
                <w:sz w:val="18"/>
                <w:szCs w:val="18"/>
              </w:rPr>
            </w:pPr>
            <w:r>
              <w:rPr>
                <w:sz w:val="18"/>
                <w:szCs w:val="18"/>
              </w:rPr>
              <w:t>Improvement strategies</w:t>
            </w:r>
          </w:p>
        </w:tc>
        <w:tc>
          <w:tcPr>
            <w:tcW w:w="0" w:type="auto"/>
          </w:tcPr>
          <w:p w14:paraId="387E6A51" w14:textId="77777777" w:rsidR="00217C13" w:rsidRPr="004045DD" w:rsidRDefault="00217C13" w:rsidP="00217C13">
            <w:pPr>
              <w:pStyle w:val="BodyText-List"/>
              <w:numPr>
                <w:ilvl w:val="0"/>
                <w:numId w:val="0"/>
              </w:numPr>
              <w:spacing w:after="60"/>
              <w:ind w:left="63"/>
              <w:rPr>
                <w:sz w:val="18"/>
                <w:szCs w:val="18"/>
              </w:rPr>
            </w:pPr>
            <w:r>
              <w:rPr>
                <w:sz w:val="18"/>
                <w:szCs w:val="18"/>
              </w:rPr>
              <w:t>CAV Response</w:t>
            </w:r>
          </w:p>
        </w:tc>
      </w:tr>
      <w:tr w:rsidR="00180D0C" w:rsidRPr="004045DD" w14:paraId="228804FD" w14:textId="77777777" w:rsidTr="00180D0C">
        <w:tc>
          <w:tcPr>
            <w:tcW w:w="5552" w:type="dxa"/>
          </w:tcPr>
          <w:p w14:paraId="44CC5516" w14:textId="77777777" w:rsidR="00180D0C" w:rsidRPr="004045DD" w:rsidRDefault="00180D0C" w:rsidP="007D6AC6">
            <w:pPr>
              <w:pStyle w:val="BodyText-List"/>
              <w:numPr>
                <w:ilvl w:val="0"/>
                <w:numId w:val="0"/>
              </w:numPr>
              <w:spacing w:after="60"/>
              <w:ind w:left="63"/>
              <w:rPr>
                <w:sz w:val="18"/>
                <w:szCs w:val="18"/>
              </w:rPr>
            </w:pPr>
            <w:r w:rsidRPr="004045DD">
              <w:rPr>
                <w:sz w:val="18"/>
                <w:szCs w:val="18"/>
              </w:rPr>
              <w:t>Increase awareness and understanding amongst estate agents of their obligations under the legislation concerning underquoting</w:t>
            </w:r>
          </w:p>
        </w:tc>
        <w:tc>
          <w:tcPr>
            <w:tcW w:w="3962" w:type="dxa"/>
          </w:tcPr>
          <w:p w14:paraId="6DE9125E" w14:textId="77777777" w:rsidR="00180D0C" w:rsidRDefault="00180D0C" w:rsidP="007D6AC6">
            <w:pPr>
              <w:pStyle w:val="BodyText-List"/>
              <w:numPr>
                <w:ilvl w:val="0"/>
                <w:numId w:val="0"/>
              </w:numPr>
              <w:spacing w:after="60"/>
              <w:ind w:left="168"/>
              <w:rPr>
                <w:rFonts w:ascii="SegoeUI" w:hAnsi="SegoeUI" w:cs="SegoeUI"/>
                <w:sz w:val="18"/>
                <w:szCs w:val="18"/>
                <w:lang w:eastAsia="en-AU"/>
              </w:rPr>
            </w:pPr>
            <w:r w:rsidRPr="004045DD">
              <w:rPr>
                <w:rFonts w:ascii="SegoeUI" w:hAnsi="SegoeUI" w:cs="SegoeUI"/>
                <w:sz w:val="18"/>
                <w:szCs w:val="18"/>
                <w:lang w:eastAsia="en-AU"/>
              </w:rPr>
              <w:t>Focused business education program</w:t>
            </w:r>
          </w:p>
          <w:p w14:paraId="21729723" w14:textId="77777777" w:rsidR="00180D0C" w:rsidRPr="004045DD" w:rsidRDefault="00180D0C" w:rsidP="007D6AC6">
            <w:pPr>
              <w:pStyle w:val="BodyText-List"/>
              <w:tabs>
                <w:tab w:val="clear" w:pos="1190"/>
                <w:tab w:val="num" w:pos="429"/>
              </w:tabs>
              <w:spacing w:after="60"/>
              <w:ind w:left="429" w:hanging="261"/>
              <w:rPr>
                <w:bCs/>
                <w:sz w:val="18"/>
                <w:szCs w:val="18"/>
              </w:rPr>
            </w:pPr>
            <w:r w:rsidRPr="004045DD">
              <w:rPr>
                <w:bCs/>
                <w:sz w:val="18"/>
                <w:szCs w:val="18"/>
              </w:rPr>
              <w:t>Develop and deliver ed</w:t>
            </w:r>
            <w:r>
              <w:rPr>
                <w:bCs/>
                <w:sz w:val="18"/>
                <w:szCs w:val="18"/>
              </w:rPr>
              <w:t>ucation program to real estate a</w:t>
            </w:r>
            <w:r w:rsidRPr="004045DD">
              <w:rPr>
                <w:bCs/>
                <w:sz w:val="18"/>
                <w:szCs w:val="18"/>
              </w:rPr>
              <w:t>gents</w:t>
            </w:r>
          </w:p>
          <w:p w14:paraId="441CDE46" w14:textId="77777777" w:rsidR="00180D0C" w:rsidRPr="004045DD" w:rsidRDefault="00180D0C" w:rsidP="007D6AC6">
            <w:pPr>
              <w:pStyle w:val="BodyText-List"/>
              <w:tabs>
                <w:tab w:val="clear" w:pos="1190"/>
                <w:tab w:val="num" w:pos="429"/>
              </w:tabs>
              <w:spacing w:after="60"/>
              <w:ind w:left="429" w:hanging="261"/>
              <w:rPr>
                <w:sz w:val="18"/>
                <w:szCs w:val="18"/>
              </w:rPr>
            </w:pPr>
            <w:r w:rsidRPr="00286D22">
              <w:rPr>
                <w:sz w:val="18"/>
                <w:szCs w:val="18"/>
              </w:rPr>
              <w:t xml:space="preserve">Develop and deliver underquoting </w:t>
            </w:r>
            <w:r w:rsidRPr="00186D81">
              <w:rPr>
                <w:bCs/>
                <w:sz w:val="18"/>
                <w:szCs w:val="18"/>
              </w:rPr>
              <w:t>communications</w:t>
            </w:r>
            <w:r w:rsidRPr="00286D22">
              <w:rPr>
                <w:sz w:val="18"/>
                <w:szCs w:val="18"/>
              </w:rPr>
              <w:t xml:space="preserve"> campaign to general public</w:t>
            </w:r>
          </w:p>
        </w:tc>
      </w:tr>
      <w:tr w:rsidR="00180D0C" w:rsidRPr="004045DD" w14:paraId="7E4B053E" w14:textId="77777777" w:rsidTr="00180D0C">
        <w:tc>
          <w:tcPr>
            <w:tcW w:w="5552" w:type="dxa"/>
          </w:tcPr>
          <w:p w14:paraId="5734246B" w14:textId="39C79040" w:rsidR="00180D0C" w:rsidRPr="004045DD" w:rsidRDefault="00180D0C" w:rsidP="007D6AC6">
            <w:pPr>
              <w:pStyle w:val="BodyText-List"/>
              <w:numPr>
                <w:ilvl w:val="0"/>
                <w:numId w:val="0"/>
              </w:numPr>
              <w:ind w:left="63"/>
              <w:rPr>
                <w:bCs/>
                <w:sz w:val="18"/>
                <w:szCs w:val="18"/>
              </w:rPr>
            </w:pPr>
            <w:r w:rsidRPr="004045DD">
              <w:rPr>
                <w:bCs/>
                <w:sz w:val="18"/>
                <w:szCs w:val="18"/>
              </w:rPr>
              <w:t xml:space="preserve">Make </w:t>
            </w:r>
            <w:r w:rsidR="00122DDC">
              <w:rPr>
                <w:bCs/>
                <w:sz w:val="18"/>
                <w:szCs w:val="18"/>
              </w:rPr>
              <w:t>on-line</w:t>
            </w:r>
            <w:r w:rsidRPr="004045DD">
              <w:rPr>
                <w:bCs/>
                <w:sz w:val="18"/>
                <w:szCs w:val="18"/>
              </w:rPr>
              <w:t xml:space="preserve"> advice on regulatory requirements accessible to all regulated parties including businesses, advocates, landlords, tenants and consumers</w:t>
            </w:r>
          </w:p>
        </w:tc>
        <w:tc>
          <w:tcPr>
            <w:tcW w:w="3962" w:type="dxa"/>
          </w:tcPr>
          <w:p w14:paraId="0665F3CB" w14:textId="77777777" w:rsidR="00180D0C" w:rsidRDefault="00180D0C" w:rsidP="007D6AC6">
            <w:pPr>
              <w:pStyle w:val="BodyText-List"/>
              <w:numPr>
                <w:ilvl w:val="0"/>
                <w:numId w:val="0"/>
              </w:numPr>
              <w:ind w:left="168"/>
              <w:rPr>
                <w:rFonts w:ascii="SegoeUI" w:hAnsi="SegoeUI" w:cs="SegoeUI"/>
                <w:sz w:val="18"/>
                <w:szCs w:val="18"/>
                <w:lang w:eastAsia="en-AU"/>
              </w:rPr>
            </w:pPr>
            <w:r w:rsidRPr="004045DD">
              <w:rPr>
                <w:rFonts w:ascii="SegoeUI" w:hAnsi="SegoeUI" w:cs="SegoeUI"/>
                <w:sz w:val="18"/>
                <w:szCs w:val="18"/>
                <w:lang w:eastAsia="en-AU"/>
              </w:rPr>
              <w:t>Responsive website</w:t>
            </w:r>
          </w:p>
          <w:p w14:paraId="10465AD6" w14:textId="77777777" w:rsidR="00180D0C" w:rsidRPr="004045DD" w:rsidRDefault="00180D0C" w:rsidP="007D6AC6">
            <w:pPr>
              <w:pStyle w:val="BodyText-List"/>
              <w:tabs>
                <w:tab w:val="clear" w:pos="1190"/>
                <w:tab w:val="num" w:pos="429"/>
              </w:tabs>
              <w:ind w:left="429" w:hanging="261"/>
              <w:rPr>
                <w:bCs/>
                <w:sz w:val="18"/>
                <w:szCs w:val="18"/>
              </w:rPr>
            </w:pPr>
            <w:r w:rsidRPr="004045DD">
              <w:rPr>
                <w:rFonts w:ascii="SegoeUI" w:hAnsi="SegoeUI" w:cs="SegoeUI"/>
                <w:sz w:val="18"/>
                <w:szCs w:val="18"/>
                <w:lang w:eastAsia="en-AU"/>
              </w:rPr>
              <w:t>Equality of access to information for all regulated Parties</w:t>
            </w:r>
          </w:p>
          <w:p w14:paraId="76177E09" w14:textId="77777777" w:rsidR="00180D0C" w:rsidRPr="004045DD" w:rsidRDefault="00180D0C" w:rsidP="007D6AC6">
            <w:pPr>
              <w:pStyle w:val="BodyText-List"/>
              <w:tabs>
                <w:tab w:val="clear" w:pos="1190"/>
                <w:tab w:val="num" w:pos="429"/>
              </w:tabs>
              <w:spacing w:after="60"/>
              <w:ind w:left="429" w:hanging="261"/>
              <w:rPr>
                <w:bCs/>
                <w:sz w:val="18"/>
                <w:szCs w:val="18"/>
              </w:rPr>
            </w:pPr>
            <w:r w:rsidRPr="00286D22">
              <w:rPr>
                <w:sz w:val="18"/>
                <w:szCs w:val="18"/>
              </w:rPr>
              <w:t>Information accessible across all platforms</w:t>
            </w:r>
          </w:p>
        </w:tc>
      </w:tr>
    </w:tbl>
    <w:p w14:paraId="0A20330F" w14:textId="41D5CB7F" w:rsidR="004416C7" w:rsidRPr="00A35812" w:rsidRDefault="004416C7" w:rsidP="00013678">
      <w:pPr>
        <w:pStyle w:val="DJRbodyaftertablefigure"/>
      </w:pPr>
      <w:r w:rsidRPr="00A35812">
        <w:t>The SOE applies for the period 1 June 201</w:t>
      </w:r>
      <w:r w:rsidR="001B35EA">
        <w:t>7</w:t>
      </w:r>
      <w:r w:rsidRPr="00A35812">
        <w:t xml:space="preserve"> to 30 June 2019.</w:t>
      </w:r>
    </w:p>
    <w:p w14:paraId="10537AC1" w14:textId="77777777" w:rsidR="004416C7" w:rsidRDefault="004416C7" w:rsidP="004416C7">
      <w:pPr>
        <w:pStyle w:val="DJRbody"/>
      </w:pPr>
      <w:r>
        <w:t xml:space="preserve">The full SOE letter and CAV’s response are </w:t>
      </w:r>
      <w:r w:rsidR="00A35812">
        <w:t xml:space="preserve">in </w:t>
      </w:r>
      <w:r w:rsidR="00A35812">
        <w:fldChar w:fldCharType="begin"/>
      </w:r>
      <w:r w:rsidR="00A35812">
        <w:instrText xml:space="preserve"> REF _Ref527441610 \r \h </w:instrText>
      </w:r>
      <w:r w:rsidR="00A35812">
        <w:fldChar w:fldCharType="separate"/>
      </w:r>
      <w:r w:rsidR="00BF12F7">
        <w:t>Appendix 3</w:t>
      </w:r>
      <w:r w:rsidR="00A35812">
        <w:fldChar w:fldCharType="end"/>
      </w:r>
      <w:r>
        <w:t>.</w:t>
      </w:r>
    </w:p>
    <w:p w14:paraId="6D98E958" w14:textId="77777777" w:rsidR="004416C7" w:rsidRDefault="004416C7" w:rsidP="00C71C41">
      <w:pPr>
        <w:pStyle w:val="Heading2"/>
      </w:pPr>
      <w:bookmarkStart w:id="9" w:name="_Toc515948658"/>
      <w:bookmarkStart w:id="10" w:name="_Toc527370714"/>
      <w:bookmarkStart w:id="11" w:name="_Toc533678779"/>
      <w:r>
        <w:t xml:space="preserve">Evaluation </w:t>
      </w:r>
      <w:bookmarkEnd w:id="9"/>
      <w:r>
        <w:t>methodology</w:t>
      </w:r>
      <w:bookmarkEnd w:id="10"/>
      <w:bookmarkEnd w:id="11"/>
    </w:p>
    <w:p w14:paraId="62600F8F" w14:textId="46C79A5C" w:rsidR="00C71C41" w:rsidRPr="00D20E35" w:rsidRDefault="00C71C41" w:rsidP="00C71C41">
      <w:pPr>
        <w:pStyle w:val="DJRbody"/>
      </w:pPr>
      <w:bookmarkStart w:id="12" w:name="_Toc511302952"/>
      <w:bookmarkStart w:id="13" w:name="_Toc527370715"/>
      <w:r>
        <w:t xml:space="preserve">The evaluation of </w:t>
      </w:r>
      <w:r w:rsidR="00013678">
        <w:t xml:space="preserve">the </w:t>
      </w:r>
      <w:r>
        <w:t xml:space="preserve">CAV SOE collected quantitative and qualitative data to understand the extent to which CAV has achieved the </w:t>
      </w:r>
      <w:r w:rsidR="00D835AB">
        <w:t>m</w:t>
      </w:r>
      <w:r w:rsidR="00013678">
        <w:t>inister’s</w:t>
      </w:r>
      <w:r>
        <w:t xml:space="preserve"> expectations.</w:t>
      </w:r>
    </w:p>
    <w:p w14:paraId="1A41C3B5" w14:textId="77777777" w:rsidR="00C71C41" w:rsidRDefault="00C71C41" w:rsidP="00C71C41">
      <w:pPr>
        <w:pStyle w:val="DJRbody"/>
      </w:pPr>
      <w:r>
        <w:t>The evaluation plan includes a program logic model that articulates the rationale for the SOE, and informs the evaluation parameters. The program logic model identifies:</w:t>
      </w:r>
    </w:p>
    <w:p w14:paraId="67FDB9AA" w14:textId="7DDF6155" w:rsidR="00C71C41" w:rsidRDefault="00C71C41" w:rsidP="00C71C41">
      <w:pPr>
        <w:pStyle w:val="DJRbullet1"/>
        <w:rPr>
          <w:lang w:eastAsia="en-AU"/>
        </w:rPr>
      </w:pPr>
      <w:r>
        <w:rPr>
          <w:lang w:eastAsia="en-AU"/>
        </w:rPr>
        <w:t xml:space="preserve">Background: the </w:t>
      </w:r>
      <w:r w:rsidR="00D835AB">
        <w:rPr>
          <w:lang w:eastAsia="en-AU"/>
        </w:rPr>
        <w:t>m</w:t>
      </w:r>
      <w:r w:rsidR="00013678">
        <w:rPr>
          <w:lang w:eastAsia="en-AU"/>
        </w:rPr>
        <w:t>inister’s</w:t>
      </w:r>
      <w:r>
        <w:rPr>
          <w:lang w:eastAsia="en-AU"/>
        </w:rPr>
        <w:t xml:space="preserve"> expectations as to CAV’s continued contribution to the government’s Regulation Reform Program and on broader improvements for CAV’s </w:t>
      </w:r>
      <w:r>
        <w:rPr>
          <w:lang w:eastAsia="en-AU"/>
        </w:rPr>
        <w:lastRenderedPageBreak/>
        <w:t xml:space="preserve">performance; and the initiatives CAV has agreed to implement in response to the </w:t>
      </w:r>
      <w:r w:rsidR="00D835AB">
        <w:rPr>
          <w:lang w:eastAsia="en-AU"/>
        </w:rPr>
        <w:t>m</w:t>
      </w:r>
      <w:r w:rsidR="00013678">
        <w:rPr>
          <w:lang w:eastAsia="en-AU"/>
        </w:rPr>
        <w:t>inister’s</w:t>
      </w:r>
      <w:r>
        <w:rPr>
          <w:lang w:eastAsia="en-AU"/>
        </w:rPr>
        <w:t xml:space="preserve"> expectations</w:t>
      </w:r>
    </w:p>
    <w:p w14:paraId="0BC89078" w14:textId="200CAEA5" w:rsidR="00C71C41" w:rsidRDefault="00C71C41" w:rsidP="00C71C41">
      <w:pPr>
        <w:pStyle w:val="DJRbullet1"/>
        <w:rPr>
          <w:lang w:eastAsia="en-AU"/>
        </w:rPr>
      </w:pPr>
      <w:r>
        <w:rPr>
          <w:lang w:eastAsia="en-AU"/>
        </w:rPr>
        <w:t>Activities: the key deliverables that CAV will produce</w:t>
      </w:r>
    </w:p>
    <w:p w14:paraId="285AF9AD" w14:textId="78D59E1C" w:rsidR="00C71C41" w:rsidRDefault="00C71C41" w:rsidP="00C71C41">
      <w:pPr>
        <w:pStyle w:val="DJRbullet1"/>
      </w:pPr>
      <w:r>
        <w:rPr>
          <w:lang w:eastAsia="en-AU"/>
        </w:rPr>
        <w:t>Outcomes: the efficiencies and improvements made by CAV in the administration and enforcement of regulation.</w:t>
      </w:r>
    </w:p>
    <w:p w14:paraId="45293086" w14:textId="40A660A3" w:rsidR="00C71C41" w:rsidRDefault="00C71C41" w:rsidP="00C71C41">
      <w:pPr>
        <w:pStyle w:val="DJRbodyafterbullets"/>
      </w:pPr>
      <w:r>
        <w:t xml:space="preserve">The program logic model was developed in conjunction with key CAV project team members responsible for delivering the projects in the regulator response and approved by the Deputy Secretary, </w:t>
      </w:r>
      <w:r w:rsidR="00FD4776">
        <w:t>Regulation</w:t>
      </w:r>
      <w:r>
        <w:t xml:space="preserve">, </w:t>
      </w:r>
      <w:r w:rsidR="00CE2DD6">
        <w:t>DJCS</w:t>
      </w:r>
      <w:r>
        <w:t>, as part of the evaluation plan.</w:t>
      </w:r>
    </w:p>
    <w:p w14:paraId="583753E1" w14:textId="59E30D3C" w:rsidR="00C71C41" w:rsidRDefault="00C71C41" w:rsidP="00C71C41">
      <w:pPr>
        <w:pStyle w:val="DJRbodyaftertablefigure"/>
      </w:pPr>
      <w:r>
        <w:rPr>
          <w:lang w:eastAsia="en-AU"/>
        </w:rPr>
        <w:t xml:space="preserve">Interviews were held with </w:t>
      </w:r>
      <w:r w:rsidR="00CE2DD6">
        <w:rPr>
          <w:lang w:eastAsia="en-AU"/>
        </w:rPr>
        <w:t>DJCS</w:t>
      </w:r>
      <w:r>
        <w:rPr>
          <w:lang w:eastAsia="en-AU"/>
        </w:rPr>
        <w:t xml:space="preserve"> and CAV key staff, and the evaluation team analysed a wide range of documents including project plans, reports, risk registers, policies and procedures. Relevant websites and databases were also utilised as data sources, and where appropriate, the evaluation team attended internal briefings and presentations on SOE initiatives.</w:t>
      </w:r>
    </w:p>
    <w:p w14:paraId="5D99B85A" w14:textId="77777777" w:rsidR="00C71C41" w:rsidRDefault="00C71C41" w:rsidP="00C71C41">
      <w:pPr>
        <w:pStyle w:val="DJRbodyafterbullets"/>
      </w:pPr>
      <w:r>
        <w:t xml:space="preserve">The evaluation was conducted between 1 July 2018 and 31 November 2018, </w:t>
      </w:r>
      <w:r>
        <w:rPr>
          <w:lang w:eastAsia="en-AU"/>
        </w:rPr>
        <w:t>in accordance with the SOE Framework,</w:t>
      </w:r>
      <w:r>
        <w:t xml:space="preserve"> and this report provides the observations, findings and recommendations of the evaluation. </w:t>
      </w:r>
    </w:p>
    <w:bookmarkEnd w:id="12"/>
    <w:bookmarkEnd w:id="13"/>
    <w:p w14:paraId="25803FEA" w14:textId="361F9E25" w:rsidR="00C949A2" w:rsidRDefault="00C949A2" w:rsidP="007B68AF">
      <w:pPr>
        <w:pStyle w:val="DJRbodyaftertablefigure"/>
      </w:pPr>
      <w:r>
        <w:br w:type="page"/>
      </w:r>
    </w:p>
    <w:p w14:paraId="0136C81F" w14:textId="1B2963A3" w:rsidR="004416C7" w:rsidRDefault="004416C7" w:rsidP="004416C7">
      <w:pPr>
        <w:pStyle w:val="Heading1"/>
      </w:pPr>
      <w:bookmarkStart w:id="14" w:name="_Toc527370721"/>
      <w:bookmarkStart w:id="15" w:name="_Toc533678780"/>
      <w:r w:rsidRPr="004416C7">
        <w:lastRenderedPageBreak/>
        <w:t>Process evaluation</w:t>
      </w:r>
      <w:bookmarkEnd w:id="14"/>
      <w:bookmarkEnd w:id="15"/>
    </w:p>
    <w:p w14:paraId="1818F438" w14:textId="34C4AF5C" w:rsidR="002129CD" w:rsidRPr="006D3CC8" w:rsidRDefault="002129CD" w:rsidP="002129CD">
      <w:pPr>
        <w:pStyle w:val="DJRbody"/>
        <w:rPr>
          <w:b/>
        </w:rPr>
      </w:pPr>
      <w:r w:rsidRPr="006D3CC8">
        <w:t xml:space="preserve">This </w:t>
      </w:r>
      <w:r>
        <w:t xml:space="preserve">section addresses the process evaluation questions set out at </w:t>
      </w:r>
      <w:r w:rsidR="00CE2DD6">
        <w:fldChar w:fldCharType="begin"/>
      </w:r>
      <w:r w:rsidR="00CE2DD6">
        <w:instrText xml:space="preserve"> REF _Ref527547754 \r \h </w:instrText>
      </w:r>
      <w:r w:rsidR="00CE2DD6">
        <w:fldChar w:fldCharType="separate"/>
      </w:r>
      <w:r w:rsidR="00BF12F7">
        <w:t>Appendix 1</w:t>
      </w:r>
      <w:r w:rsidR="00CE2DD6">
        <w:fldChar w:fldCharType="end"/>
      </w:r>
      <w:r>
        <w:t>.</w:t>
      </w:r>
    </w:p>
    <w:p w14:paraId="2DA7FD4B" w14:textId="77777777" w:rsidR="004416C7" w:rsidRPr="004416C7" w:rsidRDefault="004416C7" w:rsidP="004416C7">
      <w:pPr>
        <w:pStyle w:val="Heading2"/>
      </w:pPr>
      <w:bookmarkStart w:id="16" w:name="_Toc521391727"/>
      <w:bookmarkStart w:id="17" w:name="_Toc527370722"/>
      <w:bookmarkStart w:id="18" w:name="_Toc533678781"/>
      <w:r w:rsidRPr="004416C7">
        <w:t xml:space="preserve">SOE development </w:t>
      </w:r>
      <w:bookmarkEnd w:id="16"/>
      <w:r w:rsidRPr="004416C7">
        <w:t>process</w:t>
      </w:r>
      <w:bookmarkEnd w:id="17"/>
      <w:bookmarkEnd w:id="18"/>
      <w:r w:rsidRPr="004416C7">
        <w:t xml:space="preserve"> </w:t>
      </w:r>
    </w:p>
    <w:p w14:paraId="20ACEA49" w14:textId="77777777" w:rsidR="004416C7" w:rsidRPr="004416C7" w:rsidRDefault="004416C7" w:rsidP="004416C7">
      <w:pPr>
        <w:pStyle w:val="Heading3"/>
      </w:pPr>
      <w:bookmarkStart w:id="19" w:name="_Toc527370723"/>
      <w:r w:rsidRPr="004416C7">
        <w:t>How appropriate was the process for developing the SOE letter?</w:t>
      </w:r>
      <w:bookmarkEnd w:id="19"/>
    </w:p>
    <w:p w14:paraId="03291678" w14:textId="77EE8ED0" w:rsidR="00E45635" w:rsidRDefault="00E45635" w:rsidP="00E45635">
      <w:pPr>
        <w:pStyle w:val="DJRbody"/>
        <w:rPr>
          <w:rFonts w:eastAsia="Arial"/>
        </w:rPr>
      </w:pPr>
      <w:r>
        <w:rPr>
          <w:rFonts w:eastAsia="Arial"/>
        </w:rPr>
        <w:t xml:space="preserve">The Corporate Planning, Reporting and Governance team </w:t>
      </w:r>
      <w:r w:rsidR="00E00C53">
        <w:rPr>
          <w:rFonts w:eastAsia="Arial"/>
        </w:rPr>
        <w:t>considered the SOE Framework elements, and identified existing projects that would fit against these elements</w:t>
      </w:r>
      <w:r>
        <w:rPr>
          <w:rFonts w:eastAsia="Arial"/>
        </w:rPr>
        <w:t>.</w:t>
      </w:r>
    </w:p>
    <w:p w14:paraId="7F9B0350" w14:textId="6AF440F1" w:rsidR="00E45635" w:rsidRPr="00E80B2E" w:rsidRDefault="00E45635" w:rsidP="00E45635">
      <w:pPr>
        <w:pStyle w:val="TableLabel"/>
      </w:pPr>
      <w:r>
        <w:t xml:space="preserve">Table </w:t>
      </w:r>
      <w:r>
        <w:rPr>
          <w:noProof/>
        </w:rPr>
        <w:fldChar w:fldCharType="begin"/>
      </w:r>
      <w:r>
        <w:rPr>
          <w:noProof/>
        </w:rPr>
        <w:instrText xml:space="preserve"> SEQ Table \* ARABIC </w:instrText>
      </w:r>
      <w:r>
        <w:rPr>
          <w:noProof/>
        </w:rPr>
        <w:fldChar w:fldCharType="separate"/>
      </w:r>
      <w:r w:rsidR="00BF12F7">
        <w:rPr>
          <w:noProof/>
        </w:rPr>
        <w:t>2</w:t>
      </w:r>
      <w:r>
        <w:rPr>
          <w:noProof/>
        </w:rPr>
        <w:fldChar w:fldCharType="end"/>
      </w:r>
      <w:r>
        <w:t>:</w:t>
      </w:r>
      <w:r>
        <w:tab/>
        <w:t>SOE Process Timeline</w:t>
      </w:r>
    </w:p>
    <w:tbl>
      <w:tblPr>
        <w:tblW w:w="4553" w:type="pct"/>
        <w:tblInd w:w="612" w:type="dxa"/>
        <w:tblBorders>
          <w:top w:val="single" w:sz="4" w:space="0" w:color="666366"/>
          <w:bottom w:val="single" w:sz="4" w:space="0" w:color="666366"/>
          <w:insideH w:val="single" w:sz="2" w:space="0" w:color="C0C0C0"/>
        </w:tblBorders>
        <w:tblLayout w:type="fixed"/>
        <w:tblCellMar>
          <w:top w:w="57" w:type="dxa"/>
          <w:bottom w:w="57" w:type="dxa"/>
        </w:tblCellMar>
        <w:tblLook w:val="0620" w:firstRow="1" w:lastRow="0" w:firstColumn="0" w:lastColumn="0" w:noHBand="1" w:noVBand="1"/>
      </w:tblPr>
      <w:tblGrid>
        <w:gridCol w:w="1651"/>
        <w:gridCol w:w="7632"/>
      </w:tblGrid>
      <w:tr w:rsidR="00E45635" w:rsidRPr="00ED0692" w14:paraId="7C1F82B9" w14:textId="77777777" w:rsidTr="00E45635">
        <w:trPr>
          <w:tblHeader/>
        </w:trPr>
        <w:tc>
          <w:tcPr>
            <w:tcW w:w="889" w:type="pct"/>
            <w:tcBorders>
              <w:top w:val="single" w:sz="4" w:space="0" w:color="auto"/>
              <w:left w:val="single" w:sz="4" w:space="0" w:color="auto"/>
              <w:bottom w:val="single" w:sz="4" w:space="0" w:color="auto"/>
              <w:right w:val="single" w:sz="4" w:space="0" w:color="auto"/>
            </w:tcBorders>
            <w:shd w:val="clear" w:color="auto" w:fill="16145F"/>
            <w:vAlign w:val="bottom"/>
          </w:tcPr>
          <w:p w14:paraId="48E10DF8" w14:textId="24EC4C16" w:rsidR="00E45635" w:rsidRPr="00FA4470" w:rsidRDefault="00E45635" w:rsidP="00E45635">
            <w:pPr>
              <w:pStyle w:val="TableHeader"/>
              <w:rPr>
                <w:rFonts w:eastAsia="Arial"/>
              </w:rPr>
            </w:pPr>
            <w:r>
              <w:rPr>
                <w:rFonts w:eastAsia="Arial"/>
              </w:rPr>
              <w:t>Date</w:t>
            </w:r>
          </w:p>
        </w:tc>
        <w:tc>
          <w:tcPr>
            <w:tcW w:w="4111" w:type="pct"/>
            <w:tcBorders>
              <w:top w:val="single" w:sz="4" w:space="0" w:color="auto"/>
              <w:left w:val="single" w:sz="4" w:space="0" w:color="auto"/>
              <w:bottom w:val="single" w:sz="4" w:space="0" w:color="auto"/>
              <w:right w:val="single" w:sz="4" w:space="0" w:color="auto"/>
            </w:tcBorders>
            <w:shd w:val="clear" w:color="auto" w:fill="16145F"/>
            <w:vAlign w:val="bottom"/>
          </w:tcPr>
          <w:p w14:paraId="7CE1C3BF" w14:textId="6A83064E" w:rsidR="00E45635" w:rsidRPr="00FA4470" w:rsidRDefault="00E45635" w:rsidP="00E45635">
            <w:pPr>
              <w:pStyle w:val="TableHeader"/>
              <w:rPr>
                <w:rFonts w:eastAsia="Arial"/>
              </w:rPr>
            </w:pPr>
            <w:r>
              <w:rPr>
                <w:rFonts w:eastAsia="Arial"/>
              </w:rPr>
              <w:t>Process</w:t>
            </w:r>
          </w:p>
        </w:tc>
      </w:tr>
      <w:tr w:rsidR="00E45635" w:rsidRPr="00DA470D" w14:paraId="7DDC0049"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0875E4D9" w14:textId="0D648BEB" w:rsidR="00E45635" w:rsidRPr="00E45635" w:rsidRDefault="00E45635" w:rsidP="00E45635">
            <w:pPr>
              <w:pStyle w:val="TableText"/>
            </w:pPr>
            <w:r>
              <w:t>January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2DD92137" w14:textId="36B14C84" w:rsidR="00E45635" w:rsidRPr="00E45635" w:rsidRDefault="00E45635" w:rsidP="00C1591B">
            <w:pPr>
              <w:pStyle w:val="TableText"/>
            </w:pPr>
            <w:r>
              <w:t>CAV Corporate Plan approved by the Executive Management Team</w:t>
            </w:r>
          </w:p>
        </w:tc>
      </w:tr>
      <w:tr w:rsidR="00E45635" w:rsidRPr="00DA470D" w14:paraId="6902295C"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26CB2BCA" w14:textId="12F9A689" w:rsidR="00E45635" w:rsidRDefault="00E45635" w:rsidP="00E45635">
            <w:pPr>
              <w:pStyle w:val="TableText"/>
            </w:pPr>
            <w:r>
              <w:t>May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5B5BBA2D" w14:textId="6B836F15" w:rsidR="00E45635" w:rsidRDefault="00122DDC" w:rsidP="00E45635">
            <w:pPr>
              <w:pStyle w:val="TableText"/>
            </w:pPr>
            <w:r>
              <w:t>Department of Treasury and Finance</w:t>
            </w:r>
            <w:r w:rsidR="00E45635">
              <w:t xml:space="preserve"> published the SOE Framework on its website.</w:t>
            </w:r>
          </w:p>
        </w:tc>
      </w:tr>
      <w:tr w:rsidR="00E45635" w:rsidRPr="00DA470D" w14:paraId="30760557"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6B936378" w14:textId="3AB7AC94" w:rsidR="00E45635" w:rsidRDefault="00E45635" w:rsidP="00E45635">
            <w:pPr>
              <w:pStyle w:val="TableText"/>
            </w:pPr>
            <w:r>
              <w:t>May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105BE53D" w14:textId="546B1263" w:rsidR="00E45635" w:rsidRDefault="00E45635" w:rsidP="00E45635">
            <w:pPr>
              <w:pStyle w:val="TableText"/>
            </w:pPr>
            <w:r>
              <w:t>Memo to Executive Management Team meeting</w:t>
            </w:r>
            <w:r w:rsidR="00C1591B">
              <w:t xml:space="preserve"> providing</w:t>
            </w:r>
            <w:r>
              <w:t xml:space="preserve"> list of potential measures or initiatives for the SOE letter</w:t>
            </w:r>
          </w:p>
        </w:tc>
      </w:tr>
      <w:tr w:rsidR="00E45635" w:rsidRPr="00DA470D" w14:paraId="5B3D7014"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6F88A383" w14:textId="5F01976A" w:rsidR="00E45635" w:rsidRDefault="00E45635" w:rsidP="00E45635">
            <w:pPr>
              <w:pStyle w:val="TableText"/>
            </w:pPr>
            <w:r>
              <w:t>June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67F5C96E" w14:textId="02D823A2" w:rsidR="00E45635" w:rsidRDefault="00E45635" w:rsidP="00E45635">
            <w:pPr>
              <w:pStyle w:val="TableText"/>
            </w:pPr>
            <w:r>
              <w:t>Initiatives approved by Executive Management Team</w:t>
            </w:r>
          </w:p>
        </w:tc>
      </w:tr>
      <w:tr w:rsidR="00E45635" w:rsidRPr="00DA470D" w14:paraId="7379FC9F"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241B0373" w14:textId="29DD443E" w:rsidR="00E45635" w:rsidRDefault="00E45635" w:rsidP="00E45635">
            <w:pPr>
              <w:pStyle w:val="TableText"/>
            </w:pPr>
            <w:r>
              <w:t>June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3B602BB8" w14:textId="4027799E" w:rsidR="00E45635" w:rsidRDefault="00895518" w:rsidP="00E45635">
            <w:pPr>
              <w:pStyle w:val="TableText"/>
            </w:pPr>
            <w:r>
              <w:t xml:space="preserve">Minister for Consumer Affairs, Gaming and Liquor Regulation </w:t>
            </w:r>
            <w:r w:rsidR="00E45635">
              <w:t>briefed on 2017-2019 SOE initiatives</w:t>
            </w:r>
          </w:p>
        </w:tc>
      </w:tr>
      <w:tr w:rsidR="00E45635" w:rsidRPr="00DA470D" w14:paraId="342B60F1"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70E11206" w14:textId="7F32CBEC" w:rsidR="00E45635" w:rsidRDefault="00E45635" w:rsidP="00E45635">
            <w:pPr>
              <w:pStyle w:val="TableText"/>
            </w:pPr>
            <w:r>
              <w:t>June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057D54D0" w14:textId="2CA12E61" w:rsidR="00E45635" w:rsidRDefault="00E45635" w:rsidP="00E45635">
            <w:pPr>
              <w:pStyle w:val="TableText"/>
            </w:pPr>
            <w:r>
              <w:t xml:space="preserve">SOE letter received from the </w:t>
            </w:r>
            <w:r w:rsidR="00895518">
              <w:t>Minister for Consumer Affairs, Gaming and Liquor Regulation</w:t>
            </w:r>
          </w:p>
        </w:tc>
      </w:tr>
      <w:tr w:rsidR="00E45635" w:rsidRPr="00DA470D" w14:paraId="4690FCCE"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3C16E359" w14:textId="433F3B4F" w:rsidR="00E45635" w:rsidRDefault="00E45635" w:rsidP="00E45635">
            <w:pPr>
              <w:pStyle w:val="TableText"/>
            </w:pPr>
            <w:r>
              <w:t>June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551CA273" w14:textId="5CD0ED1F" w:rsidR="00E45635" w:rsidRDefault="00E45635" w:rsidP="00E45635">
            <w:pPr>
              <w:pStyle w:val="TableText"/>
            </w:pPr>
            <w:r>
              <w:t xml:space="preserve">CAV response to the </w:t>
            </w:r>
            <w:r w:rsidR="00895518">
              <w:t>Minister for Consumer Affairs, Gaming and Liquor Regulation</w:t>
            </w:r>
          </w:p>
        </w:tc>
      </w:tr>
      <w:tr w:rsidR="00E45635" w:rsidRPr="00DA470D" w14:paraId="158C79D6" w14:textId="77777777" w:rsidTr="00E45635">
        <w:trPr>
          <w:cantSplit/>
        </w:trPr>
        <w:tc>
          <w:tcPr>
            <w:tcW w:w="889" w:type="pct"/>
            <w:tcBorders>
              <w:top w:val="single" w:sz="4" w:space="0" w:color="auto"/>
              <w:left w:val="single" w:sz="4" w:space="0" w:color="auto"/>
              <w:bottom w:val="single" w:sz="4" w:space="0" w:color="auto"/>
              <w:right w:val="single" w:sz="4" w:space="0" w:color="auto"/>
            </w:tcBorders>
            <w:shd w:val="clear" w:color="auto" w:fill="auto"/>
          </w:tcPr>
          <w:p w14:paraId="6333D1CF" w14:textId="492AC336" w:rsidR="00E45635" w:rsidRDefault="00E45635" w:rsidP="00E45635">
            <w:pPr>
              <w:pStyle w:val="TableText"/>
            </w:pPr>
            <w:r>
              <w:t>July 2017</w:t>
            </w:r>
          </w:p>
        </w:tc>
        <w:tc>
          <w:tcPr>
            <w:tcW w:w="4111" w:type="pct"/>
            <w:tcBorders>
              <w:top w:val="single" w:sz="4" w:space="0" w:color="auto"/>
              <w:left w:val="single" w:sz="4" w:space="0" w:color="auto"/>
              <w:bottom w:val="single" w:sz="4" w:space="0" w:color="auto"/>
              <w:right w:val="single" w:sz="4" w:space="0" w:color="auto"/>
            </w:tcBorders>
            <w:shd w:val="clear" w:color="auto" w:fill="auto"/>
          </w:tcPr>
          <w:p w14:paraId="5604E9DC" w14:textId="088FB880" w:rsidR="00E45635" w:rsidRDefault="00E45635" w:rsidP="00E45635">
            <w:pPr>
              <w:pStyle w:val="TableText"/>
            </w:pPr>
            <w:r>
              <w:t>SOE and CAV response published on the CAV website</w:t>
            </w:r>
          </w:p>
        </w:tc>
      </w:tr>
    </w:tbl>
    <w:p w14:paraId="6FFB90C5" w14:textId="15E9C271" w:rsidR="00DC097F" w:rsidRDefault="00DC097F" w:rsidP="001A49A6">
      <w:pPr>
        <w:pStyle w:val="DJRbodyafterbullets"/>
      </w:pPr>
      <w:r>
        <w:t xml:space="preserve">A selection of potential initiatives to be recommended to the </w:t>
      </w:r>
      <w:r w:rsidR="00D835AB">
        <w:t>m</w:t>
      </w:r>
      <w:r w:rsidR="00895518">
        <w:t xml:space="preserve">inister </w:t>
      </w:r>
      <w:r>
        <w:t>for inclusion in the SOE letter was presented to the CAV Executive for discussion</w:t>
      </w:r>
      <w:r w:rsidR="00E00C53">
        <w:t xml:space="preserve"> and approval</w:t>
      </w:r>
      <w:r>
        <w:t>, and this presentation included a brief overview of each project. This discussion paper provided enough information to also form the basis of CAV’s SOE response</w:t>
      </w:r>
      <w:r w:rsidR="001A49A6">
        <w:t>, which was developed as part of CAV’s normal corporate planning process</w:t>
      </w:r>
      <w:r>
        <w:t>.</w:t>
      </w:r>
    </w:p>
    <w:p w14:paraId="6D91630C" w14:textId="23B72786" w:rsidR="00013678" w:rsidRDefault="004416C7" w:rsidP="004416C7">
      <w:pPr>
        <w:pStyle w:val="DJRbody"/>
      </w:pPr>
      <w:r w:rsidRPr="003D6ABF">
        <w:rPr>
          <w:rFonts w:eastAsia="Arial"/>
        </w:rPr>
        <w:t xml:space="preserve">CAV </w:t>
      </w:r>
      <w:r>
        <w:rPr>
          <w:rFonts w:eastAsia="Arial"/>
        </w:rPr>
        <w:t xml:space="preserve">is a mature regulator with </w:t>
      </w:r>
      <w:r w:rsidRPr="003D6ABF">
        <w:rPr>
          <w:rFonts w:eastAsia="Arial"/>
        </w:rPr>
        <w:t>a well-established corporate planning process that takes into account</w:t>
      </w:r>
      <w:r>
        <w:rPr>
          <w:rFonts w:eastAsia="Arial"/>
        </w:rPr>
        <w:t xml:space="preserve"> government priorities and</w:t>
      </w:r>
      <w:r w:rsidRPr="003D6ABF">
        <w:rPr>
          <w:rFonts w:eastAsia="Arial"/>
        </w:rPr>
        <w:t xml:space="preserve"> continuous improvement processes. The corporate planning process provided an efficient and suitable means of </w:t>
      </w:r>
      <w:r>
        <w:rPr>
          <w:rFonts w:eastAsia="Arial"/>
        </w:rPr>
        <w:t>developing</w:t>
      </w:r>
      <w:r w:rsidRPr="003D6ABF">
        <w:rPr>
          <w:rFonts w:eastAsia="Arial"/>
        </w:rPr>
        <w:t xml:space="preserve"> performance targets for the SOE</w:t>
      </w:r>
      <w:r w:rsidR="002129CD">
        <w:rPr>
          <w:rFonts w:eastAsia="Arial"/>
        </w:rPr>
        <w:t>. G</w:t>
      </w:r>
      <w:r w:rsidR="00013678">
        <w:rPr>
          <w:rFonts w:eastAsia="Arial"/>
        </w:rPr>
        <w:t xml:space="preserve">iven the strong alignment of the CAV strategic planning process with the SOE Framework requirements, </w:t>
      </w:r>
      <w:r w:rsidR="00013678" w:rsidRPr="003D6ABF">
        <w:rPr>
          <w:rFonts w:eastAsia="Arial"/>
        </w:rPr>
        <w:t xml:space="preserve">CAV </w:t>
      </w:r>
      <w:r w:rsidR="00013678">
        <w:rPr>
          <w:rFonts w:eastAsia="Arial"/>
        </w:rPr>
        <w:t xml:space="preserve">did not </w:t>
      </w:r>
      <w:r w:rsidR="00013678">
        <w:t xml:space="preserve">need to </w:t>
      </w:r>
      <w:r w:rsidR="00013678" w:rsidRPr="00B3517D">
        <w:t>adopt the</w:t>
      </w:r>
      <w:r w:rsidR="00013678">
        <w:rPr>
          <w:rFonts w:eastAsia="Arial"/>
        </w:rPr>
        <w:t xml:space="preserve"> </w:t>
      </w:r>
      <w:r w:rsidR="00013678" w:rsidRPr="003D6ABF">
        <w:rPr>
          <w:rFonts w:eastAsia="Arial"/>
        </w:rPr>
        <w:t>good regulatory practice self-assessment</w:t>
      </w:r>
      <w:r w:rsidR="00013678">
        <w:rPr>
          <w:rFonts w:eastAsia="Arial"/>
        </w:rPr>
        <w:t xml:space="preserve"> in the SOE Framework, and elected</w:t>
      </w:r>
      <w:r w:rsidR="00013678" w:rsidRPr="003D6ABF">
        <w:rPr>
          <w:rFonts w:eastAsia="Arial"/>
        </w:rPr>
        <w:t xml:space="preserve"> </w:t>
      </w:r>
      <w:r w:rsidR="00013678">
        <w:rPr>
          <w:rFonts w:eastAsia="Arial"/>
        </w:rPr>
        <w:t>to develop</w:t>
      </w:r>
      <w:r w:rsidR="00013678" w:rsidRPr="003D6ABF">
        <w:rPr>
          <w:rFonts w:eastAsia="Arial"/>
        </w:rPr>
        <w:t xml:space="preserve"> the SOE </w:t>
      </w:r>
      <w:r w:rsidR="00013678">
        <w:rPr>
          <w:rFonts w:eastAsia="Arial"/>
        </w:rPr>
        <w:t xml:space="preserve">targets and response </w:t>
      </w:r>
      <w:r w:rsidR="00013678" w:rsidRPr="003D6ABF">
        <w:rPr>
          <w:rFonts w:eastAsia="Arial"/>
        </w:rPr>
        <w:t xml:space="preserve">from the activities undertaken as part of </w:t>
      </w:r>
      <w:r w:rsidR="00013678">
        <w:rPr>
          <w:rFonts w:eastAsia="Arial"/>
        </w:rPr>
        <w:t xml:space="preserve">its </w:t>
      </w:r>
      <w:r w:rsidR="00013678" w:rsidRPr="003D6ABF">
        <w:rPr>
          <w:rFonts w:eastAsia="Arial"/>
        </w:rPr>
        <w:t>corporate planning.</w:t>
      </w:r>
      <w:r w:rsidR="00013678">
        <w:rPr>
          <w:rFonts w:eastAsia="Arial"/>
        </w:rPr>
        <w:t xml:space="preserve"> </w:t>
      </w:r>
    </w:p>
    <w:p w14:paraId="7BBDB6AC" w14:textId="77777777" w:rsidR="004416C7" w:rsidRPr="004416C7" w:rsidRDefault="004416C7" w:rsidP="004416C7">
      <w:pPr>
        <w:pStyle w:val="Heading3"/>
      </w:pPr>
      <w:bookmarkStart w:id="20" w:name="_Toc527370724"/>
      <w:r w:rsidRPr="004416C7">
        <w:t>Was the evidence base appropriate to develop the SOE letter?</w:t>
      </w:r>
      <w:bookmarkEnd w:id="20"/>
    </w:p>
    <w:p w14:paraId="3815D088" w14:textId="5429B330" w:rsidR="004416C7" w:rsidRDefault="00E45635" w:rsidP="004416C7">
      <w:pPr>
        <w:pStyle w:val="DJRbody"/>
      </w:pPr>
      <w:r>
        <w:t xml:space="preserve">There are strong synergies between CAV’s planning processes and the targets and projects selected for the SOE process, due to </w:t>
      </w:r>
      <w:r w:rsidR="004416C7">
        <w:t xml:space="preserve">the alignment of CAV’s strategic planning and the SOE process. The </w:t>
      </w:r>
      <w:r w:rsidR="001A49A6">
        <w:t xml:space="preserve">initiatives in </w:t>
      </w:r>
      <w:r w:rsidR="004416C7">
        <w:t xml:space="preserve">the SOE </w:t>
      </w:r>
      <w:r w:rsidR="001A49A6">
        <w:t xml:space="preserve">response </w:t>
      </w:r>
      <w:r w:rsidR="004416C7">
        <w:t xml:space="preserve">were already </w:t>
      </w:r>
      <w:r w:rsidR="001A49A6">
        <w:t xml:space="preserve">CAV </w:t>
      </w:r>
      <w:r w:rsidR="004416C7">
        <w:t xml:space="preserve">regulatory priorities or </w:t>
      </w:r>
      <w:r w:rsidR="001A49A6">
        <w:t xml:space="preserve">were </w:t>
      </w:r>
      <w:r w:rsidR="004416C7">
        <w:t xml:space="preserve">aligned </w:t>
      </w:r>
      <w:r w:rsidR="001A49A6">
        <w:t xml:space="preserve">with </w:t>
      </w:r>
      <w:r w:rsidR="004416C7">
        <w:t>government priorities.</w:t>
      </w:r>
    </w:p>
    <w:p w14:paraId="37EDC88C" w14:textId="5ECC156C" w:rsidR="004416C7" w:rsidRDefault="004416C7" w:rsidP="004416C7">
      <w:pPr>
        <w:pStyle w:val="DJRbody"/>
      </w:pPr>
      <w:r>
        <w:t xml:space="preserve">As part of the evaluation process, CAV General Managers and other CAV staff who were involved in the SOE process completed a short survey on the SOE development process (CAV Survey). </w:t>
      </w:r>
      <w:r w:rsidR="009B6FFA">
        <w:t>75 per cent of</w:t>
      </w:r>
      <w:r w:rsidRPr="001809B0">
        <w:t xml:space="preserve"> respondents </w:t>
      </w:r>
      <w:r>
        <w:t xml:space="preserve">to the CAV Survey </w:t>
      </w:r>
      <w:r w:rsidRPr="001809B0">
        <w:t>said it was easy to get the information required for the SOE</w:t>
      </w:r>
      <w:r w:rsidR="009B6FFA">
        <w:t>, utilising t</w:t>
      </w:r>
      <w:r w:rsidRPr="001809B0">
        <w:t xml:space="preserve">he information gathered for the CAV Strategic Plan to develop the SOE </w:t>
      </w:r>
      <w:r w:rsidRPr="001809B0">
        <w:lastRenderedPageBreak/>
        <w:t>response.</w:t>
      </w:r>
      <w:r w:rsidR="009B6FFA">
        <w:t xml:space="preserve"> The remainder </w:t>
      </w:r>
      <w:r w:rsidR="001A49A6">
        <w:t xml:space="preserve">of the respondents to the survey </w:t>
      </w:r>
      <w:r w:rsidR="009B6FFA">
        <w:t xml:space="preserve">used other sources of information, where </w:t>
      </w:r>
      <w:r w:rsidR="00E45635">
        <w:t xml:space="preserve">additional </w:t>
      </w:r>
      <w:r w:rsidR="009B6FFA">
        <w:t xml:space="preserve">data or analysis </w:t>
      </w:r>
      <w:r w:rsidR="00E45635">
        <w:t xml:space="preserve">was required </w:t>
      </w:r>
      <w:r w:rsidR="009B6FFA">
        <w:t>to develop estimates of improvement.</w:t>
      </w:r>
    </w:p>
    <w:p w14:paraId="38338637" w14:textId="77777777" w:rsidR="004416C7" w:rsidRPr="004416C7" w:rsidRDefault="004416C7" w:rsidP="004416C7">
      <w:pPr>
        <w:pStyle w:val="Heading3"/>
      </w:pPr>
      <w:bookmarkStart w:id="21" w:name="_Toc527370725"/>
      <w:r w:rsidRPr="004416C7">
        <w:t>Was sufficient time allocated to complete each part of the process?</w:t>
      </w:r>
      <w:bookmarkEnd w:id="21"/>
    </w:p>
    <w:p w14:paraId="36CD2488" w14:textId="625B2CFF" w:rsidR="004416C7" w:rsidRDefault="004416C7" w:rsidP="004416C7">
      <w:pPr>
        <w:pStyle w:val="DJRbody"/>
      </w:pPr>
      <w:r>
        <w:t xml:space="preserve">CAV has a well-developed business planning process, which informed the SOE development. </w:t>
      </w:r>
      <w:r w:rsidRPr="003D6ABF">
        <w:t>Some internal activities were required to develop the SOE performance measures</w:t>
      </w:r>
      <w:r>
        <w:t xml:space="preserve"> and responses, for example</w:t>
      </w:r>
      <w:r w:rsidR="009B6FFA">
        <w:t>, a</w:t>
      </w:r>
      <w:r>
        <w:t xml:space="preserve"> </w:t>
      </w:r>
      <w:r w:rsidRPr="003D6ABF">
        <w:t xml:space="preserve">review of corporate planning activities and consultation with general managers. </w:t>
      </w:r>
      <w:r w:rsidR="00DC097F">
        <w:t>T</w:t>
      </w:r>
      <w:r w:rsidRPr="003D6ABF">
        <w:t>he SOE development</w:t>
      </w:r>
      <w:r w:rsidR="000C51BD">
        <w:t xml:space="preserve"> was efficient because it was done in conjunction with CAV’s regular planning activities</w:t>
      </w:r>
      <w:r w:rsidRPr="003D6ABF">
        <w:t xml:space="preserve">. </w:t>
      </w:r>
    </w:p>
    <w:p w14:paraId="76FF4CD8" w14:textId="382BDA5B" w:rsidR="004416C7" w:rsidRDefault="000C51BD" w:rsidP="004416C7">
      <w:pPr>
        <w:pStyle w:val="DJRbody"/>
      </w:pPr>
      <w:r>
        <w:t xml:space="preserve">Although external stakeholders were not directly involved in the development of the SOE, CAV considered external perspectives through a range of representative bodies with which CAV consults, including consumer bodies, businesses, </w:t>
      </w:r>
      <w:r w:rsidRPr="003D6ABF">
        <w:t>renter advocates, not-for-profit sector representatives</w:t>
      </w:r>
      <w:r>
        <w:t>, other regulators, and government, at local, state and national levels.</w:t>
      </w:r>
    </w:p>
    <w:p w14:paraId="1F79C518" w14:textId="16437C72" w:rsidR="009B6FFA" w:rsidRDefault="009B6FFA" w:rsidP="009B6FFA">
      <w:pPr>
        <w:pStyle w:val="DJRbody"/>
        <w:rPr>
          <w:rFonts w:eastAsia="Arial"/>
        </w:rPr>
      </w:pPr>
      <w:r>
        <w:rPr>
          <w:rFonts w:eastAsia="Arial"/>
        </w:rPr>
        <w:t>As CAV has already completed a number of SOE’s the processes were well developed, however the SOE Framework allowe</w:t>
      </w:r>
      <w:r w:rsidR="00122DDC">
        <w:rPr>
          <w:rFonts w:eastAsia="Arial"/>
        </w:rPr>
        <w:t>d for SOEs to be issued in two t</w:t>
      </w:r>
      <w:r>
        <w:rPr>
          <w:rFonts w:eastAsia="Arial"/>
        </w:rPr>
        <w:t>ranches leading to some initial uncertainty around whether a new SOE was required or whether there would be an extension to the existing SOE.</w:t>
      </w:r>
    </w:p>
    <w:p w14:paraId="7A7BB915" w14:textId="77777777" w:rsidR="004416C7" w:rsidRDefault="004416C7" w:rsidP="004416C7">
      <w:pPr>
        <w:pStyle w:val="Heading3"/>
      </w:pPr>
      <w:bookmarkStart w:id="22" w:name="_Toc527370726"/>
      <w:r>
        <w:rPr>
          <w:lang w:eastAsia="en-AU"/>
        </w:rPr>
        <w:t>Were all parties satisfied with the SOE development process</w:t>
      </w:r>
      <w:r w:rsidRPr="00447E4A">
        <w:rPr>
          <w:lang w:eastAsia="en-AU"/>
        </w:rPr>
        <w:t>?</w:t>
      </w:r>
      <w:bookmarkEnd w:id="22"/>
    </w:p>
    <w:p w14:paraId="7778421A" w14:textId="58E4218A" w:rsidR="004416C7" w:rsidRDefault="004416C7" w:rsidP="004416C7">
      <w:pPr>
        <w:pStyle w:val="DJRbody"/>
        <w:rPr>
          <w:rFonts w:eastAsia="Arial"/>
          <w:szCs w:val="22"/>
        </w:rPr>
      </w:pPr>
      <w:r>
        <w:t xml:space="preserve">CAV did not identify any challenges in the development of the SOE, given CAV’s view that reducing red tape is a </w:t>
      </w:r>
      <w:r w:rsidR="009B6FFA">
        <w:t>“</w:t>
      </w:r>
      <w:r>
        <w:t>business as usual activity</w:t>
      </w:r>
      <w:r w:rsidR="009B6FFA">
        <w:t>”</w:t>
      </w:r>
      <w:r>
        <w:t xml:space="preserve">. </w:t>
      </w:r>
      <w:r w:rsidRPr="003D6ABF">
        <w:rPr>
          <w:rFonts w:eastAsia="Arial"/>
          <w:szCs w:val="22"/>
        </w:rPr>
        <w:t xml:space="preserve">CAV’s direction for 2017-18 and beyond was already established through </w:t>
      </w:r>
      <w:r>
        <w:rPr>
          <w:rFonts w:eastAsia="Arial"/>
          <w:szCs w:val="22"/>
        </w:rPr>
        <w:t>annual</w:t>
      </w:r>
      <w:r w:rsidRPr="003D6ABF">
        <w:rPr>
          <w:rFonts w:eastAsia="Arial"/>
          <w:szCs w:val="22"/>
        </w:rPr>
        <w:t xml:space="preserve"> corporate planning processes</w:t>
      </w:r>
      <w:r>
        <w:rPr>
          <w:rFonts w:eastAsia="Arial"/>
          <w:szCs w:val="22"/>
        </w:rPr>
        <w:t xml:space="preserve"> and, as noted above, the planning process had informed the SOE development. </w:t>
      </w:r>
    </w:p>
    <w:p w14:paraId="5B8CD9CD" w14:textId="5C9538F6" w:rsidR="004416C7" w:rsidRDefault="004416C7" w:rsidP="004416C7">
      <w:pPr>
        <w:pStyle w:val="DJRbody"/>
        <w:rPr>
          <w:rFonts w:eastAsia="Arial"/>
        </w:rPr>
      </w:pPr>
      <w:r>
        <w:rPr>
          <w:rFonts w:eastAsia="Arial"/>
        </w:rPr>
        <w:t xml:space="preserve">CAV noted that it may </w:t>
      </w:r>
      <w:r w:rsidR="002D5F9D">
        <w:rPr>
          <w:rFonts w:eastAsia="Arial"/>
        </w:rPr>
        <w:t>find it</w:t>
      </w:r>
      <w:r>
        <w:rPr>
          <w:rFonts w:eastAsia="Arial"/>
        </w:rPr>
        <w:t xml:space="preserve"> </w:t>
      </w:r>
      <w:r w:rsidRPr="003D6ABF">
        <w:rPr>
          <w:rFonts w:eastAsia="Arial"/>
        </w:rPr>
        <w:t xml:space="preserve">difficult to </w:t>
      </w:r>
      <w:r>
        <w:rPr>
          <w:rFonts w:eastAsia="Arial"/>
        </w:rPr>
        <w:t xml:space="preserve">align initiatives to the current mandatory elements (timeliness, risk-based strategies and compliance assistance) in future SOEs. CAV suggested that </w:t>
      </w:r>
      <w:r w:rsidR="00B10197">
        <w:rPr>
          <w:rFonts w:eastAsia="Arial"/>
        </w:rPr>
        <w:t xml:space="preserve">for future SOEs </w:t>
      </w:r>
      <w:r>
        <w:rPr>
          <w:rFonts w:eastAsia="Arial"/>
        </w:rPr>
        <w:t xml:space="preserve">the elements </w:t>
      </w:r>
      <w:r w:rsidRPr="003D6ABF">
        <w:rPr>
          <w:rFonts w:eastAsia="Arial"/>
        </w:rPr>
        <w:t xml:space="preserve">in the </w:t>
      </w:r>
      <w:r w:rsidR="00C1591B">
        <w:rPr>
          <w:rFonts w:eastAsia="Arial"/>
        </w:rPr>
        <w:t xml:space="preserve">SOE </w:t>
      </w:r>
      <w:r w:rsidRPr="003D6ABF">
        <w:rPr>
          <w:rFonts w:eastAsia="Arial"/>
        </w:rPr>
        <w:t>Framework</w:t>
      </w:r>
      <w:r>
        <w:rPr>
          <w:rFonts w:eastAsia="Arial"/>
        </w:rPr>
        <w:t xml:space="preserve"> could be </w:t>
      </w:r>
      <w:r w:rsidR="00B10197">
        <w:rPr>
          <w:rFonts w:eastAsia="Arial"/>
        </w:rPr>
        <w:t xml:space="preserve">rotated to refresh the </w:t>
      </w:r>
      <w:r>
        <w:rPr>
          <w:rFonts w:eastAsia="Arial"/>
        </w:rPr>
        <w:t>mandatory, recommended and suggested elements.</w:t>
      </w:r>
    </w:p>
    <w:p w14:paraId="458C7F24" w14:textId="6E3F7337" w:rsidR="004416C7" w:rsidRDefault="004416C7" w:rsidP="004416C7">
      <w:pPr>
        <w:pStyle w:val="DJRbody"/>
      </w:pPr>
      <w:r>
        <w:rPr>
          <w:rFonts w:eastAsia="Arial"/>
        </w:rPr>
        <w:t xml:space="preserve">CAV noted the importance of </w:t>
      </w:r>
      <w:r w:rsidRPr="003D6ABF">
        <w:rPr>
          <w:rFonts w:eastAsia="Arial"/>
        </w:rPr>
        <w:t>embed</w:t>
      </w:r>
      <w:r>
        <w:rPr>
          <w:rFonts w:eastAsia="Arial"/>
        </w:rPr>
        <w:t>ding</w:t>
      </w:r>
      <w:r w:rsidRPr="003D6ABF">
        <w:rPr>
          <w:rFonts w:eastAsia="Arial"/>
        </w:rPr>
        <w:t xml:space="preserve"> the </w:t>
      </w:r>
      <w:r>
        <w:rPr>
          <w:rFonts w:eastAsia="Arial"/>
        </w:rPr>
        <w:t xml:space="preserve">SOE </w:t>
      </w:r>
      <w:r w:rsidRPr="003D6ABF">
        <w:rPr>
          <w:rFonts w:eastAsia="Arial"/>
        </w:rPr>
        <w:t xml:space="preserve">Framework requirements into </w:t>
      </w:r>
      <w:r>
        <w:rPr>
          <w:rFonts w:eastAsia="Arial"/>
        </w:rPr>
        <w:t xml:space="preserve">ongoing </w:t>
      </w:r>
      <w:r w:rsidRPr="003D6ABF">
        <w:rPr>
          <w:rFonts w:eastAsia="Arial"/>
        </w:rPr>
        <w:t>annual corporate planning thereby ensuring</w:t>
      </w:r>
      <w:r w:rsidR="000C51BD">
        <w:rPr>
          <w:rFonts w:eastAsia="Arial"/>
        </w:rPr>
        <w:t xml:space="preserve"> the maximum unity between the </w:t>
      </w:r>
      <w:proofErr w:type="gramStart"/>
      <w:r w:rsidR="000C51BD">
        <w:rPr>
          <w:rFonts w:eastAsia="Arial"/>
        </w:rPr>
        <w:t>m</w:t>
      </w:r>
      <w:r w:rsidRPr="003D6ABF">
        <w:rPr>
          <w:rFonts w:eastAsia="Arial"/>
        </w:rPr>
        <w:t>inister’s</w:t>
      </w:r>
      <w:proofErr w:type="gramEnd"/>
      <w:r w:rsidRPr="003D6ABF">
        <w:rPr>
          <w:rFonts w:eastAsia="Arial"/>
        </w:rPr>
        <w:t xml:space="preserve"> </w:t>
      </w:r>
      <w:r w:rsidR="000C51BD">
        <w:rPr>
          <w:rFonts w:eastAsia="Arial"/>
        </w:rPr>
        <w:t xml:space="preserve">published </w:t>
      </w:r>
      <w:r w:rsidRPr="003D6ABF">
        <w:rPr>
          <w:rFonts w:eastAsia="Arial"/>
        </w:rPr>
        <w:t xml:space="preserve">SOE </w:t>
      </w:r>
      <w:r>
        <w:rPr>
          <w:rFonts w:eastAsia="Arial"/>
        </w:rPr>
        <w:t xml:space="preserve">targets </w:t>
      </w:r>
      <w:r w:rsidRPr="003D6ABF">
        <w:rPr>
          <w:rFonts w:eastAsia="Arial"/>
        </w:rPr>
        <w:t>and CAV’s activities</w:t>
      </w:r>
      <w:r>
        <w:rPr>
          <w:rFonts w:eastAsia="Arial"/>
        </w:rPr>
        <w:t xml:space="preserve"> (response)</w:t>
      </w:r>
      <w:r w:rsidRPr="003D6ABF">
        <w:rPr>
          <w:rFonts w:eastAsia="Arial"/>
        </w:rPr>
        <w:t xml:space="preserve">. </w:t>
      </w:r>
      <w:r w:rsidR="00013678">
        <w:rPr>
          <w:rFonts w:eastAsia="Arial"/>
        </w:rPr>
        <w:t>CAV recognised that t</w:t>
      </w:r>
      <w:r>
        <w:rPr>
          <w:rFonts w:eastAsia="Arial"/>
        </w:rPr>
        <w:t>he SOE process</w:t>
      </w:r>
      <w:r>
        <w:t xml:space="preserve"> should not be an administrative burden added on to existing work, but should </w:t>
      </w:r>
      <w:r w:rsidR="00DC097F">
        <w:t xml:space="preserve">rather </w:t>
      </w:r>
      <w:r>
        <w:t>b</w:t>
      </w:r>
      <w:r w:rsidR="00013678">
        <w:t>e aligned to strategic intent</w:t>
      </w:r>
      <w:r>
        <w:t xml:space="preserve">. </w:t>
      </w:r>
    </w:p>
    <w:p w14:paraId="397F43EB" w14:textId="2A5C8BCC" w:rsidR="004416C7" w:rsidRDefault="004416C7" w:rsidP="004416C7">
      <w:pPr>
        <w:pStyle w:val="DJRbody"/>
        <w:rPr>
          <w:rFonts w:eastAsia="Arial"/>
        </w:rPr>
      </w:pPr>
      <w:r>
        <w:rPr>
          <w:rFonts w:eastAsia="Arial"/>
        </w:rPr>
        <w:t xml:space="preserve">CAV Survey respondents felt there could be improvements in </w:t>
      </w:r>
      <w:r w:rsidRPr="001809B0">
        <w:rPr>
          <w:rFonts w:eastAsia="Arial"/>
        </w:rPr>
        <w:t>the integration of the SOE process and the CAV strategic planning process, to ensure the SOE outcomes were clearly defined and strongly aligned with the strategic plan, and to enhance the understanding of the SOE and its role and purpose.</w:t>
      </w:r>
      <w:r w:rsidR="00A94517">
        <w:rPr>
          <w:rFonts w:eastAsia="Arial"/>
        </w:rPr>
        <w:t xml:space="preserve"> </w:t>
      </w:r>
      <w:r w:rsidR="00A94517">
        <w:t xml:space="preserve">There is an opportunity for CAV to see how achieving regulator best practice can be </w:t>
      </w:r>
      <w:r w:rsidR="002129CD">
        <w:t xml:space="preserve">more </w:t>
      </w:r>
      <w:r w:rsidR="00A94517">
        <w:t>closely integrated to strategic planning.</w:t>
      </w:r>
    </w:p>
    <w:p w14:paraId="306C673E" w14:textId="77777777" w:rsidR="007B2B6C" w:rsidRDefault="007B2B6C" w:rsidP="007B2B6C">
      <w:pPr>
        <w:pStyle w:val="DJRtablefigurenote"/>
      </w:pPr>
    </w:p>
    <w:p w14:paraId="49C176A3" w14:textId="77777777" w:rsidR="00E80B2E" w:rsidRDefault="00E80B2E">
      <w:pPr>
        <w:rPr>
          <w:rFonts w:ascii="Arial" w:hAnsi="Arial"/>
          <w:sz w:val="18"/>
        </w:rPr>
      </w:pPr>
      <w:r>
        <w:br w:type="page"/>
      </w:r>
    </w:p>
    <w:p w14:paraId="1DF11F23" w14:textId="1333E976" w:rsidR="00E80B2E" w:rsidRDefault="00E80B2E" w:rsidP="00E80B2E">
      <w:pPr>
        <w:pStyle w:val="Heading1"/>
      </w:pPr>
      <w:bookmarkStart w:id="23" w:name="_Toc533678782"/>
      <w:bookmarkStart w:id="24" w:name="_Toc527370728"/>
      <w:r w:rsidRPr="00E80B2E">
        <w:lastRenderedPageBreak/>
        <w:t>Outcomes</w:t>
      </w:r>
      <w:r>
        <w:t xml:space="preserve"> evaluation</w:t>
      </w:r>
      <w:bookmarkEnd w:id="23"/>
      <w:r>
        <w:t xml:space="preserve"> </w:t>
      </w:r>
      <w:bookmarkEnd w:id="24"/>
    </w:p>
    <w:p w14:paraId="5E62B4C5" w14:textId="106DF9DD" w:rsidR="002129CD" w:rsidRDefault="002129CD" w:rsidP="002129CD">
      <w:pPr>
        <w:pStyle w:val="DJRbody"/>
      </w:pPr>
      <w:r>
        <w:t>The CAV SOE provides three mandatory elements from the SOE Framework as the focus for the SOE period:</w:t>
      </w:r>
    </w:p>
    <w:p w14:paraId="0BBDC1D6" w14:textId="10979899" w:rsidR="002129CD" w:rsidRDefault="00895865" w:rsidP="002129CD">
      <w:pPr>
        <w:pStyle w:val="DJRbullet1"/>
      </w:pPr>
      <w:r>
        <w:t xml:space="preserve">Timeliness </w:t>
      </w:r>
    </w:p>
    <w:p w14:paraId="09C1E12C" w14:textId="1C445931" w:rsidR="002129CD" w:rsidRDefault="002129CD" w:rsidP="002129CD">
      <w:pPr>
        <w:pStyle w:val="DJRbullet1"/>
      </w:pPr>
      <w:r>
        <w:t>Risk-based strat</w:t>
      </w:r>
      <w:r w:rsidR="00895865">
        <w:t>egies</w:t>
      </w:r>
    </w:p>
    <w:p w14:paraId="6DE811D3" w14:textId="78881C2F" w:rsidR="002129CD" w:rsidRDefault="002129CD" w:rsidP="002129CD">
      <w:pPr>
        <w:pStyle w:val="DJRbullet1"/>
      </w:pPr>
      <w:r>
        <w:t>Compliance-related a</w:t>
      </w:r>
      <w:r w:rsidR="00895865">
        <w:t>ssistance and advice</w:t>
      </w:r>
      <w:r w:rsidR="00CE2DD6">
        <w:t>.</w:t>
      </w:r>
    </w:p>
    <w:p w14:paraId="65AE03EE" w14:textId="1BA00E45" w:rsidR="002129CD" w:rsidRPr="006D3CC8" w:rsidRDefault="002129CD" w:rsidP="002129CD">
      <w:pPr>
        <w:pStyle w:val="DJRbodyafterbullets"/>
        <w:rPr>
          <w:b/>
        </w:rPr>
      </w:pPr>
      <w:r w:rsidRPr="006D3CC8">
        <w:t xml:space="preserve">This </w:t>
      </w:r>
      <w:r>
        <w:t xml:space="preserve">section addresses the outcome evaluation questions set out at </w:t>
      </w:r>
      <w:r w:rsidR="00D12167">
        <w:fldChar w:fldCharType="begin"/>
      </w:r>
      <w:r w:rsidR="00D12167">
        <w:instrText xml:space="preserve"> REF _Ref527547952 \r \h </w:instrText>
      </w:r>
      <w:r w:rsidR="00D12167">
        <w:fldChar w:fldCharType="separate"/>
      </w:r>
      <w:r w:rsidR="00BF12F7">
        <w:t>Appendix 2</w:t>
      </w:r>
      <w:r w:rsidR="00D12167">
        <w:fldChar w:fldCharType="end"/>
      </w:r>
      <w:r w:rsidR="00D12167">
        <w:t>.</w:t>
      </w:r>
    </w:p>
    <w:p w14:paraId="464445F9" w14:textId="77777777" w:rsidR="00E80B2E" w:rsidRDefault="00E80B2E" w:rsidP="00E80B2E">
      <w:pPr>
        <w:pStyle w:val="Heading2"/>
      </w:pPr>
      <w:bookmarkStart w:id="25" w:name="_Toc527370729"/>
      <w:bookmarkStart w:id="26" w:name="_Toc533678783"/>
      <w:r w:rsidRPr="00E80B2E">
        <w:t>Timeliness</w:t>
      </w:r>
      <w:bookmarkEnd w:id="25"/>
      <w:bookmarkEnd w:id="26"/>
    </w:p>
    <w:p w14:paraId="0AFCDE4D" w14:textId="69F1E18B" w:rsidR="00E80B2E" w:rsidRDefault="00217C13" w:rsidP="00E80B2E">
      <w:pPr>
        <w:pStyle w:val="Heading3"/>
      </w:pPr>
      <w:bookmarkStart w:id="27" w:name="_Toc526846810"/>
      <w:bookmarkStart w:id="28" w:name="_Toc527370730"/>
      <w:r>
        <w:t>Easier</w:t>
      </w:r>
      <w:r w:rsidR="00895865">
        <w:t xml:space="preserve"> </w:t>
      </w:r>
      <w:r w:rsidR="00122DDC">
        <w:t>on-line</w:t>
      </w:r>
      <w:r>
        <w:t xml:space="preserve"> data </w:t>
      </w:r>
      <w:r w:rsidR="00895865">
        <w:t xml:space="preserve">submission </w:t>
      </w:r>
      <w:r w:rsidR="00E80B2E">
        <w:t>and application status</w:t>
      </w:r>
      <w:bookmarkEnd w:id="27"/>
      <w:bookmarkEnd w:id="28"/>
      <w:r>
        <w:t xml:space="preserve"> checking</w:t>
      </w:r>
    </w:p>
    <w:p w14:paraId="21E8E600" w14:textId="6C090CBB" w:rsidR="00E80B2E" w:rsidRDefault="00406B0D" w:rsidP="00E80B2E">
      <w:pPr>
        <w:pStyle w:val="DJRbody"/>
      </w:pPr>
      <w:r>
        <w:fldChar w:fldCharType="begin"/>
      </w:r>
      <w:r>
        <w:instrText xml:space="preserve"> REF _Ref526947554 \h </w:instrText>
      </w:r>
      <w:r>
        <w:fldChar w:fldCharType="separate"/>
      </w:r>
      <w:r w:rsidR="00BF12F7">
        <w:t xml:space="preserve">Table </w:t>
      </w:r>
      <w:r w:rsidR="00BF12F7">
        <w:rPr>
          <w:noProof/>
        </w:rPr>
        <w:t>3</w:t>
      </w:r>
      <w:r>
        <w:fldChar w:fldCharType="end"/>
      </w:r>
      <w:r>
        <w:t xml:space="preserve"> </w:t>
      </w:r>
      <w:r w:rsidR="00895865">
        <w:t xml:space="preserve">sets out the </w:t>
      </w:r>
      <w:r w:rsidR="00D835AB">
        <w:t>minister</w:t>
      </w:r>
      <w:r w:rsidR="00895865">
        <w:t>’s first improvement statement under the timeliness element, along with CAV’s response and progress towards completion of the improvement.</w:t>
      </w:r>
    </w:p>
    <w:p w14:paraId="7ECC400C" w14:textId="29363362" w:rsidR="00E80B2E" w:rsidRPr="00E80B2E" w:rsidRDefault="00E80B2E" w:rsidP="00F86C0E">
      <w:pPr>
        <w:pStyle w:val="TableLabel"/>
      </w:pPr>
      <w:bookmarkStart w:id="29" w:name="_Ref526947554"/>
      <w:r>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3</w:t>
      </w:r>
      <w:r w:rsidR="00CC4AC8">
        <w:rPr>
          <w:noProof/>
        </w:rPr>
        <w:fldChar w:fldCharType="end"/>
      </w:r>
      <w:bookmarkEnd w:id="29"/>
      <w:r>
        <w:t>:</w:t>
      </w:r>
      <w:r>
        <w:tab/>
        <w:t>Regulator response to SOE letter</w:t>
      </w:r>
      <w:r w:rsidR="00DA470D">
        <w:t xml:space="preserve"> – Digital first services</w:t>
      </w:r>
    </w:p>
    <w:tbl>
      <w:tblPr>
        <w:tblW w:w="455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95"/>
        <w:gridCol w:w="4512"/>
        <w:gridCol w:w="1674"/>
      </w:tblGrid>
      <w:tr w:rsidR="00E80B2E" w:rsidRPr="00E80B2E" w14:paraId="2007270D" w14:textId="77777777" w:rsidTr="00A32534">
        <w:trPr>
          <w:tblHeader/>
        </w:trPr>
        <w:tc>
          <w:tcPr>
            <w:tcW w:w="1667" w:type="pct"/>
            <w:shd w:val="clear" w:color="auto" w:fill="16145F"/>
          </w:tcPr>
          <w:p w14:paraId="7CC21972" w14:textId="77777777" w:rsidR="00E80B2E" w:rsidRPr="00E80B2E" w:rsidRDefault="00E80B2E" w:rsidP="00F86C0E">
            <w:pPr>
              <w:pStyle w:val="TableHeader"/>
              <w:rPr>
                <w:rFonts w:eastAsia="Arial"/>
              </w:rPr>
            </w:pPr>
            <w:r w:rsidRPr="00E80B2E">
              <w:rPr>
                <w:rFonts w:eastAsia="Arial"/>
              </w:rPr>
              <w:t>SOE Improvement Statement</w:t>
            </w:r>
          </w:p>
        </w:tc>
        <w:tc>
          <w:tcPr>
            <w:tcW w:w="2431" w:type="pct"/>
            <w:shd w:val="clear" w:color="auto" w:fill="16145F"/>
          </w:tcPr>
          <w:p w14:paraId="3D572BD1" w14:textId="77777777" w:rsidR="00E80B2E" w:rsidRPr="00E80B2E" w:rsidRDefault="00E80B2E" w:rsidP="00F86C0E">
            <w:pPr>
              <w:pStyle w:val="TableHeader"/>
              <w:rPr>
                <w:rFonts w:eastAsia="Arial"/>
              </w:rPr>
            </w:pPr>
            <w:r w:rsidRPr="00E80B2E">
              <w:rPr>
                <w:rFonts w:eastAsia="Arial"/>
              </w:rPr>
              <w:t>Regulator Response and actions from the 2017-19 SOE</w:t>
            </w:r>
          </w:p>
        </w:tc>
        <w:tc>
          <w:tcPr>
            <w:tcW w:w="902" w:type="pct"/>
            <w:shd w:val="clear" w:color="auto" w:fill="16145F"/>
          </w:tcPr>
          <w:p w14:paraId="5438BF13" w14:textId="77777777" w:rsidR="00E80B2E" w:rsidRPr="00E80B2E" w:rsidRDefault="00E80B2E" w:rsidP="00F86C0E">
            <w:pPr>
              <w:pStyle w:val="TableHeader"/>
              <w:rPr>
                <w:rFonts w:eastAsia="Arial"/>
              </w:rPr>
            </w:pPr>
            <w:r w:rsidRPr="00E80B2E">
              <w:rPr>
                <w:rFonts w:eastAsia="Arial"/>
              </w:rPr>
              <w:t>Progress</w:t>
            </w:r>
          </w:p>
        </w:tc>
      </w:tr>
      <w:tr w:rsidR="00E80B2E" w:rsidRPr="00F86C0E" w14:paraId="114CFD4B" w14:textId="77777777" w:rsidTr="00A32534">
        <w:tc>
          <w:tcPr>
            <w:tcW w:w="1667" w:type="pct"/>
            <w:shd w:val="clear" w:color="auto" w:fill="auto"/>
          </w:tcPr>
          <w:p w14:paraId="4D71EDD2" w14:textId="1997B83E" w:rsidR="00E80B2E" w:rsidRPr="00F86C0E" w:rsidRDefault="00E80B2E" w:rsidP="00F86C0E">
            <w:pPr>
              <w:pStyle w:val="TableText"/>
            </w:pPr>
            <w:r w:rsidRPr="00F86C0E">
              <w:t xml:space="preserve">Make it easier for licensees and registrants to submit required data </w:t>
            </w:r>
            <w:r w:rsidR="00122DDC">
              <w:t>on-line</w:t>
            </w:r>
            <w:r w:rsidRPr="00F86C0E">
              <w:t>, check on their application status and remain compliant with their obligations</w:t>
            </w:r>
          </w:p>
        </w:tc>
        <w:tc>
          <w:tcPr>
            <w:tcW w:w="2431" w:type="pct"/>
            <w:shd w:val="clear" w:color="auto" w:fill="auto"/>
          </w:tcPr>
          <w:p w14:paraId="26BD71CC" w14:textId="3609CE39" w:rsidR="00E80B2E" w:rsidRPr="00F86C0E" w:rsidRDefault="000D5750" w:rsidP="00F86C0E">
            <w:pPr>
              <w:pStyle w:val="TableText"/>
            </w:pPr>
            <w:r w:rsidRPr="00F86C0E">
              <w:t>CAV will reduce the time required by operators of licensing and registration schemes to interact with us via more efficient digital services.</w:t>
            </w:r>
            <w:r w:rsidR="0069182A">
              <w:t xml:space="preserve"> </w:t>
            </w:r>
            <w:r w:rsidRPr="00F86C0E">
              <w:t>This will involve replacing legacy systems that support existing licensing and registration schemes with one enterprise-wide application that will enhance our web-based service delivery upon which regulated individuals and groups transact and communicate with us.</w:t>
            </w:r>
            <w:r w:rsidR="0069182A">
              <w:t xml:space="preserve"> </w:t>
            </w:r>
            <w:r w:rsidRPr="00F86C0E">
              <w:t>This platform will enable CAV to deliver services to its stakeholders in ways that are “digital first” – convenient, available when it suits them, taking advantage of technology to reduce the effort involved in fu</w:t>
            </w:r>
            <w:r w:rsidR="00122DDC">
              <w:t>lfi</w:t>
            </w:r>
            <w:r w:rsidRPr="00F86C0E">
              <w:t>lling their regulatory obligations</w:t>
            </w:r>
            <w:r w:rsidR="00E245B3" w:rsidRPr="00F86C0E">
              <w:t>.</w:t>
            </w:r>
          </w:p>
          <w:p w14:paraId="4CC37726" w14:textId="5397F912" w:rsidR="00E245B3" w:rsidRPr="00F86C0E" w:rsidRDefault="00E245B3" w:rsidP="00122DDC">
            <w:pPr>
              <w:pStyle w:val="TableText"/>
            </w:pPr>
            <w:r w:rsidRPr="00F86C0E">
              <w:t xml:space="preserve">This multi-phase project </w:t>
            </w:r>
            <w:r w:rsidR="00122DDC">
              <w:t>will further the work done for i</w:t>
            </w:r>
            <w:r w:rsidRPr="00F86C0E">
              <w:t xml:space="preserve">ncorporated </w:t>
            </w:r>
            <w:r w:rsidR="00122DDC">
              <w:t>a</w:t>
            </w:r>
            <w:r w:rsidRPr="00F86C0E">
              <w:t xml:space="preserve">ssociations and extend CAV’s integrated digital self-service portal, </w:t>
            </w:r>
            <w:proofErr w:type="spellStart"/>
            <w:r w:rsidRPr="00F86C0E">
              <w:t>myCAV</w:t>
            </w:r>
            <w:proofErr w:type="spellEnd"/>
            <w:r w:rsidRPr="00F86C0E">
              <w:t>, for licensing and registration transactions.</w:t>
            </w:r>
            <w:r w:rsidR="0069182A">
              <w:t xml:space="preserve"> </w:t>
            </w:r>
            <w:r w:rsidRPr="00F86C0E">
              <w:t>It will provide Victorians with the opportunity to access, share, submit and update information in a way that does not depend upon intervention by individual CAV staff.</w:t>
            </w:r>
          </w:p>
        </w:tc>
        <w:tc>
          <w:tcPr>
            <w:tcW w:w="902" w:type="pct"/>
            <w:shd w:val="clear" w:color="auto" w:fill="auto"/>
          </w:tcPr>
          <w:p w14:paraId="01BED70F" w14:textId="77777777" w:rsidR="00E80B2E" w:rsidRPr="00F86C0E" w:rsidRDefault="00E80B2E" w:rsidP="00F86C0E">
            <w:pPr>
              <w:pStyle w:val="TableText"/>
            </w:pPr>
            <w:r w:rsidRPr="00F86C0E">
              <w:t>Ongoing</w:t>
            </w:r>
          </w:p>
        </w:tc>
      </w:tr>
    </w:tbl>
    <w:p w14:paraId="519DEB7B" w14:textId="55F62957" w:rsidR="00E80B2E" w:rsidRPr="00E14C37" w:rsidRDefault="00E80B2E" w:rsidP="00576F81">
      <w:pPr>
        <w:pStyle w:val="DJRbodyaftertablefigure"/>
      </w:pPr>
      <w:r>
        <w:t xml:space="preserve">CAV has commenced a program of works to transform its Information </w:t>
      </w:r>
      <w:r w:rsidRPr="00E14C37">
        <w:t xml:space="preserve">Communication Technology (ICT) systems and business processes. This program will see CAV replace current legacy ICT and paper-based systems with a single enterprise wide, </w:t>
      </w:r>
      <w:r w:rsidR="00122DDC">
        <w:t>on-line</w:t>
      </w:r>
      <w:r w:rsidRPr="00E14C37">
        <w:t xml:space="preserve"> application making it easier for </w:t>
      </w:r>
      <w:r>
        <w:t xml:space="preserve">registrants to submit required data </w:t>
      </w:r>
      <w:r w:rsidR="00122DDC">
        <w:t>on-line</w:t>
      </w:r>
      <w:r>
        <w:t xml:space="preserve"> and </w:t>
      </w:r>
      <w:r w:rsidRPr="00E14C37">
        <w:t>meet their legal obligations.</w:t>
      </w:r>
    </w:p>
    <w:p w14:paraId="1B08931D" w14:textId="1F29B36A" w:rsidR="00471EBE" w:rsidRDefault="00471EBE" w:rsidP="00471EBE">
      <w:pPr>
        <w:pStyle w:val="Heading4"/>
      </w:pPr>
      <w:proofErr w:type="spellStart"/>
      <w:proofErr w:type="gramStart"/>
      <w:r>
        <w:t>myCAV</w:t>
      </w:r>
      <w:proofErr w:type="spellEnd"/>
      <w:proofErr w:type="gramEnd"/>
      <w:r>
        <w:t xml:space="preserve"> </w:t>
      </w:r>
      <w:r w:rsidR="00122DDC">
        <w:t>On-line</w:t>
      </w:r>
      <w:r>
        <w:t xml:space="preserve"> Portal</w:t>
      </w:r>
    </w:p>
    <w:p w14:paraId="301969A7" w14:textId="39AD2C86" w:rsidR="000C51BD" w:rsidRPr="00E14C37" w:rsidRDefault="000C51BD" w:rsidP="000C51BD">
      <w:pPr>
        <w:pStyle w:val="DJRbody"/>
      </w:pPr>
      <w:r w:rsidRPr="00E14C37">
        <w:t>In April 2015</w:t>
      </w:r>
      <w:r>
        <w:t>,</w:t>
      </w:r>
      <w:r w:rsidRPr="00E14C37">
        <w:t xml:space="preserve"> the </w:t>
      </w:r>
      <w:proofErr w:type="spellStart"/>
      <w:r w:rsidRPr="00E14C37">
        <w:t>myCAV</w:t>
      </w:r>
      <w:proofErr w:type="spellEnd"/>
      <w:r w:rsidRPr="00E14C37">
        <w:t xml:space="preserve"> </w:t>
      </w:r>
      <w:r w:rsidR="00122DDC">
        <w:t>on-line</w:t>
      </w:r>
      <w:r w:rsidRPr="00E14C37">
        <w:t xml:space="preserve"> portal </w:t>
      </w:r>
      <w:proofErr w:type="gramStart"/>
      <w:r w:rsidRPr="00E14C37">
        <w:t>was launched</w:t>
      </w:r>
      <w:proofErr w:type="gramEnd"/>
      <w:r w:rsidRPr="00E14C37">
        <w:t xml:space="preserve"> to enable </w:t>
      </w:r>
      <w:r w:rsidR="00122DDC">
        <w:t>on-line</w:t>
      </w:r>
      <w:r w:rsidRPr="00E14C37">
        <w:t xml:space="preserve"> registration and management of </w:t>
      </w:r>
      <w:r>
        <w:t xml:space="preserve">approximately 30,000 </w:t>
      </w:r>
      <w:r w:rsidRPr="00E14C37">
        <w:t>incorpora</w:t>
      </w:r>
      <w:r>
        <w:t xml:space="preserve">ted associations. Between May and July 2018, there were over 10,000 logins to the portal. </w:t>
      </w:r>
    </w:p>
    <w:p w14:paraId="2BED40B4" w14:textId="3927D637" w:rsidR="00E80B2E" w:rsidRDefault="00E80B2E" w:rsidP="00E80B2E">
      <w:pPr>
        <w:pStyle w:val="DJRbody"/>
      </w:pPr>
      <w:r>
        <w:t>CAV worked with representative industry groups</w:t>
      </w:r>
      <w:r w:rsidR="000C51BD">
        <w:t xml:space="preserve"> and </w:t>
      </w:r>
      <w:r>
        <w:t xml:space="preserve">members of the general public to </w:t>
      </w:r>
      <w:r w:rsidR="000C51BD">
        <w:t xml:space="preserve">improve </w:t>
      </w:r>
      <w:r>
        <w:t xml:space="preserve">the usability and design of </w:t>
      </w:r>
      <w:proofErr w:type="spellStart"/>
      <w:r>
        <w:t>myCAV</w:t>
      </w:r>
      <w:proofErr w:type="spellEnd"/>
      <w:r>
        <w:t xml:space="preserve">. CAV also engaged an external accessibility expert to review the entire </w:t>
      </w:r>
      <w:proofErr w:type="spellStart"/>
      <w:r>
        <w:t>myCAV</w:t>
      </w:r>
      <w:proofErr w:type="spellEnd"/>
      <w:r>
        <w:t xml:space="preserve"> site and recommend changes to improve the overall accessibility of the system to all members of the public.</w:t>
      </w:r>
    </w:p>
    <w:p w14:paraId="37457DDA" w14:textId="33146837" w:rsidR="00471EBE" w:rsidRDefault="00471EBE" w:rsidP="00471EBE">
      <w:pPr>
        <w:pStyle w:val="Heading4"/>
      </w:pPr>
      <w:r>
        <w:lastRenderedPageBreak/>
        <w:t>Licensing and registration transactions</w:t>
      </w:r>
      <w:r w:rsidR="000C51BD">
        <w:t xml:space="preserve"> on </w:t>
      </w:r>
      <w:proofErr w:type="spellStart"/>
      <w:r w:rsidR="000C51BD">
        <w:t>myCAV</w:t>
      </w:r>
      <w:proofErr w:type="spellEnd"/>
    </w:p>
    <w:p w14:paraId="1D3E554E" w14:textId="77777777" w:rsidR="000C51BD" w:rsidRDefault="000C51BD" w:rsidP="000C51BD">
      <w:pPr>
        <w:pStyle w:val="DJRbody"/>
      </w:pPr>
      <w:r>
        <w:t xml:space="preserve">CAV has extended </w:t>
      </w:r>
      <w:proofErr w:type="spellStart"/>
      <w:r>
        <w:t>myCAV</w:t>
      </w:r>
      <w:proofErr w:type="spellEnd"/>
      <w:r>
        <w:t xml:space="preserve"> to other regulatory contexts. The first of these was </w:t>
      </w:r>
      <w:r w:rsidRPr="00E14C37">
        <w:t xml:space="preserve">the Estate Agent </w:t>
      </w:r>
      <w:r>
        <w:t>and Rooming House L</w:t>
      </w:r>
      <w:r w:rsidRPr="00E14C37">
        <w:t xml:space="preserve">icensing </w:t>
      </w:r>
      <w:r>
        <w:t>S</w:t>
      </w:r>
      <w:r w:rsidRPr="00E14C37">
        <w:t>cheme</w:t>
      </w:r>
      <w:r>
        <w:t xml:space="preserve"> (EARL), which commenced in April 2017 (rooming house operators) and November 2017 (estate agents). CAV anticipates that this change will save 20 minutes per licence application. </w:t>
      </w:r>
    </w:p>
    <w:p w14:paraId="7B5B403D" w14:textId="77777777" w:rsidR="000C51BD" w:rsidRDefault="000C51BD" w:rsidP="000C51BD">
      <w:pPr>
        <w:pStyle w:val="DJRbody"/>
      </w:pPr>
      <w:r>
        <w:t>The CAV ICT strategy involves the retirement of all remaining legacy systems, and the EARL solution was designed with flexibility, so it could be scaled to other licensing and registration schemes. T</w:t>
      </w:r>
      <w:r w:rsidRPr="00E14C37">
        <w:t xml:space="preserve">his functionality </w:t>
      </w:r>
      <w:r>
        <w:t xml:space="preserve">will be leveraged </w:t>
      </w:r>
      <w:r w:rsidRPr="00E14C37">
        <w:t xml:space="preserve">for </w:t>
      </w:r>
      <w:r>
        <w:t xml:space="preserve">further </w:t>
      </w:r>
      <w:r w:rsidRPr="00E14C37">
        <w:t>licensing schemes such as motor car</w:t>
      </w:r>
      <w:r w:rsidRPr="00F47959">
        <w:t xml:space="preserve"> traders, </w:t>
      </w:r>
      <w:r>
        <w:t xml:space="preserve">and </w:t>
      </w:r>
      <w:r w:rsidRPr="00F47959">
        <w:t xml:space="preserve">second hand dealers </w:t>
      </w:r>
      <w:r>
        <w:t>and</w:t>
      </w:r>
      <w:r w:rsidRPr="00F47959">
        <w:t xml:space="preserve"> pawn brokers</w:t>
      </w:r>
      <w:r w:rsidRPr="00E14C37">
        <w:t>.</w:t>
      </w:r>
      <w:r>
        <w:t xml:space="preserve"> </w:t>
      </w:r>
    </w:p>
    <w:p w14:paraId="3318BC32" w14:textId="4F7A2684" w:rsidR="00E80B2E" w:rsidRPr="00F47959" w:rsidRDefault="000C51BD" w:rsidP="000C51BD">
      <w:pPr>
        <w:pStyle w:val="DJRbody"/>
      </w:pPr>
      <w:r>
        <w:t xml:space="preserve">As at 30 July 2018, over 70 per cent of estate agents, rooming house operators and retirement village operators </w:t>
      </w:r>
      <w:proofErr w:type="gramStart"/>
      <w:r>
        <w:t>were registered</w:t>
      </w:r>
      <w:proofErr w:type="gramEnd"/>
      <w:r>
        <w:t xml:space="preserve"> on </w:t>
      </w:r>
      <w:proofErr w:type="spellStart"/>
      <w:r>
        <w:t>myCAV</w:t>
      </w:r>
      <w:proofErr w:type="spellEnd"/>
      <w:r>
        <w:t xml:space="preserve"> and that almost all of these transactions wer</w:t>
      </w:r>
      <w:r w:rsidR="00B10197">
        <w:t xml:space="preserve">e processed completely </w:t>
      </w:r>
      <w:r w:rsidR="00122DDC">
        <w:t>on-line</w:t>
      </w:r>
      <w:r w:rsidR="00B10197">
        <w:t xml:space="preserve">. </w:t>
      </w:r>
      <w:r>
        <w:t xml:space="preserve">CAV estimates that, as at November 2018, there was almost universal use of </w:t>
      </w:r>
      <w:proofErr w:type="spellStart"/>
      <w:r>
        <w:t>myCAV</w:t>
      </w:r>
      <w:proofErr w:type="spellEnd"/>
      <w:r>
        <w:t xml:space="preserve"> by estate agents. </w:t>
      </w:r>
    </w:p>
    <w:p w14:paraId="4300A58E" w14:textId="32B3E8EF" w:rsidR="00471EBE" w:rsidRDefault="00471EBE" w:rsidP="00471EBE">
      <w:pPr>
        <w:pStyle w:val="Heading4"/>
      </w:pPr>
      <w:r>
        <w:t>Notifications</w:t>
      </w:r>
      <w:r w:rsidR="000C51BD">
        <w:t xml:space="preserve"> on </w:t>
      </w:r>
      <w:proofErr w:type="spellStart"/>
      <w:r w:rsidR="000C51BD">
        <w:t>myCAV</w:t>
      </w:r>
      <w:proofErr w:type="spellEnd"/>
    </w:p>
    <w:p w14:paraId="56F8A6C6" w14:textId="5C50DDF1" w:rsidR="00E80B2E" w:rsidRDefault="00E80B2E" w:rsidP="00E80B2E">
      <w:pPr>
        <w:pStyle w:val="DJRbody"/>
      </w:pPr>
      <w:r w:rsidRPr="00F47959">
        <w:t xml:space="preserve">As well as improving licensing and registration, </w:t>
      </w:r>
      <w:proofErr w:type="spellStart"/>
      <w:r>
        <w:t>myCAV</w:t>
      </w:r>
      <w:proofErr w:type="spellEnd"/>
      <w:r w:rsidRPr="00F47959">
        <w:t xml:space="preserve"> provides electronic notifications to </w:t>
      </w:r>
      <w:r w:rsidR="00247857">
        <w:t>licensees and registrants</w:t>
      </w:r>
      <w:r w:rsidRPr="00F47959">
        <w:t xml:space="preserve"> to ensure they </w:t>
      </w:r>
      <w:r w:rsidR="00247857">
        <w:t>comply</w:t>
      </w:r>
      <w:r w:rsidRPr="00F47959">
        <w:t xml:space="preserve"> with their obligations. These</w:t>
      </w:r>
      <w:r w:rsidR="00247857">
        <w:t xml:space="preserve"> automated</w:t>
      </w:r>
      <w:r w:rsidRPr="00F47959">
        <w:t xml:space="preserve"> notifications</w:t>
      </w:r>
      <w:r>
        <w:t xml:space="preserve"> replace the previous manual process where </w:t>
      </w:r>
      <w:r w:rsidR="00247857">
        <w:t>licensees and registrants</w:t>
      </w:r>
      <w:r>
        <w:t xml:space="preserve"> </w:t>
      </w:r>
      <w:r w:rsidRPr="00DD185F">
        <w:t xml:space="preserve">would </w:t>
      </w:r>
      <w:r>
        <w:t xml:space="preserve">need </w:t>
      </w:r>
      <w:r w:rsidRPr="00DD185F">
        <w:t>to call CAV to get updates</w:t>
      </w:r>
      <w:r w:rsidR="00247857">
        <w:t xml:space="preserve">. </w:t>
      </w:r>
      <w:proofErr w:type="spellStart"/>
      <w:proofErr w:type="gramStart"/>
      <w:r w:rsidR="00247857">
        <w:t>myCAV</w:t>
      </w:r>
      <w:proofErr w:type="spellEnd"/>
      <w:proofErr w:type="gramEnd"/>
      <w:r w:rsidR="00247857">
        <w:t xml:space="preserve"> also allows licensees and registrants to check progress to date in their application. </w:t>
      </w:r>
      <w:r>
        <w:t>Where a phone number has been provided, the system a</w:t>
      </w:r>
      <w:r w:rsidRPr="00DD185F">
        <w:t xml:space="preserve">lso generates an SMS </w:t>
      </w:r>
      <w:r>
        <w:t>reminder.</w:t>
      </w:r>
      <w:r w:rsidRPr="00DD185F">
        <w:t xml:space="preserve"> </w:t>
      </w:r>
      <w:r>
        <w:t xml:space="preserve">Reminders are </w:t>
      </w:r>
      <w:r w:rsidRPr="00DD185F">
        <w:t>time based</w:t>
      </w:r>
      <w:r>
        <w:t>, providing a timeframe for when action is required, such as</w:t>
      </w:r>
      <w:r w:rsidRPr="00DD185F">
        <w:t xml:space="preserve"> renewal due in three days.</w:t>
      </w:r>
    </w:p>
    <w:p w14:paraId="3A3414D2" w14:textId="79B06FEF" w:rsidR="00471EBE" w:rsidRDefault="00471EBE" w:rsidP="00471EBE">
      <w:pPr>
        <w:pStyle w:val="Heading4"/>
      </w:pPr>
      <w:r>
        <w:t>Further improvements</w:t>
      </w:r>
      <w:r w:rsidR="004039F5">
        <w:t xml:space="preserve"> to </w:t>
      </w:r>
      <w:proofErr w:type="spellStart"/>
      <w:r w:rsidR="004039F5">
        <w:t>myCAV</w:t>
      </w:r>
      <w:proofErr w:type="spellEnd"/>
    </w:p>
    <w:p w14:paraId="1C22E741" w14:textId="01A34185" w:rsidR="00E80B2E" w:rsidRPr="0033111C" w:rsidRDefault="004039F5" w:rsidP="00E80B2E">
      <w:pPr>
        <w:pStyle w:val="DJRbody"/>
      </w:pPr>
      <w:r>
        <w:t xml:space="preserve">Improvements continue to be made to </w:t>
      </w:r>
      <w:proofErr w:type="spellStart"/>
      <w:r>
        <w:t>myCAV</w:t>
      </w:r>
      <w:proofErr w:type="spellEnd"/>
      <w:r>
        <w:t xml:space="preserve"> to enhance its utility. T</w:t>
      </w:r>
      <w:r w:rsidRPr="0033111C">
        <w:t>he end date of</w:t>
      </w:r>
      <w:r>
        <w:t xml:space="preserve"> the</w:t>
      </w:r>
      <w:r w:rsidRPr="0033111C">
        <w:t xml:space="preserve"> </w:t>
      </w:r>
      <w:proofErr w:type="spellStart"/>
      <w:r>
        <w:t>myCAV</w:t>
      </w:r>
      <w:proofErr w:type="spellEnd"/>
      <w:r>
        <w:t xml:space="preserve"> roll-out</w:t>
      </w:r>
      <w:r w:rsidRPr="0033111C">
        <w:t xml:space="preserve"> is planned for 30 June 2021. </w:t>
      </w:r>
    </w:p>
    <w:p w14:paraId="7D55FA39" w14:textId="77777777" w:rsidR="00D1643C" w:rsidRPr="00D1643C" w:rsidRDefault="00D1643C" w:rsidP="00D1643C">
      <w:pPr>
        <w:pStyle w:val="Heading3"/>
      </w:pPr>
      <w:bookmarkStart w:id="30" w:name="_Toc526846811"/>
      <w:bookmarkStart w:id="31" w:name="_Toc527370731"/>
      <w:r w:rsidRPr="00D1643C">
        <w:t>Residential Tenancies Bond Authority’s electronic transactions</w:t>
      </w:r>
      <w:bookmarkEnd w:id="30"/>
      <w:bookmarkEnd w:id="31"/>
    </w:p>
    <w:p w14:paraId="666D54F7" w14:textId="007E1C63" w:rsidR="00D1643C" w:rsidRDefault="001F061B" w:rsidP="00D1643C">
      <w:pPr>
        <w:pStyle w:val="DJRbody"/>
      </w:pPr>
      <w:r>
        <w:fldChar w:fldCharType="begin"/>
      </w:r>
      <w:r>
        <w:instrText xml:space="preserve"> REF _Ref526947597 \h </w:instrText>
      </w:r>
      <w:r>
        <w:fldChar w:fldCharType="separate"/>
      </w:r>
      <w:r w:rsidR="00BF12F7">
        <w:t xml:space="preserve">Table </w:t>
      </w:r>
      <w:r w:rsidR="00BF12F7">
        <w:rPr>
          <w:noProof/>
        </w:rPr>
        <w:t>4</w:t>
      </w:r>
      <w:r>
        <w:fldChar w:fldCharType="end"/>
      </w:r>
      <w:r w:rsidR="00886313">
        <w:t xml:space="preserve"> </w:t>
      </w:r>
      <w:r w:rsidR="00895865">
        <w:t xml:space="preserve">sets out the </w:t>
      </w:r>
      <w:r w:rsidR="00D835AB">
        <w:t>minister</w:t>
      </w:r>
      <w:r w:rsidR="00895865">
        <w:t>’s second improvement statement under the timeliness element, along with CAV’s response and progress towards completion of the improvement</w:t>
      </w:r>
      <w:r w:rsidR="00D1643C">
        <w:t>.</w:t>
      </w:r>
    </w:p>
    <w:p w14:paraId="0B61761A" w14:textId="566CD617" w:rsidR="00D1643C" w:rsidRPr="00D1643C" w:rsidRDefault="00D1643C" w:rsidP="00F86C0E">
      <w:pPr>
        <w:pStyle w:val="TableLabel"/>
      </w:pPr>
      <w:bookmarkStart w:id="32" w:name="_Ref526947597"/>
      <w:r>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4</w:t>
      </w:r>
      <w:r w:rsidR="00CC4AC8">
        <w:rPr>
          <w:noProof/>
        </w:rPr>
        <w:fldChar w:fldCharType="end"/>
      </w:r>
      <w:bookmarkEnd w:id="32"/>
      <w:r>
        <w:t>:</w:t>
      </w:r>
      <w:r>
        <w:tab/>
        <w:t>Regulator response to SOE letter</w:t>
      </w:r>
      <w:r w:rsidR="00DA470D">
        <w:t xml:space="preserve"> – </w:t>
      </w:r>
      <w:r w:rsidR="00A94517">
        <w:t xml:space="preserve">RTBA </w:t>
      </w:r>
      <w:r w:rsidR="00DA470D">
        <w:t>electronic transactions</w:t>
      </w:r>
    </w:p>
    <w:tbl>
      <w:tblPr>
        <w:tblW w:w="4552"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95"/>
        <w:gridCol w:w="4512"/>
        <w:gridCol w:w="1674"/>
      </w:tblGrid>
      <w:tr w:rsidR="00D1643C" w:rsidRPr="00F86C0E" w14:paraId="5C7D37FF" w14:textId="77777777" w:rsidTr="00A32534">
        <w:trPr>
          <w:tblHeader/>
        </w:trPr>
        <w:tc>
          <w:tcPr>
            <w:tcW w:w="1667" w:type="pct"/>
            <w:shd w:val="clear" w:color="auto" w:fill="16145F"/>
          </w:tcPr>
          <w:p w14:paraId="34FC8C47" w14:textId="77777777" w:rsidR="00D1643C" w:rsidRPr="00F86C0E" w:rsidRDefault="00D1643C" w:rsidP="00F86C0E">
            <w:pPr>
              <w:pStyle w:val="TableHeader"/>
            </w:pPr>
            <w:r w:rsidRPr="00F86C0E">
              <w:t>SOE Improvement Statement</w:t>
            </w:r>
          </w:p>
        </w:tc>
        <w:tc>
          <w:tcPr>
            <w:tcW w:w="2431" w:type="pct"/>
            <w:shd w:val="clear" w:color="auto" w:fill="16145F"/>
          </w:tcPr>
          <w:p w14:paraId="579E488C" w14:textId="77777777" w:rsidR="00D1643C" w:rsidRPr="00F86C0E" w:rsidRDefault="00D1643C" w:rsidP="00F86C0E">
            <w:pPr>
              <w:pStyle w:val="TableHeader"/>
            </w:pPr>
            <w:r w:rsidRPr="00F86C0E">
              <w:t>Regulator Response and actions from the 2017-19 SOE</w:t>
            </w:r>
          </w:p>
        </w:tc>
        <w:tc>
          <w:tcPr>
            <w:tcW w:w="902" w:type="pct"/>
            <w:shd w:val="clear" w:color="auto" w:fill="16145F"/>
          </w:tcPr>
          <w:p w14:paraId="6E520B02" w14:textId="77777777" w:rsidR="00D1643C" w:rsidRPr="00F86C0E" w:rsidRDefault="00D1643C" w:rsidP="00F86C0E">
            <w:pPr>
              <w:pStyle w:val="TableHeader"/>
            </w:pPr>
            <w:r w:rsidRPr="00F86C0E">
              <w:t>Progress</w:t>
            </w:r>
          </w:p>
        </w:tc>
      </w:tr>
      <w:tr w:rsidR="00D1643C" w:rsidRPr="00F86C0E" w14:paraId="57415A98" w14:textId="77777777" w:rsidTr="00A32534">
        <w:tc>
          <w:tcPr>
            <w:tcW w:w="1667" w:type="pct"/>
            <w:shd w:val="clear" w:color="auto" w:fill="auto"/>
          </w:tcPr>
          <w:p w14:paraId="4ADA1D9C" w14:textId="77777777" w:rsidR="00D1643C" w:rsidRPr="00F86C0E" w:rsidRDefault="00D1643C" w:rsidP="00F86C0E">
            <w:pPr>
              <w:pStyle w:val="TableText"/>
            </w:pPr>
            <w:r w:rsidRPr="00F86C0E">
              <w:t>Expand use of the Residential Tenancies Bond Authority’s Electronic Transactions by property managers to make it easier to submit forms</w:t>
            </w:r>
          </w:p>
        </w:tc>
        <w:tc>
          <w:tcPr>
            <w:tcW w:w="2431" w:type="pct"/>
            <w:shd w:val="clear" w:color="auto" w:fill="auto"/>
          </w:tcPr>
          <w:p w14:paraId="2CAEB9B2" w14:textId="3B6EC11A" w:rsidR="00D1643C" w:rsidRPr="00F86C0E" w:rsidRDefault="000D5750" w:rsidP="00F86C0E">
            <w:pPr>
              <w:pStyle w:val="TableText"/>
            </w:pPr>
            <w:r w:rsidRPr="00F86C0E">
              <w:t xml:space="preserve">The new </w:t>
            </w:r>
            <w:r w:rsidR="00122DDC">
              <w:t>on-line</w:t>
            </w:r>
            <w:r w:rsidRPr="00F86C0E">
              <w:t xml:space="preserve"> service that replaces five paper-based processes </w:t>
            </w:r>
            <w:proofErr w:type="gramStart"/>
            <w:r w:rsidRPr="00F86C0E">
              <w:t>will be provided</w:t>
            </w:r>
            <w:proofErr w:type="gramEnd"/>
            <w:r w:rsidRPr="00F86C0E">
              <w:t xml:space="preserve"> free of cost to the users of these services, whether it be a private landlord or licensed estate agent.</w:t>
            </w:r>
            <w:r w:rsidR="0069182A">
              <w:t xml:space="preserve"> </w:t>
            </w:r>
            <w:r w:rsidRPr="00F86C0E">
              <w:t>Managers of rented properties will be able to register with the Residential Tenancies Bond Authority (RTBA) and have a seamless experience, including the ability to undertake electronic transactions.</w:t>
            </w:r>
          </w:p>
          <w:p w14:paraId="4616BB34" w14:textId="59169868" w:rsidR="000D5750" w:rsidRPr="00F86C0E" w:rsidRDefault="000D5750" w:rsidP="00F86C0E">
            <w:pPr>
              <w:pStyle w:val="TableText"/>
            </w:pPr>
            <w:r w:rsidRPr="00F86C0E">
              <w:t xml:space="preserve">The project will include an assessment of the current attitudes to electronic transactions and use the information gained to design and implement a comprehensive promotion and education program aimed to better meet the needs of clients and improve their </w:t>
            </w:r>
            <w:r w:rsidR="00122DDC">
              <w:t>on-line</w:t>
            </w:r>
            <w:r w:rsidRPr="00F86C0E">
              <w:t xml:space="preserve"> engagement.</w:t>
            </w:r>
          </w:p>
        </w:tc>
        <w:tc>
          <w:tcPr>
            <w:tcW w:w="902" w:type="pct"/>
            <w:shd w:val="clear" w:color="auto" w:fill="auto"/>
          </w:tcPr>
          <w:p w14:paraId="4663ADD8" w14:textId="38A2D102" w:rsidR="00895865" w:rsidRDefault="00895865" w:rsidP="00F86C0E">
            <w:pPr>
              <w:pStyle w:val="TableText"/>
            </w:pPr>
            <w:r>
              <w:t xml:space="preserve">Five paper-based processes replaced by </w:t>
            </w:r>
            <w:r w:rsidR="00122DDC">
              <w:t>on-line</w:t>
            </w:r>
            <w:r>
              <w:t xml:space="preserve"> services</w:t>
            </w:r>
          </w:p>
          <w:p w14:paraId="1E6A5A07" w14:textId="77777777" w:rsidR="00895865" w:rsidRDefault="00895865" w:rsidP="00F86C0E">
            <w:pPr>
              <w:pStyle w:val="TableText"/>
            </w:pPr>
          </w:p>
          <w:p w14:paraId="7C88C3D6" w14:textId="25CDF6A9" w:rsidR="00895865" w:rsidRDefault="00895865" w:rsidP="00F86C0E">
            <w:pPr>
              <w:pStyle w:val="TableText"/>
            </w:pPr>
            <w:r>
              <w:t>Assessment of attitudes to electronic transactions complete</w:t>
            </w:r>
          </w:p>
          <w:p w14:paraId="0A6FC297" w14:textId="77777777" w:rsidR="00895865" w:rsidRDefault="00895865" w:rsidP="00F86C0E">
            <w:pPr>
              <w:pStyle w:val="TableText"/>
            </w:pPr>
          </w:p>
          <w:p w14:paraId="7118960D" w14:textId="64648E9D" w:rsidR="00D1643C" w:rsidRPr="00F86C0E" w:rsidRDefault="00895865" w:rsidP="00F86C0E">
            <w:pPr>
              <w:pStyle w:val="TableText"/>
            </w:pPr>
            <w:r>
              <w:t>Education o</w:t>
            </w:r>
            <w:r w:rsidR="00D1643C" w:rsidRPr="00F86C0E">
              <w:t>ngoing</w:t>
            </w:r>
          </w:p>
        </w:tc>
      </w:tr>
    </w:tbl>
    <w:p w14:paraId="013D6C63" w14:textId="6CC45838" w:rsidR="00D1643C" w:rsidRPr="004B02DF" w:rsidRDefault="00A94517" w:rsidP="00A94517">
      <w:pPr>
        <w:pStyle w:val="DJRbodyaftertablefigure"/>
      </w:pPr>
      <w:r w:rsidRPr="004B02DF">
        <w:t xml:space="preserve">The Residential Tenancies Bond Authority </w:t>
      </w:r>
      <w:r>
        <w:t>(</w:t>
      </w:r>
      <w:r w:rsidRPr="004B02DF">
        <w:t>RTBA</w:t>
      </w:r>
      <w:r>
        <w:t>)</w:t>
      </w:r>
      <w:r w:rsidRPr="004B02DF">
        <w:t xml:space="preserve"> is established by the </w:t>
      </w:r>
      <w:r w:rsidRPr="00535D29">
        <w:rPr>
          <w:i/>
        </w:rPr>
        <w:t>Residential Tenancies Act 1997</w:t>
      </w:r>
      <w:r>
        <w:t xml:space="preserve"> </w:t>
      </w:r>
      <w:r w:rsidRPr="004B02DF">
        <w:t xml:space="preserve">to hold all Victorian residential tenancy bonds, including those applying to long-term </w:t>
      </w:r>
      <w:r w:rsidRPr="004B02DF">
        <w:lastRenderedPageBreak/>
        <w:t>caravan and rooming house residents.</w:t>
      </w:r>
      <w:r>
        <w:t xml:space="preserve"> </w:t>
      </w:r>
      <w:r w:rsidR="00D1643C" w:rsidRPr="004B02DF">
        <w:t xml:space="preserve">The RTBA is a statutory authority of the Government of Victoria, administered within </w:t>
      </w:r>
      <w:r w:rsidR="00CE2DD6">
        <w:t>DJCS</w:t>
      </w:r>
      <w:r w:rsidR="00D1643C" w:rsidRPr="004B02DF">
        <w:t xml:space="preserve">. </w:t>
      </w:r>
    </w:p>
    <w:p w14:paraId="1C4AAC57" w14:textId="7D06DAF9" w:rsidR="00471EBE" w:rsidRDefault="00471EBE" w:rsidP="00471EBE">
      <w:pPr>
        <w:pStyle w:val="Heading4"/>
      </w:pPr>
      <w:r>
        <w:t xml:space="preserve">RTBA </w:t>
      </w:r>
      <w:r w:rsidR="00122DDC">
        <w:t>On-line</w:t>
      </w:r>
    </w:p>
    <w:p w14:paraId="06A44FCD" w14:textId="7F7216C9" w:rsidR="0038531C" w:rsidRDefault="0038531C" w:rsidP="00D1643C">
      <w:pPr>
        <w:pStyle w:val="DJRbody"/>
      </w:pPr>
      <w:r>
        <w:t xml:space="preserve">CAV is in the process of transitioning all RTBA transactions from paper to the digital environment, improving timeliness of rental bond transactions and reducing the cost of regulation. The key advantage </w:t>
      </w:r>
      <w:r>
        <w:rPr>
          <w:lang w:eastAsia="en-AU"/>
        </w:rPr>
        <w:t>of this is simplified tenant transfers including faster return of bonds and receipts, the elimination of postal delays, and removal of the need to chase paper forms and tenants’ signatures.</w:t>
      </w:r>
    </w:p>
    <w:p w14:paraId="7175A5B2" w14:textId="52157E0F" w:rsidR="00D1643C" w:rsidRPr="004B02DF" w:rsidRDefault="00D1643C" w:rsidP="00D1643C">
      <w:pPr>
        <w:pStyle w:val="DJRbody"/>
      </w:pPr>
      <w:r w:rsidRPr="004B02DF">
        <w:t xml:space="preserve">During 2016-17, the RTBA continued to enhance its transactional website, RTBA </w:t>
      </w:r>
      <w:r w:rsidR="00122DDC">
        <w:t>Online</w:t>
      </w:r>
      <w:r w:rsidRPr="004B02DF">
        <w:t xml:space="preserve">, to make it easier to submit forms electronically. A new module </w:t>
      </w:r>
      <w:proofErr w:type="gramStart"/>
      <w:r w:rsidRPr="004B02DF">
        <w:t>was added</w:t>
      </w:r>
      <w:proofErr w:type="gramEnd"/>
      <w:r w:rsidRPr="004B02DF">
        <w:t xml:space="preserve"> to RTBA </w:t>
      </w:r>
      <w:r w:rsidR="00122DDC">
        <w:t>Online</w:t>
      </w:r>
      <w:r w:rsidRPr="004B02DF">
        <w:t xml:space="preserve"> to allow agents and landlords to register with the RTBA as a property manager. New registrants are automatically authorised to undertake electronic transactions and can move seamlessly to lodging a bond, with the bond payment collected by electronic funds transfer</w:t>
      </w:r>
      <w:r>
        <w:t xml:space="preserve"> (EFT)</w:t>
      </w:r>
      <w:r w:rsidRPr="004B02DF">
        <w:t xml:space="preserve">. This </w:t>
      </w:r>
      <w:r w:rsidR="00122DDC">
        <w:t>on-line</w:t>
      </w:r>
      <w:r w:rsidRPr="004B02DF">
        <w:t xml:space="preserve"> pro</w:t>
      </w:r>
      <w:r w:rsidR="007C41EF">
        <w:t>cess replaced</w:t>
      </w:r>
      <w:r w:rsidR="0038531C">
        <w:t xml:space="preserve"> the following</w:t>
      </w:r>
      <w:r w:rsidR="007C41EF">
        <w:t xml:space="preserve"> five paper</w:t>
      </w:r>
      <w:r w:rsidR="0038531C">
        <w:t>-based</w:t>
      </w:r>
      <w:r w:rsidR="007C41EF">
        <w:t xml:space="preserve"> forms:</w:t>
      </w:r>
    </w:p>
    <w:p w14:paraId="496282EE" w14:textId="77777777" w:rsidR="00D1643C" w:rsidRPr="004B02DF" w:rsidRDefault="00D1643C" w:rsidP="00D1643C">
      <w:pPr>
        <w:pStyle w:val="DJRbullet1"/>
      </w:pPr>
      <w:r w:rsidRPr="004B02DF">
        <w:t>Property Manager Registration - new registrations and update of registered information</w:t>
      </w:r>
    </w:p>
    <w:p w14:paraId="6345BDD9" w14:textId="77777777" w:rsidR="00D1643C" w:rsidRPr="004B02DF" w:rsidRDefault="00D1643C" w:rsidP="00D1643C">
      <w:pPr>
        <w:pStyle w:val="DJRbullet1"/>
      </w:pPr>
      <w:r w:rsidRPr="004B02DF">
        <w:t>Property Manager Bank details (for EFT of bond repaym</w:t>
      </w:r>
      <w:r>
        <w:t>ents) - new and updated details</w:t>
      </w:r>
    </w:p>
    <w:p w14:paraId="0591226D" w14:textId="22175ABD" w:rsidR="00D1643C" w:rsidRPr="004B02DF" w:rsidRDefault="00D1643C" w:rsidP="00D1643C">
      <w:pPr>
        <w:pStyle w:val="DJRbullet1"/>
      </w:pPr>
      <w:r w:rsidRPr="004B02DF">
        <w:t>Application for Electronic Transactions - this is now automatic for al</w:t>
      </w:r>
      <w:r>
        <w:t xml:space="preserve">l new registrations done </w:t>
      </w:r>
      <w:r w:rsidR="00122DDC">
        <w:t>on-line</w:t>
      </w:r>
    </w:p>
    <w:p w14:paraId="2BE254FD" w14:textId="3A70BF30" w:rsidR="00D1643C" w:rsidRPr="004B02DF" w:rsidRDefault="00D1643C" w:rsidP="00D1643C">
      <w:pPr>
        <w:pStyle w:val="DJRbullet1"/>
      </w:pPr>
      <w:r w:rsidRPr="004B02DF">
        <w:t xml:space="preserve">Update of Electronic Fax Facility details (new applications for this facility are being discouraged as </w:t>
      </w:r>
      <w:r w:rsidR="00A94517">
        <w:t xml:space="preserve">CAV </w:t>
      </w:r>
      <w:r w:rsidRPr="004B02DF">
        <w:t>want</w:t>
      </w:r>
      <w:r w:rsidR="0038531C">
        <w:t>s</w:t>
      </w:r>
      <w:r w:rsidRPr="004B02DF">
        <w:t xml:space="preserve"> people to move to electronic transactions, so the ap</w:t>
      </w:r>
      <w:r>
        <w:t xml:space="preserve">plication </w:t>
      </w:r>
      <w:r w:rsidR="00A94517">
        <w:t xml:space="preserve">itself </w:t>
      </w:r>
      <w:r>
        <w:t xml:space="preserve">was not moved </w:t>
      </w:r>
      <w:r w:rsidR="00122DDC">
        <w:t>on-line</w:t>
      </w:r>
      <w:r>
        <w:t>)</w:t>
      </w:r>
    </w:p>
    <w:p w14:paraId="24E339E4" w14:textId="77777777" w:rsidR="00D1643C" w:rsidRPr="004B02DF" w:rsidRDefault="00D1643C" w:rsidP="00D1643C">
      <w:pPr>
        <w:pStyle w:val="DJRbullet1"/>
      </w:pPr>
      <w:r w:rsidRPr="004B02DF">
        <w:t>Update of Property Manager Delivery instructions for three outputs - bond receipts, transaction rejection notices, and management advices.</w:t>
      </w:r>
    </w:p>
    <w:p w14:paraId="074BA23D" w14:textId="1D91E55C" w:rsidR="0038531C" w:rsidRDefault="0038531C" w:rsidP="0038531C">
      <w:pPr>
        <w:pStyle w:val="DJRbodyafterbullets"/>
      </w:pPr>
      <w:r>
        <w:t xml:space="preserve">The RTBA 2017-18 Annual Report shows that in 2017-18, </w:t>
      </w:r>
      <w:r w:rsidR="00122DDC">
        <w:t>on-line</w:t>
      </w:r>
      <w:r>
        <w:t xml:space="preserve"> access to forms and reports generated by RTBA </w:t>
      </w:r>
      <w:r w:rsidR="00122DDC">
        <w:t>Online</w:t>
      </w:r>
      <w:r>
        <w:t xml:space="preserve"> saved the Authority 2.35 million sheets of paper (4,699 reams) in pre-printed forms and circulation of reports.</w:t>
      </w:r>
    </w:p>
    <w:p w14:paraId="7B9BB1C8" w14:textId="0118C115" w:rsidR="0038531C" w:rsidRDefault="0038531C" w:rsidP="0038531C">
      <w:pPr>
        <w:pStyle w:val="DJRbody"/>
      </w:pPr>
      <w:r w:rsidRPr="004B02DF">
        <w:t xml:space="preserve">Use of RTBA </w:t>
      </w:r>
      <w:r w:rsidR="00122DDC">
        <w:t>Online</w:t>
      </w:r>
      <w:r w:rsidRPr="004B02DF">
        <w:t xml:space="preserve"> has continued to increase as demonstrated in </w:t>
      </w:r>
      <w:r>
        <w:fldChar w:fldCharType="begin"/>
      </w:r>
      <w:r>
        <w:instrText xml:space="preserve"> REF _Ref526947639 \h  \* MERGEFORMAT </w:instrText>
      </w:r>
      <w:r>
        <w:fldChar w:fldCharType="separate"/>
      </w:r>
      <w:r w:rsidR="00BF12F7">
        <w:t xml:space="preserve">Table </w:t>
      </w:r>
      <w:r w:rsidR="00BF12F7">
        <w:rPr>
          <w:noProof/>
        </w:rPr>
        <w:t>5</w:t>
      </w:r>
      <w:r>
        <w:fldChar w:fldCharType="end"/>
      </w:r>
      <w:r>
        <w:t xml:space="preserve"> </w:t>
      </w:r>
      <w:r w:rsidRPr="004B02DF">
        <w:t xml:space="preserve">below. </w:t>
      </w:r>
    </w:p>
    <w:p w14:paraId="1F004BA1" w14:textId="2DB4011F" w:rsidR="0038531C" w:rsidRPr="004B02DF" w:rsidRDefault="0038531C" w:rsidP="0038531C">
      <w:pPr>
        <w:pStyle w:val="DJRtablecaption"/>
      </w:pPr>
      <w:bookmarkStart w:id="33" w:name="_Ref526947639"/>
      <w:r>
        <w:t xml:space="preserve">Table </w:t>
      </w:r>
      <w:r>
        <w:rPr>
          <w:noProof/>
        </w:rPr>
        <w:fldChar w:fldCharType="begin"/>
      </w:r>
      <w:r>
        <w:rPr>
          <w:noProof/>
        </w:rPr>
        <w:instrText xml:space="preserve"> SEQ Table \* ARABIC </w:instrText>
      </w:r>
      <w:r>
        <w:rPr>
          <w:noProof/>
        </w:rPr>
        <w:fldChar w:fldCharType="separate"/>
      </w:r>
      <w:r w:rsidR="00BF12F7">
        <w:rPr>
          <w:noProof/>
        </w:rPr>
        <w:t>5</w:t>
      </w:r>
      <w:r>
        <w:rPr>
          <w:noProof/>
        </w:rPr>
        <w:fldChar w:fldCharType="end"/>
      </w:r>
      <w:bookmarkEnd w:id="33"/>
      <w:r>
        <w:t>:</w:t>
      </w:r>
      <w:r>
        <w:tab/>
        <w:t xml:space="preserve">RTBA </w:t>
      </w:r>
      <w:r w:rsidR="00122DDC">
        <w:t>Online</w:t>
      </w:r>
      <w:r>
        <w:t xml:space="preserve"> Activity</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297"/>
        <w:gridCol w:w="1276"/>
        <w:gridCol w:w="1276"/>
        <w:gridCol w:w="1276"/>
      </w:tblGrid>
      <w:tr w:rsidR="0038531C" w:rsidRPr="00F86C0E" w14:paraId="62373157" w14:textId="77777777" w:rsidTr="00E00C53">
        <w:trPr>
          <w:trHeight w:val="99"/>
          <w:tblHeader/>
        </w:trPr>
        <w:tc>
          <w:tcPr>
            <w:tcW w:w="5297" w:type="dxa"/>
            <w:shd w:val="clear" w:color="auto" w:fill="16145F"/>
          </w:tcPr>
          <w:p w14:paraId="696230A2" w14:textId="02E18740" w:rsidR="0038531C" w:rsidRPr="00F86C0E" w:rsidRDefault="0038531C" w:rsidP="00BF12F7">
            <w:pPr>
              <w:pStyle w:val="DJRbody"/>
              <w:ind w:left="0"/>
            </w:pPr>
            <w:r w:rsidRPr="00F86C0E">
              <w:t xml:space="preserve">RTBA </w:t>
            </w:r>
            <w:r w:rsidR="00122DDC">
              <w:t>On-line</w:t>
            </w:r>
            <w:r w:rsidRPr="00F86C0E">
              <w:t xml:space="preserve"> Activity </w:t>
            </w:r>
          </w:p>
        </w:tc>
        <w:tc>
          <w:tcPr>
            <w:tcW w:w="1276" w:type="dxa"/>
            <w:shd w:val="clear" w:color="auto" w:fill="16145F"/>
          </w:tcPr>
          <w:p w14:paraId="76F0AC30" w14:textId="77777777" w:rsidR="0038531C" w:rsidRPr="00F86C0E" w:rsidRDefault="0038531C" w:rsidP="00BF12F7">
            <w:pPr>
              <w:pStyle w:val="DJRbody"/>
              <w:ind w:left="24"/>
              <w:jc w:val="both"/>
            </w:pPr>
            <w:r w:rsidRPr="00F86C0E">
              <w:t xml:space="preserve">2015-16 </w:t>
            </w:r>
          </w:p>
        </w:tc>
        <w:tc>
          <w:tcPr>
            <w:tcW w:w="1276" w:type="dxa"/>
            <w:shd w:val="clear" w:color="auto" w:fill="16145F"/>
          </w:tcPr>
          <w:p w14:paraId="0A0A9883" w14:textId="77777777" w:rsidR="0038531C" w:rsidRPr="00F86C0E" w:rsidRDefault="0038531C" w:rsidP="00BF12F7">
            <w:pPr>
              <w:pStyle w:val="DJRbody"/>
              <w:ind w:left="24"/>
              <w:jc w:val="both"/>
            </w:pPr>
            <w:r w:rsidRPr="00F86C0E">
              <w:t xml:space="preserve">2016-17 </w:t>
            </w:r>
          </w:p>
        </w:tc>
        <w:tc>
          <w:tcPr>
            <w:tcW w:w="1276" w:type="dxa"/>
            <w:shd w:val="clear" w:color="auto" w:fill="16145F"/>
          </w:tcPr>
          <w:p w14:paraId="5389A2CB" w14:textId="77777777" w:rsidR="0038531C" w:rsidRPr="00F86C0E" w:rsidRDefault="0038531C" w:rsidP="00BF12F7">
            <w:pPr>
              <w:pStyle w:val="DJRbody"/>
              <w:ind w:left="24"/>
              <w:jc w:val="both"/>
            </w:pPr>
            <w:r w:rsidRPr="00F86C0E">
              <w:t>2071-18</w:t>
            </w:r>
          </w:p>
        </w:tc>
      </w:tr>
      <w:tr w:rsidR="0038531C" w:rsidRPr="00F86C0E" w14:paraId="36C31FA1" w14:textId="77777777" w:rsidTr="00BF12F7">
        <w:trPr>
          <w:trHeight w:val="20"/>
        </w:trPr>
        <w:tc>
          <w:tcPr>
            <w:tcW w:w="5297" w:type="dxa"/>
            <w:shd w:val="clear" w:color="auto" w:fill="auto"/>
          </w:tcPr>
          <w:p w14:paraId="7A6CD083" w14:textId="77777777" w:rsidR="0038531C" w:rsidRPr="00F86C0E" w:rsidRDefault="0038531C" w:rsidP="00E00C53">
            <w:pPr>
              <w:pStyle w:val="TableText"/>
            </w:pPr>
            <w:r w:rsidRPr="00F86C0E">
              <w:t xml:space="preserve">Unique visitors </w:t>
            </w:r>
          </w:p>
        </w:tc>
        <w:tc>
          <w:tcPr>
            <w:tcW w:w="1276" w:type="dxa"/>
            <w:shd w:val="clear" w:color="auto" w:fill="auto"/>
          </w:tcPr>
          <w:p w14:paraId="3B881FBC" w14:textId="77777777" w:rsidR="0038531C" w:rsidRPr="00F86C0E" w:rsidRDefault="0038531C" w:rsidP="00E00C53">
            <w:pPr>
              <w:pStyle w:val="TableText"/>
              <w:rPr>
                <w:rFonts w:eastAsia="Times"/>
              </w:rPr>
            </w:pPr>
            <w:r w:rsidRPr="00F86C0E">
              <w:rPr>
                <w:rFonts w:eastAsia="Times"/>
              </w:rPr>
              <w:t xml:space="preserve">189,072 </w:t>
            </w:r>
          </w:p>
        </w:tc>
        <w:tc>
          <w:tcPr>
            <w:tcW w:w="1276" w:type="dxa"/>
            <w:shd w:val="clear" w:color="auto" w:fill="auto"/>
          </w:tcPr>
          <w:p w14:paraId="703649BC" w14:textId="77777777" w:rsidR="0038531C" w:rsidRPr="00F86C0E" w:rsidRDefault="0038531C" w:rsidP="00E00C53">
            <w:pPr>
              <w:pStyle w:val="TableText"/>
              <w:rPr>
                <w:rFonts w:eastAsia="Times"/>
              </w:rPr>
            </w:pPr>
            <w:r w:rsidRPr="00F86C0E">
              <w:rPr>
                <w:rFonts w:eastAsia="Times"/>
              </w:rPr>
              <w:t xml:space="preserve">200,271 </w:t>
            </w:r>
          </w:p>
        </w:tc>
        <w:tc>
          <w:tcPr>
            <w:tcW w:w="1276" w:type="dxa"/>
          </w:tcPr>
          <w:p w14:paraId="6DB7945A" w14:textId="77777777" w:rsidR="0038531C" w:rsidRPr="00F86C0E" w:rsidRDefault="0038531C" w:rsidP="00E00C53">
            <w:pPr>
              <w:pStyle w:val="TableText"/>
              <w:rPr>
                <w:rFonts w:eastAsia="Times"/>
              </w:rPr>
            </w:pPr>
            <w:r w:rsidRPr="00F86C0E">
              <w:rPr>
                <w:rFonts w:eastAsia="Times"/>
              </w:rPr>
              <w:t>263,383</w:t>
            </w:r>
          </w:p>
        </w:tc>
      </w:tr>
      <w:tr w:rsidR="0038531C" w:rsidRPr="00F86C0E" w14:paraId="47ED92C6" w14:textId="77777777" w:rsidTr="00BF12F7">
        <w:trPr>
          <w:trHeight w:val="20"/>
        </w:trPr>
        <w:tc>
          <w:tcPr>
            <w:tcW w:w="5297" w:type="dxa"/>
            <w:shd w:val="clear" w:color="auto" w:fill="auto"/>
          </w:tcPr>
          <w:p w14:paraId="76A142B8" w14:textId="77777777" w:rsidR="0038531C" w:rsidRPr="00F86C0E" w:rsidRDefault="0038531C" w:rsidP="00E00C53">
            <w:pPr>
              <w:pStyle w:val="TableText"/>
            </w:pPr>
            <w:r w:rsidRPr="00F86C0E">
              <w:t xml:space="preserve">Enquiries by registered users </w:t>
            </w:r>
          </w:p>
        </w:tc>
        <w:tc>
          <w:tcPr>
            <w:tcW w:w="1276" w:type="dxa"/>
            <w:shd w:val="clear" w:color="auto" w:fill="auto"/>
          </w:tcPr>
          <w:p w14:paraId="238987E1" w14:textId="77777777" w:rsidR="0038531C" w:rsidRPr="00F86C0E" w:rsidRDefault="0038531C" w:rsidP="00E00C53">
            <w:pPr>
              <w:pStyle w:val="TableText"/>
              <w:rPr>
                <w:rFonts w:eastAsia="Times"/>
              </w:rPr>
            </w:pPr>
            <w:r w:rsidRPr="00F86C0E">
              <w:rPr>
                <w:rFonts w:eastAsia="Times"/>
              </w:rPr>
              <w:t xml:space="preserve">696,989 </w:t>
            </w:r>
          </w:p>
        </w:tc>
        <w:tc>
          <w:tcPr>
            <w:tcW w:w="1276" w:type="dxa"/>
            <w:shd w:val="clear" w:color="auto" w:fill="auto"/>
          </w:tcPr>
          <w:p w14:paraId="6E2E801A" w14:textId="77777777" w:rsidR="0038531C" w:rsidRPr="00F86C0E" w:rsidRDefault="0038531C" w:rsidP="00E00C53">
            <w:pPr>
              <w:pStyle w:val="TableText"/>
              <w:rPr>
                <w:rFonts w:eastAsia="Times"/>
              </w:rPr>
            </w:pPr>
            <w:r w:rsidRPr="00F86C0E">
              <w:rPr>
                <w:rFonts w:eastAsia="Times"/>
              </w:rPr>
              <w:t xml:space="preserve">716,055 </w:t>
            </w:r>
          </w:p>
        </w:tc>
        <w:tc>
          <w:tcPr>
            <w:tcW w:w="1276" w:type="dxa"/>
          </w:tcPr>
          <w:p w14:paraId="08F55C96" w14:textId="77777777" w:rsidR="0038531C" w:rsidRPr="00F86C0E" w:rsidRDefault="0038531C" w:rsidP="00E00C53">
            <w:pPr>
              <w:pStyle w:val="TableText"/>
              <w:rPr>
                <w:rFonts w:eastAsia="Times"/>
              </w:rPr>
            </w:pPr>
            <w:r w:rsidRPr="00F86C0E">
              <w:rPr>
                <w:rFonts w:eastAsia="Times"/>
              </w:rPr>
              <w:t>834,462</w:t>
            </w:r>
          </w:p>
        </w:tc>
      </w:tr>
      <w:tr w:rsidR="0038531C" w:rsidRPr="00F86C0E" w14:paraId="6BC3B7CC" w14:textId="77777777" w:rsidTr="00BF12F7">
        <w:trPr>
          <w:trHeight w:val="20"/>
        </w:trPr>
        <w:tc>
          <w:tcPr>
            <w:tcW w:w="5297" w:type="dxa"/>
            <w:shd w:val="clear" w:color="auto" w:fill="auto"/>
          </w:tcPr>
          <w:p w14:paraId="00249D2F" w14:textId="77777777" w:rsidR="0038531C" w:rsidRPr="00F86C0E" w:rsidRDefault="0038531C" w:rsidP="00E00C53">
            <w:pPr>
              <w:pStyle w:val="TableText"/>
            </w:pPr>
            <w:r w:rsidRPr="00F86C0E">
              <w:t xml:space="preserve">Enquiries by landlords </w:t>
            </w:r>
          </w:p>
        </w:tc>
        <w:tc>
          <w:tcPr>
            <w:tcW w:w="1276" w:type="dxa"/>
            <w:shd w:val="clear" w:color="auto" w:fill="auto"/>
          </w:tcPr>
          <w:p w14:paraId="17AED317" w14:textId="77777777" w:rsidR="0038531C" w:rsidRPr="00F86C0E" w:rsidRDefault="0038531C" w:rsidP="00E00C53">
            <w:pPr>
              <w:pStyle w:val="TableText"/>
              <w:rPr>
                <w:rFonts w:eastAsia="Times"/>
              </w:rPr>
            </w:pPr>
            <w:r w:rsidRPr="00F86C0E">
              <w:rPr>
                <w:rFonts w:eastAsia="Times"/>
              </w:rPr>
              <w:t xml:space="preserve">24,621 </w:t>
            </w:r>
          </w:p>
        </w:tc>
        <w:tc>
          <w:tcPr>
            <w:tcW w:w="1276" w:type="dxa"/>
            <w:shd w:val="clear" w:color="auto" w:fill="auto"/>
          </w:tcPr>
          <w:p w14:paraId="28E4E9FB" w14:textId="77777777" w:rsidR="0038531C" w:rsidRPr="00F86C0E" w:rsidRDefault="0038531C" w:rsidP="00E00C53">
            <w:pPr>
              <w:pStyle w:val="TableText"/>
              <w:rPr>
                <w:rFonts w:eastAsia="Times"/>
              </w:rPr>
            </w:pPr>
            <w:r w:rsidRPr="00F86C0E">
              <w:rPr>
                <w:rFonts w:eastAsia="Times"/>
              </w:rPr>
              <w:t xml:space="preserve">25,276 </w:t>
            </w:r>
          </w:p>
        </w:tc>
        <w:tc>
          <w:tcPr>
            <w:tcW w:w="1276" w:type="dxa"/>
          </w:tcPr>
          <w:p w14:paraId="70F1151C" w14:textId="77777777" w:rsidR="0038531C" w:rsidRPr="00F86C0E" w:rsidRDefault="0038531C" w:rsidP="00E00C53">
            <w:pPr>
              <w:pStyle w:val="TableText"/>
              <w:rPr>
                <w:rFonts w:eastAsia="Times"/>
              </w:rPr>
            </w:pPr>
            <w:r w:rsidRPr="00F86C0E">
              <w:rPr>
                <w:rFonts w:eastAsia="Times"/>
              </w:rPr>
              <w:t>26,535</w:t>
            </w:r>
          </w:p>
        </w:tc>
      </w:tr>
      <w:tr w:rsidR="0038531C" w:rsidRPr="00F86C0E" w14:paraId="730E1EE1" w14:textId="77777777" w:rsidTr="00BF12F7">
        <w:trPr>
          <w:trHeight w:val="20"/>
        </w:trPr>
        <w:tc>
          <w:tcPr>
            <w:tcW w:w="5297" w:type="dxa"/>
            <w:shd w:val="clear" w:color="auto" w:fill="auto"/>
          </w:tcPr>
          <w:p w14:paraId="4E6F0B37" w14:textId="77777777" w:rsidR="0038531C" w:rsidRPr="00F86C0E" w:rsidRDefault="0038531C" w:rsidP="00E00C53">
            <w:pPr>
              <w:pStyle w:val="TableText"/>
            </w:pPr>
            <w:r w:rsidRPr="00F86C0E">
              <w:t xml:space="preserve">Lodgement forms created </w:t>
            </w:r>
          </w:p>
        </w:tc>
        <w:tc>
          <w:tcPr>
            <w:tcW w:w="1276" w:type="dxa"/>
            <w:shd w:val="clear" w:color="auto" w:fill="auto"/>
          </w:tcPr>
          <w:p w14:paraId="150E0B6F" w14:textId="77777777" w:rsidR="0038531C" w:rsidRPr="00F86C0E" w:rsidRDefault="0038531C" w:rsidP="00E00C53">
            <w:pPr>
              <w:pStyle w:val="TableText"/>
              <w:rPr>
                <w:rFonts w:eastAsia="Times"/>
              </w:rPr>
            </w:pPr>
            <w:r w:rsidRPr="00F86C0E">
              <w:rPr>
                <w:rFonts w:eastAsia="Times"/>
              </w:rPr>
              <w:t xml:space="preserve">188,440 </w:t>
            </w:r>
          </w:p>
        </w:tc>
        <w:tc>
          <w:tcPr>
            <w:tcW w:w="1276" w:type="dxa"/>
            <w:shd w:val="clear" w:color="auto" w:fill="auto"/>
          </w:tcPr>
          <w:p w14:paraId="56D95B9E" w14:textId="77777777" w:rsidR="0038531C" w:rsidRPr="00F86C0E" w:rsidRDefault="0038531C" w:rsidP="00E00C53">
            <w:pPr>
              <w:pStyle w:val="TableText"/>
              <w:rPr>
                <w:rFonts w:eastAsia="Times"/>
              </w:rPr>
            </w:pPr>
            <w:r w:rsidRPr="00F86C0E">
              <w:rPr>
                <w:rFonts w:eastAsia="Times"/>
              </w:rPr>
              <w:t xml:space="preserve">227,728 </w:t>
            </w:r>
          </w:p>
        </w:tc>
        <w:tc>
          <w:tcPr>
            <w:tcW w:w="1276" w:type="dxa"/>
          </w:tcPr>
          <w:p w14:paraId="6B9CA260" w14:textId="77777777" w:rsidR="0038531C" w:rsidRPr="00F86C0E" w:rsidRDefault="0038531C" w:rsidP="00E00C53">
            <w:pPr>
              <w:pStyle w:val="TableText"/>
              <w:rPr>
                <w:rFonts w:eastAsia="Times"/>
              </w:rPr>
            </w:pPr>
            <w:r w:rsidRPr="00F86C0E">
              <w:rPr>
                <w:rFonts w:eastAsia="Times"/>
              </w:rPr>
              <w:t>251,230</w:t>
            </w:r>
          </w:p>
        </w:tc>
      </w:tr>
      <w:tr w:rsidR="0038531C" w:rsidRPr="00F86C0E" w14:paraId="66949751" w14:textId="77777777" w:rsidTr="00BF12F7">
        <w:trPr>
          <w:trHeight w:val="20"/>
        </w:trPr>
        <w:tc>
          <w:tcPr>
            <w:tcW w:w="5297" w:type="dxa"/>
            <w:shd w:val="clear" w:color="auto" w:fill="auto"/>
          </w:tcPr>
          <w:p w14:paraId="7FC38E0D" w14:textId="77777777" w:rsidR="0038531C" w:rsidRPr="00F86C0E" w:rsidRDefault="0038531C" w:rsidP="00E00C53">
            <w:pPr>
              <w:pStyle w:val="TableText"/>
            </w:pPr>
            <w:r w:rsidRPr="00F86C0E">
              <w:t xml:space="preserve">Claim forms created </w:t>
            </w:r>
          </w:p>
        </w:tc>
        <w:tc>
          <w:tcPr>
            <w:tcW w:w="1276" w:type="dxa"/>
            <w:shd w:val="clear" w:color="auto" w:fill="auto"/>
          </w:tcPr>
          <w:p w14:paraId="0C2D93B8" w14:textId="77777777" w:rsidR="0038531C" w:rsidRPr="00F86C0E" w:rsidRDefault="0038531C" w:rsidP="00E00C53">
            <w:pPr>
              <w:pStyle w:val="TableText"/>
              <w:rPr>
                <w:rFonts w:eastAsia="Times"/>
              </w:rPr>
            </w:pPr>
            <w:r w:rsidRPr="00F86C0E">
              <w:rPr>
                <w:rFonts w:eastAsia="Times"/>
              </w:rPr>
              <w:t xml:space="preserve">208,052 </w:t>
            </w:r>
          </w:p>
        </w:tc>
        <w:tc>
          <w:tcPr>
            <w:tcW w:w="1276" w:type="dxa"/>
            <w:shd w:val="clear" w:color="auto" w:fill="auto"/>
          </w:tcPr>
          <w:p w14:paraId="4B88AB39" w14:textId="77777777" w:rsidR="0038531C" w:rsidRPr="00F86C0E" w:rsidRDefault="0038531C" w:rsidP="00E00C53">
            <w:pPr>
              <w:pStyle w:val="TableText"/>
              <w:rPr>
                <w:rFonts w:eastAsia="Times"/>
              </w:rPr>
            </w:pPr>
            <w:r w:rsidRPr="00F86C0E">
              <w:rPr>
                <w:rFonts w:eastAsia="Times"/>
              </w:rPr>
              <w:t xml:space="preserve">226,312 </w:t>
            </w:r>
          </w:p>
        </w:tc>
        <w:tc>
          <w:tcPr>
            <w:tcW w:w="1276" w:type="dxa"/>
          </w:tcPr>
          <w:p w14:paraId="551D7815" w14:textId="77777777" w:rsidR="0038531C" w:rsidRPr="00F86C0E" w:rsidRDefault="0038531C" w:rsidP="00E00C53">
            <w:pPr>
              <w:pStyle w:val="TableText"/>
              <w:rPr>
                <w:rFonts w:eastAsia="Times"/>
              </w:rPr>
            </w:pPr>
            <w:r w:rsidRPr="00F86C0E">
              <w:rPr>
                <w:rFonts w:eastAsia="Times"/>
              </w:rPr>
              <w:t>263,098</w:t>
            </w:r>
          </w:p>
        </w:tc>
      </w:tr>
      <w:tr w:rsidR="0038531C" w:rsidRPr="00F86C0E" w14:paraId="3D32332D" w14:textId="77777777" w:rsidTr="00BF12F7">
        <w:trPr>
          <w:trHeight w:val="20"/>
        </w:trPr>
        <w:tc>
          <w:tcPr>
            <w:tcW w:w="5297" w:type="dxa"/>
            <w:shd w:val="clear" w:color="auto" w:fill="auto"/>
          </w:tcPr>
          <w:p w14:paraId="6D7DE886" w14:textId="77777777" w:rsidR="0038531C" w:rsidRPr="00F86C0E" w:rsidRDefault="0038531C" w:rsidP="00E00C53">
            <w:pPr>
              <w:pStyle w:val="TableText"/>
            </w:pPr>
            <w:r w:rsidRPr="00F86C0E">
              <w:t xml:space="preserve">Tenant transfer forms created </w:t>
            </w:r>
          </w:p>
        </w:tc>
        <w:tc>
          <w:tcPr>
            <w:tcW w:w="1276" w:type="dxa"/>
            <w:shd w:val="clear" w:color="auto" w:fill="auto"/>
          </w:tcPr>
          <w:p w14:paraId="124E3E50" w14:textId="77777777" w:rsidR="0038531C" w:rsidRPr="00F86C0E" w:rsidRDefault="0038531C" w:rsidP="00E00C53">
            <w:pPr>
              <w:pStyle w:val="TableText"/>
              <w:rPr>
                <w:rFonts w:eastAsia="Times"/>
              </w:rPr>
            </w:pPr>
            <w:r w:rsidRPr="00F86C0E">
              <w:rPr>
                <w:rFonts w:eastAsia="Times"/>
              </w:rPr>
              <w:t xml:space="preserve">29,535 </w:t>
            </w:r>
          </w:p>
        </w:tc>
        <w:tc>
          <w:tcPr>
            <w:tcW w:w="1276" w:type="dxa"/>
            <w:shd w:val="clear" w:color="auto" w:fill="auto"/>
          </w:tcPr>
          <w:p w14:paraId="5EB9509D" w14:textId="77777777" w:rsidR="0038531C" w:rsidRPr="00F86C0E" w:rsidRDefault="0038531C" w:rsidP="00E00C53">
            <w:pPr>
              <w:pStyle w:val="TableText"/>
              <w:rPr>
                <w:rFonts w:eastAsia="Times"/>
              </w:rPr>
            </w:pPr>
            <w:r w:rsidRPr="00F86C0E">
              <w:rPr>
                <w:rFonts w:eastAsia="Times"/>
              </w:rPr>
              <w:t xml:space="preserve">33,447 </w:t>
            </w:r>
          </w:p>
        </w:tc>
        <w:tc>
          <w:tcPr>
            <w:tcW w:w="1276" w:type="dxa"/>
          </w:tcPr>
          <w:p w14:paraId="065670CE" w14:textId="77777777" w:rsidR="0038531C" w:rsidRPr="00F86C0E" w:rsidRDefault="0038531C" w:rsidP="00E00C53">
            <w:pPr>
              <w:pStyle w:val="TableText"/>
              <w:rPr>
                <w:rFonts w:eastAsia="Times"/>
              </w:rPr>
            </w:pPr>
            <w:r w:rsidRPr="00F86C0E">
              <w:rPr>
                <w:rFonts w:eastAsia="Times"/>
              </w:rPr>
              <w:t>39,187</w:t>
            </w:r>
          </w:p>
        </w:tc>
      </w:tr>
      <w:tr w:rsidR="0038531C" w:rsidRPr="00F86C0E" w14:paraId="2F454DF8" w14:textId="77777777" w:rsidTr="00BF12F7">
        <w:trPr>
          <w:trHeight w:val="20"/>
        </w:trPr>
        <w:tc>
          <w:tcPr>
            <w:tcW w:w="5297" w:type="dxa"/>
            <w:shd w:val="clear" w:color="auto" w:fill="auto"/>
          </w:tcPr>
          <w:p w14:paraId="49E222DC" w14:textId="77777777" w:rsidR="0038531C" w:rsidRPr="00F86C0E" w:rsidRDefault="0038531C" w:rsidP="00E00C53">
            <w:pPr>
              <w:pStyle w:val="TableText"/>
            </w:pPr>
            <w:r w:rsidRPr="00F86C0E">
              <w:t xml:space="preserve">Agent/landlord transfer forms created </w:t>
            </w:r>
          </w:p>
        </w:tc>
        <w:tc>
          <w:tcPr>
            <w:tcW w:w="1276" w:type="dxa"/>
            <w:shd w:val="clear" w:color="auto" w:fill="auto"/>
          </w:tcPr>
          <w:p w14:paraId="03601FC7" w14:textId="77777777" w:rsidR="0038531C" w:rsidRPr="00F86C0E" w:rsidRDefault="0038531C" w:rsidP="00E00C53">
            <w:pPr>
              <w:pStyle w:val="TableText"/>
              <w:rPr>
                <w:rFonts w:eastAsia="Times"/>
              </w:rPr>
            </w:pPr>
            <w:r w:rsidRPr="00F86C0E">
              <w:rPr>
                <w:rFonts w:eastAsia="Times"/>
              </w:rPr>
              <w:t xml:space="preserve">18,886 </w:t>
            </w:r>
          </w:p>
        </w:tc>
        <w:tc>
          <w:tcPr>
            <w:tcW w:w="1276" w:type="dxa"/>
            <w:shd w:val="clear" w:color="auto" w:fill="auto"/>
          </w:tcPr>
          <w:p w14:paraId="19AFBE35" w14:textId="77777777" w:rsidR="0038531C" w:rsidRPr="00F86C0E" w:rsidRDefault="0038531C" w:rsidP="00E00C53">
            <w:pPr>
              <w:pStyle w:val="TableText"/>
              <w:rPr>
                <w:rFonts w:eastAsia="Times"/>
              </w:rPr>
            </w:pPr>
            <w:r w:rsidRPr="00F86C0E">
              <w:rPr>
                <w:rFonts w:eastAsia="Times"/>
              </w:rPr>
              <w:t xml:space="preserve">24,846 </w:t>
            </w:r>
          </w:p>
        </w:tc>
        <w:tc>
          <w:tcPr>
            <w:tcW w:w="1276" w:type="dxa"/>
          </w:tcPr>
          <w:p w14:paraId="0620B17A" w14:textId="77777777" w:rsidR="0038531C" w:rsidRPr="00F86C0E" w:rsidRDefault="0038531C" w:rsidP="00E00C53">
            <w:pPr>
              <w:pStyle w:val="TableText"/>
              <w:rPr>
                <w:rFonts w:eastAsia="Times"/>
              </w:rPr>
            </w:pPr>
            <w:r w:rsidRPr="00F86C0E">
              <w:rPr>
                <w:rFonts w:eastAsia="Times"/>
              </w:rPr>
              <w:t>28,207</w:t>
            </w:r>
          </w:p>
        </w:tc>
      </w:tr>
      <w:tr w:rsidR="0038531C" w:rsidRPr="00F86C0E" w14:paraId="4C2E3268" w14:textId="77777777" w:rsidTr="00BF12F7">
        <w:trPr>
          <w:trHeight w:val="210"/>
        </w:trPr>
        <w:tc>
          <w:tcPr>
            <w:tcW w:w="5297" w:type="dxa"/>
            <w:shd w:val="clear" w:color="auto" w:fill="auto"/>
          </w:tcPr>
          <w:p w14:paraId="10CCE2DC" w14:textId="77777777" w:rsidR="0038531C" w:rsidRPr="00F86C0E" w:rsidRDefault="0038531C" w:rsidP="00E00C53">
            <w:pPr>
              <w:pStyle w:val="TableText"/>
            </w:pPr>
            <w:r w:rsidRPr="00F86C0E">
              <w:t xml:space="preserve">Number of registered users </w:t>
            </w:r>
          </w:p>
        </w:tc>
        <w:tc>
          <w:tcPr>
            <w:tcW w:w="1276" w:type="dxa"/>
            <w:shd w:val="clear" w:color="auto" w:fill="auto"/>
          </w:tcPr>
          <w:p w14:paraId="1F27DB81" w14:textId="77777777" w:rsidR="0038531C" w:rsidRPr="00F86C0E" w:rsidRDefault="0038531C" w:rsidP="00E00C53">
            <w:pPr>
              <w:pStyle w:val="TableText"/>
              <w:rPr>
                <w:rFonts w:eastAsia="Times"/>
              </w:rPr>
            </w:pPr>
            <w:r w:rsidRPr="00F86C0E">
              <w:rPr>
                <w:rFonts w:eastAsia="Times"/>
              </w:rPr>
              <w:t xml:space="preserve">5,416 </w:t>
            </w:r>
          </w:p>
        </w:tc>
        <w:tc>
          <w:tcPr>
            <w:tcW w:w="1276" w:type="dxa"/>
            <w:shd w:val="clear" w:color="auto" w:fill="auto"/>
          </w:tcPr>
          <w:p w14:paraId="571CA593" w14:textId="77777777" w:rsidR="0038531C" w:rsidRPr="00F86C0E" w:rsidRDefault="0038531C" w:rsidP="00E00C53">
            <w:pPr>
              <w:pStyle w:val="TableText"/>
              <w:rPr>
                <w:rFonts w:eastAsia="Times"/>
              </w:rPr>
            </w:pPr>
            <w:r w:rsidRPr="00F86C0E">
              <w:rPr>
                <w:rFonts w:eastAsia="Times"/>
              </w:rPr>
              <w:t xml:space="preserve">4,261 </w:t>
            </w:r>
          </w:p>
        </w:tc>
        <w:tc>
          <w:tcPr>
            <w:tcW w:w="1276" w:type="dxa"/>
          </w:tcPr>
          <w:p w14:paraId="0108DDB6" w14:textId="77777777" w:rsidR="0038531C" w:rsidRPr="00F86C0E" w:rsidRDefault="0038531C" w:rsidP="00E00C53">
            <w:pPr>
              <w:pStyle w:val="TableText"/>
              <w:rPr>
                <w:rFonts w:eastAsia="Times"/>
              </w:rPr>
            </w:pPr>
            <w:r w:rsidRPr="00F86C0E">
              <w:rPr>
                <w:rFonts w:eastAsia="Times"/>
              </w:rPr>
              <w:t>6,526</w:t>
            </w:r>
          </w:p>
        </w:tc>
      </w:tr>
    </w:tbl>
    <w:p w14:paraId="2350AED4" w14:textId="3CF8DDE2" w:rsidR="0038531C" w:rsidRDefault="0038531C" w:rsidP="0038531C">
      <w:pPr>
        <w:pStyle w:val="DJRbodyafterbullets"/>
      </w:pPr>
      <w:r>
        <w:t xml:space="preserve">Since RTBA went </w:t>
      </w:r>
      <w:r w:rsidR="00122DDC">
        <w:t>on-line</w:t>
      </w:r>
      <w:r>
        <w:t xml:space="preserve"> CAV are now receiving registrations from private landlords who </w:t>
      </w:r>
      <w:proofErr w:type="gramStart"/>
      <w:r>
        <w:t>were previously not registered</w:t>
      </w:r>
      <w:proofErr w:type="gramEnd"/>
      <w:r>
        <w:t xml:space="preserve"> with CAV.</w:t>
      </w:r>
    </w:p>
    <w:p w14:paraId="694FC14C" w14:textId="695A7E47" w:rsidR="0038531C" w:rsidRDefault="0038531C" w:rsidP="0038531C">
      <w:pPr>
        <w:pStyle w:val="DJRbody"/>
      </w:pPr>
      <w:r>
        <w:t>CAV operates t</w:t>
      </w:r>
      <w:r w:rsidRPr="004B02DF">
        <w:t xml:space="preserve">he RTBA call centre </w:t>
      </w:r>
      <w:r>
        <w:t xml:space="preserve">which </w:t>
      </w:r>
      <w:r w:rsidRPr="004B02DF">
        <w:t>provides information and advice on bond matters. The most frequent enquiries relate to the status of a bond repayment claim.</w:t>
      </w:r>
      <w:r>
        <w:t xml:space="preserve"> </w:t>
      </w:r>
      <w:r w:rsidRPr="004B02DF">
        <w:t>In 201</w:t>
      </w:r>
      <w:r>
        <w:t>7</w:t>
      </w:r>
      <w:r w:rsidRPr="004B02DF">
        <w:t>-1</w:t>
      </w:r>
      <w:r>
        <w:t>8</w:t>
      </w:r>
      <w:r w:rsidRPr="004B02DF">
        <w:t xml:space="preserve">, the RTBA </w:t>
      </w:r>
      <w:r w:rsidRPr="004B02DF">
        <w:lastRenderedPageBreak/>
        <w:t xml:space="preserve">responded to </w:t>
      </w:r>
      <w:r>
        <w:t>71,378</w:t>
      </w:r>
      <w:r w:rsidRPr="004B02DF">
        <w:t xml:space="preserve"> calls and </w:t>
      </w:r>
      <w:r>
        <w:t>32,522</w:t>
      </w:r>
      <w:r w:rsidRPr="004B02DF">
        <w:t xml:space="preserve"> emails, compared to 77,847 calls and 27,450 emails in 201</w:t>
      </w:r>
      <w:r>
        <w:t>6</w:t>
      </w:r>
      <w:r w:rsidRPr="004B02DF">
        <w:t>-1</w:t>
      </w:r>
      <w:r>
        <w:t>7</w:t>
      </w:r>
      <w:r w:rsidRPr="004B02DF">
        <w:t>.</w:t>
      </w:r>
      <w:r>
        <w:t xml:space="preserve"> Anecdotally, this decrease in telephone calls </w:t>
      </w:r>
      <w:proofErr w:type="gramStart"/>
      <w:r>
        <w:t>is credited</w:t>
      </w:r>
      <w:proofErr w:type="gramEnd"/>
      <w:r>
        <w:t xml:space="preserve"> to the improved </w:t>
      </w:r>
      <w:r w:rsidR="00122DDC">
        <w:t>on-line</w:t>
      </w:r>
      <w:r>
        <w:t xml:space="preserve"> processes, with tenants and property managers now better aware they can get in the information they require on</w:t>
      </w:r>
      <w:r w:rsidR="00122DDC">
        <w:t>-</w:t>
      </w:r>
      <w:r>
        <w:t>line.</w:t>
      </w:r>
    </w:p>
    <w:p w14:paraId="3C309A59" w14:textId="7FD7A2A3" w:rsidR="00D1643C" w:rsidRDefault="00D1643C" w:rsidP="00576F81">
      <w:pPr>
        <w:pStyle w:val="DJRbodyafterbullets"/>
      </w:pPr>
      <w:r w:rsidRPr="004B02DF">
        <w:t>At 30 June 201</w:t>
      </w:r>
      <w:r>
        <w:t>8</w:t>
      </w:r>
      <w:r w:rsidRPr="004B02DF">
        <w:t xml:space="preserve">, the RTBA held </w:t>
      </w:r>
      <w:r>
        <w:t>644,229</w:t>
      </w:r>
      <w:r w:rsidRPr="004B02DF">
        <w:t xml:space="preserve"> bonds, valued at $1</w:t>
      </w:r>
      <w:r w:rsidR="00B10197">
        <w:t>.</w:t>
      </w:r>
      <w:r>
        <w:t>128</w:t>
      </w:r>
      <w:r w:rsidR="0038531C">
        <w:t xml:space="preserve"> </w:t>
      </w:r>
      <w:r w:rsidR="00B10197">
        <w:t>m</w:t>
      </w:r>
      <w:r w:rsidRPr="004B02DF">
        <w:t xml:space="preserve">illion. This represents an increase of </w:t>
      </w:r>
      <w:r>
        <w:t>3.5</w:t>
      </w:r>
      <w:r w:rsidRPr="004B02DF">
        <w:t xml:space="preserve"> per cent in the number of bonds since 30 June 201</w:t>
      </w:r>
      <w:r>
        <w:t>7</w:t>
      </w:r>
      <w:r w:rsidRPr="004B02DF">
        <w:t xml:space="preserve">, and an increase of </w:t>
      </w:r>
      <w:r>
        <w:t>8.4</w:t>
      </w:r>
      <w:r w:rsidRPr="004B02DF">
        <w:t xml:space="preserve"> per cent in value. </w:t>
      </w:r>
    </w:p>
    <w:p w14:paraId="7C22D393" w14:textId="590EAA03" w:rsidR="00D1643C" w:rsidRDefault="00D1643C" w:rsidP="00D1643C">
      <w:pPr>
        <w:pStyle w:val="DJRbody"/>
      </w:pPr>
      <w:r w:rsidRPr="004B02DF">
        <w:t>Most bond repayments are made by direct credit to a bank account</w:t>
      </w:r>
      <w:r>
        <w:t xml:space="preserve"> (91 per cent</w:t>
      </w:r>
      <w:r w:rsidRPr="004B02DF">
        <w:t xml:space="preserve">). </w:t>
      </w:r>
      <w:r>
        <w:t xml:space="preserve">Six per cent of repayments </w:t>
      </w:r>
      <w:r w:rsidR="007C41EF">
        <w:t>are</w:t>
      </w:r>
      <w:r>
        <w:t xml:space="preserve"> issued by cheque, and a further 3 per cent </w:t>
      </w:r>
      <w:r w:rsidR="007C41EF">
        <w:t>are</w:t>
      </w:r>
      <w:r>
        <w:t xml:space="preserve"> retained due to incorrect information such as bank account details or address. </w:t>
      </w:r>
    </w:p>
    <w:p w14:paraId="54ABAE3F" w14:textId="5C06B06C" w:rsidR="00471EBE" w:rsidRDefault="00471EBE" w:rsidP="00471EBE">
      <w:pPr>
        <w:pStyle w:val="Heading4"/>
      </w:pPr>
      <w:r>
        <w:t>Attitudes to electronic transactions</w:t>
      </w:r>
    </w:p>
    <w:p w14:paraId="45904E47" w14:textId="7D9292DE" w:rsidR="00D1643C" w:rsidRPr="004B02DF" w:rsidRDefault="00D1643C" w:rsidP="00D1643C">
      <w:pPr>
        <w:pStyle w:val="DJRbody"/>
      </w:pPr>
      <w:r w:rsidRPr="004B02DF">
        <w:t xml:space="preserve">CAV </w:t>
      </w:r>
      <w:r w:rsidR="00B10197">
        <w:t>assessed the attitudes of property managers</w:t>
      </w:r>
      <w:r w:rsidRPr="004B02DF">
        <w:t xml:space="preserve"> to electronic transactions</w:t>
      </w:r>
      <w:r>
        <w:t xml:space="preserve"> through interviews between CAV and high volume property managers. The key factor for property managers with large rent rolls and many staff using electronic transactions was concerns over security and financial controls. </w:t>
      </w:r>
      <w:r w:rsidRPr="004B02DF">
        <w:t xml:space="preserve">In order to mitigate the risk of potential fraud, estate agents </w:t>
      </w:r>
      <w:r w:rsidR="007C41EF">
        <w:t>sought</w:t>
      </w:r>
      <w:r w:rsidRPr="004B02DF">
        <w:t xml:space="preserve"> more control over what their staff can do in the </w:t>
      </w:r>
      <w:r w:rsidR="00122DDC">
        <w:t>on-line</w:t>
      </w:r>
      <w:r w:rsidRPr="004B02DF">
        <w:t xml:space="preserve"> environment. </w:t>
      </w:r>
      <w:r>
        <w:t xml:space="preserve">CAV recognised that there needed to be capability for property managers to determine which staff would have access to various functions such as bond lodgements, repayments, and reporting – known as segregation of roles. CAV is still working with stakeholders on the development of a framework around segregation of roles. </w:t>
      </w:r>
    </w:p>
    <w:p w14:paraId="73988F54" w14:textId="77777777" w:rsidR="00471EBE" w:rsidRDefault="00471EBE" w:rsidP="00471EBE">
      <w:pPr>
        <w:pStyle w:val="Heading4"/>
      </w:pPr>
      <w:r>
        <w:t>Education</w:t>
      </w:r>
    </w:p>
    <w:p w14:paraId="4C17CD56" w14:textId="16F584FF" w:rsidR="00D1643C" w:rsidRPr="004B02DF" w:rsidRDefault="00D1643C" w:rsidP="00D1643C">
      <w:pPr>
        <w:pStyle w:val="DJRbody"/>
      </w:pPr>
      <w:r>
        <w:t xml:space="preserve">CAV has recognised the </w:t>
      </w:r>
      <w:r w:rsidRPr="004B02DF">
        <w:t>churn of real estate agents</w:t>
      </w:r>
      <w:r>
        <w:t xml:space="preserve"> (</w:t>
      </w:r>
      <w:r w:rsidR="007C41EF">
        <w:t>where they leave</w:t>
      </w:r>
      <w:r>
        <w:t xml:space="preserve"> the industry altogether, </w:t>
      </w:r>
      <w:r w:rsidR="007C41EF">
        <w:t>move between entities, or move</w:t>
      </w:r>
      <w:r>
        <w:t xml:space="preserve"> within their existing organisation to a different role)</w:t>
      </w:r>
      <w:r w:rsidRPr="004B02DF">
        <w:t xml:space="preserve"> </w:t>
      </w:r>
      <w:r w:rsidR="00A94517">
        <w:t>requires</w:t>
      </w:r>
      <w:r w:rsidRPr="004B02DF">
        <w:t xml:space="preserve"> CAV </w:t>
      </w:r>
      <w:r w:rsidR="00895865">
        <w:t>to provide on</w:t>
      </w:r>
      <w:r w:rsidR="00A94517">
        <w:t xml:space="preserve">going </w:t>
      </w:r>
      <w:r w:rsidRPr="004B02DF">
        <w:t>education.</w:t>
      </w:r>
      <w:r>
        <w:t xml:space="preserve"> </w:t>
      </w:r>
    </w:p>
    <w:p w14:paraId="482D4A63" w14:textId="12B10D04" w:rsidR="00D1643C" w:rsidRPr="004B02DF" w:rsidRDefault="00D1643C" w:rsidP="00D1643C">
      <w:pPr>
        <w:pStyle w:val="DJRbody"/>
      </w:pPr>
      <w:r w:rsidRPr="004B02DF">
        <w:t>CAV is conducting an education campaign aimed at increasing electronic usage</w:t>
      </w:r>
      <w:r>
        <w:t xml:space="preserve">. </w:t>
      </w:r>
      <w:r w:rsidRPr="004B02DF">
        <w:t xml:space="preserve">The campaign identifies benefits for agents </w:t>
      </w:r>
      <w:r>
        <w:t xml:space="preserve">in moving to an </w:t>
      </w:r>
      <w:r w:rsidR="00122DDC">
        <w:t>on-line</w:t>
      </w:r>
      <w:r>
        <w:t xml:space="preserve"> system, and </w:t>
      </w:r>
      <w:proofErr w:type="gramStart"/>
      <w:r>
        <w:t>is directed</w:t>
      </w:r>
      <w:proofErr w:type="gramEnd"/>
      <w:r>
        <w:t xml:space="preserve"> to all who interact with the systems including agents and landlords.</w:t>
      </w:r>
      <w:r w:rsidR="00B10197">
        <w:t xml:space="preserve"> CAV is also working with stakeholders such as the Real Estate Institute of Victoria to ensure information for the industry is readily available.</w:t>
      </w:r>
    </w:p>
    <w:p w14:paraId="1A716BDC" w14:textId="77777777" w:rsidR="00224031" w:rsidRPr="00224031" w:rsidRDefault="00224031" w:rsidP="00224031">
      <w:pPr>
        <w:pStyle w:val="Heading3"/>
      </w:pPr>
      <w:bookmarkStart w:id="34" w:name="_Toc526846812"/>
      <w:bookmarkStart w:id="35" w:name="_Toc527370732"/>
      <w:r w:rsidRPr="00224031">
        <w:t>Not-for-profit incorporated associations and registered fundraisers</w:t>
      </w:r>
      <w:bookmarkEnd w:id="34"/>
      <w:bookmarkEnd w:id="35"/>
    </w:p>
    <w:p w14:paraId="0C43871B" w14:textId="6A0AF9E8" w:rsidR="00224031" w:rsidRDefault="007C41EF" w:rsidP="00224031">
      <w:pPr>
        <w:pStyle w:val="DJRbody"/>
      </w:pPr>
      <w:r>
        <w:fldChar w:fldCharType="begin"/>
      </w:r>
      <w:r>
        <w:instrText xml:space="preserve"> REF _Ref526947650 \h </w:instrText>
      </w:r>
      <w:r>
        <w:fldChar w:fldCharType="separate"/>
      </w:r>
      <w:r w:rsidR="00BF12F7">
        <w:t xml:space="preserve">Table </w:t>
      </w:r>
      <w:r w:rsidR="00BF12F7">
        <w:rPr>
          <w:noProof/>
        </w:rPr>
        <w:t>6</w:t>
      </w:r>
      <w:r>
        <w:fldChar w:fldCharType="end"/>
      </w:r>
      <w:r>
        <w:t xml:space="preserve"> </w:t>
      </w:r>
      <w:r w:rsidR="00895865">
        <w:t xml:space="preserve">sets out the </w:t>
      </w:r>
      <w:r w:rsidR="00D835AB">
        <w:t>minister</w:t>
      </w:r>
      <w:r w:rsidR="00895865">
        <w:t>’s third improvement statement under the timeliness element, along with CAV’s response and progress towards completion of the improvement</w:t>
      </w:r>
      <w:r w:rsidR="00224031">
        <w:t>.</w:t>
      </w:r>
    </w:p>
    <w:p w14:paraId="15A2C26B" w14:textId="67835289" w:rsidR="00224031" w:rsidRDefault="00224031" w:rsidP="00F86C0E">
      <w:pPr>
        <w:pStyle w:val="TableLabel"/>
      </w:pPr>
      <w:bookmarkStart w:id="36" w:name="_Ref526947650"/>
      <w:r>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6</w:t>
      </w:r>
      <w:r w:rsidR="00CC4AC8">
        <w:rPr>
          <w:noProof/>
        </w:rPr>
        <w:fldChar w:fldCharType="end"/>
      </w:r>
      <w:bookmarkEnd w:id="36"/>
      <w:r>
        <w:t>:</w:t>
      </w:r>
      <w:r>
        <w:tab/>
        <w:t>Regulator response to SOE letter</w:t>
      </w:r>
      <w:r w:rsidR="00DA470D">
        <w:t xml:space="preserve"> – Reduce red tape and reporting requirements</w:t>
      </w:r>
    </w:p>
    <w:tbl>
      <w:tblPr>
        <w:tblW w:w="455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218"/>
        <w:gridCol w:w="5389"/>
        <w:gridCol w:w="1674"/>
      </w:tblGrid>
      <w:tr w:rsidR="00224031" w:rsidRPr="00F86C0E" w14:paraId="57467D8D" w14:textId="77777777" w:rsidTr="00BF12F7">
        <w:trPr>
          <w:tblHeader/>
        </w:trPr>
        <w:tc>
          <w:tcPr>
            <w:tcW w:w="1195" w:type="pct"/>
            <w:shd w:val="clear" w:color="auto" w:fill="16145F"/>
          </w:tcPr>
          <w:p w14:paraId="200951C6" w14:textId="77777777" w:rsidR="00224031" w:rsidRPr="00F86C0E" w:rsidRDefault="00224031" w:rsidP="00F86C0E">
            <w:pPr>
              <w:pStyle w:val="TableHeader"/>
            </w:pPr>
            <w:r w:rsidRPr="00F86C0E">
              <w:t>SOE Improvement Statement</w:t>
            </w:r>
          </w:p>
        </w:tc>
        <w:tc>
          <w:tcPr>
            <w:tcW w:w="2903" w:type="pct"/>
            <w:shd w:val="clear" w:color="auto" w:fill="16145F"/>
          </w:tcPr>
          <w:p w14:paraId="2092D6AC" w14:textId="77777777" w:rsidR="00224031" w:rsidRPr="00F86C0E" w:rsidRDefault="00224031" w:rsidP="00F86C0E">
            <w:pPr>
              <w:pStyle w:val="TableHeader"/>
            </w:pPr>
            <w:r w:rsidRPr="00F86C0E">
              <w:t>Regulator Response and actions from the 2017-19 SOE</w:t>
            </w:r>
          </w:p>
        </w:tc>
        <w:tc>
          <w:tcPr>
            <w:tcW w:w="902" w:type="pct"/>
            <w:shd w:val="clear" w:color="auto" w:fill="16145F"/>
          </w:tcPr>
          <w:p w14:paraId="3C4251BC" w14:textId="77777777" w:rsidR="00224031" w:rsidRPr="00F86C0E" w:rsidRDefault="00224031" w:rsidP="00F86C0E">
            <w:pPr>
              <w:pStyle w:val="TableHeader"/>
            </w:pPr>
            <w:r w:rsidRPr="00F86C0E">
              <w:t>Progress</w:t>
            </w:r>
          </w:p>
        </w:tc>
      </w:tr>
      <w:tr w:rsidR="00224031" w:rsidRPr="00F86C0E" w14:paraId="78B40C21" w14:textId="77777777" w:rsidTr="00BF12F7">
        <w:tc>
          <w:tcPr>
            <w:tcW w:w="1195" w:type="pct"/>
            <w:shd w:val="clear" w:color="auto" w:fill="auto"/>
          </w:tcPr>
          <w:p w14:paraId="464B6569" w14:textId="77777777" w:rsidR="00224031" w:rsidRPr="00F86C0E" w:rsidRDefault="00224031" w:rsidP="00F86C0E">
            <w:pPr>
              <w:pStyle w:val="TableText"/>
            </w:pPr>
            <w:r w:rsidRPr="00F86C0E">
              <w:t>Reduce red tape and duplicated reporting requirements for a range of not-for-profit incorporated associations and registered fundraisers</w:t>
            </w:r>
          </w:p>
        </w:tc>
        <w:tc>
          <w:tcPr>
            <w:tcW w:w="2903" w:type="pct"/>
            <w:shd w:val="clear" w:color="auto" w:fill="auto"/>
          </w:tcPr>
          <w:p w14:paraId="68C95F77" w14:textId="16B5C3D3" w:rsidR="000D5750" w:rsidRPr="00F86C0E" w:rsidRDefault="000D5750" w:rsidP="00BF12F7">
            <w:pPr>
              <w:pStyle w:val="TableText"/>
            </w:pPr>
            <w:r w:rsidRPr="00F86C0E">
              <w:t xml:space="preserve">CAV will identify opportunities to reduce regulatory burden and reporting obligations of incorporated associations and fundraisers that </w:t>
            </w:r>
            <w:proofErr w:type="gramStart"/>
            <w:r w:rsidRPr="00F86C0E">
              <w:t>are registered</w:t>
            </w:r>
            <w:proofErr w:type="gramEnd"/>
            <w:r w:rsidRPr="00F86C0E">
              <w:t xml:space="preserve"> as charities with the Australian Charities and Not-for-profits Commission (ACNC) and implement actions to reduce red tape.</w:t>
            </w:r>
            <w:r w:rsidR="00BF12F7">
              <w:t xml:space="preserve"> </w:t>
            </w:r>
            <w:r w:rsidRPr="00F86C0E">
              <w:t>Around 2,000 fundraisers and 3,000 incorporated associations that are registered both with CAV and the ACNC will benefit from the introduction of a ‘report once-use often’ approach to annual regulatory reporting requirements.</w:t>
            </w:r>
          </w:p>
        </w:tc>
        <w:tc>
          <w:tcPr>
            <w:tcW w:w="902" w:type="pct"/>
            <w:shd w:val="clear" w:color="auto" w:fill="auto"/>
          </w:tcPr>
          <w:p w14:paraId="5A729467" w14:textId="171B7A28" w:rsidR="00224031" w:rsidRPr="00F86C0E" w:rsidRDefault="00224031" w:rsidP="00F86C0E">
            <w:pPr>
              <w:pStyle w:val="TableText"/>
            </w:pPr>
            <w:r w:rsidRPr="00F86C0E">
              <w:t>Complete for incorporated associatio</w:t>
            </w:r>
            <w:r w:rsidR="00801FE9">
              <w:t>ns who are registered charities</w:t>
            </w:r>
          </w:p>
        </w:tc>
      </w:tr>
    </w:tbl>
    <w:p w14:paraId="3ED0126A" w14:textId="77777777" w:rsidR="0040705F" w:rsidRDefault="0040705F" w:rsidP="0040705F">
      <w:pPr>
        <w:pStyle w:val="Heading4"/>
      </w:pPr>
      <w:r>
        <w:t>Incorporated Associations</w:t>
      </w:r>
    </w:p>
    <w:p w14:paraId="77DED628" w14:textId="77777777" w:rsidR="0038531C" w:rsidRDefault="0038531C" w:rsidP="0038531C">
      <w:pPr>
        <w:pStyle w:val="DJRbodyaftertablefigure"/>
      </w:pPr>
      <w:r w:rsidRPr="00B1147E">
        <w:t>There are more than 38,000 incorporated associations in Victoria</w:t>
      </w:r>
      <w:r>
        <w:t xml:space="preserve">, approximately 5,000 of which are registered as charities with </w:t>
      </w:r>
      <w:r w:rsidRPr="00B1147E">
        <w:t xml:space="preserve">the Australian Charities and Not-for-profits Commission (ACNC). </w:t>
      </w:r>
      <w:r>
        <w:lastRenderedPageBreak/>
        <w:t>Until recently, Victorian incorporated associations were required under law to lodge an annual statement each year with CAV.</w:t>
      </w:r>
    </w:p>
    <w:p w14:paraId="3ACABC23" w14:textId="77777777" w:rsidR="0038531C" w:rsidRDefault="0038531C" w:rsidP="0038531C">
      <w:pPr>
        <w:pStyle w:val="DJRbody"/>
      </w:pPr>
      <w:r>
        <w:t>As a result of amendments to consumer legislation (</w:t>
      </w:r>
      <w:r w:rsidRPr="00D002D1">
        <w:rPr>
          <w:i/>
        </w:rPr>
        <w:t>Consumer Acts Amendment Act 2017</w:t>
      </w:r>
      <w:r>
        <w:rPr>
          <w:i/>
        </w:rPr>
        <w:t>)</w:t>
      </w:r>
      <w:r>
        <w:t xml:space="preserve"> and a Memorandum of Understanding (MOU) with the ACNC, the following benefits have accrued to incorporated associations:</w:t>
      </w:r>
    </w:p>
    <w:p w14:paraId="0EA04B15" w14:textId="77777777" w:rsidR="0038531C" w:rsidRDefault="0038531C" w:rsidP="0038531C">
      <w:pPr>
        <w:pStyle w:val="DJRbullet1"/>
      </w:pPr>
      <w:r>
        <w:t>The MOU eliminated the need for registered charity incorporated associations to be registered with both the ACNC and CAV.  In 2018-19, this led to a saving of $454,000 to incorporated associations.</w:t>
      </w:r>
    </w:p>
    <w:p w14:paraId="366D193B" w14:textId="77777777" w:rsidR="0038531C" w:rsidRDefault="0038531C" w:rsidP="0038531C">
      <w:pPr>
        <w:pStyle w:val="DJRbullet1"/>
      </w:pPr>
      <w:r>
        <w:t>Increased data sharing between CAV and the ACNC has reduced dual reporting by approximately 5,000 incorporated associations that are also registered charities.</w:t>
      </w:r>
    </w:p>
    <w:p w14:paraId="126DB38B" w14:textId="77777777" w:rsidR="0038531C" w:rsidRDefault="0038531C" w:rsidP="0038531C">
      <w:pPr>
        <w:pStyle w:val="DJRbody"/>
      </w:pPr>
      <w:r>
        <w:t xml:space="preserve">CAV undertook a wide-ranging communications campaign to advise incorporated associations of the change. </w:t>
      </w:r>
    </w:p>
    <w:p w14:paraId="12B091D0" w14:textId="1AD68F43" w:rsidR="0040705F" w:rsidRDefault="0040705F" w:rsidP="0040705F">
      <w:pPr>
        <w:pStyle w:val="Heading4"/>
      </w:pPr>
      <w:r>
        <w:t>Fundraisers</w:t>
      </w:r>
    </w:p>
    <w:p w14:paraId="6C6CAFB1" w14:textId="70647846" w:rsidR="00224031" w:rsidRDefault="0038531C" w:rsidP="00224031">
      <w:pPr>
        <w:pStyle w:val="DJRbody"/>
      </w:pPr>
      <w:r>
        <w:t>CAV anticipates that these changes could also benefit the 1,280 Victorian fundraisers currently registered with ACNC as charities. A review of reporting requirements for registered fundraisers is under consideration.</w:t>
      </w:r>
    </w:p>
    <w:p w14:paraId="016B9240" w14:textId="77777777" w:rsidR="00224031" w:rsidRDefault="00224031" w:rsidP="00224031">
      <w:pPr>
        <w:pStyle w:val="Heading2"/>
      </w:pPr>
      <w:bookmarkStart w:id="37" w:name="_Toc527370733"/>
      <w:bookmarkStart w:id="38" w:name="_Toc533678784"/>
      <w:r>
        <w:t>Risk-</w:t>
      </w:r>
      <w:r w:rsidRPr="00224031">
        <w:t>based</w:t>
      </w:r>
      <w:r>
        <w:t xml:space="preserve"> strategies</w:t>
      </w:r>
      <w:bookmarkEnd w:id="37"/>
      <w:bookmarkEnd w:id="38"/>
    </w:p>
    <w:p w14:paraId="3AF16661" w14:textId="77777777" w:rsidR="00945670" w:rsidRPr="00945670" w:rsidRDefault="00945670" w:rsidP="00945670">
      <w:pPr>
        <w:pStyle w:val="Heading3"/>
      </w:pPr>
      <w:bookmarkStart w:id="39" w:name="_Toc526846814"/>
      <w:bookmarkStart w:id="40" w:name="_Toc527370734"/>
      <w:r w:rsidRPr="00945670">
        <w:t>CAV compliance operations</w:t>
      </w:r>
      <w:bookmarkEnd w:id="39"/>
      <w:bookmarkEnd w:id="40"/>
    </w:p>
    <w:p w14:paraId="59F16B9B" w14:textId="29E95AC0" w:rsidR="00945670" w:rsidRDefault="00945670" w:rsidP="00945670">
      <w:pPr>
        <w:pStyle w:val="DJRbody"/>
      </w:pPr>
      <w:r>
        <w:fldChar w:fldCharType="begin"/>
      </w:r>
      <w:r>
        <w:instrText xml:space="preserve"> REF _Ref526947728 \h  \* MERGEFORMAT </w:instrText>
      </w:r>
      <w:r>
        <w:fldChar w:fldCharType="separate"/>
      </w:r>
      <w:r w:rsidR="00BF12F7">
        <w:t xml:space="preserve">Table </w:t>
      </w:r>
      <w:r w:rsidR="00BF12F7">
        <w:rPr>
          <w:noProof/>
        </w:rPr>
        <w:t>7</w:t>
      </w:r>
      <w:r>
        <w:fldChar w:fldCharType="end"/>
      </w:r>
      <w:r>
        <w:t xml:space="preserve"> </w:t>
      </w:r>
      <w:r w:rsidR="00895865">
        <w:t xml:space="preserve">sets out the </w:t>
      </w:r>
      <w:r w:rsidR="00D835AB">
        <w:t>minister</w:t>
      </w:r>
      <w:r w:rsidR="00895865">
        <w:t>’s improvement statement under the risk-based strategies element, along with CAV’s response and progress towards completion of the improvement.</w:t>
      </w:r>
    </w:p>
    <w:p w14:paraId="1DBA0761" w14:textId="6BD68E0D" w:rsidR="00945670" w:rsidRPr="00945670" w:rsidRDefault="00945670" w:rsidP="00F86C0E">
      <w:pPr>
        <w:pStyle w:val="TableLabel"/>
      </w:pPr>
      <w:bookmarkStart w:id="41" w:name="_Ref526947728"/>
      <w:r>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7</w:t>
      </w:r>
      <w:r w:rsidR="00CC4AC8">
        <w:rPr>
          <w:noProof/>
        </w:rPr>
        <w:fldChar w:fldCharType="end"/>
      </w:r>
      <w:bookmarkEnd w:id="41"/>
      <w:r>
        <w:t>:</w:t>
      </w:r>
      <w:r>
        <w:tab/>
        <w:t>Regulator response to the SOE letter</w:t>
      </w:r>
      <w:r w:rsidR="00DA470D">
        <w:t xml:space="preserve"> – improve CAV compliance operations</w:t>
      </w:r>
    </w:p>
    <w:tbl>
      <w:tblPr>
        <w:tblW w:w="455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95"/>
        <w:gridCol w:w="4512"/>
        <w:gridCol w:w="1674"/>
      </w:tblGrid>
      <w:tr w:rsidR="00945670" w:rsidRPr="00F86C0E" w14:paraId="3B5B4080" w14:textId="77777777" w:rsidTr="00A32534">
        <w:trPr>
          <w:tblHeader/>
        </w:trPr>
        <w:tc>
          <w:tcPr>
            <w:tcW w:w="1667" w:type="pct"/>
            <w:shd w:val="clear" w:color="auto" w:fill="16145F"/>
          </w:tcPr>
          <w:p w14:paraId="04B9E790" w14:textId="77777777" w:rsidR="00945670" w:rsidRPr="00F86C0E" w:rsidRDefault="00945670" w:rsidP="00F86C0E">
            <w:pPr>
              <w:pStyle w:val="TableHeader"/>
            </w:pPr>
            <w:r w:rsidRPr="00F86C0E">
              <w:t>SOE Improvement Statement</w:t>
            </w:r>
          </w:p>
        </w:tc>
        <w:tc>
          <w:tcPr>
            <w:tcW w:w="2431" w:type="pct"/>
            <w:shd w:val="clear" w:color="auto" w:fill="16145F"/>
          </w:tcPr>
          <w:p w14:paraId="6AF53230" w14:textId="77777777" w:rsidR="00945670" w:rsidRPr="00F86C0E" w:rsidRDefault="00945670" w:rsidP="00F86C0E">
            <w:pPr>
              <w:pStyle w:val="TableHeader"/>
            </w:pPr>
            <w:r w:rsidRPr="00F86C0E">
              <w:t>Regulator Response and actions from the 2017-19 SOE</w:t>
            </w:r>
          </w:p>
        </w:tc>
        <w:tc>
          <w:tcPr>
            <w:tcW w:w="902" w:type="pct"/>
            <w:shd w:val="clear" w:color="auto" w:fill="16145F"/>
          </w:tcPr>
          <w:p w14:paraId="5B934217" w14:textId="77777777" w:rsidR="00945670" w:rsidRPr="00F86C0E" w:rsidRDefault="00945670" w:rsidP="00F86C0E">
            <w:pPr>
              <w:pStyle w:val="TableHeader"/>
            </w:pPr>
            <w:r w:rsidRPr="00F86C0E">
              <w:t>Progress</w:t>
            </w:r>
          </w:p>
        </w:tc>
      </w:tr>
      <w:tr w:rsidR="00945670" w:rsidRPr="00F86C0E" w14:paraId="6696CB79" w14:textId="77777777" w:rsidTr="00A32534">
        <w:tc>
          <w:tcPr>
            <w:tcW w:w="1667" w:type="pct"/>
            <w:shd w:val="clear" w:color="auto" w:fill="auto"/>
          </w:tcPr>
          <w:p w14:paraId="36C647AA" w14:textId="77777777" w:rsidR="00945670" w:rsidRPr="00F86C0E" w:rsidRDefault="00945670" w:rsidP="00F86C0E">
            <w:pPr>
              <w:pStyle w:val="TableText"/>
            </w:pPr>
            <w:r w:rsidRPr="00F86C0E">
              <w:t>Improve CAV compliance operations to concentrate on areas of greatest risk to the achievement of regulatory outcomes</w:t>
            </w:r>
          </w:p>
        </w:tc>
        <w:tc>
          <w:tcPr>
            <w:tcW w:w="2431" w:type="pct"/>
            <w:shd w:val="clear" w:color="auto" w:fill="auto"/>
          </w:tcPr>
          <w:p w14:paraId="6FB82470" w14:textId="4AAC7589" w:rsidR="00945670" w:rsidRPr="00F86C0E" w:rsidRDefault="00E245B3" w:rsidP="00F86C0E">
            <w:pPr>
              <w:pStyle w:val="TableText"/>
            </w:pPr>
            <w:r w:rsidRPr="00F86C0E">
              <w:t>CAV will establish a Compliance Operating Model to ensure that risk is at the centre of compliance decision making.</w:t>
            </w:r>
            <w:r w:rsidR="0069182A">
              <w:t xml:space="preserve"> </w:t>
            </w:r>
            <w:r w:rsidRPr="00F86C0E">
              <w:t>This will involve strengthening the risk assessment process and enhancing compliance intelligence to inform inspection targeting.</w:t>
            </w:r>
          </w:p>
        </w:tc>
        <w:tc>
          <w:tcPr>
            <w:tcW w:w="902" w:type="pct"/>
            <w:shd w:val="clear" w:color="auto" w:fill="auto"/>
          </w:tcPr>
          <w:p w14:paraId="065ADB2C" w14:textId="1DDEB562" w:rsidR="00945670" w:rsidRPr="00F86C0E" w:rsidRDefault="00945670" w:rsidP="00F86C0E">
            <w:pPr>
              <w:pStyle w:val="TableText"/>
            </w:pPr>
            <w:r w:rsidRPr="00F86C0E">
              <w:t xml:space="preserve">Framework implemented August 2017, and </w:t>
            </w:r>
            <w:r w:rsidR="00E47DC1">
              <w:t xml:space="preserve">operating </w:t>
            </w:r>
            <w:r w:rsidRPr="00F86C0E">
              <w:t>model ongoing</w:t>
            </w:r>
          </w:p>
        </w:tc>
      </w:tr>
    </w:tbl>
    <w:p w14:paraId="713586BE" w14:textId="77777777" w:rsidR="0038531C" w:rsidRDefault="0038531C" w:rsidP="0038531C">
      <w:pPr>
        <w:pStyle w:val="DJRbodyaftertablefigure"/>
      </w:pPr>
      <w:bookmarkStart w:id="42" w:name="_Toc527370735"/>
      <w:r>
        <w:t xml:space="preserve">The CAV Compliance Risk Framework (CAVCOM), implemented in August 2017, is a comprehensive risk management tool, and is the cornerstone of CAV’s Compliance Operating Model. </w:t>
      </w:r>
    </w:p>
    <w:p w14:paraId="2D7F12B2" w14:textId="77777777" w:rsidR="0038531C" w:rsidRDefault="0038531C" w:rsidP="0038531C">
      <w:pPr>
        <w:pStyle w:val="DJRbody"/>
      </w:pPr>
      <w:r>
        <w:t>The Compliance Risk Register is the central repository of all compliance risks that CAV manages. It provides transparency by recording each risk, compliance risk ratings and responses, and centralises risk information into one place. The accompanying Risk Manual guides the way CAV staff work, detailing processes for the management of compliance risk in the organisation. It sets out processes for the identification of risks, analysis and rating of risks, treatment and rating of risks, and review of risks and responses.</w:t>
      </w:r>
    </w:p>
    <w:p w14:paraId="7EFD1140" w14:textId="77777777" w:rsidR="0038531C" w:rsidRDefault="0038531C" w:rsidP="0038531C">
      <w:pPr>
        <w:pStyle w:val="DJRbody"/>
      </w:pPr>
      <w:r>
        <w:t>CAV has established a Compliance Operating Group (COG), which consists of senior CAV decision makers. It reviews and updates compliance risks, considers new compliance risks and decides on risk responses. This group is supported by the Compliance Coordination Unit (CCU), and the Information and Analysis Branch, who maintain the Intelligence and Compliance Risk manuals.</w:t>
      </w:r>
    </w:p>
    <w:p w14:paraId="4D8BB53E" w14:textId="77777777" w:rsidR="0038531C" w:rsidRDefault="0038531C" w:rsidP="0038531C">
      <w:pPr>
        <w:pStyle w:val="DJRbody"/>
      </w:pPr>
      <w:r>
        <w:t xml:space="preserve">Centralising compliance risk management has, where possible enabled CAV to identify risks at an early stage rather than as a reaction to media coverage or a complaint. Treatments and controls </w:t>
      </w:r>
      <w:r>
        <w:lastRenderedPageBreak/>
        <w:t>are focused on preventing the risk becoming an issue. Rather than working case by case, CAV manages risk at a system level and is able to be proactive, for example inspecting registered or licensed businesses that have been deemed at most risk of non-compliance, rather than responding to individual complaints.</w:t>
      </w:r>
      <w:r w:rsidRPr="00576F81">
        <w:rPr>
          <w:noProof/>
          <w:lang w:eastAsia="en-AU"/>
        </w:rPr>
        <w:t xml:space="preserve"> </w:t>
      </w:r>
    </w:p>
    <w:p w14:paraId="03B4E212" w14:textId="77777777" w:rsidR="0038531C" w:rsidRPr="00C0177C" w:rsidRDefault="0038531C" w:rsidP="0038531C">
      <w:pPr>
        <w:pStyle w:val="DJRbody"/>
      </w:pPr>
      <w:r>
        <w:t xml:space="preserve">CAVCOM has led to a cultural shift in the way that CAV approaches risk. COG, with the assistance of the CCU, has worked with internal stakeholders to help them move to and understand the centralised risk management model, both through presentations to branches, e-learns and the provision of specialist risk training. A key example is CAV’s Enquiries Officers in the Information and Dispute Services Centre, who have </w:t>
      </w:r>
      <w:r w:rsidRPr="00C0177C">
        <w:t>moved to an understanding that the</w:t>
      </w:r>
      <w:r>
        <w:t xml:space="preserve"> call centre </w:t>
      </w:r>
      <w:r w:rsidRPr="00C0177C">
        <w:t xml:space="preserve">role is not simply recording and managing complaints, but is a key source of </w:t>
      </w:r>
      <w:r>
        <w:t>intelligence</w:t>
      </w:r>
      <w:r w:rsidRPr="00C0177C">
        <w:t xml:space="preserve"> gathering for risk management. </w:t>
      </w:r>
      <w:r>
        <w:t>The evaluation team was advised that the Enquiries Officers now</w:t>
      </w:r>
      <w:r w:rsidRPr="00C0177C">
        <w:t xml:space="preserve"> understand why the data is importan</w:t>
      </w:r>
      <w:r>
        <w:t>t and how it</w:t>
      </w:r>
      <w:r w:rsidRPr="00C0177C">
        <w:t>s management will help them do their role.</w:t>
      </w:r>
    </w:p>
    <w:p w14:paraId="4D517826" w14:textId="77777777" w:rsidR="0038531C" w:rsidRDefault="0038531C" w:rsidP="0038531C">
      <w:pPr>
        <w:pStyle w:val="DJRbody"/>
      </w:pPr>
      <w:r>
        <w:t>The intelligence industry reports produced by the Information and Analysis Branch assist COG and the various compliance risk working groups to better understand issues and risks, and to develop processes and responses to enable CAV to be more proactive and responsive to risks.</w:t>
      </w:r>
    </w:p>
    <w:p w14:paraId="497B18B4" w14:textId="77777777" w:rsidR="0038531C" w:rsidRDefault="0038531C" w:rsidP="0038531C">
      <w:pPr>
        <w:pStyle w:val="DJRbody"/>
      </w:pPr>
      <w:r>
        <w:t>Prior to the implementation of CAVCOM, risks were being treated differently across the branches of CAV and were developed and reviewed on an annual basis. Under the new framework, compliance risk, controls and treatments are being continually reviewed and revised as intelligence updates and outcomes are assessed in a centralised forum. CAV now collectively reviews risks and develops mitigating strategies with measurable outcomes. COG has reviewed existing risk plans under the new model, and the 35 legacy risks presented to COG have been reduced to 17 current risks reflective of CAV regulatory priorities.</w:t>
      </w:r>
    </w:p>
    <w:p w14:paraId="126F957F" w14:textId="77777777" w:rsidR="0038531C" w:rsidRPr="00C0177C" w:rsidRDefault="0038531C" w:rsidP="0038531C">
      <w:pPr>
        <w:pStyle w:val="DJRbody"/>
      </w:pPr>
      <w:r>
        <w:t xml:space="preserve">CAV staff </w:t>
      </w:r>
      <w:r w:rsidRPr="00C0177C">
        <w:t>advised that</w:t>
      </w:r>
      <w:r>
        <w:t xml:space="preserve"> this new approach has allowed them to </w:t>
      </w:r>
      <w:r w:rsidRPr="00C0177C">
        <w:t>‘work</w:t>
      </w:r>
      <w:r>
        <w:t xml:space="preserve"> collectively and use</w:t>
      </w:r>
      <w:r w:rsidRPr="00C0177C">
        <w:t xml:space="preserve"> better intelligence management to evaluate risk, and with better evidence we are able to get a more realistic risk rating</w:t>
      </w:r>
      <w:r>
        <w:t>’</w:t>
      </w:r>
      <w:r w:rsidRPr="00C0177C">
        <w:t>.</w:t>
      </w:r>
      <w:r>
        <w:t xml:space="preserve"> CAV staff members also noted the new approach is bringing them better learnings, noting that previously ‘w</w:t>
      </w:r>
      <w:r w:rsidRPr="00C0177C">
        <w:t>e worked case</w:t>
      </w:r>
      <w:r>
        <w:t>-</w:t>
      </w:r>
      <w:r w:rsidRPr="00C0177C">
        <w:t>by</w:t>
      </w:r>
      <w:r>
        <w:t>-</w:t>
      </w:r>
      <w:r w:rsidRPr="00C0177C">
        <w:t>case instead of as a whole, and so didn’t learn from each case’.</w:t>
      </w:r>
      <w:r>
        <w:t xml:space="preserve"> </w:t>
      </w:r>
    </w:p>
    <w:p w14:paraId="5DC6F663" w14:textId="77777777" w:rsidR="0038531C" w:rsidRDefault="0038531C" w:rsidP="0038531C">
      <w:pPr>
        <w:pStyle w:val="DJRbody"/>
      </w:pPr>
      <w:r>
        <w:t>The implementation of CAVCOM has also provided clarity to CAV about focusing on risks within its jurisdiction. Where another agency is the primary regulator CAV does not consider that to be a compliance risk but rather works with that regulator to assist them to manage the risk. In the past, CAV managed risks where the majority of the risk lay outside its business.</w:t>
      </w:r>
    </w:p>
    <w:p w14:paraId="34E71838" w14:textId="77777777" w:rsidR="0038531C" w:rsidRDefault="0038531C" w:rsidP="0038531C">
      <w:pPr>
        <w:pStyle w:val="DJRbody"/>
        <w:rPr>
          <w:rFonts w:ascii="Helv" w:hAnsi="Helv" w:cs="Helv"/>
          <w:color w:val="000000"/>
          <w:lang w:eastAsia="en-AU"/>
        </w:rPr>
      </w:pPr>
      <w:r>
        <w:t xml:space="preserve">CAV is working more constructively with its external stakeholders, including other regulators and government departments, through information sharing agreements, and intelligence gathering and sharing. </w:t>
      </w:r>
      <w:r>
        <w:rPr>
          <w:rFonts w:ascii="Helv" w:hAnsi="Helv" w:cs="Helv"/>
          <w:color w:val="000000"/>
          <w:lang w:eastAsia="en-AU"/>
        </w:rPr>
        <w:t>Information Sharing Agreements have been signed with the:</w:t>
      </w:r>
    </w:p>
    <w:p w14:paraId="2098F789" w14:textId="77777777" w:rsidR="0038531C" w:rsidRDefault="0038531C" w:rsidP="0038531C">
      <w:pPr>
        <w:pStyle w:val="DJRbullet1"/>
        <w:rPr>
          <w:lang w:eastAsia="en-AU"/>
        </w:rPr>
      </w:pPr>
      <w:r>
        <w:rPr>
          <w:lang w:eastAsia="en-AU"/>
        </w:rPr>
        <w:t>Domestic Building Dispute Resolution Victoria</w:t>
      </w:r>
    </w:p>
    <w:p w14:paraId="275CF86C" w14:textId="77777777" w:rsidR="0038531C" w:rsidRDefault="0038531C" w:rsidP="0038531C">
      <w:pPr>
        <w:pStyle w:val="DJRbullet1"/>
        <w:rPr>
          <w:lang w:eastAsia="en-AU"/>
        </w:rPr>
      </w:pPr>
      <w:r>
        <w:rPr>
          <w:lang w:eastAsia="en-AU"/>
        </w:rPr>
        <w:t>Victorian Building Authority</w:t>
      </w:r>
    </w:p>
    <w:p w14:paraId="34B2FCCF" w14:textId="77777777" w:rsidR="0038531C" w:rsidRDefault="0038531C" w:rsidP="0038531C">
      <w:pPr>
        <w:pStyle w:val="DJRbullet1"/>
      </w:pPr>
      <w:r>
        <w:rPr>
          <w:lang w:eastAsia="en-AU"/>
        </w:rPr>
        <w:t>Victorian Commission for Gambling and Liquor Regulation.</w:t>
      </w:r>
    </w:p>
    <w:p w14:paraId="6B730D24" w14:textId="77777777" w:rsidR="00945670" w:rsidRPr="00945670" w:rsidRDefault="00945670" w:rsidP="00945670">
      <w:pPr>
        <w:pStyle w:val="Heading2"/>
      </w:pPr>
      <w:bookmarkStart w:id="43" w:name="_Toc533678785"/>
      <w:r w:rsidRPr="00945670">
        <w:t>Compliance-related assistance and advice</w:t>
      </w:r>
      <w:bookmarkEnd w:id="42"/>
      <w:bookmarkEnd w:id="43"/>
    </w:p>
    <w:p w14:paraId="58BFD880" w14:textId="77777777" w:rsidR="00945670" w:rsidRDefault="00945670" w:rsidP="00576F81">
      <w:pPr>
        <w:pStyle w:val="Heading3"/>
      </w:pPr>
      <w:bookmarkStart w:id="44" w:name="_Toc526846816"/>
      <w:bookmarkStart w:id="45" w:name="_Ref526848726"/>
      <w:bookmarkStart w:id="46" w:name="_Ref526848727"/>
      <w:bookmarkStart w:id="47" w:name="_Toc527370736"/>
      <w:bookmarkStart w:id="48" w:name="_Ref527550785"/>
      <w:r>
        <w:t>Underquoting</w:t>
      </w:r>
      <w:bookmarkEnd w:id="44"/>
      <w:bookmarkEnd w:id="45"/>
      <w:bookmarkEnd w:id="46"/>
      <w:bookmarkEnd w:id="47"/>
      <w:bookmarkEnd w:id="48"/>
    </w:p>
    <w:p w14:paraId="52E185E2" w14:textId="7C57E198" w:rsidR="00945670" w:rsidRPr="00945670" w:rsidRDefault="001F061B" w:rsidP="00945670">
      <w:pPr>
        <w:pStyle w:val="DJRbody"/>
      </w:pPr>
      <w:r>
        <w:fldChar w:fldCharType="begin"/>
      </w:r>
      <w:r>
        <w:instrText xml:space="preserve"> REF _Ref526947849 \h </w:instrText>
      </w:r>
      <w:r>
        <w:fldChar w:fldCharType="separate"/>
      </w:r>
      <w:r w:rsidR="00BF12F7">
        <w:t xml:space="preserve">Table </w:t>
      </w:r>
      <w:r w:rsidR="00BF12F7">
        <w:rPr>
          <w:noProof/>
        </w:rPr>
        <w:t>8</w:t>
      </w:r>
      <w:r>
        <w:fldChar w:fldCharType="end"/>
      </w:r>
      <w:r>
        <w:t xml:space="preserve"> </w:t>
      </w:r>
      <w:r w:rsidR="00895865">
        <w:t xml:space="preserve">sets out the </w:t>
      </w:r>
      <w:r w:rsidR="00D835AB">
        <w:t>minister</w:t>
      </w:r>
      <w:r w:rsidR="00895865">
        <w:t>’s first improvement statement under the compliance-related assistance and advice element, along with CAV’s response and progress towards completion of the improvement.</w:t>
      </w:r>
    </w:p>
    <w:p w14:paraId="30DA11B5" w14:textId="211479F1" w:rsidR="00945670" w:rsidRPr="00485F46" w:rsidRDefault="00945670" w:rsidP="00F86C0E">
      <w:pPr>
        <w:pStyle w:val="TableLabel"/>
      </w:pPr>
      <w:bookmarkStart w:id="49" w:name="_Ref526947849"/>
      <w:r>
        <w:lastRenderedPageBreak/>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8</w:t>
      </w:r>
      <w:r w:rsidR="00CC4AC8">
        <w:rPr>
          <w:noProof/>
        </w:rPr>
        <w:fldChar w:fldCharType="end"/>
      </w:r>
      <w:bookmarkEnd w:id="49"/>
      <w:r>
        <w:t>:</w:t>
      </w:r>
      <w:r>
        <w:tab/>
        <w:t>Regulator response to the SOE letter</w:t>
      </w:r>
      <w:r w:rsidR="00DA470D">
        <w:t xml:space="preserve"> - Underquoting</w:t>
      </w:r>
    </w:p>
    <w:tbl>
      <w:tblPr>
        <w:tblW w:w="455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95"/>
        <w:gridCol w:w="4512"/>
        <w:gridCol w:w="1674"/>
      </w:tblGrid>
      <w:tr w:rsidR="00945670" w:rsidRPr="00BE3C3E" w14:paraId="721100B2" w14:textId="77777777" w:rsidTr="00A32534">
        <w:trPr>
          <w:tblHeader/>
        </w:trPr>
        <w:tc>
          <w:tcPr>
            <w:tcW w:w="1667" w:type="pct"/>
            <w:shd w:val="clear" w:color="auto" w:fill="16145F"/>
          </w:tcPr>
          <w:p w14:paraId="38E62818" w14:textId="77777777" w:rsidR="00945670" w:rsidRPr="00BE3C3E" w:rsidRDefault="00945670" w:rsidP="00F86C0E">
            <w:pPr>
              <w:pStyle w:val="TableHeader"/>
            </w:pPr>
            <w:r w:rsidRPr="00BE3C3E">
              <w:t>SOE Improvement Statement</w:t>
            </w:r>
          </w:p>
        </w:tc>
        <w:tc>
          <w:tcPr>
            <w:tcW w:w="2431" w:type="pct"/>
            <w:shd w:val="clear" w:color="auto" w:fill="16145F"/>
          </w:tcPr>
          <w:p w14:paraId="709CE44D" w14:textId="77777777" w:rsidR="00945670" w:rsidRPr="00BE3C3E" w:rsidRDefault="00945670" w:rsidP="00F86C0E">
            <w:pPr>
              <w:pStyle w:val="TableHeader"/>
            </w:pPr>
            <w:r w:rsidRPr="00BE3C3E">
              <w:t>Regulator Response and actions from the 2017-19 SOE</w:t>
            </w:r>
          </w:p>
        </w:tc>
        <w:tc>
          <w:tcPr>
            <w:tcW w:w="902" w:type="pct"/>
            <w:shd w:val="clear" w:color="auto" w:fill="16145F"/>
          </w:tcPr>
          <w:p w14:paraId="4DEF5808" w14:textId="77777777" w:rsidR="00945670" w:rsidRPr="00BE3C3E" w:rsidRDefault="00945670" w:rsidP="00F86C0E">
            <w:pPr>
              <w:pStyle w:val="TableHeader"/>
            </w:pPr>
            <w:r w:rsidRPr="00BE3C3E">
              <w:t>Progress</w:t>
            </w:r>
          </w:p>
        </w:tc>
      </w:tr>
      <w:tr w:rsidR="00945670" w:rsidRPr="00BE3C3E" w14:paraId="129499DC" w14:textId="77777777" w:rsidTr="00A32534">
        <w:tc>
          <w:tcPr>
            <w:tcW w:w="1667" w:type="pct"/>
            <w:shd w:val="clear" w:color="auto" w:fill="auto"/>
          </w:tcPr>
          <w:p w14:paraId="1154AC0C" w14:textId="77777777" w:rsidR="00945670" w:rsidRPr="00BE3C3E" w:rsidRDefault="00945670" w:rsidP="00F86C0E">
            <w:pPr>
              <w:pStyle w:val="Tablebullet"/>
            </w:pPr>
            <w:r w:rsidRPr="00BE3C3E">
              <w:t>Increase awareness and understanding amongst estate agents of their obligations under the legislation concerning underquoting</w:t>
            </w:r>
          </w:p>
        </w:tc>
        <w:tc>
          <w:tcPr>
            <w:tcW w:w="2431" w:type="pct"/>
            <w:shd w:val="clear" w:color="auto" w:fill="auto"/>
          </w:tcPr>
          <w:p w14:paraId="7858F3BD" w14:textId="041CBFC2" w:rsidR="00E245B3" w:rsidRPr="00BE3C3E" w:rsidRDefault="00E245B3" w:rsidP="00F86C0E">
            <w:pPr>
              <w:pStyle w:val="Tablebullet"/>
            </w:pPr>
            <w:r w:rsidRPr="00BE3C3E">
              <w:t>CAV will roll out a program to inform the real estate industry about the legislative changes and educate estate agents through multiple communication tools about their obligations under the new law with the aim to reduce industry non-compliance.</w:t>
            </w:r>
            <w:r w:rsidR="0069182A">
              <w:t xml:space="preserve"> </w:t>
            </w:r>
            <w:r w:rsidRPr="00BE3C3E">
              <w:t>This will be done through a focused business education program, which will support CAV’s State Inspection Program and ensure estate agents are reached through a number of different channels.</w:t>
            </w:r>
            <w:r w:rsidR="0069182A">
              <w:t xml:space="preserve"> </w:t>
            </w:r>
            <w:r w:rsidRPr="00BE3C3E">
              <w:t>CAV will also produce an underquoting communications campaign targeting potential buyers to increase their awareness of estate agent obligations and their rights under the new legislation.</w:t>
            </w:r>
          </w:p>
        </w:tc>
        <w:tc>
          <w:tcPr>
            <w:tcW w:w="902" w:type="pct"/>
            <w:shd w:val="clear" w:color="auto" w:fill="auto"/>
          </w:tcPr>
          <w:p w14:paraId="078BA063" w14:textId="77777777" w:rsidR="00945670" w:rsidRPr="00BE3C3E" w:rsidRDefault="00945670" w:rsidP="00F86C0E">
            <w:pPr>
              <w:pStyle w:val="Tablebullet"/>
            </w:pPr>
            <w:r w:rsidRPr="00BE3C3E">
              <w:t>Complete</w:t>
            </w:r>
          </w:p>
        </w:tc>
      </w:tr>
    </w:tbl>
    <w:p w14:paraId="6EBB2CDA" w14:textId="77777777" w:rsidR="0038531C" w:rsidRDefault="0038531C" w:rsidP="0038531C">
      <w:pPr>
        <w:pStyle w:val="DJRbodyaftertablefigure"/>
      </w:pPr>
      <w:r>
        <w:t xml:space="preserve">Estate agents (agents) provide a range of services regarding the sale of residential property including acting on behalf of sellers and buyers. Under the </w:t>
      </w:r>
      <w:r w:rsidRPr="00FF42CC">
        <w:rPr>
          <w:i/>
        </w:rPr>
        <w:t>Estate Agents Act 1980</w:t>
      </w:r>
      <w:r>
        <w:t xml:space="preserve">, Victorian agents and agents’ representatives must be licensed. </w:t>
      </w:r>
    </w:p>
    <w:p w14:paraId="1DB49DCF" w14:textId="77777777" w:rsidR="0038531C" w:rsidRPr="004A05DC" w:rsidRDefault="0038531C" w:rsidP="0038531C">
      <w:pPr>
        <w:pStyle w:val="DJRbody"/>
      </w:pPr>
      <w:r>
        <w:t xml:space="preserve">The relevant consumer protection laws (the </w:t>
      </w:r>
      <w:r w:rsidRPr="001F32D3">
        <w:t xml:space="preserve">Australian Consumer Law </w:t>
      </w:r>
      <w:r>
        <w:t>and the Estate Agents Act) prohibit agents from making false or misleading statements about property prices, such as</w:t>
      </w:r>
      <w:r w:rsidRPr="004434B9">
        <w:t xml:space="preserve"> </w:t>
      </w:r>
      <w:r>
        <w:t>underquoting (marketing a property for sale at a lower than estimated selling price, or seller’s asking price). The Estate Agents Act requires estate agents to prepare Statements of Information, which provide price details for comparable properties to that which is being sold.</w:t>
      </w:r>
    </w:p>
    <w:p w14:paraId="3516D65B" w14:textId="77777777" w:rsidR="0038531C" w:rsidRDefault="0038531C" w:rsidP="0038531C">
      <w:pPr>
        <w:pStyle w:val="DJRbody"/>
      </w:pPr>
      <w:r>
        <w:t xml:space="preserve">Analysis by CAV during December 2017 and January 2018 shows that 100 per cent of agents included an Indicative Selling Price in their documentation, and 100 per cent of these were within the permissible 10 per cent range. However, of the 100 Statements of Information they examined, 21 per cent were non-compliant as they did not list three comparable properties. </w:t>
      </w:r>
    </w:p>
    <w:p w14:paraId="07AAFD59" w14:textId="1AD0403F" w:rsidR="00471EBE" w:rsidRDefault="00471EBE" w:rsidP="00471EBE">
      <w:pPr>
        <w:pStyle w:val="Heading4"/>
      </w:pPr>
      <w:r>
        <w:t>Underquoting campaign – estate agents</w:t>
      </w:r>
    </w:p>
    <w:p w14:paraId="37D01E34" w14:textId="095D39C8" w:rsidR="00945670" w:rsidRDefault="0038531C" w:rsidP="00945670">
      <w:pPr>
        <w:pStyle w:val="DJRbody"/>
      </w:pPr>
      <w:r>
        <w:t>In the months leading up to the introduction of amendments to the Estate Agents Act (which commenced on 1 May 2017), CAV ran a campaign on underquoting as follows:</w:t>
      </w:r>
    </w:p>
    <w:p w14:paraId="46237214" w14:textId="77777777" w:rsidR="00945670" w:rsidRDefault="00945670" w:rsidP="00945670">
      <w:pPr>
        <w:pStyle w:val="DJRbullet1"/>
      </w:pPr>
      <w:r>
        <w:t>Digital communication</w:t>
      </w:r>
    </w:p>
    <w:p w14:paraId="58DC4427" w14:textId="77777777" w:rsidR="00945670" w:rsidRPr="00945670" w:rsidRDefault="00945670" w:rsidP="00945670">
      <w:pPr>
        <w:pStyle w:val="DJRbullet2"/>
      </w:pPr>
      <w:r w:rsidRPr="00945670">
        <w:t>1000 web page views of the underquoting content on the CAV website over three months</w:t>
      </w:r>
    </w:p>
    <w:p w14:paraId="152F72AC" w14:textId="226A3C38" w:rsidR="00945670" w:rsidRPr="00945670" w:rsidRDefault="00945670" w:rsidP="00945670">
      <w:pPr>
        <w:pStyle w:val="DJRbullet2"/>
      </w:pPr>
      <w:r w:rsidRPr="00945670">
        <w:t xml:space="preserve">over 10,000 </w:t>
      </w:r>
      <w:proofErr w:type="spellStart"/>
      <w:r w:rsidRPr="00945670">
        <w:t>eNewsletters</w:t>
      </w:r>
      <w:proofErr w:type="spellEnd"/>
      <w:r w:rsidRPr="00945670">
        <w:t xml:space="preserve"> sent to real estate agents with 56.4</w:t>
      </w:r>
      <w:r w:rsidR="0069182A">
        <w:t xml:space="preserve"> per cent </w:t>
      </w:r>
      <w:r w:rsidRPr="00945670">
        <w:t>open rate</w:t>
      </w:r>
    </w:p>
    <w:p w14:paraId="584EF68B" w14:textId="77777777" w:rsidR="00945670" w:rsidRPr="00945670" w:rsidRDefault="00945670" w:rsidP="00945670">
      <w:pPr>
        <w:pStyle w:val="DJRbullet2"/>
      </w:pPr>
      <w:r w:rsidRPr="00945670">
        <w:t>Facebook and Twitter posts</w:t>
      </w:r>
    </w:p>
    <w:p w14:paraId="685505F7" w14:textId="39FEF2EB" w:rsidR="00945670" w:rsidRPr="00945670" w:rsidRDefault="00945670" w:rsidP="00945670">
      <w:pPr>
        <w:pStyle w:val="DJRbullet2"/>
      </w:pPr>
      <w:r w:rsidRPr="00945670">
        <w:t>2,158 views of a video describing the changes</w:t>
      </w:r>
      <w:r w:rsidR="00CE2DD6">
        <w:t>.</w:t>
      </w:r>
    </w:p>
    <w:p w14:paraId="20D2BBE9" w14:textId="77777777" w:rsidR="00945670" w:rsidRDefault="00945670" w:rsidP="00945670">
      <w:pPr>
        <w:pStyle w:val="DJRbullet1"/>
      </w:pPr>
      <w:r>
        <w:t>Regional community education presentations</w:t>
      </w:r>
    </w:p>
    <w:p w14:paraId="4F7F91B1" w14:textId="77777777" w:rsidR="00945670" w:rsidRDefault="00945670" w:rsidP="00945670">
      <w:pPr>
        <w:pStyle w:val="DJRbullet2"/>
      </w:pPr>
      <w:r>
        <w:t>69 presentations, two webinars, one law week presentation with a total attendance of over 2,000</w:t>
      </w:r>
    </w:p>
    <w:p w14:paraId="6C05080B" w14:textId="04B9EDE0" w:rsidR="00945670" w:rsidRDefault="00945670" w:rsidP="00945670">
      <w:pPr>
        <w:pStyle w:val="DJRbullet2"/>
      </w:pPr>
      <w:proofErr w:type="gramStart"/>
      <w:r>
        <w:t>participant</w:t>
      </w:r>
      <w:proofErr w:type="gramEnd"/>
      <w:r>
        <w:t xml:space="preserve"> feedback showed an increase in knowledge on underquoting from 2.7 out of 4 to 3.2 out of 4</w:t>
      </w:r>
      <w:r w:rsidR="00CE2DD6">
        <w:t>.</w:t>
      </w:r>
    </w:p>
    <w:p w14:paraId="1812788C" w14:textId="05E818B4" w:rsidR="00945670" w:rsidRDefault="00945670" w:rsidP="00945670">
      <w:pPr>
        <w:pStyle w:val="DJRbullet1"/>
      </w:pPr>
      <w:r>
        <w:t xml:space="preserve">Using </w:t>
      </w:r>
      <w:r w:rsidR="00535D29">
        <w:t>Real Estate Institute of Victoria (</w:t>
      </w:r>
      <w:r>
        <w:t>REIV</w:t>
      </w:r>
      <w:r w:rsidR="00535D29">
        <w:t>)</w:t>
      </w:r>
      <w:r>
        <w:t xml:space="preserve"> engagement channels to distribute messages</w:t>
      </w:r>
    </w:p>
    <w:p w14:paraId="17A751BA" w14:textId="77777777" w:rsidR="00945670" w:rsidRDefault="00945670" w:rsidP="00945670">
      <w:pPr>
        <w:pStyle w:val="DJRbullet2"/>
      </w:pPr>
      <w:r>
        <w:t>40 REIV presentations and one webinar with a total attendance of 3,500</w:t>
      </w:r>
    </w:p>
    <w:p w14:paraId="08F70F43" w14:textId="77777777" w:rsidR="00945670" w:rsidRDefault="00945670" w:rsidP="00945670">
      <w:pPr>
        <w:pStyle w:val="DJRbullet2"/>
      </w:pPr>
      <w:r>
        <w:t>articles by CAV in the Estate Agent publication</w:t>
      </w:r>
    </w:p>
    <w:p w14:paraId="091123C8" w14:textId="6BE76F4F" w:rsidR="00945670" w:rsidRDefault="00945670" w:rsidP="00945670">
      <w:pPr>
        <w:pStyle w:val="DJRbullet2"/>
      </w:pPr>
      <w:r>
        <w:t>Facebook and Twitter posts</w:t>
      </w:r>
      <w:r w:rsidR="00CE2DD6">
        <w:t>.</w:t>
      </w:r>
    </w:p>
    <w:p w14:paraId="71966A19" w14:textId="77777777" w:rsidR="00945670" w:rsidRDefault="00945670" w:rsidP="00945670">
      <w:pPr>
        <w:pStyle w:val="DJRbullet1"/>
      </w:pPr>
      <w:r>
        <w:t>Direct communication activities</w:t>
      </w:r>
    </w:p>
    <w:p w14:paraId="327134FF" w14:textId="77777777" w:rsidR="00945670" w:rsidRDefault="00945670" w:rsidP="00945670">
      <w:pPr>
        <w:pStyle w:val="DJRbullet2"/>
      </w:pPr>
      <w:r>
        <w:t>five radio spots, five TV stories and ten news articles</w:t>
      </w:r>
    </w:p>
    <w:p w14:paraId="3C0AF47A" w14:textId="1CE9B1C5" w:rsidR="00945670" w:rsidRDefault="00945670" w:rsidP="00945670">
      <w:pPr>
        <w:pStyle w:val="DJRbullet2"/>
      </w:pPr>
      <w:r>
        <w:lastRenderedPageBreak/>
        <w:t xml:space="preserve">estimated reach of over one million via media generated stories (as identified by </w:t>
      </w:r>
      <w:r w:rsidR="00CE2DD6">
        <w:t>DJCS</w:t>
      </w:r>
      <w:r>
        <w:t xml:space="preserve"> Strategic Communication Branch)</w:t>
      </w:r>
    </w:p>
    <w:p w14:paraId="0B51BDFF" w14:textId="77777777" w:rsidR="00945670" w:rsidRDefault="00945670" w:rsidP="00945670">
      <w:pPr>
        <w:pStyle w:val="DJRbullet2"/>
      </w:pPr>
      <w:proofErr w:type="gramStart"/>
      <w:r>
        <w:t>direct</w:t>
      </w:r>
      <w:proofErr w:type="gramEnd"/>
      <w:r>
        <w:t xml:space="preserve"> mail to all estate agents in Victoria.</w:t>
      </w:r>
    </w:p>
    <w:p w14:paraId="2AA6BA0E" w14:textId="26198820" w:rsidR="00895518" w:rsidRDefault="00895518" w:rsidP="00576F81">
      <w:pPr>
        <w:pStyle w:val="DJRbodyafterbullets"/>
      </w:pPr>
      <w:r>
        <w:t xml:space="preserve">The </w:t>
      </w:r>
      <w:r w:rsidR="00D835AB">
        <w:t>minister</w:t>
      </w:r>
      <w:r>
        <w:t xml:space="preserve"> officially launched the Underquoting Laws Campaign at an open-for-inspection property on 22 April 2017, alongside the Chief Executive </w:t>
      </w:r>
      <w:proofErr w:type="spellStart"/>
      <w:r>
        <w:t>Offricer</w:t>
      </w:r>
      <w:proofErr w:type="spellEnd"/>
      <w:r>
        <w:t xml:space="preserve"> of REIV.</w:t>
      </w:r>
    </w:p>
    <w:p w14:paraId="59F292A9" w14:textId="77777777" w:rsidR="00945670" w:rsidRDefault="00945670" w:rsidP="00576F81">
      <w:pPr>
        <w:pStyle w:val="DJRbodyafterbullets"/>
      </w:pPr>
      <w:r>
        <w:t xml:space="preserve">While the primary audience was agents, the information provided on the CAV website and through social media also informed consumers. </w:t>
      </w:r>
    </w:p>
    <w:p w14:paraId="49F151FC" w14:textId="77777777" w:rsidR="00945670" w:rsidRDefault="00945670" w:rsidP="00945670">
      <w:pPr>
        <w:pStyle w:val="DJRbody"/>
      </w:pPr>
      <w:r>
        <w:t xml:space="preserve">Real estate advertising portals such as domain.com and realestate.com were also adjusted to incorporate the Statement of Information in property listings, as were industry software providers such as Rex and </w:t>
      </w:r>
      <w:proofErr w:type="spellStart"/>
      <w:r>
        <w:t>iDashboard</w:t>
      </w:r>
      <w:proofErr w:type="spellEnd"/>
      <w:r>
        <w:t>.</w:t>
      </w:r>
    </w:p>
    <w:p w14:paraId="297EC20E" w14:textId="532E3730" w:rsidR="00471EBE" w:rsidRDefault="00471EBE" w:rsidP="00471EBE">
      <w:pPr>
        <w:pStyle w:val="Heading4"/>
      </w:pPr>
      <w:r>
        <w:t>Underquoting campaign – consumers</w:t>
      </w:r>
    </w:p>
    <w:p w14:paraId="23F5E1F4" w14:textId="145D9AA2" w:rsidR="00945670" w:rsidRPr="00022216" w:rsidRDefault="0038531C" w:rsidP="00945670">
      <w:pPr>
        <w:pStyle w:val="DJRbody"/>
      </w:pPr>
      <w:r>
        <w:t xml:space="preserve">In October </w:t>
      </w:r>
      <w:r w:rsidRPr="00022216">
        <w:t xml:space="preserve">2017 </w:t>
      </w:r>
      <w:r>
        <w:t xml:space="preserve">CAV launched a campaign </w:t>
      </w:r>
      <w:r w:rsidRPr="00022216">
        <w:t>to educate home buyers on price advertising and navigating the property market.</w:t>
      </w:r>
      <w:r>
        <w:t xml:space="preserve"> The </w:t>
      </w:r>
      <w:r w:rsidRPr="00022216">
        <w:t xml:space="preserve">campaign </w:t>
      </w:r>
      <w:r>
        <w:t>aimed to inform</w:t>
      </w:r>
      <w:r w:rsidRPr="00022216">
        <w:t xml:space="preserve"> prospective homebuyers </w:t>
      </w:r>
      <w:r>
        <w:t xml:space="preserve">about </w:t>
      </w:r>
      <w:r w:rsidRPr="00022216">
        <w:t xml:space="preserve">their rights under </w:t>
      </w:r>
      <w:r>
        <w:t>the</w:t>
      </w:r>
      <w:r w:rsidRPr="00022216">
        <w:t xml:space="preserve"> </w:t>
      </w:r>
      <w:r>
        <w:t xml:space="preserve">amended Estate Agents Act. </w:t>
      </w:r>
      <w:r w:rsidR="00945670">
        <w:t xml:space="preserve"> </w:t>
      </w:r>
    </w:p>
    <w:p w14:paraId="2AEA0829" w14:textId="77777777" w:rsidR="00945670" w:rsidRDefault="00945670" w:rsidP="00945670">
      <w:pPr>
        <w:pStyle w:val="DJRbody"/>
      </w:pPr>
      <w:r>
        <w:t>The campaign complemented the education campaign previously delivered to agents and drew on research conducted by CAV in August 2017. The main call to action of the campaign was for buyers to check the Statement of Information to help them to work out the likely selling price for a property for sale.</w:t>
      </w:r>
    </w:p>
    <w:p w14:paraId="6F47E169" w14:textId="3B6B46EE" w:rsidR="00945670" w:rsidRDefault="00945670" w:rsidP="00945670">
      <w:pPr>
        <w:pStyle w:val="DJRbody"/>
      </w:pPr>
      <w:r>
        <w:t>The campaign ran from 1 October to 20 December 2017</w:t>
      </w:r>
      <w:r w:rsidR="00895518">
        <w:t>, and 1 to 28 February 2018,</w:t>
      </w:r>
      <w:r>
        <w:t xml:space="preserve"> and included:</w:t>
      </w:r>
    </w:p>
    <w:p w14:paraId="339F7527" w14:textId="5E45AEA7" w:rsidR="00945670" w:rsidRDefault="00945670" w:rsidP="00945670">
      <w:pPr>
        <w:pStyle w:val="DJRbullet1"/>
      </w:pPr>
      <w:r>
        <w:t xml:space="preserve">Information for culturally and linguistically diverse (CALD) stakeholders, including Chinese </w:t>
      </w:r>
      <w:r w:rsidR="00122DDC">
        <w:t>(</w:t>
      </w:r>
      <w:r>
        <w:t>traditional</w:t>
      </w:r>
      <w:r w:rsidR="00122DDC">
        <w:t>)</w:t>
      </w:r>
      <w:r>
        <w:t>, Arabic, Burmese, Vietnamese, Karen and Hindi</w:t>
      </w:r>
    </w:p>
    <w:p w14:paraId="075E2453" w14:textId="77777777" w:rsidR="00945670" w:rsidRDefault="00945670" w:rsidP="00945670">
      <w:pPr>
        <w:pStyle w:val="DJRbullet2"/>
      </w:pPr>
      <w:r>
        <w:t>83 CALD stakeholders including local councils received information via the Victorian Multicultural Commission</w:t>
      </w:r>
    </w:p>
    <w:p w14:paraId="41A43EBF" w14:textId="04838FA4" w:rsidR="00945670" w:rsidRPr="0033111C" w:rsidRDefault="00945670" w:rsidP="00945670">
      <w:pPr>
        <w:pStyle w:val="DJRbullet2"/>
      </w:pPr>
      <w:r w:rsidRPr="0033111C">
        <w:t>CALD inf</w:t>
      </w:r>
      <w:r w:rsidR="00CE2DD6">
        <w:t>ormation sent to estate agents.</w:t>
      </w:r>
    </w:p>
    <w:p w14:paraId="550800E0" w14:textId="462A3FF9" w:rsidR="00945670" w:rsidRDefault="00945670" w:rsidP="00945670">
      <w:pPr>
        <w:pStyle w:val="DJRbullet1"/>
      </w:pPr>
      <w:r>
        <w:t>Radio advertising which reached an audience of approximately 450,000 by the end of the campaign period</w:t>
      </w:r>
      <w:r w:rsidR="00CE2DD6">
        <w:t>.</w:t>
      </w:r>
    </w:p>
    <w:p w14:paraId="2F1662E6" w14:textId="77777777" w:rsidR="00945670" w:rsidRDefault="00945670" w:rsidP="00945670">
      <w:pPr>
        <w:pStyle w:val="DJRbullet1"/>
      </w:pPr>
      <w:r>
        <w:t>Use of social media platforms</w:t>
      </w:r>
    </w:p>
    <w:p w14:paraId="08DCDD03" w14:textId="77777777" w:rsidR="00945670" w:rsidRDefault="00945670" w:rsidP="00945670">
      <w:pPr>
        <w:pStyle w:val="DJRbullet2"/>
      </w:pPr>
      <w:r>
        <w:t>articles on realestate.com.au (reach of 888,000 users and 31,000 views of articles)</w:t>
      </w:r>
    </w:p>
    <w:p w14:paraId="1C176C32" w14:textId="7E98D0C0" w:rsidR="00945670" w:rsidRDefault="00122DDC" w:rsidP="00945670">
      <w:pPr>
        <w:pStyle w:val="DJRbullet2"/>
      </w:pPr>
      <w:r>
        <w:t>on-line</w:t>
      </w:r>
      <w:r w:rsidR="00945670">
        <w:t xml:space="preserve"> video - videos were created in conjunction with realestate.com.au and were promoted via their extensive network</w:t>
      </w:r>
    </w:p>
    <w:p w14:paraId="499E852B" w14:textId="77777777" w:rsidR="00945670" w:rsidRDefault="00945670" w:rsidP="00945670">
      <w:pPr>
        <w:pStyle w:val="DJRbullet2"/>
      </w:pPr>
      <w:r>
        <w:t>in-stream video across desktop and mobile websites (134,107 video completions)</w:t>
      </w:r>
    </w:p>
    <w:p w14:paraId="616795A4" w14:textId="77777777" w:rsidR="00945670" w:rsidRDefault="00945670" w:rsidP="00945670">
      <w:pPr>
        <w:pStyle w:val="DJRbullet2"/>
      </w:pPr>
      <w:r>
        <w:t xml:space="preserve">Facebook (reach of 156,000 users) </w:t>
      </w:r>
    </w:p>
    <w:p w14:paraId="5DE4984E" w14:textId="77777777" w:rsidR="00945670" w:rsidRDefault="00945670" w:rsidP="00945670">
      <w:pPr>
        <w:pStyle w:val="DJRbullet2"/>
      </w:pPr>
      <w:r>
        <w:t>Twitter (reach of 546,393 users)</w:t>
      </w:r>
    </w:p>
    <w:p w14:paraId="25B3DF79" w14:textId="77777777" w:rsidR="00945670" w:rsidRDefault="00945670" w:rsidP="00945670">
      <w:pPr>
        <w:pStyle w:val="DJRbullet2"/>
      </w:pPr>
      <w:r>
        <w:t>paid Facebook posts including an animated video to build awareness of new underquoting laws to users within their news feed</w:t>
      </w:r>
    </w:p>
    <w:p w14:paraId="0090F775" w14:textId="77777777" w:rsidR="00945670" w:rsidRDefault="00945670" w:rsidP="00945670">
      <w:pPr>
        <w:pStyle w:val="DJRbullet2"/>
      </w:pPr>
      <w:r>
        <w:t>Google Pay Per Click advertising which aimed to reach users searching general real estate terms and users who were aware of the issue but want to know more (35,000 impressions).</w:t>
      </w:r>
    </w:p>
    <w:p w14:paraId="4D2360EA" w14:textId="142183A6" w:rsidR="00485F46" w:rsidRDefault="00485F46" w:rsidP="000C27C1">
      <w:pPr>
        <w:pStyle w:val="Heading3"/>
      </w:pPr>
      <w:bookmarkStart w:id="50" w:name="_Toc526846817"/>
      <w:bookmarkStart w:id="51" w:name="_Toc527370737"/>
      <w:r>
        <w:t xml:space="preserve">Accessible </w:t>
      </w:r>
      <w:r w:rsidR="00122DDC">
        <w:t>on-line</w:t>
      </w:r>
      <w:r>
        <w:t xml:space="preserve"> advice</w:t>
      </w:r>
      <w:bookmarkEnd w:id="50"/>
      <w:bookmarkEnd w:id="51"/>
    </w:p>
    <w:p w14:paraId="6149C7A0" w14:textId="451E3D97" w:rsidR="00485F46" w:rsidRDefault="001F061B" w:rsidP="00485F46">
      <w:pPr>
        <w:pStyle w:val="DJRbody"/>
      </w:pPr>
      <w:r>
        <w:fldChar w:fldCharType="begin"/>
      </w:r>
      <w:r>
        <w:instrText xml:space="preserve"> REF _Ref526947869 \h </w:instrText>
      </w:r>
      <w:r>
        <w:fldChar w:fldCharType="separate"/>
      </w:r>
      <w:r w:rsidR="00BF12F7">
        <w:t xml:space="preserve">Table </w:t>
      </w:r>
      <w:r w:rsidR="00BF12F7">
        <w:rPr>
          <w:noProof/>
        </w:rPr>
        <w:t>9</w:t>
      </w:r>
      <w:r>
        <w:fldChar w:fldCharType="end"/>
      </w:r>
      <w:r>
        <w:t xml:space="preserve"> </w:t>
      </w:r>
      <w:r w:rsidR="00895865">
        <w:t xml:space="preserve">sets out the </w:t>
      </w:r>
      <w:r w:rsidR="00D835AB">
        <w:t>minister</w:t>
      </w:r>
      <w:r w:rsidR="00895865">
        <w:t>’s second improvement statement under the compliance-related assistance and advice element, along with CAV’s response and progress towards completion of the improvement</w:t>
      </w:r>
      <w:r w:rsidR="00485F46">
        <w:t>.</w:t>
      </w:r>
    </w:p>
    <w:p w14:paraId="667C1E10" w14:textId="56E052DA" w:rsidR="00485F46" w:rsidRPr="00485F46" w:rsidRDefault="00485F46" w:rsidP="00F86C0E">
      <w:pPr>
        <w:pStyle w:val="TableLabel"/>
      </w:pPr>
      <w:bookmarkStart w:id="52" w:name="_Ref526947869"/>
      <w:r>
        <w:lastRenderedPageBreak/>
        <w:t xml:space="preserve">Table </w:t>
      </w:r>
      <w:r w:rsidR="00CC4AC8">
        <w:rPr>
          <w:noProof/>
        </w:rPr>
        <w:fldChar w:fldCharType="begin"/>
      </w:r>
      <w:r w:rsidR="00CC4AC8">
        <w:rPr>
          <w:noProof/>
        </w:rPr>
        <w:instrText xml:space="preserve"> SEQ Table \* ARABIC </w:instrText>
      </w:r>
      <w:r w:rsidR="00CC4AC8">
        <w:rPr>
          <w:noProof/>
        </w:rPr>
        <w:fldChar w:fldCharType="separate"/>
      </w:r>
      <w:r w:rsidR="00BF12F7">
        <w:rPr>
          <w:noProof/>
        </w:rPr>
        <w:t>9</w:t>
      </w:r>
      <w:r w:rsidR="00CC4AC8">
        <w:rPr>
          <w:noProof/>
        </w:rPr>
        <w:fldChar w:fldCharType="end"/>
      </w:r>
      <w:bookmarkEnd w:id="52"/>
      <w:r>
        <w:t>:</w:t>
      </w:r>
      <w:r>
        <w:tab/>
        <w:t>Regulator response to the SOE letter</w:t>
      </w:r>
      <w:r w:rsidR="00DA470D">
        <w:t xml:space="preserve"> – Accessible advice </w:t>
      </w:r>
      <w:r w:rsidR="00122DDC">
        <w:t>on-line</w:t>
      </w:r>
    </w:p>
    <w:tbl>
      <w:tblPr>
        <w:tblW w:w="4552"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095"/>
        <w:gridCol w:w="4512"/>
        <w:gridCol w:w="1674"/>
      </w:tblGrid>
      <w:tr w:rsidR="00485F46" w:rsidRPr="00BE3C3E" w14:paraId="6EF4DEEB" w14:textId="77777777" w:rsidTr="00A32534">
        <w:trPr>
          <w:tblHeader/>
        </w:trPr>
        <w:tc>
          <w:tcPr>
            <w:tcW w:w="1667" w:type="pct"/>
            <w:shd w:val="clear" w:color="auto" w:fill="16145F"/>
          </w:tcPr>
          <w:p w14:paraId="429A3CF4" w14:textId="77777777" w:rsidR="00485F46" w:rsidRPr="00BE3C3E" w:rsidRDefault="00485F46" w:rsidP="00F86C0E">
            <w:pPr>
              <w:pStyle w:val="TableHeader"/>
            </w:pPr>
            <w:r w:rsidRPr="00BE3C3E">
              <w:t>SOE Improvement Statement</w:t>
            </w:r>
          </w:p>
        </w:tc>
        <w:tc>
          <w:tcPr>
            <w:tcW w:w="2431" w:type="pct"/>
            <w:shd w:val="clear" w:color="auto" w:fill="16145F"/>
          </w:tcPr>
          <w:p w14:paraId="3221411F" w14:textId="77777777" w:rsidR="00485F46" w:rsidRPr="00BE3C3E" w:rsidRDefault="00485F46" w:rsidP="00F86C0E">
            <w:pPr>
              <w:pStyle w:val="TableHeader"/>
            </w:pPr>
            <w:r w:rsidRPr="00BE3C3E">
              <w:t>Regulator Response and actions from the 2017-19 SOE</w:t>
            </w:r>
          </w:p>
        </w:tc>
        <w:tc>
          <w:tcPr>
            <w:tcW w:w="902" w:type="pct"/>
            <w:shd w:val="clear" w:color="auto" w:fill="16145F"/>
          </w:tcPr>
          <w:p w14:paraId="40CC0BFE" w14:textId="77777777" w:rsidR="00485F46" w:rsidRPr="00BE3C3E" w:rsidRDefault="00485F46" w:rsidP="00F86C0E">
            <w:pPr>
              <w:pStyle w:val="TableHeader"/>
            </w:pPr>
            <w:r w:rsidRPr="00BE3C3E">
              <w:t>Progress</w:t>
            </w:r>
          </w:p>
        </w:tc>
      </w:tr>
      <w:tr w:rsidR="00485F46" w:rsidRPr="00F86C0E" w14:paraId="6171F5CF" w14:textId="77777777" w:rsidTr="00A32534">
        <w:tc>
          <w:tcPr>
            <w:tcW w:w="1667" w:type="pct"/>
            <w:shd w:val="clear" w:color="auto" w:fill="auto"/>
          </w:tcPr>
          <w:p w14:paraId="4318E0CC" w14:textId="3C000974" w:rsidR="00485F46" w:rsidRPr="00F86C0E" w:rsidRDefault="00485F46" w:rsidP="00F86C0E">
            <w:pPr>
              <w:pStyle w:val="TableText"/>
            </w:pPr>
            <w:r w:rsidRPr="00F86C0E">
              <w:t xml:space="preserve">Make </w:t>
            </w:r>
            <w:r w:rsidR="00122DDC">
              <w:t>on-line</w:t>
            </w:r>
            <w:r w:rsidRPr="00F86C0E">
              <w:t xml:space="preserve"> advice on regulatory requirements accessible to all regulated parties including businesses, advocates, landlords, tenants and consumers</w:t>
            </w:r>
          </w:p>
        </w:tc>
        <w:tc>
          <w:tcPr>
            <w:tcW w:w="2431" w:type="pct"/>
            <w:shd w:val="clear" w:color="auto" w:fill="auto"/>
          </w:tcPr>
          <w:p w14:paraId="2C74BCAA" w14:textId="32825C61" w:rsidR="00E245B3" w:rsidRPr="00F86C0E" w:rsidRDefault="00E245B3" w:rsidP="00F86C0E">
            <w:pPr>
              <w:pStyle w:val="TableText"/>
            </w:pPr>
            <w:r w:rsidRPr="00F86C0E">
              <w:t>CAV’s digital first approach will continue through the work on designing a responsive website as a way to engage and enable Victorian businesses and consumers to access easy to understand information on a range of devices and platforms.</w:t>
            </w:r>
            <w:r w:rsidR="0069182A">
              <w:t xml:space="preserve"> </w:t>
            </w:r>
            <w:r w:rsidRPr="00F86C0E">
              <w:t>This will promote a seamless experience on desktop, tablets and mobile.</w:t>
            </w:r>
          </w:p>
          <w:p w14:paraId="15769556" w14:textId="77777777" w:rsidR="00E245B3" w:rsidRPr="00F86C0E" w:rsidRDefault="00E245B3" w:rsidP="00F86C0E">
            <w:pPr>
              <w:pStyle w:val="TableText"/>
            </w:pPr>
            <w:r w:rsidRPr="00F86C0E">
              <w:t>In addition to the written content, the use of video, icons and other visual tools will assist consumers to understand their rights and responsibilities, and businesses to understand what they have to do to comply with the law.</w:t>
            </w:r>
          </w:p>
          <w:p w14:paraId="014BB3FA" w14:textId="77777777" w:rsidR="00485F46" w:rsidRPr="00F86C0E" w:rsidRDefault="00E245B3" w:rsidP="00F86C0E">
            <w:pPr>
              <w:pStyle w:val="TableText"/>
            </w:pPr>
            <w:r w:rsidRPr="00F86C0E">
              <w:t xml:space="preserve">The website will provide assistance in languages other than English, and options for those with low literacy, learning disabilities and visual impairment. </w:t>
            </w:r>
          </w:p>
        </w:tc>
        <w:tc>
          <w:tcPr>
            <w:tcW w:w="902" w:type="pct"/>
            <w:shd w:val="clear" w:color="auto" w:fill="auto"/>
          </w:tcPr>
          <w:p w14:paraId="504425FB" w14:textId="77777777" w:rsidR="00485F46" w:rsidRPr="00F86C0E" w:rsidRDefault="00485F46" w:rsidP="00F86C0E">
            <w:pPr>
              <w:pStyle w:val="TableText"/>
            </w:pPr>
            <w:r w:rsidRPr="00F86C0E">
              <w:t>Complete – continual improvement business as usual</w:t>
            </w:r>
          </w:p>
        </w:tc>
      </w:tr>
    </w:tbl>
    <w:p w14:paraId="6BEFF384" w14:textId="1478D2F5" w:rsidR="00485F46" w:rsidRDefault="00485F46" w:rsidP="000C27C1">
      <w:pPr>
        <w:pStyle w:val="DJRbodyaftertablefigure"/>
      </w:pPr>
      <w:r w:rsidRPr="00E35B0C">
        <w:t xml:space="preserve">CAV’s digital first approach </w:t>
      </w:r>
      <w:r>
        <w:t xml:space="preserve">includes </w:t>
      </w:r>
      <w:r w:rsidRPr="00E35B0C">
        <w:t xml:space="preserve">designing a responsive website as a way to enable Victorian businesses and consumers to access easy to understand information on a range of devices and platforms. In addition to the written content, the use of video, icons and other visual tools will </w:t>
      </w:r>
      <w:r>
        <w:t xml:space="preserve">be included to </w:t>
      </w:r>
      <w:r w:rsidRPr="00E35B0C">
        <w:t>assist consumers to understand their rights and responsibilities, and businesses to understand what they have to do to comply with the law.</w:t>
      </w:r>
    </w:p>
    <w:p w14:paraId="3A023842" w14:textId="09CD1350" w:rsidR="00471EBE" w:rsidRDefault="00D536BD" w:rsidP="00471EBE">
      <w:pPr>
        <w:pStyle w:val="Heading4"/>
      </w:pPr>
      <w:r>
        <w:t>Enhanced CAV</w:t>
      </w:r>
      <w:r w:rsidR="00471EBE">
        <w:t xml:space="preserve"> website</w:t>
      </w:r>
    </w:p>
    <w:p w14:paraId="37A1C36F" w14:textId="324A3228" w:rsidR="00D536BD" w:rsidRDefault="00D536BD" w:rsidP="00D536BD">
      <w:pPr>
        <w:pStyle w:val="DJRbody"/>
        <w:rPr>
          <w:rFonts w:ascii="Times New Roman" w:hAnsi="Times New Roman"/>
        </w:rPr>
      </w:pPr>
      <w:r>
        <w:t xml:space="preserve">CAV launched an improved website in </w:t>
      </w:r>
      <w:r w:rsidRPr="00A4453F">
        <w:t xml:space="preserve">June 2017 </w:t>
      </w:r>
      <w:r>
        <w:t>that</w:t>
      </w:r>
      <w:r w:rsidRPr="00A4453F">
        <w:t xml:space="preserve"> is responsive to mobile </w:t>
      </w:r>
      <w:r>
        <w:t>device</w:t>
      </w:r>
      <w:r w:rsidRPr="00A4453F">
        <w:t xml:space="preserve"> users, has improved functionality and streamlined menus</w:t>
      </w:r>
      <w:r>
        <w:t xml:space="preserve">. Enhancements include more advanced search features to help direct users to the correct content more quickly. </w:t>
      </w:r>
    </w:p>
    <w:p w14:paraId="53D34DC4" w14:textId="77777777" w:rsidR="00D536BD" w:rsidRDefault="00D536BD" w:rsidP="00D536BD">
      <w:pPr>
        <w:pStyle w:val="DJRbody"/>
      </w:pPr>
      <w:r w:rsidRPr="00E35B0C">
        <w:t>The website provide</w:t>
      </w:r>
      <w:r>
        <w:t>s</w:t>
      </w:r>
      <w:r w:rsidRPr="00E35B0C">
        <w:t xml:space="preserve"> </w:t>
      </w:r>
      <w:r>
        <w:t xml:space="preserve">improved </w:t>
      </w:r>
      <w:r w:rsidRPr="00E35B0C">
        <w:t xml:space="preserve">assistance in languages other than English, and options for </w:t>
      </w:r>
      <w:r>
        <w:t>easy English</w:t>
      </w:r>
      <w:r w:rsidRPr="00E35B0C">
        <w:t>.</w:t>
      </w:r>
      <w:r>
        <w:t xml:space="preserve"> The </w:t>
      </w:r>
      <w:proofErr w:type="spellStart"/>
      <w:r w:rsidRPr="00641FDF">
        <w:t>Read</w:t>
      </w:r>
      <w:r>
        <w:t>S</w:t>
      </w:r>
      <w:r w:rsidRPr="00641FDF">
        <w:t>peaker</w:t>
      </w:r>
      <w:proofErr w:type="spellEnd"/>
      <w:r>
        <w:t xml:space="preserve"> tool</w:t>
      </w:r>
      <w:r w:rsidRPr="00641FDF">
        <w:t>, a text-to-speech tool whic</w:t>
      </w:r>
      <w:r>
        <w:t xml:space="preserve">h reads information on the page, has been incorporated into the website, as well as </w:t>
      </w:r>
      <w:r w:rsidRPr="00641FDF">
        <w:t xml:space="preserve">a notification area to communicate urgent matters such as public warnings, product safety concerns, court </w:t>
      </w:r>
      <w:r>
        <w:t xml:space="preserve">outcomes or legislation changes. </w:t>
      </w:r>
    </w:p>
    <w:p w14:paraId="6C5B4D3D" w14:textId="77777777" w:rsidR="00D536BD" w:rsidRDefault="00D536BD" w:rsidP="00D536BD">
      <w:pPr>
        <w:pStyle w:val="DJRbody"/>
      </w:pPr>
      <w:r>
        <w:t xml:space="preserve">From 1 July 2017 to 31 January 2018, some of the key pages where the </w:t>
      </w:r>
      <w:proofErr w:type="spellStart"/>
      <w:r>
        <w:t>ReadSpeaker</w:t>
      </w:r>
      <w:proofErr w:type="spellEnd"/>
      <w:r>
        <w:t xml:space="preserve"> tool was used include:</w:t>
      </w:r>
      <w:r w:rsidRPr="00376383">
        <w:t xml:space="preserve"> </w:t>
      </w:r>
    </w:p>
    <w:p w14:paraId="05AF12BA" w14:textId="77777777" w:rsidR="00D536BD" w:rsidRDefault="00D536BD" w:rsidP="00D536BD">
      <w:pPr>
        <w:pStyle w:val="DJRbullet1"/>
      </w:pPr>
      <w:r w:rsidRPr="00361604">
        <w:t xml:space="preserve">Your renting rights </w:t>
      </w:r>
      <w:r>
        <w:t>–</w:t>
      </w:r>
      <w:r w:rsidRPr="00361604">
        <w:t xml:space="preserve"> Hindi</w:t>
      </w:r>
      <w:r>
        <w:t xml:space="preserve"> </w:t>
      </w:r>
    </w:p>
    <w:p w14:paraId="286E1CE6" w14:textId="77777777" w:rsidR="00D536BD" w:rsidRDefault="00D536BD" w:rsidP="00D536BD">
      <w:pPr>
        <w:pStyle w:val="DJRbullet1"/>
      </w:pPr>
      <w:r w:rsidRPr="00361604">
        <w:t>Releasing or claiming the bond – landlords and owners</w:t>
      </w:r>
      <w:r>
        <w:t xml:space="preserve"> </w:t>
      </w:r>
    </w:p>
    <w:p w14:paraId="2357674B" w14:textId="77777777" w:rsidR="00D536BD" w:rsidRDefault="00D536BD" w:rsidP="00D536BD">
      <w:pPr>
        <w:pStyle w:val="DJRbullet1"/>
      </w:pPr>
      <w:r w:rsidRPr="00361604">
        <w:t>Resolve your problem or complaint</w:t>
      </w:r>
      <w:r>
        <w:t xml:space="preserve"> </w:t>
      </w:r>
    </w:p>
    <w:p w14:paraId="6B226383" w14:textId="77777777" w:rsidR="00D536BD" w:rsidRDefault="00D536BD" w:rsidP="00D536BD">
      <w:pPr>
        <w:pStyle w:val="DJRbullet1"/>
      </w:pPr>
      <w:r w:rsidRPr="00361604">
        <w:t>Used car vehicle status check</w:t>
      </w:r>
      <w:r>
        <w:t>.</w:t>
      </w:r>
    </w:p>
    <w:p w14:paraId="21508C6E" w14:textId="77777777" w:rsidR="00D536BD" w:rsidRDefault="00D536BD" w:rsidP="00D536BD">
      <w:pPr>
        <w:pStyle w:val="DJRbodyafterbullets"/>
      </w:pPr>
      <w:r>
        <w:t>Page views of pages in other languages increased from 32,092 (1 July 2016-30 June 2017) to 55,414 (1 July 2017-30 June 2018). During this timeframe, newsletter subscribers increased from 17,668 to 19,540.</w:t>
      </w:r>
    </w:p>
    <w:p w14:paraId="2F08005C" w14:textId="61028DAE" w:rsidR="00471EBE" w:rsidRDefault="00471EBE" w:rsidP="00471EBE">
      <w:pPr>
        <w:pStyle w:val="Heading4"/>
      </w:pPr>
      <w:r>
        <w:t>Ongoing improvements</w:t>
      </w:r>
    </w:p>
    <w:p w14:paraId="346E9F7B" w14:textId="0BC1BA48" w:rsidR="00485F46" w:rsidRDefault="00485F46" w:rsidP="002F1DDC">
      <w:pPr>
        <w:pStyle w:val="DJRbody"/>
      </w:pPr>
      <w:r>
        <w:t>CAV is currently working on the ‘Contact us’ page</w:t>
      </w:r>
      <w:r w:rsidR="00D536BD">
        <w:t xml:space="preserve"> on its website</w:t>
      </w:r>
      <w:r>
        <w:t>. User feedback indicated that the complexity of the contact forms, and the number of different forms available to choose from, was creating confusion and frustration in users. The contact forms will be redesigned, consolidated, and will ask a series of question</w:t>
      </w:r>
      <w:r w:rsidR="00E47DC1">
        <w:t>s which will assist in targeting complaints</w:t>
      </w:r>
      <w:r>
        <w:t>.</w:t>
      </w:r>
      <w:r w:rsidR="002F1DDC">
        <w:t xml:space="preserve"> </w:t>
      </w:r>
      <w:r>
        <w:t xml:space="preserve">Work </w:t>
      </w:r>
      <w:proofErr w:type="gramStart"/>
      <w:r>
        <w:t>is also being undertaken</w:t>
      </w:r>
      <w:proofErr w:type="gramEnd"/>
      <w:r>
        <w:t xml:space="preserve"> on decision tree functionality </w:t>
      </w:r>
      <w:r w:rsidR="00CF491C">
        <w:t>that</w:t>
      </w:r>
      <w:r>
        <w:t xml:space="preserve"> will provide tailored content for users by asking a series of questions related to a particular subject matter, such as giving notice to vacate.</w:t>
      </w:r>
      <w:r>
        <w:br w:type="page"/>
      </w:r>
    </w:p>
    <w:p w14:paraId="1FC3DC8A" w14:textId="4A6B87AD" w:rsidR="007D6AC6" w:rsidRDefault="006160EE" w:rsidP="007D6AC6">
      <w:pPr>
        <w:pStyle w:val="Heading2"/>
      </w:pPr>
      <w:bookmarkStart w:id="53" w:name="_Toc531093440"/>
      <w:bookmarkStart w:id="54" w:name="_Toc533678786"/>
      <w:r>
        <w:lastRenderedPageBreak/>
        <w:t>Assessment of regulator performance against SOE targets</w:t>
      </w:r>
      <w:bookmarkEnd w:id="53"/>
      <w:bookmarkEnd w:id="54"/>
    </w:p>
    <w:p w14:paraId="6202E30A" w14:textId="086889F4" w:rsidR="00D536BD" w:rsidRDefault="00D536BD" w:rsidP="00D536BD">
      <w:pPr>
        <w:pStyle w:val="DJRbody"/>
      </w:pPr>
      <w:r>
        <w:t>A number of i</w:t>
      </w:r>
      <w:r w:rsidRPr="001C1E5E">
        <w:t>mprovements and targets established in the SOE letter are not due for completion until 30</w:t>
      </w:r>
      <w:r>
        <w:t xml:space="preserve"> </w:t>
      </w:r>
      <w:r w:rsidRPr="001C1E5E">
        <w:t>June 2019</w:t>
      </w:r>
      <w:r>
        <w:t xml:space="preserve">, so </w:t>
      </w:r>
      <w:r w:rsidRPr="006B43FD">
        <w:t>a full post-implementation evaluation</w:t>
      </w:r>
      <w:r>
        <w:t xml:space="preserve"> of these initiatives has not been possible</w:t>
      </w:r>
      <w:r w:rsidRPr="001C1E5E">
        <w:t>. The projects are progressing on track and SOE reporting requirements have been met, through the Residential Tenancies Bond Authority’s Annual Report and the CAV Annual Report.</w:t>
      </w:r>
    </w:p>
    <w:p w14:paraId="7242670D" w14:textId="588ADB1E" w:rsidR="00D536BD" w:rsidRDefault="00D536BD" w:rsidP="00D536BD">
      <w:pPr>
        <w:pStyle w:val="DJRbody"/>
      </w:pPr>
      <w:r>
        <w:t>The evaluation finds that, at the time of this report, the CAV initiatives</w:t>
      </w:r>
      <w:r w:rsidRPr="006B43FD">
        <w:t xml:space="preserve"> are </w:t>
      </w:r>
      <w:r>
        <w:t xml:space="preserve">either complete or are </w:t>
      </w:r>
      <w:r w:rsidRPr="006B43FD">
        <w:t xml:space="preserve">on schedule for delivery within the timeframes of the SOE, and </w:t>
      </w:r>
      <w:r>
        <w:t xml:space="preserve">when complete </w:t>
      </w:r>
      <w:r w:rsidRPr="006B43FD">
        <w:t>will meet the characteristics of best practice under each regulatory element.</w:t>
      </w:r>
      <w:r>
        <w:t xml:space="preserve"> The details of each initiative are set out in section 3.3.</w:t>
      </w:r>
    </w:p>
    <w:p w14:paraId="3D3978F3" w14:textId="60E1E21C" w:rsidR="00D536BD" w:rsidRDefault="00D536BD" w:rsidP="00D536BD">
      <w:pPr>
        <w:pStyle w:val="Heading4"/>
      </w:pPr>
      <w:r>
        <w:t>Timeliness element</w:t>
      </w:r>
    </w:p>
    <w:p w14:paraId="3345531E" w14:textId="77777777" w:rsidR="00D536BD" w:rsidRDefault="00D536BD" w:rsidP="00D536BD">
      <w:pPr>
        <w:pStyle w:val="DJRbullet1"/>
      </w:pPr>
      <w:r>
        <w:t xml:space="preserve">The </w:t>
      </w:r>
      <w:proofErr w:type="spellStart"/>
      <w:r>
        <w:t>myCAV</w:t>
      </w:r>
      <w:proofErr w:type="spellEnd"/>
      <w:r>
        <w:t xml:space="preserve"> system is fulfilling the characteristics of best practice as set out in the SOE Framework.</w:t>
      </w:r>
    </w:p>
    <w:p w14:paraId="0592855C" w14:textId="77777777" w:rsidR="00D536BD" w:rsidRDefault="00D536BD" w:rsidP="00D536BD">
      <w:pPr>
        <w:pStyle w:val="DJRbullet1"/>
      </w:pPr>
      <w:r>
        <w:t xml:space="preserve">CAV continues to improve the RTBA’s electronic systems to make it easier to submit forms. The uptake in usage demonstrates electronic usage is preferred. </w:t>
      </w:r>
    </w:p>
    <w:p w14:paraId="6112DDA2" w14:textId="37A36E00" w:rsidR="00D536BD" w:rsidRDefault="00D536BD" w:rsidP="00D536BD">
      <w:pPr>
        <w:pStyle w:val="DJRbullet1"/>
      </w:pPr>
      <w:r>
        <w:t>Changes to consumer legislation and an MOU with the ACNC led to significant savings and efficiency benefits for incorporated associations.</w:t>
      </w:r>
      <w:r w:rsidR="00B10197">
        <w:t xml:space="preserve"> CAV is considering changes for fundraisers registered with ACNC.</w:t>
      </w:r>
    </w:p>
    <w:p w14:paraId="10FBAE39" w14:textId="77777777" w:rsidR="00D536BD" w:rsidRDefault="00D536BD" w:rsidP="00D536BD">
      <w:pPr>
        <w:pStyle w:val="Heading4"/>
      </w:pPr>
      <w:r>
        <w:t>Risk-based strategies element</w:t>
      </w:r>
    </w:p>
    <w:p w14:paraId="22578AAA" w14:textId="77777777" w:rsidR="00D536BD" w:rsidRDefault="00D536BD" w:rsidP="00D536BD">
      <w:pPr>
        <w:pStyle w:val="DJRbody"/>
      </w:pPr>
      <w:r>
        <w:t>The CAV Compliance Operating Model has been established and CAV continues to focus on intelligence gathering and sharing, and ensuring that risk is central to its decision making. CAV describes itself as an “intelligence-led, risk-based and outcome-focussed” regulator. The CAV Compliance Operating Model enables CAV to be more responsive by managing risks in a new way, and using risk based information to inform operational processes and investigation targets.</w:t>
      </w:r>
    </w:p>
    <w:p w14:paraId="136F59F4" w14:textId="77777777" w:rsidR="00D536BD" w:rsidRDefault="00D536BD" w:rsidP="00D536BD">
      <w:pPr>
        <w:pStyle w:val="Heading4"/>
      </w:pPr>
      <w:r>
        <w:t>Compliance-related assistance and advice element</w:t>
      </w:r>
    </w:p>
    <w:p w14:paraId="31DA8FFA" w14:textId="77777777" w:rsidR="00D536BD" w:rsidRPr="003C7A02" w:rsidRDefault="00D536BD" w:rsidP="00D536BD">
      <w:pPr>
        <w:pStyle w:val="DJRbody"/>
        <w:rPr>
          <w:i/>
        </w:rPr>
      </w:pPr>
      <w:r w:rsidRPr="003C7A02">
        <w:rPr>
          <w:i/>
        </w:rPr>
        <w:t>Underquoting</w:t>
      </w:r>
    </w:p>
    <w:p w14:paraId="28D2355A" w14:textId="77777777" w:rsidR="00D536BD" w:rsidRDefault="00D536BD" w:rsidP="00D536BD">
      <w:pPr>
        <w:pStyle w:val="DJRbody"/>
      </w:pPr>
      <w:r>
        <w:t xml:space="preserve">The education program on underquoting was comprehensive and widely distributed, both to agents and the community. </w:t>
      </w:r>
    </w:p>
    <w:p w14:paraId="235574C5" w14:textId="195AD6F6" w:rsidR="00D536BD" w:rsidRDefault="00D536BD" w:rsidP="00D536BD">
      <w:pPr>
        <w:pStyle w:val="DJRbody"/>
      </w:pPr>
      <w:r>
        <w:t xml:space="preserve">The </w:t>
      </w:r>
      <w:proofErr w:type="gramStart"/>
      <w:r>
        <w:t>agents</w:t>
      </w:r>
      <w:proofErr w:type="gramEnd"/>
      <w:r>
        <w:t xml:space="preserve"> campaign was completed prior to the commencement of the SOE, but</w:t>
      </w:r>
      <w:r w:rsidRPr="00C1778B">
        <w:t xml:space="preserve"> </w:t>
      </w:r>
      <w:r>
        <w:t>CAV continues to monitor agents</w:t>
      </w:r>
      <w:r w:rsidR="00122DDC">
        <w:t>’</w:t>
      </w:r>
      <w:r>
        <w:t xml:space="preserve"> understanding of their </w:t>
      </w:r>
      <w:r w:rsidRPr="00BE3C3E">
        <w:t>obligations under the legislation concerning underquoting</w:t>
      </w:r>
      <w:r>
        <w:t>, including whether they are listing comparable properties in the Statement of Information.</w:t>
      </w:r>
    </w:p>
    <w:p w14:paraId="206D7073" w14:textId="77777777" w:rsidR="00D536BD" w:rsidRDefault="00D536BD" w:rsidP="00D536BD">
      <w:pPr>
        <w:pStyle w:val="DJRbody"/>
      </w:pPr>
      <w:r>
        <w:t>CAV continues to educate agents and explore additional means of targeting consumers, such as media launches, the use of both organic and paid digital tactics and the use of targeted social media. CAV will also build on its collaboration with REIV to reach additional stakeholders.</w:t>
      </w:r>
    </w:p>
    <w:p w14:paraId="217FBF2D" w14:textId="4906CC9A" w:rsidR="00D536BD" w:rsidRDefault="00D536BD" w:rsidP="00D536BD">
      <w:pPr>
        <w:pStyle w:val="DJRbody"/>
        <w:rPr>
          <w:i/>
        </w:rPr>
      </w:pPr>
      <w:r>
        <w:rPr>
          <w:i/>
        </w:rPr>
        <w:t xml:space="preserve">Accessible </w:t>
      </w:r>
      <w:r w:rsidR="00122DDC">
        <w:rPr>
          <w:i/>
        </w:rPr>
        <w:t>on-line</w:t>
      </w:r>
      <w:r>
        <w:rPr>
          <w:i/>
        </w:rPr>
        <w:t xml:space="preserve"> advice</w:t>
      </w:r>
    </w:p>
    <w:p w14:paraId="3CD5DB31" w14:textId="77777777" w:rsidR="00D536BD" w:rsidRPr="00A4453F" w:rsidRDefault="00D536BD" w:rsidP="00D536BD">
      <w:pPr>
        <w:pStyle w:val="DJRbody"/>
        <w:rPr>
          <w:rFonts w:ascii="Times New Roman" w:hAnsi="Times New Roman"/>
        </w:rPr>
      </w:pPr>
      <w:r>
        <w:t>The new CAV website has meant that content is easier to find and search functions have improved. The website is more accessible for users of mobile devices.</w:t>
      </w:r>
    </w:p>
    <w:p w14:paraId="7346C954" w14:textId="77777777" w:rsidR="00D536BD" w:rsidRDefault="00D536BD" w:rsidP="00D536BD">
      <w:pPr>
        <w:pStyle w:val="DJRbody"/>
        <w:rPr>
          <w:rFonts w:ascii="Times New Roman" w:hAnsi="Times New Roman"/>
        </w:rPr>
      </w:pPr>
      <w:r>
        <w:t xml:space="preserve">CAV </w:t>
      </w:r>
      <w:r w:rsidRPr="00A4453F">
        <w:t>has an extensive web analytics framework to track c</w:t>
      </w:r>
      <w:r>
        <w:t>hanges in usage and performance, and u</w:t>
      </w:r>
      <w:r w:rsidRPr="00A4453F">
        <w:t xml:space="preserve">ser and accessibility </w:t>
      </w:r>
      <w:r>
        <w:t>testing occurred</w:t>
      </w:r>
      <w:r w:rsidRPr="00A4453F">
        <w:t xml:space="preserve"> extensively throughout its design and development. </w:t>
      </w:r>
      <w:r>
        <w:t xml:space="preserve">As well as external stakeholders, CAV also held training sessions internally with team leaders across the business, who tested the website and made suggestions for improvements. </w:t>
      </w:r>
      <w:r w:rsidRPr="00A4453F">
        <w:t xml:space="preserve">CAV continues to conduct user testing </w:t>
      </w:r>
      <w:r>
        <w:t xml:space="preserve">(and accessibility testing as required) </w:t>
      </w:r>
      <w:r w:rsidRPr="00A4453F">
        <w:t xml:space="preserve">to </w:t>
      </w:r>
      <w:r>
        <w:t>improve</w:t>
      </w:r>
      <w:r w:rsidRPr="00A4453F">
        <w:t xml:space="preserve"> standards.</w:t>
      </w:r>
      <w:r w:rsidRPr="00A4453F">
        <w:rPr>
          <w:rFonts w:ascii="Times New Roman" w:hAnsi="Times New Roman"/>
        </w:rPr>
        <w:t xml:space="preserve"> </w:t>
      </w:r>
    </w:p>
    <w:p w14:paraId="4A9761DE" w14:textId="52D53624" w:rsidR="007A26FA" w:rsidRDefault="00D536BD" w:rsidP="00D536BD">
      <w:pPr>
        <w:pStyle w:val="DJRbody"/>
      </w:pPr>
      <w:r w:rsidRPr="00E47DC1">
        <w:t xml:space="preserve">CAV has completed the initiatives set out in its response to the </w:t>
      </w:r>
      <w:r>
        <w:t>minister</w:t>
      </w:r>
      <w:r w:rsidRPr="00E47DC1">
        <w:t>, and continues to make improvements to its website to enable easier and faster access to information.</w:t>
      </w:r>
      <w:r w:rsidR="007A26FA">
        <w:br w:type="page"/>
      </w:r>
    </w:p>
    <w:p w14:paraId="03F8F454" w14:textId="00C1F437" w:rsidR="002E2ABA" w:rsidRDefault="002E2ABA" w:rsidP="007A26FA">
      <w:pPr>
        <w:pStyle w:val="Heading1"/>
      </w:pPr>
      <w:bookmarkStart w:id="55" w:name="_Toc533678787"/>
      <w:r>
        <w:lastRenderedPageBreak/>
        <w:t>Lessons Learned</w:t>
      </w:r>
      <w:bookmarkEnd w:id="55"/>
    </w:p>
    <w:p w14:paraId="6E69CA7B" w14:textId="178732D3" w:rsidR="002E2ABA" w:rsidRDefault="002E2ABA" w:rsidP="007A26FA">
      <w:pPr>
        <w:pStyle w:val="Heading2"/>
      </w:pPr>
      <w:bookmarkStart w:id="56" w:name="_Toc533678788"/>
      <w:r>
        <w:t>Interpretation of the SOE Framework</w:t>
      </w:r>
      <w:r w:rsidR="007D0C4D">
        <w:t xml:space="preserve"> and Guidelines</w:t>
      </w:r>
      <w:bookmarkEnd w:id="56"/>
    </w:p>
    <w:p w14:paraId="263F4560" w14:textId="4CC936E2" w:rsidR="007C3371" w:rsidRDefault="00101C34" w:rsidP="00101C34">
      <w:pPr>
        <w:pStyle w:val="DJRbody"/>
      </w:pPr>
      <w:r>
        <w:t xml:space="preserve">CAV </w:t>
      </w:r>
      <w:r w:rsidR="00D536BD">
        <w:t>was</w:t>
      </w:r>
      <w:r>
        <w:t xml:space="preserve"> concerned that potential future priority projects may not align with the mandatory performance targets, and that it might have difficulty in fulfilling these elements in the next SOE cycle. CAV suggested that the SOE Guidelines could in</w:t>
      </w:r>
      <w:r w:rsidR="00C73126">
        <w:t>clude a refresh of the elements</w:t>
      </w:r>
      <w:r w:rsidR="007C3371">
        <w:t xml:space="preserve">, potentially alternating the existing </w:t>
      </w:r>
      <w:r w:rsidR="007C3371">
        <w:rPr>
          <w:rFonts w:eastAsia="Arial"/>
        </w:rPr>
        <w:t>mandatory, recommended and suggested elements.</w:t>
      </w:r>
    </w:p>
    <w:p w14:paraId="5D915F93" w14:textId="77777777" w:rsidR="00101C34" w:rsidRPr="005A27E5" w:rsidRDefault="00101C34" w:rsidP="00101C34">
      <w:pPr>
        <w:pStyle w:val="DJRbody"/>
      </w:pPr>
      <w:r w:rsidRPr="005A27E5">
        <w:t xml:space="preserve">There appears to be </w:t>
      </w:r>
      <w:proofErr w:type="gramStart"/>
      <w:r w:rsidRPr="005A27E5">
        <w:t>a disconnect</w:t>
      </w:r>
      <w:proofErr w:type="gramEnd"/>
      <w:r w:rsidRPr="005A27E5">
        <w:t xml:space="preserve"> between how the mandatory element requirements of the SOE Framework are interpreted compared to the function of these elements as described by the Framework. As set out in the mandatory elements of the SOE Framework, best regulatory practice includes continuous improvement to the timeliness requirements of regulation, having risk-based regulatory outcomes and ensuring assistance and advice is effective and reduces the risk of non-compliance. </w:t>
      </w:r>
    </w:p>
    <w:p w14:paraId="2D0C6CC9" w14:textId="5F772A21" w:rsidR="00101C34" w:rsidRPr="00101C34" w:rsidRDefault="00101C34" w:rsidP="00101C34">
      <w:pPr>
        <w:pStyle w:val="DJRbody"/>
      </w:pPr>
      <w:r w:rsidRPr="005A27E5">
        <w:t>Regulators may have key reform projects that have a focus on the suggested elements of good regulatory practice in the SOE Framework, such as improving cooperation amongst regulators, or improving performance reporting. These projects, however, may have limited opportunity to improve in the areas set out in the mandatory elements, for example timeliness. As a result, regulators may select projects which, while not high on their regulatory reform agenda or in their strategic plan, demonstrate alignment with the mandatory areas for future SOEs. Over sequential SOEs, this methodology for selecting SOE project/targets may have diminishing capacity to deliver the most appropriate alignment of targets to the SOE Framework intention, or provide the most valuable regulator improvements</w:t>
      </w:r>
      <w:r w:rsidRPr="00101C34">
        <w:t xml:space="preserve">. Where this occurs, undertaking/repeating the regulator self-assessment to prepare a Good Regulatory Practice Plan, as outlined in the SOE Framework, can guide regulators in ranking and prioritising areas where there is the greatest opportunity for improvement. </w:t>
      </w:r>
    </w:p>
    <w:p w14:paraId="31BE5268" w14:textId="68F55779" w:rsidR="002E2ABA" w:rsidRDefault="002E2ABA" w:rsidP="002E2ABA">
      <w:pPr>
        <w:pStyle w:val="DJRbody"/>
      </w:pPr>
      <w:r>
        <w:t xml:space="preserve">DTF </w:t>
      </w:r>
      <w:r w:rsidR="00D536BD">
        <w:t xml:space="preserve">should provide guidance </w:t>
      </w:r>
      <w:r w:rsidRPr="00206F4A">
        <w:t xml:space="preserve">as to how </w:t>
      </w:r>
      <w:r w:rsidR="00D536BD">
        <w:t xml:space="preserve">regulators </w:t>
      </w:r>
      <w:r w:rsidRPr="00206F4A">
        <w:t>should proceed where they have projects that do not fit into the mandatory elements</w:t>
      </w:r>
      <w:r>
        <w:t xml:space="preserve"> but </w:t>
      </w:r>
      <w:r w:rsidRPr="00206F4A">
        <w:t>deliver improved regulatory processes</w:t>
      </w:r>
      <w:r>
        <w:t xml:space="preserve">, especially where those </w:t>
      </w:r>
      <w:r w:rsidR="00D536BD">
        <w:t>projects deliver on government priorities</w:t>
      </w:r>
      <w:r>
        <w:t xml:space="preserve">.  </w:t>
      </w:r>
    </w:p>
    <w:p w14:paraId="486AF20D" w14:textId="4E66E1AE" w:rsidR="007D0C4D" w:rsidRDefault="007D0C4D" w:rsidP="007D0C4D">
      <w:pPr>
        <w:pStyle w:val="DJRbody"/>
      </w:pPr>
      <w:r>
        <w:t>CAV also expressed concern around one of the key evaluation questions in the SOE Guidelines - “What difference did the SOE make towards achieving greater efficiency and effectiveness in the administration and enforcement of regulation”.</w:t>
      </w:r>
    </w:p>
    <w:p w14:paraId="31FAAA79" w14:textId="6934ADA0" w:rsidR="007D0C4D" w:rsidRDefault="007D0C4D" w:rsidP="007D0C4D">
      <w:pPr>
        <w:pStyle w:val="DJRbody"/>
        <w:rPr>
          <w:rFonts w:ascii="Helv" w:hAnsi="Helv" w:cs="Helv"/>
          <w:color w:val="000000"/>
          <w:lang w:eastAsia="en-AU"/>
        </w:rPr>
      </w:pPr>
      <w:r>
        <w:t>CAV, as a major regulator, is continually reviewing and improving regulatory practice and considers improving the administration and enforcement of regulation to be business as usual. In interviews</w:t>
      </w:r>
      <w:r w:rsidR="00D536BD">
        <w:t>,</w:t>
      </w:r>
      <w:r>
        <w:t xml:space="preserve"> </w:t>
      </w:r>
      <w:r w:rsidR="00D536BD">
        <w:t xml:space="preserve">senior CAV managers </w:t>
      </w:r>
      <w:r>
        <w:t xml:space="preserve">noted that </w:t>
      </w:r>
      <w:r>
        <w:rPr>
          <w:rFonts w:ascii="Helv" w:hAnsi="Helv" w:cs="Helv"/>
          <w:color w:val="000000"/>
          <w:lang w:eastAsia="en-AU"/>
        </w:rPr>
        <w:t xml:space="preserve">CAV would still be engaged in making regulatory improvements regardless of the SOE, and the SOE itself does not influence identification of initiatives or shaping/improving outcomes; it is not the function or effect of the SOE to affect greater efficiency and effectiveness. </w:t>
      </w:r>
    </w:p>
    <w:p w14:paraId="5BECB80F" w14:textId="681C33E0" w:rsidR="007D0C4D" w:rsidRDefault="007D0C4D" w:rsidP="007D0C4D">
      <w:pPr>
        <w:pStyle w:val="DJRbody"/>
      </w:pPr>
      <w:r>
        <w:t>CAV noted that some of the language and content in the SOE Framework and Guidelines could be improved. As part of this evaluation exercise, DTF should take the opportunity to review these documents to improve clarity.</w:t>
      </w:r>
    </w:p>
    <w:p w14:paraId="17EA2359" w14:textId="62F7D166" w:rsidR="002E2ABA" w:rsidRDefault="00B10197" w:rsidP="007A26FA">
      <w:pPr>
        <w:pStyle w:val="Heading2"/>
      </w:pPr>
      <w:bookmarkStart w:id="57" w:name="_Toc533678789"/>
      <w:proofErr w:type="spellStart"/>
      <w:r>
        <w:t>Flexiblity</w:t>
      </w:r>
      <w:proofErr w:type="spellEnd"/>
      <w:r>
        <w:t xml:space="preserve"> of Framework</w:t>
      </w:r>
      <w:bookmarkEnd w:id="57"/>
    </w:p>
    <w:p w14:paraId="70A2A884" w14:textId="4CF56BFD" w:rsidR="002E2ABA" w:rsidRDefault="002E2ABA" w:rsidP="002E2ABA">
      <w:pPr>
        <w:pStyle w:val="DJRbody"/>
      </w:pPr>
      <w:r>
        <w:t>CAV felt the SOE Framework should be designed to allow flexibility for regulators, whose regulatory responsibilities, powers, size and focus are all different. C</w:t>
      </w:r>
      <w:r w:rsidRPr="003D6ABF">
        <w:rPr>
          <w:rFonts w:eastAsia="Arial"/>
        </w:rPr>
        <w:t xml:space="preserve">AV’s regulatory responsibilities under </w:t>
      </w:r>
      <w:r w:rsidRPr="001F32D3">
        <w:rPr>
          <w:rFonts w:eastAsia="Arial"/>
        </w:rPr>
        <w:t>Australian Consumer Law</w:t>
      </w:r>
      <w:r w:rsidRPr="003D6ABF">
        <w:rPr>
          <w:rFonts w:eastAsia="Arial"/>
        </w:rPr>
        <w:t xml:space="preserve"> relate to enforcement of national regulation where policy is established by agreement between the Commonwealth and States. CAV’s other occupational licensing schemes are more direct and involve different powers and responsibilities for CAV</w:t>
      </w:r>
      <w:r>
        <w:rPr>
          <w:rFonts w:eastAsia="Arial"/>
        </w:rPr>
        <w:t>,</w:t>
      </w:r>
      <w:r w:rsidRPr="003D6ABF">
        <w:rPr>
          <w:rFonts w:eastAsia="Arial"/>
        </w:rPr>
        <w:t xml:space="preserve"> including variations on regulatory policy and enforcement responsibilities as well as </w:t>
      </w:r>
      <w:r w:rsidRPr="003D6ABF">
        <w:rPr>
          <w:rFonts w:eastAsia="Arial"/>
        </w:rPr>
        <w:lastRenderedPageBreak/>
        <w:t xml:space="preserve">involving co-regulators such as local government or Victoria Police. </w:t>
      </w:r>
      <w:r>
        <w:rPr>
          <w:rFonts w:eastAsia="Arial"/>
        </w:rPr>
        <w:t>CAV has the viewpoint that, given t</w:t>
      </w:r>
      <w:r w:rsidRPr="003D6ABF">
        <w:rPr>
          <w:rFonts w:eastAsia="Arial"/>
        </w:rPr>
        <w:t>he wide-ranging regulatory responsibilities of CAV</w:t>
      </w:r>
      <w:r>
        <w:rPr>
          <w:rFonts w:eastAsia="Arial"/>
        </w:rPr>
        <w:t>,</w:t>
      </w:r>
      <w:r w:rsidRPr="003D6ABF">
        <w:rPr>
          <w:rFonts w:eastAsia="Arial"/>
        </w:rPr>
        <w:t xml:space="preserve"> a </w:t>
      </w:r>
      <w:r>
        <w:rPr>
          <w:rFonts w:eastAsia="Arial"/>
        </w:rPr>
        <w:t>“</w:t>
      </w:r>
      <w:r w:rsidRPr="003D6ABF">
        <w:rPr>
          <w:rFonts w:eastAsia="Arial"/>
        </w:rPr>
        <w:t>one size fits all</w:t>
      </w:r>
      <w:r>
        <w:rPr>
          <w:rFonts w:eastAsia="Arial"/>
        </w:rPr>
        <w:t>”</w:t>
      </w:r>
      <w:r w:rsidRPr="003D6ABF">
        <w:rPr>
          <w:rFonts w:eastAsia="Arial"/>
        </w:rPr>
        <w:t xml:space="preserve"> view of regulatory best practice</w:t>
      </w:r>
      <w:r w:rsidR="00122DDC">
        <w:rPr>
          <w:rFonts w:eastAsia="Arial"/>
        </w:rPr>
        <w:t xml:space="preserve"> is</w:t>
      </w:r>
      <w:r w:rsidRPr="003D6ABF">
        <w:rPr>
          <w:rFonts w:eastAsia="Arial"/>
        </w:rPr>
        <w:t xml:space="preserve"> unsuitable in many cases</w:t>
      </w:r>
    </w:p>
    <w:p w14:paraId="11983FFB" w14:textId="13D15EF3" w:rsidR="002E2ABA" w:rsidRPr="00161A47" w:rsidRDefault="002E2ABA" w:rsidP="002E2ABA">
      <w:pPr>
        <w:pStyle w:val="DJRbody"/>
      </w:pPr>
      <w:r w:rsidRPr="00161A47">
        <w:t xml:space="preserve">Due to the differences in size and purpose of regulators, DTF should consider whether it may be necessary to tailor the SOE process to </w:t>
      </w:r>
      <w:r w:rsidR="00C85AA1">
        <w:t>take account of these differences</w:t>
      </w:r>
      <w:r w:rsidRPr="00161A47">
        <w:t xml:space="preserve">. </w:t>
      </w:r>
    </w:p>
    <w:p w14:paraId="327BBF65" w14:textId="77777777" w:rsidR="002E2ABA" w:rsidRDefault="002E2ABA" w:rsidP="007A26FA">
      <w:pPr>
        <w:pStyle w:val="Heading2"/>
      </w:pPr>
      <w:bookmarkStart w:id="58" w:name="_Toc533678790"/>
      <w:r>
        <w:t>Resourcing and Planning</w:t>
      </w:r>
      <w:bookmarkEnd w:id="58"/>
    </w:p>
    <w:p w14:paraId="7BB31603" w14:textId="003D6606" w:rsidR="00485F46" w:rsidRDefault="00485F46" w:rsidP="00485F46">
      <w:pPr>
        <w:pStyle w:val="DJRbody"/>
      </w:pPr>
      <w:r>
        <w:t xml:space="preserve">CAV has integrated the SOE process into its strategic planning processes, resulting in the smooth development of the SOE without creating an exceptional </w:t>
      </w:r>
      <w:r w:rsidR="007C3371">
        <w:t xml:space="preserve">additional </w:t>
      </w:r>
      <w:r>
        <w:t xml:space="preserve">workload. CAV’s approach is that the SOE process should not be an administrative burden added on to existing work, but rather be aligned to strategic intention. </w:t>
      </w:r>
    </w:p>
    <w:p w14:paraId="7C157FE5" w14:textId="77777777" w:rsidR="002E2ABA" w:rsidRDefault="002E2ABA" w:rsidP="002E2ABA">
      <w:pPr>
        <w:pStyle w:val="DJRbody"/>
      </w:pPr>
      <w:r>
        <w:t xml:space="preserve">If changes are being made to </w:t>
      </w:r>
      <w:r w:rsidRPr="00CD5A48">
        <w:t xml:space="preserve">the </w:t>
      </w:r>
      <w:r>
        <w:t xml:space="preserve">SOE Framework and SOE Guidelines, DTF needs to ensure regulators and departments are advised </w:t>
      </w:r>
      <w:r w:rsidRPr="00CD5A48">
        <w:t>as early as possible to allow enough time for regulators to work through the necessary steps</w:t>
      </w:r>
      <w:r>
        <w:t>, including internal strategic planning processes</w:t>
      </w:r>
      <w:r w:rsidRPr="00CD5A48">
        <w:t xml:space="preserve">. </w:t>
      </w:r>
    </w:p>
    <w:p w14:paraId="05D7A542" w14:textId="382ABAA9" w:rsidR="002E2ABA" w:rsidRDefault="002E2ABA" w:rsidP="00485F46">
      <w:pPr>
        <w:pStyle w:val="DJRbody"/>
      </w:pPr>
      <w:r>
        <w:t xml:space="preserve">The SOE Framework states “Evaluation of regulator’s performance by departments … ensures that post-implementation evaluation is meaningful and can be used to further improve the design and development of the next SOE”. The majority of projects reviewed for this evaluation were not due for completion until after the evaluation report was due. </w:t>
      </w:r>
    </w:p>
    <w:p w14:paraId="7E23D1CE" w14:textId="30C42917" w:rsidR="00013678" w:rsidRDefault="002E2ABA" w:rsidP="00013678">
      <w:pPr>
        <w:pStyle w:val="DJRbody"/>
      </w:pPr>
      <w:r>
        <w:t>C</w:t>
      </w:r>
      <w:r w:rsidR="00485F46">
        <w:t xml:space="preserve">AV noted it needs to ensure evaluation processes are developed </w:t>
      </w:r>
      <w:r w:rsidR="00485F46" w:rsidRPr="003D6ABF">
        <w:t xml:space="preserve">as part of the </w:t>
      </w:r>
      <w:r w:rsidR="00485F46">
        <w:t xml:space="preserve">project </w:t>
      </w:r>
      <w:r w:rsidR="00485F46" w:rsidRPr="003D6ABF">
        <w:t>planning process.</w:t>
      </w:r>
      <w:r w:rsidR="00485F46">
        <w:t xml:space="preserve"> This would improve the development of the SOE letter, SOE response and the end of project evaluation and subsequent reporting.</w:t>
      </w:r>
    </w:p>
    <w:p w14:paraId="7069334A" w14:textId="77777777" w:rsidR="002E2ABA" w:rsidRDefault="002E2ABA" w:rsidP="00013678">
      <w:pPr>
        <w:pStyle w:val="DJRbody"/>
        <w:rPr>
          <w:rFonts w:eastAsia="Arial"/>
        </w:rPr>
      </w:pPr>
    </w:p>
    <w:p w14:paraId="0F54B64D" w14:textId="33F315A6" w:rsidR="0032637B" w:rsidRDefault="0032637B"/>
    <w:p w14:paraId="2B6EFAF6" w14:textId="26794E74" w:rsidR="00F52631" w:rsidRDefault="00F52631">
      <w:pPr>
        <w:rPr>
          <w:rFonts w:ascii="Arial" w:eastAsia="Times" w:hAnsi="Arial"/>
          <w:sz w:val="22"/>
        </w:rPr>
      </w:pPr>
      <w:r>
        <w:br w:type="page"/>
      </w:r>
    </w:p>
    <w:p w14:paraId="5B9E67B6" w14:textId="77777777" w:rsidR="00F52631" w:rsidRDefault="00592609" w:rsidP="00576F81">
      <w:pPr>
        <w:pStyle w:val="AppendixHeading1"/>
        <w:rPr>
          <w:color w:val="16145F" w:themeColor="accent3"/>
        </w:rPr>
      </w:pPr>
      <w:bookmarkStart w:id="59" w:name="_Ref527547754"/>
      <w:bookmarkStart w:id="60" w:name="_Toc533678791"/>
      <w:r>
        <w:rPr>
          <w:color w:val="16145F" w:themeColor="accent3"/>
        </w:rPr>
        <w:lastRenderedPageBreak/>
        <w:t>Process evaluation methodology</w:t>
      </w:r>
      <w:bookmarkEnd w:id="59"/>
      <w:bookmarkEnd w:id="60"/>
    </w:p>
    <w:p w14:paraId="66DE136C" w14:textId="2325376D" w:rsidR="000C58C1" w:rsidRDefault="000C58C1" w:rsidP="000C58C1">
      <w:pPr>
        <w:pStyle w:val="DJRbody"/>
      </w:pPr>
      <w:r>
        <w:t>The SOE Guidelines provided a suggested data collection table for the SOE process evaluation. The key evaluation questions in this table were:</w:t>
      </w:r>
    </w:p>
    <w:p w14:paraId="2B4CE3F2" w14:textId="292F4A13" w:rsidR="000C58C1" w:rsidRDefault="000C58C1" w:rsidP="000C58C1">
      <w:pPr>
        <w:pStyle w:val="DJRbullet1"/>
      </w:pPr>
      <w:r>
        <w:t>How appropriate was the process for developing the SOE letter?</w:t>
      </w:r>
    </w:p>
    <w:p w14:paraId="38DD9F26" w14:textId="536494E5" w:rsidR="000C58C1" w:rsidRDefault="000C58C1" w:rsidP="000C58C1">
      <w:pPr>
        <w:pStyle w:val="DJRbullet1"/>
      </w:pPr>
      <w:r>
        <w:t xml:space="preserve">Did the regulator deliver the improvements and targets established in the SOE letter and regulator response on time and on </w:t>
      </w:r>
      <w:proofErr w:type="gramStart"/>
      <w:r>
        <w:t>budget.</w:t>
      </w:r>
      <w:proofErr w:type="gramEnd"/>
    </w:p>
    <w:p w14:paraId="3FD175BC" w14:textId="30DA57A2" w:rsidR="000C58C1" w:rsidRDefault="000C58C1" w:rsidP="000C58C1">
      <w:pPr>
        <w:pStyle w:val="DJRbodyafterbullets"/>
      </w:pPr>
      <w:r>
        <w:t>These over-arching questions guided the process questions and measures set out below.</w:t>
      </w:r>
    </w:p>
    <w:p w14:paraId="1A04731B" w14:textId="77777777" w:rsidR="00592609" w:rsidRPr="00592609" w:rsidRDefault="00592609" w:rsidP="00592609">
      <w:pPr>
        <w:pStyle w:val="Heading4"/>
      </w:pPr>
      <w:r>
        <w:t>Lesson learned questions</w:t>
      </w:r>
    </w:p>
    <w:tbl>
      <w:tblPr>
        <w:tblW w:w="455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342"/>
        <w:gridCol w:w="5941"/>
      </w:tblGrid>
      <w:tr w:rsidR="00F52631" w:rsidRPr="00334EED" w14:paraId="7BE0EDF5" w14:textId="77777777" w:rsidTr="00A32534">
        <w:trPr>
          <w:tblHeader/>
        </w:trPr>
        <w:tc>
          <w:tcPr>
            <w:tcW w:w="1800" w:type="pct"/>
            <w:shd w:val="clear" w:color="auto" w:fill="16145F"/>
          </w:tcPr>
          <w:p w14:paraId="37C08F5A" w14:textId="77777777" w:rsidR="00F52631" w:rsidRPr="00334EED" w:rsidRDefault="00F52631" w:rsidP="00F86C0E">
            <w:pPr>
              <w:pStyle w:val="TableHeader"/>
            </w:pPr>
            <w:r w:rsidRPr="00334EED">
              <w:t>Key Question</w:t>
            </w:r>
          </w:p>
        </w:tc>
        <w:tc>
          <w:tcPr>
            <w:tcW w:w="3200" w:type="pct"/>
            <w:shd w:val="clear" w:color="auto" w:fill="16145F"/>
          </w:tcPr>
          <w:p w14:paraId="7148408A" w14:textId="77777777" w:rsidR="00F52631" w:rsidRPr="00334EED" w:rsidRDefault="00F52631" w:rsidP="00F86C0E">
            <w:pPr>
              <w:pStyle w:val="TableHeader"/>
            </w:pPr>
            <w:r w:rsidRPr="00334EED">
              <w:t>Sub-Question</w:t>
            </w:r>
          </w:p>
        </w:tc>
      </w:tr>
      <w:tr w:rsidR="00F52631" w:rsidRPr="00E430EF" w14:paraId="40B935FE" w14:textId="77777777" w:rsidTr="00A32534">
        <w:tc>
          <w:tcPr>
            <w:tcW w:w="1800" w:type="pct"/>
            <w:shd w:val="clear" w:color="auto" w:fill="auto"/>
          </w:tcPr>
          <w:p w14:paraId="7F15CBB5" w14:textId="77777777" w:rsidR="00F52631" w:rsidRPr="00E430EF" w:rsidRDefault="00F52631" w:rsidP="00576F81">
            <w:pPr>
              <w:pStyle w:val="TableText"/>
              <w:rPr>
                <w:sz w:val="17"/>
                <w:szCs w:val="17"/>
              </w:rPr>
            </w:pPr>
            <w:r w:rsidRPr="00E430EF">
              <w:rPr>
                <w:sz w:val="17"/>
                <w:szCs w:val="17"/>
              </w:rPr>
              <w:t>“Demographic” information</w:t>
            </w:r>
          </w:p>
        </w:tc>
        <w:tc>
          <w:tcPr>
            <w:tcW w:w="3200" w:type="pct"/>
            <w:shd w:val="clear" w:color="auto" w:fill="auto"/>
          </w:tcPr>
          <w:p w14:paraId="0234DAC4" w14:textId="77777777" w:rsidR="00F52631" w:rsidRPr="00E430EF" w:rsidRDefault="00F52631" w:rsidP="00576F81">
            <w:pPr>
              <w:pStyle w:val="TableText"/>
              <w:rPr>
                <w:sz w:val="17"/>
                <w:szCs w:val="17"/>
              </w:rPr>
            </w:pPr>
            <w:r w:rsidRPr="00E430EF">
              <w:rPr>
                <w:sz w:val="17"/>
                <w:szCs w:val="17"/>
              </w:rPr>
              <w:t>What team are you with?</w:t>
            </w:r>
          </w:p>
        </w:tc>
      </w:tr>
      <w:tr w:rsidR="00F52631" w:rsidRPr="00E430EF" w14:paraId="17E2938E" w14:textId="77777777" w:rsidTr="00A32534">
        <w:tc>
          <w:tcPr>
            <w:tcW w:w="1800" w:type="pct"/>
            <w:shd w:val="clear" w:color="auto" w:fill="auto"/>
          </w:tcPr>
          <w:p w14:paraId="1C59323C" w14:textId="77777777" w:rsidR="00F52631" w:rsidRPr="00E430EF" w:rsidRDefault="00F52631" w:rsidP="00576F81">
            <w:pPr>
              <w:pStyle w:val="TableText"/>
              <w:rPr>
                <w:sz w:val="17"/>
                <w:szCs w:val="17"/>
              </w:rPr>
            </w:pPr>
          </w:p>
        </w:tc>
        <w:tc>
          <w:tcPr>
            <w:tcW w:w="3200" w:type="pct"/>
            <w:shd w:val="clear" w:color="auto" w:fill="auto"/>
          </w:tcPr>
          <w:p w14:paraId="24E8F3ED" w14:textId="77777777" w:rsidR="00F52631" w:rsidRPr="00E430EF" w:rsidRDefault="00F52631" w:rsidP="00576F81">
            <w:pPr>
              <w:pStyle w:val="TableText"/>
              <w:rPr>
                <w:sz w:val="17"/>
                <w:szCs w:val="17"/>
              </w:rPr>
            </w:pPr>
            <w:r w:rsidRPr="00E430EF">
              <w:rPr>
                <w:sz w:val="17"/>
                <w:szCs w:val="17"/>
              </w:rPr>
              <w:t>What was your involvement in the development of the SOE?</w:t>
            </w:r>
          </w:p>
        </w:tc>
      </w:tr>
      <w:tr w:rsidR="00F52631" w:rsidRPr="00E430EF" w14:paraId="131D4540" w14:textId="77777777" w:rsidTr="00A32534">
        <w:tc>
          <w:tcPr>
            <w:tcW w:w="1800" w:type="pct"/>
            <w:shd w:val="clear" w:color="auto" w:fill="auto"/>
          </w:tcPr>
          <w:p w14:paraId="6A437ADC" w14:textId="77777777" w:rsidR="00F52631" w:rsidRPr="00E430EF" w:rsidRDefault="00F52631" w:rsidP="00576F81">
            <w:pPr>
              <w:pStyle w:val="TableText"/>
              <w:rPr>
                <w:sz w:val="17"/>
                <w:szCs w:val="17"/>
              </w:rPr>
            </w:pPr>
            <w:r w:rsidRPr="00E430EF">
              <w:rPr>
                <w:sz w:val="17"/>
                <w:szCs w:val="17"/>
              </w:rPr>
              <w:t>How appropriate was the process for developing the SOE letter?</w:t>
            </w:r>
          </w:p>
        </w:tc>
        <w:tc>
          <w:tcPr>
            <w:tcW w:w="3200" w:type="pct"/>
            <w:shd w:val="clear" w:color="auto" w:fill="auto"/>
          </w:tcPr>
          <w:p w14:paraId="39CD46AE" w14:textId="33A943B1" w:rsidR="00F52631" w:rsidRPr="00E430EF" w:rsidRDefault="00F52631" w:rsidP="007D0C4D">
            <w:pPr>
              <w:pStyle w:val="TableText"/>
              <w:rPr>
                <w:sz w:val="17"/>
                <w:szCs w:val="17"/>
              </w:rPr>
            </w:pPr>
            <w:r w:rsidRPr="00E430EF">
              <w:rPr>
                <w:sz w:val="17"/>
                <w:szCs w:val="17"/>
              </w:rPr>
              <w:t>What level of clarity did you have regarding the steps and timing for developing the SOE?</w:t>
            </w:r>
          </w:p>
        </w:tc>
      </w:tr>
      <w:tr w:rsidR="00F52631" w:rsidRPr="00E430EF" w14:paraId="0CD9FFDA" w14:textId="77777777" w:rsidTr="00A32534">
        <w:tc>
          <w:tcPr>
            <w:tcW w:w="1800" w:type="pct"/>
            <w:shd w:val="clear" w:color="auto" w:fill="auto"/>
          </w:tcPr>
          <w:p w14:paraId="64F65907" w14:textId="77777777" w:rsidR="00F52631" w:rsidRPr="00E430EF" w:rsidRDefault="00F52631" w:rsidP="00576F81">
            <w:pPr>
              <w:pStyle w:val="TableText"/>
              <w:rPr>
                <w:sz w:val="17"/>
                <w:szCs w:val="17"/>
              </w:rPr>
            </w:pPr>
          </w:p>
        </w:tc>
        <w:tc>
          <w:tcPr>
            <w:tcW w:w="3200" w:type="pct"/>
            <w:shd w:val="clear" w:color="auto" w:fill="auto"/>
          </w:tcPr>
          <w:p w14:paraId="59C244E6" w14:textId="77777777" w:rsidR="00F52631" w:rsidRPr="00E430EF" w:rsidRDefault="00F52631" w:rsidP="00576F81">
            <w:pPr>
              <w:pStyle w:val="TableText"/>
              <w:rPr>
                <w:sz w:val="17"/>
                <w:szCs w:val="17"/>
              </w:rPr>
            </w:pPr>
            <w:r w:rsidRPr="00E430EF">
              <w:rPr>
                <w:sz w:val="17"/>
                <w:szCs w:val="17"/>
              </w:rPr>
              <w:t>Did you adopt the process recommended in the SOE Framework?</w:t>
            </w:r>
          </w:p>
        </w:tc>
      </w:tr>
      <w:tr w:rsidR="00F52631" w:rsidRPr="00E430EF" w14:paraId="24D60F92" w14:textId="77777777" w:rsidTr="00A32534">
        <w:tc>
          <w:tcPr>
            <w:tcW w:w="1800" w:type="pct"/>
            <w:shd w:val="clear" w:color="auto" w:fill="auto"/>
          </w:tcPr>
          <w:p w14:paraId="22390EEF" w14:textId="77777777" w:rsidR="00F52631" w:rsidRPr="00E430EF" w:rsidRDefault="00F52631" w:rsidP="00576F81">
            <w:pPr>
              <w:pStyle w:val="TableText"/>
              <w:rPr>
                <w:sz w:val="17"/>
                <w:szCs w:val="17"/>
              </w:rPr>
            </w:pPr>
          </w:p>
        </w:tc>
        <w:tc>
          <w:tcPr>
            <w:tcW w:w="3200" w:type="pct"/>
            <w:shd w:val="clear" w:color="auto" w:fill="auto"/>
          </w:tcPr>
          <w:p w14:paraId="01FEBE45" w14:textId="77777777" w:rsidR="00F52631" w:rsidRPr="00E430EF" w:rsidRDefault="00F52631" w:rsidP="00576F81">
            <w:pPr>
              <w:pStyle w:val="TableText"/>
              <w:rPr>
                <w:sz w:val="17"/>
                <w:szCs w:val="17"/>
              </w:rPr>
            </w:pPr>
            <w:r w:rsidRPr="00E430EF">
              <w:rPr>
                <w:sz w:val="17"/>
                <w:szCs w:val="17"/>
              </w:rPr>
              <w:t>If not, why not, and what process did you use?</w:t>
            </w:r>
          </w:p>
        </w:tc>
      </w:tr>
      <w:tr w:rsidR="00F52631" w:rsidRPr="00E430EF" w14:paraId="41371A18" w14:textId="77777777" w:rsidTr="00A32534">
        <w:tc>
          <w:tcPr>
            <w:tcW w:w="1800" w:type="pct"/>
            <w:shd w:val="clear" w:color="auto" w:fill="auto"/>
          </w:tcPr>
          <w:p w14:paraId="1AE5C9D1" w14:textId="77777777" w:rsidR="00F52631" w:rsidRPr="00E430EF" w:rsidRDefault="00F52631" w:rsidP="00576F81">
            <w:pPr>
              <w:pStyle w:val="TableText"/>
              <w:rPr>
                <w:sz w:val="17"/>
                <w:szCs w:val="17"/>
              </w:rPr>
            </w:pPr>
            <w:r w:rsidRPr="00E430EF">
              <w:rPr>
                <w:sz w:val="17"/>
                <w:szCs w:val="17"/>
              </w:rPr>
              <w:t>Was the evidence base appropriate to develop the SOE letter?</w:t>
            </w:r>
          </w:p>
        </w:tc>
        <w:tc>
          <w:tcPr>
            <w:tcW w:w="3200" w:type="pct"/>
            <w:shd w:val="clear" w:color="auto" w:fill="auto"/>
          </w:tcPr>
          <w:p w14:paraId="7C7C2227" w14:textId="77777777" w:rsidR="00F52631" w:rsidRPr="00E430EF" w:rsidRDefault="00F52631" w:rsidP="00576F81">
            <w:pPr>
              <w:pStyle w:val="TableText"/>
              <w:rPr>
                <w:sz w:val="17"/>
                <w:szCs w:val="17"/>
              </w:rPr>
            </w:pPr>
            <w:r w:rsidRPr="00E430EF">
              <w:rPr>
                <w:sz w:val="17"/>
                <w:szCs w:val="17"/>
              </w:rPr>
              <w:t>What level of clarity did you have regarding the content that should be included in the SOE?</w:t>
            </w:r>
          </w:p>
        </w:tc>
      </w:tr>
      <w:tr w:rsidR="00F52631" w:rsidRPr="00E430EF" w14:paraId="759957CC" w14:textId="77777777" w:rsidTr="00A32534">
        <w:tc>
          <w:tcPr>
            <w:tcW w:w="1800" w:type="pct"/>
            <w:shd w:val="clear" w:color="auto" w:fill="auto"/>
          </w:tcPr>
          <w:p w14:paraId="79F0E228" w14:textId="77777777" w:rsidR="00F52631" w:rsidRPr="00E430EF" w:rsidRDefault="00F52631" w:rsidP="00576F81">
            <w:pPr>
              <w:pStyle w:val="TableText"/>
              <w:rPr>
                <w:sz w:val="17"/>
                <w:szCs w:val="17"/>
              </w:rPr>
            </w:pPr>
          </w:p>
        </w:tc>
        <w:tc>
          <w:tcPr>
            <w:tcW w:w="3200" w:type="pct"/>
            <w:shd w:val="clear" w:color="auto" w:fill="auto"/>
          </w:tcPr>
          <w:p w14:paraId="292117C3" w14:textId="77777777" w:rsidR="00F52631" w:rsidRPr="00E430EF" w:rsidRDefault="00F52631" w:rsidP="00576F81">
            <w:pPr>
              <w:pStyle w:val="TableText"/>
              <w:rPr>
                <w:sz w:val="17"/>
                <w:szCs w:val="17"/>
              </w:rPr>
            </w:pPr>
            <w:r w:rsidRPr="00E430EF">
              <w:rPr>
                <w:sz w:val="17"/>
                <w:szCs w:val="17"/>
              </w:rPr>
              <w:t>How was an appropriate evidence base on which to develop the SOE letter identified?</w:t>
            </w:r>
          </w:p>
        </w:tc>
      </w:tr>
      <w:tr w:rsidR="00F52631" w:rsidRPr="00E430EF" w14:paraId="4B409488" w14:textId="77777777" w:rsidTr="00A32534">
        <w:tc>
          <w:tcPr>
            <w:tcW w:w="1800" w:type="pct"/>
            <w:shd w:val="clear" w:color="auto" w:fill="auto"/>
          </w:tcPr>
          <w:p w14:paraId="16CA23A6" w14:textId="77777777" w:rsidR="00F52631" w:rsidRPr="00E430EF" w:rsidRDefault="00F52631" w:rsidP="00576F81">
            <w:pPr>
              <w:pStyle w:val="TableText"/>
              <w:rPr>
                <w:sz w:val="17"/>
                <w:szCs w:val="17"/>
              </w:rPr>
            </w:pPr>
            <w:proofErr w:type="gramStart"/>
            <w:r w:rsidRPr="00E430EF">
              <w:rPr>
                <w:sz w:val="17"/>
                <w:szCs w:val="17"/>
              </w:rPr>
              <w:t>Was sufficient time allocated</w:t>
            </w:r>
            <w:proofErr w:type="gramEnd"/>
            <w:r w:rsidRPr="00E430EF">
              <w:rPr>
                <w:sz w:val="17"/>
                <w:szCs w:val="17"/>
              </w:rPr>
              <w:t xml:space="preserve"> to complete each part of the process?</w:t>
            </w:r>
          </w:p>
        </w:tc>
        <w:tc>
          <w:tcPr>
            <w:tcW w:w="3200" w:type="pct"/>
            <w:shd w:val="clear" w:color="auto" w:fill="auto"/>
          </w:tcPr>
          <w:p w14:paraId="63C65891" w14:textId="77777777" w:rsidR="00F52631" w:rsidRPr="00E430EF" w:rsidRDefault="00F52631" w:rsidP="00576F81">
            <w:pPr>
              <w:pStyle w:val="TableText"/>
              <w:rPr>
                <w:sz w:val="17"/>
                <w:szCs w:val="17"/>
              </w:rPr>
            </w:pPr>
            <w:r w:rsidRPr="00E430EF">
              <w:rPr>
                <w:sz w:val="17"/>
                <w:szCs w:val="17"/>
              </w:rPr>
              <w:t>How easy was it to get the information to create the required response to the SOE?</w:t>
            </w:r>
          </w:p>
        </w:tc>
      </w:tr>
      <w:tr w:rsidR="00F52631" w:rsidRPr="00E430EF" w14:paraId="1DE89FE0" w14:textId="77777777" w:rsidTr="00A32534">
        <w:tc>
          <w:tcPr>
            <w:tcW w:w="1800" w:type="pct"/>
            <w:shd w:val="clear" w:color="auto" w:fill="auto"/>
          </w:tcPr>
          <w:p w14:paraId="078F07CA" w14:textId="77777777" w:rsidR="00F52631" w:rsidRPr="00E430EF" w:rsidRDefault="00F52631" w:rsidP="00576F81">
            <w:pPr>
              <w:pStyle w:val="TableText"/>
              <w:rPr>
                <w:sz w:val="17"/>
                <w:szCs w:val="17"/>
              </w:rPr>
            </w:pPr>
          </w:p>
        </w:tc>
        <w:tc>
          <w:tcPr>
            <w:tcW w:w="3200" w:type="pct"/>
            <w:shd w:val="clear" w:color="auto" w:fill="auto"/>
          </w:tcPr>
          <w:p w14:paraId="152A96D1" w14:textId="77777777" w:rsidR="00F52631" w:rsidRPr="00E430EF" w:rsidRDefault="00F52631" w:rsidP="00576F81">
            <w:pPr>
              <w:pStyle w:val="TableText"/>
              <w:rPr>
                <w:sz w:val="17"/>
                <w:szCs w:val="17"/>
              </w:rPr>
            </w:pPr>
            <w:r w:rsidRPr="00E430EF">
              <w:rPr>
                <w:sz w:val="17"/>
                <w:szCs w:val="17"/>
              </w:rPr>
              <w:t>How many days did it take your team to prepare the SOE?</w:t>
            </w:r>
          </w:p>
        </w:tc>
      </w:tr>
      <w:tr w:rsidR="00F52631" w:rsidRPr="00E430EF" w14:paraId="198C51AB" w14:textId="77777777" w:rsidTr="00A32534">
        <w:tc>
          <w:tcPr>
            <w:tcW w:w="1800" w:type="pct"/>
            <w:shd w:val="clear" w:color="auto" w:fill="auto"/>
          </w:tcPr>
          <w:p w14:paraId="004A26F3" w14:textId="77777777" w:rsidR="00F52631" w:rsidRPr="00E430EF" w:rsidRDefault="00F52631" w:rsidP="00576F81">
            <w:pPr>
              <w:pStyle w:val="TableText"/>
              <w:rPr>
                <w:sz w:val="17"/>
                <w:szCs w:val="17"/>
              </w:rPr>
            </w:pPr>
          </w:p>
        </w:tc>
        <w:tc>
          <w:tcPr>
            <w:tcW w:w="3200" w:type="pct"/>
            <w:shd w:val="clear" w:color="auto" w:fill="auto"/>
          </w:tcPr>
          <w:p w14:paraId="37C4F233" w14:textId="77777777" w:rsidR="00F52631" w:rsidRPr="00E430EF" w:rsidRDefault="00F52631" w:rsidP="00576F81">
            <w:pPr>
              <w:pStyle w:val="TableText"/>
              <w:rPr>
                <w:sz w:val="17"/>
                <w:szCs w:val="17"/>
              </w:rPr>
            </w:pPr>
            <w:r w:rsidRPr="00E430EF">
              <w:rPr>
                <w:sz w:val="17"/>
                <w:szCs w:val="17"/>
              </w:rPr>
              <w:t>Do you think this was the right level of effort for your team to spend on developing the SOE?</w:t>
            </w:r>
          </w:p>
        </w:tc>
      </w:tr>
      <w:tr w:rsidR="00F52631" w:rsidRPr="00E430EF" w14:paraId="426B3301" w14:textId="77777777" w:rsidTr="00A32534">
        <w:tc>
          <w:tcPr>
            <w:tcW w:w="1800" w:type="pct"/>
            <w:shd w:val="clear" w:color="auto" w:fill="auto"/>
          </w:tcPr>
          <w:p w14:paraId="3725C565" w14:textId="77777777" w:rsidR="00F52631" w:rsidRPr="00E430EF" w:rsidRDefault="00F52631" w:rsidP="00576F81">
            <w:pPr>
              <w:pStyle w:val="TableText"/>
              <w:rPr>
                <w:sz w:val="17"/>
                <w:szCs w:val="17"/>
              </w:rPr>
            </w:pPr>
          </w:p>
        </w:tc>
        <w:tc>
          <w:tcPr>
            <w:tcW w:w="3200" w:type="pct"/>
            <w:shd w:val="clear" w:color="auto" w:fill="auto"/>
          </w:tcPr>
          <w:p w14:paraId="3F1276FA" w14:textId="77777777" w:rsidR="00F52631" w:rsidRPr="00E430EF" w:rsidRDefault="00F52631" w:rsidP="00576F81">
            <w:pPr>
              <w:pStyle w:val="TableText"/>
              <w:rPr>
                <w:sz w:val="17"/>
                <w:szCs w:val="17"/>
              </w:rPr>
            </w:pPr>
            <w:proofErr w:type="gramStart"/>
            <w:r w:rsidRPr="00E430EF">
              <w:rPr>
                <w:sz w:val="17"/>
                <w:szCs w:val="17"/>
              </w:rPr>
              <w:t>Was sufficient time allocated</w:t>
            </w:r>
            <w:proofErr w:type="gramEnd"/>
            <w:r w:rsidRPr="00E430EF">
              <w:rPr>
                <w:sz w:val="17"/>
                <w:szCs w:val="17"/>
              </w:rPr>
              <w:t xml:space="preserve"> to complete the SOE?</w:t>
            </w:r>
          </w:p>
        </w:tc>
      </w:tr>
      <w:tr w:rsidR="00F52631" w:rsidRPr="00E430EF" w14:paraId="0AB74FA8" w14:textId="77777777" w:rsidTr="00A32534">
        <w:tc>
          <w:tcPr>
            <w:tcW w:w="1800" w:type="pct"/>
            <w:shd w:val="clear" w:color="auto" w:fill="auto"/>
          </w:tcPr>
          <w:p w14:paraId="7BAC3112" w14:textId="77777777" w:rsidR="00F52631" w:rsidRPr="00E430EF" w:rsidRDefault="00F52631" w:rsidP="00576F81">
            <w:pPr>
              <w:pStyle w:val="TableText"/>
              <w:rPr>
                <w:sz w:val="17"/>
                <w:szCs w:val="17"/>
              </w:rPr>
            </w:pPr>
          </w:p>
        </w:tc>
        <w:tc>
          <w:tcPr>
            <w:tcW w:w="3200" w:type="pct"/>
            <w:shd w:val="clear" w:color="auto" w:fill="auto"/>
          </w:tcPr>
          <w:p w14:paraId="17E36C1D" w14:textId="77777777" w:rsidR="00F52631" w:rsidRPr="00E430EF" w:rsidRDefault="00F52631" w:rsidP="00576F81">
            <w:pPr>
              <w:pStyle w:val="TableText"/>
              <w:rPr>
                <w:sz w:val="17"/>
                <w:szCs w:val="17"/>
              </w:rPr>
            </w:pPr>
            <w:r w:rsidRPr="00E430EF">
              <w:rPr>
                <w:sz w:val="17"/>
                <w:szCs w:val="17"/>
              </w:rPr>
              <w:t>How many internal staff from your team were involved in the development of the SOE?</w:t>
            </w:r>
          </w:p>
        </w:tc>
      </w:tr>
      <w:tr w:rsidR="00F52631" w:rsidRPr="00E430EF" w14:paraId="7A0F104A" w14:textId="77777777" w:rsidTr="00A32534">
        <w:tc>
          <w:tcPr>
            <w:tcW w:w="1800" w:type="pct"/>
            <w:shd w:val="clear" w:color="auto" w:fill="auto"/>
          </w:tcPr>
          <w:p w14:paraId="0BE51DCA" w14:textId="77777777" w:rsidR="00F52631" w:rsidRPr="00E430EF" w:rsidRDefault="00F52631" w:rsidP="00576F81">
            <w:pPr>
              <w:pStyle w:val="TableText"/>
              <w:rPr>
                <w:sz w:val="17"/>
                <w:szCs w:val="17"/>
              </w:rPr>
            </w:pPr>
          </w:p>
        </w:tc>
        <w:tc>
          <w:tcPr>
            <w:tcW w:w="3200" w:type="pct"/>
            <w:shd w:val="clear" w:color="auto" w:fill="auto"/>
          </w:tcPr>
          <w:p w14:paraId="6FB47C3D" w14:textId="77777777" w:rsidR="00F52631" w:rsidRPr="00E430EF" w:rsidRDefault="00F52631" w:rsidP="00576F81">
            <w:pPr>
              <w:pStyle w:val="TableText"/>
              <w:rPr>
                <w:sz w:val="17"/>
                <w:szCs w:val="17"/>
              </w:rPr>
            </w:pPr>
            <w:r w:rsidRPr="00E430EF">
              <w:rPr>
                <w:sz w:val="17"/>
                <w:szCs w:val="17"/>
              </w:rPr>
              <w:t>What, if any, external stakeholders (apart from the department) were involved in the development of your part of the SOE?</w:t>
            </w:r>
          </w:p>
        </w:tc>
      </w:tr>
      <w:tr w:rsidR="00F52631" w:rsidRPr="00E430EF" w14:paraId="399C0865" w14:textId="77777777" w:rsidTr="00A32534">
        <w:tc>
          <w:tcPr>
            <w:tcW w:w="1800" w:type="pct"/>
            <w:shd w:val="clear" w:color="auto" w:fill="auto"/>
          </w:tcPr>
          <w:p w14:paraId="2EF0E8E3" w14:textId="77777777" w:rsidR="00F52631" w:rsidRPr="00E430EF" w:rsidRDefault="00F52631" w:rsidP="00576F81">
            <w:pPr>
              <w:pStyle w:val="TableText"/>
              <w:rPr>
                <w:sz w:val="17"/>
                <w:szCs w:val="17"/>
              </w:rPr>
            </w:pPr>
          </w:p>
        </w:tc>
        <w:tc>
          <w:tcPr>
            <w:tcW w:w="3200" w:type="pct"/>
            <w:shd w:val="clear" w:color="auto" w:fill="auto"/>
          </w:tcPr>
          <w:p w14:paraId="6B2305A2" w14:textId="77777777" w:rsidR="00F52631" w:rsidRPr="00E430EF" w:rsidRDefault="00F52631" w:rsidP="00576F81">
            <w:pPr>
              <w:pStyle w:val="TableText"/>
              <w:rPr>
                <w:sz w:val="17"/>
                <w:szCs w:val="17"/>
              </w:rPr>
            </w:pPr>
            <w:r w:rsidRPr="00E430EF">
              <w:rPr>
                <w:sz w:val="17"/>
                <w:szCs w:val="17"/>
              </w:rPr>
              <w:t>If external stakeholders were involved, how many people in total from these organisations provided input directly on your part of the SOE?</w:t>
            </w:r>
          </w:p>
        </w:tc>
      </w:tr>
      <w:tr w:rsidR="00F52631" w:rsidRPr="00E430EF" w14:paraId="0FCDFD48" w14:textId="77777777" w:rsidTr="00A32534">
        <w:tc>
          <w:tcPr>
            <w:tcW w:w="1800" w:type="pct"/>
            <w:shd w:val="clear" w:color="auto" w:fill="auto"/>
          </w:tcPr>
          <w:p w14:paraId="31FADDF0" w14:textId="05560930" w:rsidR="00F52631" w:rsidRPr="00E430EF" w:rsidRDefault="00AE2976" w:rsidP="00576F81">
            <w:pPr>
              <w:pStyle w:val="TableText"/>
              <w:rPr>
                <w:sz w:val="17"/>
                <w:szCs w:val="17"/>
              </w:rPr>
            </w:pPr>
            <w:r w:rsidRPr="00E430EF">
              <w:rPr>
                <w:sz w:val="17"/>
                <w:szCs w:val="17"/>
              </w:rPr>
              <w:t>Were all parties satisfied with the SOE development process?</w:t>
            </w:r>
          </w:p>
        </w:tc>
        <w:tc>
          <w:tcPr>
            <w:tcW w:w="3200" w:type="pct"/>
            <w:shd w:val="clear" w:color="auto" w:fill="auto"/>
          </w:tcPr>
          <w:p w14:paraId="00211277" w14:textId="77777777" w:rsidR="00F52631" w:rsidRPr="00E430EF" w:rsidRDefault="00F52631" w:rsidP="00576F81">
            <w:pPr>
              <w:pStyle w:val="TableText"/>
              <w:rPr>
                <w:sz w:val="17"/>
                <w:szCs w:val="17"/>
              </w:rPr>
            </w:pPr>
            <w:r w:rsidRPr="00E430EF">
              <w:rPr>
                <w:sz w:val="17"/>
                <w:szCs w:val="17"/>
              </w:rPr>
              <w:t>What were the biggest challenges for your team in developing the SOE?</w:t>
            </w:r>
          </w:p>
        </w:tc>
      </w:tr>
      <w:tr w:rsidR="00AE2976" w:rsidRPr="00E430EF" w14:paraId="63114512" w14:textId="77777777" w:rsidTr="00217C13">
        <w:tc>
          <w:tcPr>
            <w:tcW w:w="1800" w:type="pct"/>
            <w:shd w:val="clear" w:color="auto" w:fill="auto"/>
          </w:tcPr>
          <w:p w14:paraId="4C059B9F" w14:textId="77777777" w:rsidR="00AE2976" w:rsidRPr="00E430EF" w:rsidRDefault="00AE2976" w:rsidP="00217C13">
            <w:pPr>
              <w:pStyle w:val="TableText"/>
              <w:rPr>
                <w:sz w:val="17"/>
                <w:szCs w:val="17"/>
              </w:rPr>
            </w:pPr>
          </w:p>
        </w:tc>
        <w:tc>
          <w:tcPr>
            <w:tcW w:w="3200" w:type="pct"/>
            <w:shd w:val="clear" w:color="auto" w:fill="auto"/>
          </w:tcPr>
          <w:p w14:paraId="0E3003DF" w14:textId="77777777" w:rsidR="00AE2976" w:rsidRPr="00E430EF" w:rsidRDefault="00AE2976" w:rsidP="00217C13">
            <w:pPr>
              <w:pStyle w:val="TableText"/>
              <w:rPr>
                <w:sz w:val="17"/>
                <w:szCs w:val="17"/>
              </w:rPr>
            </w:pPr>
            <w:r w:rsidRPr="00E430EF">
              <w:rPr>
                <w:sz w:val="17"/>
                <w:szCs w:val="17"/>
              </w:rPr>
              <w:t>What level of engagement did your Executive have with the development of your part of the SOE?</w:t>
            </w:r>
          </w:p>
        </w:tc>
      </w:tr>
      <w:tr w:rsidR="00AE2976" w:rsidRPr="00E430EF" w14:paraId="3AC3F1BB" w14:textId="77777777" w:rsidTr="00217C13">
        <w:tc>
          <w:tcPr>
            <w:tcW w:w="1800" w:type="pct"/>
            <w:shd w:val="clear" w:color="auto" w:fill="auto"/>
          </w:tcPr>
          <w:p w14:paraId="76B5417F" w14:textId="77777777" w:rsidR="00AE2976" w:rsidRPr="00E430EF" w:rsidRDefault="00AE2976" w:rsidP="00217C13">
            <w:pPr>
              <w:pStyle w:val="TableText"/>
              <w:rPr>
                <w:sz w:val="17"/>
                <w:szCs w:val="17"/>
              </w:rPr>
            </w:pPr>
          </w:p>
        </w:tc>
        <w:tc>
          <w:tcPr>
            <w:tcW w:w="3200" w:type="pct"/>
            <w:shd w:val="clear" w:color="auto" w:fill="auto"/>
          </w:tcPr>
          <w:p w14:paraId="229EA245" w14:textId="77777777" w:rsidR="00AE2976" w:rsidRPr="00E430EF" w:rsidRDefault="00AE2976" w:rsidP="00217C13">
            <w:pPr>
              <w:pStyle w:val="TableText"/>
              <w:rPr>
                <w:sz w:val="17"/>
                <w:szCs w:val="17"/>
              </w:rPr>
            </w:pPr>
            <w:r w:rsidRPr="00E430EF">
              <w:rPr>
                <w:sz w:val="17"/>
                <w:szCs w:val="17"/>
              </w:rPr>
              <w:t>How was the Department of Justice &amp; Regulation involved in the development of the SOE?</w:t>
            </w:r>
          </w:p>
        </w:tc>
      </w:tr>
      <w:tr w:rsidR="00F52631" w:rsidRPr="00E430EF" w14:paraId="5DE5965D" w14:textId="77777777" w:rsidTr="00A32534">
        <w:tc>
          <w:tcPr>
            <w:tcW w:w="1800" w:type="pct"/>
            <w:shd w:val="clear" w:color="auto" w:fill="auto"/>
          </w:tcPr>
          <w:p w14:paraId="6C7A6069" w14:textId="77777777" w:rsidR="00F52631" w:rsidRPr="00E430EF" w:rsidRDefault="00F52631" w:rsidP="00576F81">
            <w:pPr>
              <w:pStyle w:val="TableText"/>
              <w:rPr>
                <w:sz w:val="17"/>
                <w:szCs w:val="17"/>
              </w:rPr>
            </w:pPr>
          </w:p>
        </w:tc>
        <w:tc>
          <w:tcPr>
            <w:tcW w:w="3200" w:type="pct"/>
            <w:shd w:val="clear" w:color="auto" w:fill="auto"/>
          </w:tcPr>
          <w:p w14:paraId="2DD19FA0" w14:textId="77777777" w:rsidR="00F52631" w:rsidRPr="00E430EF" w:rsidRDefault="00F52631" w:rsidP="00576F81">
            <w:pPr>
              <w:pStyle w:val="TableText"/>
              <w:rPr>
                <w:sz w:val="17"/>
                <w:szCs w:val="17"/>
              </w:rPr>
            </w:pPr>
            <w:r w:rsidRPr="00E430EF">
              <w:rPr>
                <w:sz w:val="17"/>
                <w:szCs w:val="17"/>
              </w:rPr>
              <w:t>What were the biggest challenges for your organisation as a whole in developing the SOE?</w:t>
            </w:r>
          </w:p>
        </w:tc>
      </w:tr>
      <w:tr w:rsidR="00F52631" w:rsidRPr="00E430EF" w14:paraId="70CCA4CD" w14:textId="77777777" w:rsidTr="00A32534">
        <w:tc>
          <w:tcPr>
            <w:tcW w:w="1800" w:type="pct"/>
            <w:shd w:val="clear" w:color="auto" w:fill="auto"/>
          </w:tcPr>
          <w:p w14:paraId="4BC65470" w14:textId="77777777" w:rsidR="00F52631" w:rsidRPr="00E430EF" w:rsidRDefault="00F52631" w:rsidP="00576F81">
            <w:pPr>
              <w:pStyle w:val="TableText"/>
              <w:rPr>
                <w:sz w:val="17"/>
                <w:szCs w:val="17"/>
              </w:rPr>
            </w:pPr>
          </w:p>
        </w:tc>
        <w:tc>
          <w:tcPr>
            <w:tcW w:w="3200" w:type="pct"/>
            <w:shd w:val="clear" w:color="auto" w:fill="auto"/>
          </w:tcPr>
          <w:p w14:paraId="12A220AF" w14:textId="77777777" w:rsidR="00F52631" w:rsidRPr="00E430EF" w:rsidRDefault="00F52631" w:rsidP="00576F81">
            <w:pPr>
              <w:pStyle w:val="TableText"/>
              <w:rPr>
                <w:sz w:val="17"/>
                <w:szCs w:val="17"/>
              </w:rPr>
            </w:pPr>
            <w:r w:rsidRPr="00E430EF">
              <w:rPr>
                <w:sz w:val="17"/>
                <w:szCs w:val="17"/>
              </w:rPr>
              <w:t>Did the SOE process change your perception about how important your regulatory role is?</w:t>
            </w:r>
          </w:p>
        </w:tc>
      </w:tr>
      <w:tr w:rsidR="00F52631" w:rsidRPr="00E430EF" w14:paraId="4B975514" w14:textId="77777777" w:rsidTr="00A32534">
        <w:tc>
          <w:tcPr>
            <w:tcW w:w="1800" w:type="pct"/>
            <w:shd w:val="clear" w:color="auto" w:fill="auto"/>
          </w:tcPr>
          <w:p w14:paraId="75DB3465" w14:textId="77777777" w:rsidR="00F52631" w:rsidRPr="00E430EF" w:rsidRDefault="00F52631" w:rsidP="00576F81">
            <w:pPr>
              <w:pStyle w:val="TableText"/>
              <w:rPr>
                <w:sz w:val="17"/>
                <w:szCs w:val="17"/>
              </w:rPr>
            </w:pPr>
          </w:p>
        </w:tc>
        <w:tc>
          <w:tcPr>
            <w:tcW w:w="3200" w:type="pct"/>
            <w:shd w:val="clear" w:color="auto" w:fill="auto"/>
          </w:tcPr>
          <w:p w14:paraId="7576047E" w14:textId="77777777" w:rsidR="00F52631" w:rsidRPr="00E430EF" w:rsidRDefault="00F52631" w:rsidP="00576F81">
            <w:pPr>
              <w:pStyle w:val="TableText"/>
              <w:rPr>
                <w:sz w:val="17"/>
                <w:szCs w:val="17"/>
              </w:rPr>
            </w:pPr>
            <w:r w:rsidRPr="00E430EF">
              <w:rPr>
                <w:sz w:val="17"/>
                <w:szCs w:val="17"/>
              </w:rPr>
              <w:t>What were the key learnings you took from the process?</w:t>
            </w:r>
          </w:p>
        </w:tc>
      </w:tr>
      <w:tr w:rsidR="00F52631" w:rsidRPr="00E430EF" w14:paraId="670DE0F0" w14:textId="77777777" w:rsidTr="00A32534">
        <w:tc>
          <w:tcPr>
            <w:tcW w:w="1800" w:type="pct"/>
            <w:shd w:val="clear" w:color="auto" w:fill="auto"/>
          </w:tcPr>
          <w:p w14:paraId="07A7AB1F" w14:textId="77777777" w:rsidR="00F52631" w:rsidRPr="00E430EF" w:rsidRDefault="00F52631" w:rsidP="00576F81">
            <w:pPr>
              <w:pStyle w:val="TableText"/>
              <w:rPr>
                <w:sz w:val="17"/>
                <w:szCs w:val="17"/>
              </w:rPr>
            </w:pPr>
          </w:p>
        </w:tc>
        <w:tc>
          <w:tcPr>
            <w:tcW w:w="3200" w:type="pct"/>
            <w:shd w:val="clear" w:color="auto" w:fill="auto"/>
          </w:tcPr>
          <w:p w14:paraId="465C8958" w14:textId="77777777" w:rsidR="00F52631" w:rsidRPr="00E430EF" w:rsidRDefault="00F52631" w:rsidP="00576F81">
            <w:pPr>
              <w:pStyle w:val="TableText"/>
              <w:rPr>
                <w:sz w:val="17"/>
                <w:szCs w:val="17"/>
              </w:rPr>
            </w:pPr>
            <w:r w:rsidRPr="00E430EF">
              <w:rPr>
                <w:sz w:val="17"/>
                <w:szCs w:val="17"/>
              </w:rPr>
              <w:t xml:space="preserve">How do you think the SOE development process </w:t>
            </w:r>
            <w:proofErr w:type="gramStart"/>
            <w:r w:rsidRPr="00E430EF">
              <w:rPr>
                <w:sz w:val="17"/>
                <w:szCs w:val="17"/>
              </w:rPr>
              <w:t>could be improved</w:t>
            </w:r>
            <w:proofErr w:type="gramEnd"/>
            <w:r w:rsidRPr="00E430EF">
              <w:rPr>
                <w:sz w:val="17"/>
                <w:szCs w:val="17"/>
              </w:rPr>
              <w:t>?</w:t>
            </w:r>
          </w:p>
        </w:tc>
      </w:tr>
    </w:tbl>
    <w:p w14:paraId="07B971DD" w14:textId="77777777" w:rsidR="007D0C4D" w:rsidRDefault="007D0C4D"/>
    <w:tbl>
      <w:tblPr>
        <w:tblW w:w="4515"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398"/>
        <w:gridCol w:w="5807"/>
      </w:tblGrid>
      <w:tr w:rsidR="00C949A2" w:rsidRPr="00F86C0E" w14:paraId="0BE55EB7" w14:textId="77777777" w:rsidTr="00A32534">
        <w:trPr>
          <w:tblHeader/>
        </w:trPr>
        <w:tc>
          <w:tcPr>
            <w:tcW w:w="1846" w:type="pct"/>
            <w:shd w:val="clear" w:color="auto" w:fill="16145F"/>
          </w:tcPr>
          <w:p w14:paraId="1DAD8C95" w14:textId="77777777" w:rsidR="00C949A2" w:rsidRPr="00F86C0E" w:rsidRDefault="00C949A2" w:rsidP="003023EA">
            <w:pPr>
              <w:pStyle w:val="TableHeader"/>
            </w:pPr>
            <w:r w:rsidRPr="00F86C0E">
              <w:t>Evaluation Element</w:t>
            </w:r>
          </w:p>
        </w:tc>
        <w:tc>
          <w:tcPr>
            <w:tcW w:w="3154" w:type="pct"/>
            <w:shd w:val="clear" w:color="auto" w:fill="16145F"/>
          </w:tcPr>
          <w:p w14:paraId="25F6E614" w14:textId="77777777" w:rsidR="00C949A2" w:rsidRPr="00F86C0E" w:rsidRDefault="00C949A2" w:rsidP="003023EA">
            <w:pPr>
              <w:pStyle w:val="TableHeader"/>
            </w:pPr>
            <w:r w:rsidRPr="00F86C0E">
              <w:t>Measure(s)</w:t>
            </w:r>
          </w:p>
        </w:tc>
      </w:tr>
      <w:tr w:rsidR="00C949A2" w:rsidRPr="00E430EF" w14:paraId="09576160" w14:textId="77777777" w:rsidTr="00A32534">
        <w:tc>
          <w:tcPr>
            <w:tcW w:w="1846" w:type="pct"/>
            <w:shd w:val="clear" w:color="auto" w:fill="auto"/>
          </w:tcPr>
          <w:p w14:paraId="796F56F6" w14:textId="77777777" w:rsidR="00C949A2" w:rsidRPr="00E430EF" w:rsidRDefault="00C949A2" w:rsidP="003023EA">
            <w:pPr>
              <w:pStyle w:val="TableText"/>
              <w:rPr>
                <w:sz w:val="17"/>
                <w:szCs w:val="17"/>
              </w:rPr>
            </w:pPr>
            <w:r w:rsidRPr="00E430EF">
              <w:rPr>
                <w:sz w:val="17"/>
                <w:szCs w:val="17"/>
              </w:rPr>
              <w:t>Developing the SOE letter</w:t>
            </w:r>
          </w:p>
        </w:tc>
        <w:tc>
          <w:tcPr>
            <w:tcW w:w="3154" w:type="pct"/>
            <w:shd w:val="clear" w:color="auto" w:fill="auto"/>
          </w:tcPr>
          <w:p w14:paraId="3F681C52" w14:textId="77777777" w:rsidR="00C949A2" w:rsidRPr="00E430EF" w:rsidRDefault="00C949A2" w:rsidP="003023EA">
            <w:pPr>
              <w:pStyle w:val="Tablebullet"/>
              <w:rPr>
                <w:szCs w:val="17"/>
              </w:rPr>
            </w:pPr>
            <w:r w:rsidRPr="00E430EF">
              <w:rPr>
                <w:szCs w:val="17"/>
              </w:rPr>
              <w:t>Identified appropriate baseline of current performance against each of the elements of good regulatory practice</w:t>
            </w:r>
          </w:p>
          <w:p w14:paraId="1813407F" w14:textId="77777777" w:rsidR="00C949A2" w:rsidRPr="00E430EF" w:rsidRDefault="00C949A2" w:rsidP="003023EA">
            <w:pPr>
              <w:pStyle w:val="Tablebullet"/>
              <w:rPr>
                <w:szCs w:val="17"/>
              </w:rPr>
            </w:pPr>
            <w:r w:rsidRPr="00E430EF">
              <w:rPr>
                <w:szCs w:val="17"/>
              </w:rPr>
              <w:t>Time invested in development of SOE</w:t>
            </w:r>
          </w:p>
          <w:p w14:paraId="359DFF49" w14:textId="77777777" w:rsidR="00C949A2" w:rsidRPr="00E430EF" w:rsidRDefault="00C949A2" w:rsidP="003023EA">
            <w:pPr>
              <w:pStyle w:val="Tablebullet"/>
              <w:rPr>
                <w:szCs w:val="17"/>
              </w:rPr>
            </w:pPr>
            <w:r w:rsidRPr="00E430EF">
              <w:rPr>
                <w:szCs w:val="17"/>
              </w:rPr>
              <w:t>Identification of best practice</w:t>
            </w:r>
          </w:p>
        </w:tc>
      </w:tr>
      <w:tr w:rsidR="00C949A2" w:rsidRPr="00E430EF" w14:paraId="35741E08" w14:textId="77777777" w:rsidTr="00A32534">
        <w:tc>
          <w:tcPr>
            <w:tcW w:w="1846" w:type="pct"/>
            <w:shd w:val="clear" w:color="auto" w:fill="auto"/>
          </w:tcPr>
          <w:p w14:paraId="783F48C8" w14:textId="77777777" w:rsidR="00C949A2" w:rsidRPr="00E430EF" w:rsidRDefault="00C949A2" w:rsidP="003023EA">
            <w:pPr>
              <w:pStyle w:val="TableText"/>
              <w:rPr>
                <w:sz w:val="17"/>
                <w:szCs w:val="17"/>
              </w:rPr>
            </w:pPr>
            <w:r w:rsidRPr="00E430EF">
              <w:rPr>
                <w:sz w:val="17"/>
                <w:szCs w:val="17"/>
              </w:rPr>
              <w:t>Delivery of improvements and targets in the SOE letter</w:t>
            </w:r>
          </w:p>
        </w:tc>
        <w:tc>
          <w:tcPr>
            <w:tcW w:w="3154" w:type="pct"/>
            <w:shd w:val="clear" w:color="auto" w:fill="auto"/>
          </w:tcPr>
          <w:p w14:paraId="2ED8279A" w14:textId="77777777" w:rsidR="00C949A2" w:rsidRPr="00E430EF" w:rsidRDefault="00C949A2" w:rsidP="003023EA">
            <w:pPr>
              <w:pStyle w:val="Tablebullet"/>
              <w:rPr>
                <w:szCs w:val="17"/>
              </w:rPr>
            </w:pPr>
            <w:r w:rsidRPr="00E430EF">
              <w:rPr>
                <w:szCs w:val="17"/>
              </w:rPr>
              <w:t>Appropriateness of SOE targets</w:t>
            </w:r>
          </w:p>
        </w:tc>
      </w:tr>
    </w:tbl>
    <w:p w14:paraId="1DCCA3A5" w14:textId="77777777" w:rsidR="00C949A2" w:rsidRDefault="00C949A2" w:rsidP="00F52631">
      <w:pPr>
        <w:pStyle w:val="BodyText-List"/>
        <w:numPr>
          <w:ilvl w:val="0"/>
          <w:numId w:val="0"/>
        </w:numPr>
        <w:ind w:left="1190" w:hanging="396"/>
      </w:pPr>
    </w:p>
    <w:p w14:paraId="66CAF77B" w14:textId="77777777" w:rsidR="007D0C4D" w:rsidRDefault="007D0C4D" w:rsidP="007D0C4D">
      <w:pPr>
        <w:pStyle w:val="Heading4"/>
      </w:pPr>
      <w:r>
        <w:t>Data sources and evidence</w:t>
      </w:r>
    </w:p>
    <w:tbl>
      <w:tblPr>
        <w:tblStyle w:val="DJRReporttablestyleNavy"/>
        <w:tblW w:w="8954" w:type="dxa"/>
        <w:tblLook w:val="04A0" w:firstRow="1" w:lastRow="0" w:firstColumn="1" w:lastColumn="0" w:noHBand="0" w:noVBand="1"/>
      </w:tblPr>
      <w:tblGrid>
        <w:gridCol w:w="4702"/>
        <w:gridCol w:w="4252"/>
      </w:tblGrid>
      <w:tr w:rsidR="007D0C4D" w:rsidRPr="00CB3285" w14:paraId="5E745AF7" w14:textId="77777777" w:rsidTr="00217C13">
        <w:trPr>
          <w:cnfStyle w:val="100000000000" w:firstRow="1" w:lastRow="0" w:firstColumn="0" w:lastColumn="0" w:oddVBand="0" w:evenVBand="0" w:oddHBand="0" w:evenHBand="0" w:firstRowFirstColumn="0" w:firstRowLastColumn="0" w:lastRowFirstColumn="0" w:lastRowLastColumn="0"/>
          <w:tblHeader/>
        </w:trPr>
        <w:tc>
          <w:tcPr>
            <w:tcW w:w="4702" w:type="dxa"/>
            <w:shd w:val="clear" w:color="auto" w:fill="16145F"/>
          </w:tcPr>
          <w:p w14:paraId="13851150" w14:textId="77777777" w:rsidR="007D0C4D" w:rsidRPr="00CB3285" w:rsidRDefault="007D0C4D" w:rsidP="00217C13">
            <w:pPr>
              <w:pStyle w:val="TableHeader"/>
            </w:pPr>
            <w:r>
              <w:t>Evidence Reviewed</w:t>
            </w:r>
          </w:p>
        </w:tc>
        <w:tc>
          <w:tcPr>
            <w:tcW w:w="4252" w:type="dxa"/>
            <w:shd w:val="clear" w:color="auto" w:fill="16145F"/>
          </w:tcPr>
          <w:p w14:paraId="72F5E58E" w14:textId="77777777" w:rsidR="007D0C4D" w:rsidRPr="00CB3285" w:rsidRDefault="007D0C4D" w:rsidP="00217C13">
            <w:pPr>
              <w:pStyle w:val="TableHeader"/>
            </w:pPr>
          </w:p>
        </w:tc>
      </w:tr>
      <w:tr w:rsidR="007D0C4D" w:rsidRPr="00E430EF" w14:paraId="00F120BD" w14:textId="77777777" w:rsidTr="00217C13">
        <w:tc>
          <w:tcPr>
            <w:tcW w:w="4702" w:type="dxa"/>
          </w:tcPr>
          <w:p w14:paraId="30D2A29A" w14:textId="77777777" w:rsidR="007D0C4D" w:rsidRPr="00E430EF" w:rsidRDefault="007D0C4D" w:rsidP="00217C13">
            <w:pPr>
              <w:pStyle w:val="TableText"/>
              <w:rPr>
                <w:i/>
                <w:sz w:val="17"/>
                <w:szCs w:val="17"/>
              </w:rPr>
            </w:pPr>
            <w:r w:rsidRPr="00E430EF">
              <w:rPr>
                <w:i/>
                <w:sz w:val="17"/>
                <w:szCs w:val="17"/>
              </w:rPr>
              <w:t>CAV Corporate Plan</w:t>
            </w:r>
          </w:p>
        </w:tc>
        <w:tc>
          <w:tcPr>
            <w:tcW w:w="4252" w:type="dxa"/>
          </w:tcPr>
          <w:p w14:paraId="1BB4C4DD" w14:textId="77777777" w:rsidR="007D0C4D" w:rsidRPr="00E430EF" w:rsidRDefault="007D0C4D" w:rsidP="00217C13">
            <w:pPr>
              <w:pStyle w:val="TableText"/>
              <w:rPr>
                <w:i/>
                <w:sz w:val="17"/>
                <w:szCs w:val="17"/>
              </w:rPr>
            </w:pPr>
            <w:r w:rsidRPr="00E430EF">
              <w:rPr>
                <w:i/>
                <w:sz w:val="17"/>
                <w:szCs w:val="17"/>
              </w:rPr>
              <w:t>EMG meeting papers detailing projects for inclusion in the SOE process</w:t>
            </w:r>
          </w:p>
        </w:tc>
      </w:tr>
      <w:tr w:rsidR="007D0C4D" w:rsidRPr="00E430EF" w14:paraId="2E6C84DF" w14:textId="77777777" w:rsidTr="00217C13">
        <w:tc>
          <w:tcPr>
            <w:tcW w:w="4702" w:type="dxa"/>
          </w:tcPr>
          <w:p w14:paraId="3D81ACF4" w14:textId="77777777" w:rsidR="007D0C4D" w:rsidRPr="00E430EF" w:rsidRDefault="007D0C4D" w:rsidP="00217C13">
            <w:pPr>
              <w:pStyle w:val="TableText"/>
              <w:rPr>
                <w:i/>
                <w:sz w:val="17"/>
                <w:szCs w:val="17"/>
              </w:rPr>
            </w:pPr>
            <w:r w:rsidRPr="00E430EF">
              <w:rPr>
                <w:i/>
                <w:sz w:val="17"/>
                <w:szCs w:val="17"/>
              </w:rPr>
              <w:t>30 June 2018 Statement of Expectations Progress Report</w:t>
            </w:r>
          </w:p>
        </w:tc>
        <w:tc>
          <w:tcPr>
            <w:tcW w:w="4252" w:type="dxa"/>
          </w:tcPr>
          <w:p w14:paraId="32D4F29F" w14:textId="11BDD2C3" w:rsidR="007D0C4D" w:rsidRPr="00E430EF" w:rsidRDefault="00781A05" w:rsidP="00217C13">
            <w:pPr>
              <w:pStyle w:val="TableText"/>
              <w:rPr>
                <w:i/>
                <w:sz w:val="17"/>
                <w:szCs w:val="17"/>
              </w:rPr>
            </w:pPr>
            <w:r w:rsidRPr="00E430EF">
              <w:rPr>
                <w:i/>
                <w:sz w:val="17"/>
                <w:szCs w:val="17"/>
              </w:rPr>
              <w:t>M</w:t>
            </w:r>
            <w:r w:rsidR="00D835AB" w:rsidRPr="00E430EF">
              <w:rPr>
                <w:i/>
                <w:sz w:val="17"/>
                <w:szCs w:val="17"/>
              </w:rPr>
              <w:t>inister</w:t>
            </w:r>
            <w:r w:rsidR="007D0C4D" w:rsidRPr="00E430EF">
              <w:rPr>
                <w:i/>
                <w:sz w:val="17"/>
                <w:szCs w:val="17"/>
              </w:rPr>
              <w:t>ial briefings</w:t>
            </w:r>
          </w:p>
        </w:tc>
      </w:tr>
      <w:tr w:rsidR="007D0C4D" w:rsidRPr="00E430EF" w14:paraId="08242EEC" w14:textId="77777777" w:rsidTr="00217C13">
        <w:trPr>
          <w:trHeight w:val="756"/>
        </w:trPr>
        <w:tc>
          <w:tcPr>
            <w:tcW w:w="4702" w:type="dxa"/>
          </w:tcPr>
          <w:p w14:paraId="143220F4" w14:textId="77777777" w:rsidR="007D0C4D" w:rsidRPr="00E430EF" w:rsidRDefault="007D0C4D" w:rsidP="00217C13">
            <w:pPr>
              <w:pStyle w:val="TableText"/>
              <w:rPr>
                <w:i/>
                <w:sz w:val="17"/>
                <w:szCs w:val="17"/>
              </w:rPr>
            </w:pPr>
            <w:r w:rsidRPr="00E430EF">
              <w:rPr>
                <w:i/>
                <w:sz w:val="17"/>
                <w:szCs w:val="17"/>
              </w:rPr>
              <w:t>20 April 2017 Status Report on 2016-17 SOE projects</w:t>
            </w:r>
          </w:p>
        </w:tc>
        <w:tc>
          <w:tcPr>
            <w:tcW w:w="4252" w:type="dxa"/>
          </w:tcPr>
          <w:p w14:paraId="6226DE1F" w14:textId="77777777" w:rsidR="007D0C4D" w:rsidRPr="00E430EF" w:rsidRDefault="007D0C4D" w:rsidP="00217C13">
            <w:pPr>
              <w:pStyle w:val="TableText"/>
              <w:rPr>
                <w:i/>
                <w:sz w:val="17"/>
                <w:szCs w:val="17"/>
              </w:rPr>
            </w:pPr>
            <w:r w:rsidRPr="00E430EF">
              <w:rPr>
                <w:i/>
                <w:sz w:val="17"/>
                <w:szCs w:val="17"/>
              </w:rPr>
              <w:t>RTBA annual reports 2016-17; 2017-18</w:t>
            </w:r>
          </w:p>
        </w:tc>
      </w:tr>
      <w:tr w:rsidR="007D0C4D" w:rsidRPr="00E430EF" w14:paraId="38594FAC" w14:textId="77777777" w:rsidTr="00217C13">
        <w:trPr>
          <w:trHeight w:val="756"/>
        </w:trPr>
        <w:tc>
          <w:tcPr>
            <w:tcW w:w="4702" w:type="dxa"/>
          </w:tcPr>
          <w:p w14:paraId="6F28B72C" w14:textId="77777777" w:rsidR="007D0C4D" w:rsidRPr="00E430EF" w:rsidRDefault="007D0C4D" w:rsidP="00217C13">
            <w:pPr>
              <w:pStyle w:val="TableText"/>
              <w:rPr>
                <w:i/>
                <w:sz w:val="17"/>
                <w:szCs w:val="17"/>
              </w:rPr>
            </w:pPr>
            <w:r w:rsidRPr="00E430EF">
              <w:rPr>
                <w:i/>
                <w:sz w:val="17"/>
                <w:szCs w:val="17"/>
              </w:rPr>
              <w:t>CAV branch plans</w:t>
            </w:r>
          </w:p>
        </w:tc>
        <w:tc>
          <w:tcPr>
            <w:tcW w:w="4252" w:type="dxa"/>
          </w:tcPr>
          <w:p w14:paraId="08080FF8" w14:textId="77777777" w:rsidR="007D0C4D" w:rsidRPr="00E430EF" w:rsidRDefault="007D0C4D" w:rsidP="00217C13">
            <w:pPr>
              <w:pStyle w:val="TableText"/>
              <w:rPr>
                <w:i/>
                <w:sz w:val="17"/>
                <w:szCs w:val="17"/>
              </w:rPr>
            </w:pPr>
            <w:r w:rsidRPr="00E430EF">
              <w:rPr>
                <w:i/>
                <w:sz w:val="17"/>
                <w:szCs w:val="17"/>
              </w:rPr>
              <w:t>Campaign outcomes evaluation: Underquoting law changes for estate agents 2017</w:t>
            </w:r>
          </w:p>
        </w:tc>
      </w:tr>
      <w:tr w:rsidR="007D0C4D" w:rsidRPr="00E430EF" w14:paraId="4FA01C05" w14:textId="77777777" w:rsidTr="00217C13">
        <w:trPr>
          <w:trHeight w:val="756"/>
        </w:trPr>
        <w:tc>
          <w:tcPr>
            <w:tcW w:w="4702" w:type="dxa"/>
          </w:tcPr>
          <w:p w14:paraId="55524443" w14:textId="77777777" w:rsidR="007D0C4D" w:rsidRPr="00E430EF" w:rsidRDefault="007D0C4D" w:rsidP="00217C13">
            <w:pPr>
              <w:pStyle w:val="TableText"/>
              <w:rPr>
                <w:i/>
                <w:sz w:val="17"/>
                <w:szCs w:val="17"/>
              </w:rPr>
            </w:pPr>
            <w:r w:rsidRPr="00E430EF">
              <w:rPr>
                <w:i/>
                <w:sz w:val="17"/>
                <w:szCs w:val="17"/>
              </w:rPr>
              <w:t>Underquoting Consumer Campaign Evaluation</w:t>
            </w:r>
          </w:p>
        </w:tc>
        <w:tc>
          <w:tcPr>
            <w:tcW w:w="4252" w:type="dxa"/>
          </w:tcPr>
          <w:p w14:paraId="5011A2D1" w14:textId="79CBD3EF" w:rsidR="007D0C4D" w:rsidRPr="00E430EF" w:rsidRDefault="007D0C4D" w:rsidP="00122DDC">
            <w:pPr>
              <w:pStyle w:val="TableText"/>
              <w:rPr>
                <w:i/>
                <w:sz w:val="17"/>
                <w:szCs w:val="17"/>
              </w:rPr>
            </w:pPr>
            <w:r w:rsidRPr="00E430EF">
              <w:rPr>
                <w:i/>
                <w:sz w:val="17"/>
                <w:szCs w:val="17"/>
              </w:rPr>
              <w:t>CAV 201</w:t>
            </w:r>
            <w:r w:rsidR="00122DDC" w:rsidRPr="00E430EF">
              <w:rPr>
                <w:i/>
                <w:sz w:val="17"/>
                <w:szCs w:val="17"/>
              </w:rPr>
              <w:t>7</w:t>
            </w:r>
            <w:r w:rsidRPr="00E430EF">
              <w:rPr>
                <w:i/>
                <w:sz w:val="17"/>
                <w:szCs w:val="17"/>
              </w:rPr>
              <w:t>-18 Annual Report</w:t>
            </w:r>
          </w:p>
        </w:tc>
      </w:tr>
      <w:tr w:rsidR="007D0C4D" w:rsidRPr="00CB3285" w14:paraId="2CE384A7" w14:textId="77777777" w:rsidTr="00217C13">
        <w:tc>
          <w:tcPr>
            <w:tcW w:w="4702" w:type="dxa"/>
            <w:shd w:val="clear" w:color="auto" w:fill="16145F"/>
          </w:tcPr>
          <w:p w14:paraId="4C5FBB77" w14:textId="77777777" w:rsidR="007D0C4D" w:rsidRDefault="007D0C4D" w:rsidP="00217C13">
            <w:pPr>
              <w:pStyle w:val="TableHeader"/>
            </w:pPr>
            <w:r>
              <w:t>Survey</w:t>
            </w:r>
          </w:p>
        </w:tc>
        <w:tc>
          <w:tcPr>
            <w:tcW w:w="4252" w:type="dxa"/>
            <w:shd w:val="clear" w:color="auto" w:fill="16145F"/>
          </w:tcPr>
          <w:p w14:paraId="0FA7A14B" w14:textId="77777777" w:rsidR="007D0C4D" w:rsidRPr="00CB3285" w:rsidRDefault="007D0C4D" w:rsidP="00217C13">
            <w:pPr>
              <w:pStyle w:val="TableHeader"/>
            </w:pPr>
          </w:p>
        </w:tc>
      </w:tr>
      <w:tr w:rsidR="007D0C4D" w:rsidRPr="00E430EF" w14:paraId="7109C642" w14:textId="77777777" w:rsidTr="00217C13">
        <w:tc>
          <w:tcPr>
            <w:tcW w:w="4702" w:type="dxa"/>
          </w:tcPr>
          <w:p w14:paraId="2F64BC4E" w14:textId="77777777" w:rsidR="007D0C4D" w:rsidRPr="00E430EF" w:rsidRDefault="007D0C4D" w:rsidP="00217C13">
            <w:pPr>
              <w:pStyle w:val="TableText"/>
              <w:rPr>
                <w:sz w:val="17"/>
                <w:szCs w:val="17"/>
              </w:rPr>
            </w:pPr>
            <w:r w:rsidRPr="00E430EF">
              <w:rPr>
                <w:sz w:val="17"/>
                <w:szCs w:val="17"/>
              </w:rPr>
              <w:t>CAV General Managers</w:t>
            </w:r>
          </w:p>
        </w:tc>
        <w:tc>
          <w:tcPr>
            <w:tcW w:w="4252" w:type="dxa"/>
          </w:tcPr>
          <w:p w14:paraId="4698DAAC" w14:textId="77777777" w:rsidR="007D0C4D" w:rsidRPr="00E430EF" w:rsidRDefault="007D0C4D" w:rsidP="00217C13">
            <w:pPr>
              <w:pStyle w:val="TableText"/>
              <w:rPr>
                <w:sz w:val="17"/>
                <w:szCs w:val="17"/>
              </w:rPr>
            </w:pPr>
          </w:p>
        </w:tc>
      </w:tr>
      <w:tr w:rsidR="007D0C4D" w:rsidRPr="00CB3285" w14:paraId="631C9E72" w14:textId="77777777" w:rsidTr="00217C13">
        <w:tc>
          <w:tcPr>
            <w:tcW w:w="4702" w:type="dxa"/>
            <w:shd w:val="clear" w:color="auto" w:fill="16145F"/>
          </w:tcPr>
          <w:p w14:paraId="1F07C0A6" w14:textId="77777777" w:rsidR="007D0C4D" w:rsidRPr="00CB3285" w:rsidRDefault="007D0C4D" w:rsidP="00217C13">
            <w:pPr>
              <w:pStyle w:val="TableHeader"/>
            </w:pPr>
            <w:r>
              <w:t>Interviews</w:t>
            </w:r>
          </w:p>
        </w:tc>
        <w:tc>
          <w:tcPr>
            <w:tcW w:w="4252" w:type="dxa"/>
            <w:shd w:val="clear" w:color="auto" w:fill="16145F"/>
          </w:tcPr>
          <w:p w14:paraId="07765EB9" w14:textId="77777777" w:rsidR="007D0C4D" w:rsidRPr="00CB3285" w:rsidRDefault="007D0C4D" w:rsidP="00217C13">
            <w:pPr>
              <w:pStyle w:val="TableHeader"/>
            </w:pPr>
          </w:p>
        </w:tc>
      </w:tr>
      <w:tr w:rsidR="007D0C4D" w:rsidRPr="00E430EF" w14:paraId="385F00DA" w14:textId="77777777" w:rsidTr="00217C13">
        <w:tc>
          <w:tcPr>
            <w:tcW w:w="4702" w:type="dxa"/>
          </w:tcPr>
          <w:p w14:paraId="5BF760F1" w14:textId="77777777" w:rsidR="007D0C4D" w:rsidRPr="00E430EF" w:rsidRDefault="007D0C4D" w:rsidP="00217C13">
            <w:pPr>
              <w:pStyle w:val="TableText"/>
              <w:rPr>
                <w:sz w:val="17"/>
                <w:szCs w:val="17"/>
              </w:rPr>
            </w:pPr>
            <w:r w:rsidRPr="00E430EF">
              <w:rPr>
                <w:sz w:val="17"/>
                <w:szCs w:val="17"/>
              </w:rPr>
              <w:t>Director Consumer Affairs</w:t>
            </w:r>
          </w:p>
        </w:tc>
        <w:tc>
          <w:tcPr>
            <w:tcW w:w="4252" w:type="dxa"/>
          </w:tcPr>
          <w:p w14:paraId="3C4EDC1C" w14:textId="77777777" w:rsidR="007D0C4D" w:rsidRPr="00E430EF" w:rsidRDefault="007D0C4D" w:rsidP="00217C13">
            <w:pPr>
              <w:pStyle w:val="TableText"/>
              <w:rPr>
                <w:sz w:val="17"/>
                <w:szCs w:val="17"/>
              </w:rPr>
            </w:pPr>
            <w:r w:rsidRPr="00E430EF">
              <w:rPr>
                <w:sz w:val="17"/>
                <w:szCs w:val="17"/>
              </w:rPr>
              <w:t>Senior regulatory analysis team members</w:t>
            </w:r>
          </w:p>
        </w:tc>
      </w:tr>
      <w:tr w:rsidR="007D0C4D" w:rsidRPr="00E430EF" w14:paraId="35706396" w14:textId="77777777" w:rsidTr="00217C13">
        <w:tc>
          <w:tcPr>
            <w:tcW w:w="4702" w:type="dxa"/>
          </w:tcPr>
          <w:p w14:paraId="2FB08D81" w14:textId="77777777" w:rsidR="007D0C4D" w:rsidRPr="00E430EF" w:rsidRDefault="007D0C4D" w:rsidP="00217C13">
            <w:pPr>
              <w:pStyle w:val="TableText"/>
              <w:rPr>
                <w:sz w:val="17"/>
                <w:szCs w:val="17"/>
              </w:rPr>
            </w:pPr>
            <w:r w:rsidRPr="00E430EF">
              <w:rPr>
                <w:sz w:val="17"/>
                <w:szCs w:val="17"/>
              </w:rPr>
              <w:t>CAV General Managers</w:t>
            </w:r>
          </w:p>
        </w:tc>
        <w:tc>
          <w:tcPr>
            <w:tcW w:w="4252" w:type="dxa"/>
          </w:tcPr>
          <w:p w14:paraId="23314D54" w14:textId="77777777" w:rsidR="007D0C4D" w:rsidRPr="00E430EF" w:rsidRDefault="007D0C4D" w:rsidP="00217C13">
            <w:pPr>
              <w:pStyle w:val="TableText"/>
              <w:rPr>
                <w:sz w:val="17"/>
                <w:szCs w:val="17"/>
              </w:rPr>
            </w:pPr>
          </w:p>
        </w:tc>
      </w:tr>
    </w:tbl>
    <w:p w14:paraId="7183C289" w14:textId="77777777" w:rsidR="007D0C4D" w:rsidRDefault="007D0C4D" w:rsidP="00F52631">
      <w:pPr>
        <w:pStyle w:val="BodyText-List"/>
        <w:numPr>
          <w:ilvl w:val="0"/>
          <w:numId w:val="0"/>
        </w:numPr>
        <w:ind w:left="1190" w:hanging="396"/>
      </w:pPr>
    </w:p>
    <w:p w14:paraId="075BD9F2" w14:textId="77777777" w:rsidR="00F52631" w:rsidRDefault="00F52631" w:rsidP="00576F81">
      <w:pPr>
        <w:pStyle w:val="AppendixHeading1"/>
        <w:rPr>
          <w:color w:val="16145F" w:themeColor="accent3"/>
        </w:rPr>
      </w:pPr>
      <w:bookmarkStart w:id="61" w:name="_Toc515606173"/>
      <w:bookmarkStart w:id="62" w:name="_Ref524436171"/>
      <w:bookmarkStart w:id="63" w:name="_Ref524436172"/>
      <w:bookmarkStart w:id="64" w:name="_Ref524436173"/>
      <w:bookmarkStart w:id="65" w:name="_Toc527370740"/>
      <w:bookmarkStart w:id="66" w:name="_Ref527547952"/>
      <w:bookmarkStart w:id="67" w:name="_Toc533678792"/>
      <w:r w:rsidRPr="000C27C1">
        <w:rPr>
          <w:color w:val="16145F" w:themeColor="accent3"/>
        </w:rPr>
        <w:lastRenderedPageBreak/>
        <w:t xml:space="preserve">Outcome evaluation </w:t>
      </w:r>
      <w:bookmarkEnd w:id="61"/>
      <w:bookmarkEnd w:id="62"/>
      <w:bookmarkEnd w:id="63"/>
      <w:bookmarkEnd w:id="64"/>
      <w:bookmarkEnd w:id="65"/>
      <w:r w:rsidR="00592609">
        <w:rPr>
          <w:color w:val="16145F" w:themeColor="accent3"/>
        </w:rPr>
        <w:t>methodology</w:t>
      </w:r>
      <w:bookmarkEnd w:id="66"/>
      <w:bookmarkEnd w:id="67"/>
    </w:p>
    <w:p w14:paraId="0B21C065" w14:textId="77777777" w:rsidR="002129CD" w:rsidRDefault="002129CD" w:rsidP="002129CD">
      <w:pPr>
        <w:pStyle w:val="DJRbody"/>
      </w:pPr>
      <w:r>
        <w:t>The SOE Guidelines provided a suggested data collection table for the SOE outcome evaluation. The key evaluation questions in this table were:</w:t>
      </w:r>
    </w:p>
    <w:p w14:paraId="28DE98A4" w14:textId="77777777" w:rsidR="002129CD" w:rsidRDefault="002129CD" w:rsidP="002129CD">
      <w:pPr>
        <w:pStyle w:val="DJRbullet1"/>
      </w:pPr>
      <w:r>
        <w:t>What difference did the SOE make towards achieving greater efficiency and effectiveness in the administration and enforcement of regulation?</w:t>
      </w:r>
    </w:p>
    <w:p w14:paraId="7E929D06" w14:textId="77777777" w:rsidR="002129CD" w:rsidRDefault="002129CD" w:rsidP="002129CD">
      <w:pPr>
        <w:pStyle w:val="DJRbullet1"/>
      </w:pPr>
      <w:r>
        <w:t>To what extent did the regulator improve the elements of good regulatory practice as set out in the governance and performance matrix as outlined in the SOE Guidelines?</w:t>
      </w:r>
    </w:p>
    <w:p w14:paraId="599EDA07" w14:textId="42601C05" w:rsidR="002129CD" w:rsidRDefault="001F1176" w:rsidP="002129CD">
      <w:pPr>
        <w:pStyle w:val="DJRbodyafterbullets"/>
      </w:pPr>
      <w:r>
        <w:t xml:space="preserve">In the SOE Framework, three elements of good regulatory practice </w:t>
      </w:r>
      <w:proofErr w:type="gramStart"/>
      <w:r>
        <w:t>were identified</w:t>
      </w:r>
      <w:proofErr w:type="gramEnd"/>
      <w:r>
        <w:t xml:space="preserve"> as mandatory for all regulators. </w:t>
      </w:r>
      <w:r w:rsidR="002129CD">
        <w:t>These over-arching questions guided the outcomes questions and measures set out below</w:t>
      </w:r>
      <w:r>
        <w:t xml:space="preserve"> across these elements</w:t>
      </w:r>
      <w:r w:rsidR="002129CD">
        <w:t>.</w:t>
      </w:r>
    </w:p>
    <w:p w14:paraId="69C4CEB6" w14:textId="6CE140EA" w:rsidR="00F52631" w:rsidRDefault="00F52631" w:rsidP="00577E70">
      <w:pPr>
        <w:pStyle w:val="Heading2notappearinginTOC"/>
      </w:pPr>
      <w:bookmarkStart w:id="68" w:name="_Toc515606174"/>
      <w:bookmarkStart w:id="69" w:name="_Toc527370741"/>
      <w:r w:rsidRPr="000C27C1">
        <w:t>Timeliness</w:t>
      </w:r>
      <w:bookmarkEnd w:id="68"/>
      <w:bookmarkEnd w:id="69"/>
    </w:p>
    <w:tbl>
      <w:tblPr>
        <w:tblW w:w="4553" w:type="pct"/>
        <w:tblInd w:w="612" w:type="dxa"/>
        <w:tblBorders>
          <w:top w:val="single" w:sz="4" w:space="0" w:color="666366"/>
          <w:bottom w:val="single" w:sz="4" w:space="0" w:color="666366"/>
          <w:insideH w:val="single" w:sz="2" w:space="0" w:color="C0C0C0"/>
        </w:tblBorders>
        <w:tblLayout w:type="fixed"/>
        <w:tblCellMar>
          <w:top w:w="57" w:type="dxa"/>
          <w:bottom w:w="57" w:type="dxa"/>
        </w:tblCellMar>
        <w:tblLook w:val="0620" w:firstRow="1" w:lastRow="0" w:firstColumn="0" w:lastColumn="0" w:noHBand="1" w:noVBand="1"/>
      </w:tblPr>
      <w:tblGrid>
        <w:gridCol w:w="6040"/>
        <w:gridCol w:w="3243"/>
      </w:tblGrid>
      <w:tr w:rsidR="007D6AC6" w:rsidRPr="00FA4470" w14:paraId="2F739DEE" w14:textId="77777777" w:rsidTr="007D6AC6">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6145F"/>
            <w:vAlign w:val="bottom"/>
          </w:tcPr>
          <w:p w14:paraId="0839E0D9" w14:textId="02064FA0" w:rsidR="007D6AC6" w:rsidRPr="00FA4470" w:rsidRDefault="007D6AC6" w:rsidP="007D6AC6">
            <w:pPr>
              <w:pStyle w:val="TableHeader"/>
              <w:rPr>
                <w:rFonts w:eastAsia="Arial"/>
              </w:rPr>
            </w:pPr>
            <w:r w:rsidRPr="00FA4470">
              <w:rPr>
                <w:rFonts w:eastAsia="Arial"/>
              </w:rPr>
              <w:t>SOE Framework minimum standards and characteristics of best practice</w:t>
            </w:r>
            <w:r w:rsidR="00406B0D">
              <w:rPr>
                <w:rFonts w:eastAsia="Arial"/>
              </w:rPr>
              <w:t xml:space="preserve"> - Timeliness</w:t>
            </w:r>
          </w:p>
        </w:tc>
      </w:tr>
      <w:tr w:rsidR="007D6AC6" w:rsidRPr="00ED0692" w14:paraId="46E56C5A" w14:textId="77777777" w:rsidTr="007D6AC6">
        <w:trPr>
          <w:tblHeader/>
        </w:trPr>
        <w:tc>
          <w:tcPr>
            <w:tcW w:w="3253" w:type="pct"/>
            <w:tcBorders>
              <w:top w:val="single" w:sz="4" w:space="0" w:color="auto"/>
              <w:left w:val="single" w:sz="4" w:space="0" w:color="auto"/>
              <w:bottom w:val="single" w:sz="4" w:space="0" w:color="auto"/>
              <w:right w:val="single" w:sz="4" w:space="0" w:color="auto"/>
            </w:tcBorders>
            <w:shd w:val="clear" w:color="auto" w:fill="16145F"/>
            <w:vAlign w:val="bottom"/>
          </w:tcPr>
          <w:p w14:paraId="017E76AD" w14:textId="77777777" w:rsidR="007D6AC6" w:rsidRPr="00FA4470" w:rsidRDefault="007D6AC6" w:rsidP="007D6AC6">
            <w:pPr>
              <w:pStyle w:val="TableHeader"/>
              <w:rPr>
                <w:rFonts w:eastAsia="Arial"/>
              </w:rPr>
            </w:pPr>
            <w:r w:rsidRPr="00FA4470">
              <w:rPr>
                <w:rFonts w:eastAsia="Arial"/>
              </w:rPr>
              <w:t>Minimum standards</w:t>
            </w:r>
          </w:p>
        </w:tc>
        <w:tc>
          <w:tcPr>
            <w:tcW w:w="1747" w:type="pct"/>
            <w:tcBorders>
              <w:top w:val="single" w:sz="4" w:space="0" w:color="auto"/>
              <w:left w:val="single" w:sz="4" w:space="0" w:color="auto"/>
              <w:bottom w:val="single" w:sz="4" w:space="0" w:color="auto"/>
              <w:right w:val="single" w:sz="4" w:space="0" w:color="auto"/>
            </w:tcBorders>
            <w:shd w:val="clear" w:color="auto" w:fill="16145F"/>
            <w:vAlign w:val="bottom"/>
          </w:tcPr>
          <w:p w14:paraId="6B9B7BB3" w14:textId="77777777" w:rsidR="007D6AC6" w:rsidRPr="00FA4470" w:rsidRDefault="007D6AC6" w:rsidP="007D6AC6">
            <w:pPr>
              <w:pStyle w:val="TableHeader"/>
              <w:rPr>
                <w:rFonts w:eastAsia="Arial"/>
              </w:rPr>
            </w:pPr>
            <w:r w:rsidRPr="00FA4470">
              <w:rPr>
                <w:rFonts w:eastAsia="Arial"/>
              </w:rPr>
              <w:t>Characteristics of best practice</w:t>
            </w:r>
          </w:p>
        </w:tc>
      </w:tr>
      <w:tr w:rsidR="007D6AC6" w:rsidRPr="00E430EF" w14:paraId="1F396F4C" w14:textId="77777777" w:rsidTr="007D6AC6">
        <w:trPr>
          <w:cantSplit/>
        </w:trPr>
        <w:tc>
          <w:tcPr>
            <w:tcW w:w="3253" w:type="pct"/>
            <w:tcBorders>
              <w:top w:val="single" w:sz="4" w:space="0" w:color="auto"/>
              <w:left w:val="single" w:sz="4" w:space="0" w:color="auto"/>
              <w:bottom w:val="single" w:sz="4" w:space="0" w:color="auto"/>
              <w:right w:val="single" w:sz="4" w:space="0" w:color="auto"/>
            </w:tcBorders>
            <w:shd w:val="clear" w:color="auto" w:fill="auto"/>
          </w:tcPr>
          <w:p w14:paraId="6A7A947B" w14:textId="77777777" w:rsidR="007D6AC6" w:rsidRPr="00E430EF" w:rsidRDefault="007D6AC6" w:rsidP="007D6AC6">
            <w:pPr>
              <w:pStyle w:val="Tablebullet"/>
              <w:rPr>
                <w:szCs w:val="17"/>
              </w:rPr>
            </w:pPr>
            <w:r w:rsidRPr="00E430EF">
              <w:rPr>
                <w:szCs w:val="17"/>
              </w:rPr>
              <w:t>Processes/systems are in place to make it as easy as possible for businesses to complete forms.</w:t>
            </w:r>
          </w:p>
          <w:p w14:paraId="7B9F2013" w14:textId="77777777" w:rsidR="007D6AC6" w:rsidRPr="00E430EF" w:rsidRDefault="007D6AC6" w:rsidP="007D6AC6">
            <w:pPr>
              <w:pStyle w:val="Tablebullet"/>
              <w:rPr>
                <w:szCs w:val="17"/>
              </w:rPr>
            </w:pPr>
            <w:r w:rsidRPr="00E430EF">
              <w:rPr>
                <w:szCs w:val="17"/>
              </w:rPr>
              <w:t>Regulator provides clarity about the timing and scope of regulatory processes.</w:t>
            </w:r>
          </w:p>
          <w:p w14:paraId="229E8099" w14:textId="77777777" w:rsidR="007D6AC6" w:rsidRPr="00E430EF" w:rsidRDefault="007D6AC6" w:rsidP="007D6AC6">
            <w:pPr>
              <w:pStyle w:val="Tablebullet"/>
              <w:rPr>
                <w:szCs w:val="17"/>
              </w:rPr>
            </w:pPr>
            <w:r w:rsidRPr="00E430EF">
              <w:rPr>
                <w:szCs w:val="17"/>
              </w:rPr>
              <w:t>Timetables for completing forms take into account all requests for information that a regulated party is dealing with, including requests from other regulators.</w:t>
            </w:r>
          </w:p>
          <w:p w14:paraId="35B845A0" w14:textId="77777777" w:rsidR="007D6AC6" w:rsidRPr="00E430EF" w:rsidRDefault="007D6AC6" w:rsidP="007D6AC6">
            <w:pPr>
              <w:pStyle w:val="Tablebullet"/>
              <w:rPr>
                <w:rFonts w:eastAsia="Arial"/>
                <w:szCs w:val="17"/>
              </w:rPr>
            </w:pPr>
            <w:r w:rsidRPr="00E430EF">
              <w:rPr>
                <w:szCs w:val="17"/>
              </w:rPr>
              <w:t>Processes/systems are in place to make it easy for businesses to submit required data and to check on the status of any applications.</w:t>
            </w:r>
          </w:p>
        </w:tc>
        <w:tc>
          <w:tcPr>
            <w:tcW w:w="1747" w:type="pct"/>
            <w:tcBorders>
              <w:top w:val="single" w:sz="4" w:space="0" w:color="auto"/>
              <w:left w:val="single" w:sz="4" w:space="0" w:color="auto"/>
              <w:bottom w:val="single" w:sz="4" w:space="0" w:color="auto"/>
              <w:right w:val="single" w:sz="4" w:space="0" w:color="auto"/>
            </w:tcBorders>
            <w:shd w:val="clear" w:color="auto" w:fill="auto"/>
          </w:tcPr>
          <w:p w14:paraId="7953CF02" w14:textId="77777777" w:rsidR="007D6AC6" w:rsidRPr="00E430EF" w:rsidRDefault="007D6AC6" w:rsidP="007D6AC6">
            <w:pPr>
              <w:pStyle w:val="Tablebullet"/>
              <w:rPr>
                <w:rFonts w:eastAsia="Arial"/>
                <w:szCs w:val="17"/>
              </w:rPr>
            </w:pPr>
            <w:r w:rsidRPr="00E430EF">
              <w:rPr>
                <w:szCs w:val="17"/>
              </w:rPr>
              <w:t>Regulator strives for improved e</w:t>
            </w:r>
            <w:r w:rsidRPr="00E430EF">
              <w:rPr>
                <w:szCs w:val="17"/>
              </w:rPr>
              <w:noBreakHyphen/>
              <w:t>capability.</w:t>
            </w:r>
          </w:p>
        </w:tc>
      </w:tr>
    </w:tbl>
    <w:p w14:paraId="553CD4CD" w14:textId="5997C9DD" w:rsidR="00592609" w:rsidRPr="00592609" w:rsidRDefault="00592609" w:rsidP="00592609">
      <w:pPr>
        <w:pStyle w:val="Heading4"/>
        <w:rPr>
          <w:lang w:val="en-US"/>
        </w:rPr>
      </w:pPr>
      <w:r>
        <w:rPr>
          <w:lang w:val="en-US"/>
        </w:rPr>
        <w:t>Evaluation questions</w:t>
      </w:r>
      <w:r w:rsidR="007D6AC6">
        <w:rPr>
          <w:lang w:val="en-US"/>
        </w:rPr>
        <w:t xml:space="preserve"> - </w:t>
      </w:r>
      <w:r w:rsidR="007D6AC6">
        <w:t xml:space="preserve">Submit data </w:t>
      </w:r>
      <w:r w:rsidR="00122DDC">
        <w:t>on-line</w:t>
      </w:r>
      <w:r w:rsidR="007D6AC6">
        <w:t xml:space="preserve"> and check application status</w:t>
      </w:r>
    </w:p>
    <w:tbl>
      <w:tblPr>
        <w:tblW w:w="47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99"/>
        <w:gridCol w:w="2397"/>
        <w:gridCol w:w="2394"/>
        <w:gridCol w:w="2392"/>
      </w:tblGrid>
      <w:tr w:rsidR="00C949A2" w:rsidRPr="00334EED" w14:paraId="273B4054" w14:textId="57AED816" w:rsidTr="00A32534">
        <w:trPr>
          <w:tblHeader/>
        </w:trPr>
        <w:tc>
          <w:tcPr>
            <w:tcW w:w="1252" w:type="pct"/>
            <w:shd w:val="clear" w:color="auto" w:fill="16145F"/>
          </w:tcPr>
          <w:p w14:paraId="19BC9E1B" w14:textId="77777777" w:rsidR="00C949A2" w:rsidRPr="00334EED" w:rsidRDefault="00C949A2" w:rsidP="00F86C0E">
            <w:pPr>
              <w:pStyle w:val="TableHeader"/>
            </w:pPr>
            <w:r w:rsidRPr="00334EED">
              <w:t>SOE improvement statement</w:t>
            </w:r>
          </w:p>
        </w:tc>
        <w:tc>
          <w:tcPr>
            <w:tcW w:w="1251" w:type="pct"/>
            <w:shd w:val="clear" w:color="auto" w:fill="16145F"/>
          </w:tcPr>
          <w:p w14:paraId="740A3F48" w14:textId="77777777" w:rsidR="00C949A2" w:rsidRPr="00334EED" w:rsidRDefault="00C949A2" w:rsidP="00F86C0E">
            <w:pPr>
              <w:pStyle w:val="TableHeader"/>
            </w:pPr>
            <w:r w:rsidRPr="00334EED">
              <w:t>Regulator response</w:t>
            </w:r>
          </w:p>
        </w:tc>
        <w:tc>
          <w:tcPr>
            <w:tcW w:w="1249" w:type="pct"/>
            <w:shd w:val="clear" w:color="auto" w:fill="16145F"/>
          </w:tcPr>
          <w:p w14:paraId="482AA651" w14:textId="77777777" w:rsidR="00C949A2" w:rsidRPr="00334EED" w:rsidRDefault="00C949A2" w:rsidP="00F86C0E">
            <w:pPr>
              <w:pStyle w:val="TableHeader"/>
              <w:rPr>
                <w:bCs/>
              </w:rPr>
            </w:pPr>
            <w:r w:rsidRPr="00334EED">
              <w:rPr>
                <w:bCs/>
              </w:rPr>
              <w:t>Key Questions</w:t>
            </w:r>
          </w:p>
        </w:tc>
        <w:tc>
          <w:tcPr>
            <w:tcW w:w="1248" w:type="pct"/>
            <w:shd w:val="clear" w:color="auto" w:fill="16145F"/>
          </w:tcPr>
          <w:p w14:paraId="69A4A519" w14:textId="542C1C94" w:rsidR="00C949A2" w:rsidRPr="00334EED" w:rsidRDefault="00C949A2" w:rsidP="00F86C0E">
            <w:pPr>
              <w:pStyle w:val="TableHeader"/>
              <w:rPr>
                <w:bCs/>
              </w:rPr>
            </w:pPr>
            <w:r>
              <w:rPr>
                <w:bCs/>
              </w:rPr>
              <w:t>Suggested Measures</w:t>
            </w:r>
          </w:p>
        </w:tc>
      </w:tr>
      <w:tr w:rsidR="00C949A2" w:rsidRPr="00E430EF" w14:paraId="5ECD5291" w14:textId="6C5E9981" w:rsidTr="00A32534">
        <w:tc>
          <w:tcPr>
            <w:tcW w:w="1252" w:type="pct"/>
            <w:shd w:val="clear" w:color="auto" w:fill="auto"/>
          </w:tcPr>
          <w:p w14:paraId="271F9442" w14:textId="307094E5" w:rsidR="00C949A2" w:rsidRPr="00E430EF" w:rsidRDefault="00C949A2" w:rsidP="00C949A2">
            <w:pPr>
              <w:pStyle w:val="TableText"/>
              <w:rPr>
                <w:sz w:val="17"/>
                <w:szCs w:val="17"/>
              </w:rPr>
            </w:pPr>
            <w:r w:rsidRPr="00E430EF">
              <w:rPr>
                <w:sz w:val="17"/>
                <w:szCs w:val="17"/>
              </w:rPr>
              <w:t xml:space="preserve">Make it easier for licensees and registrants to submit required data </w:t>
            </w:r>
            <w:r w:rsidR="00122DDC" w:rsidRPr="00E430EF">
              <w:rPr>
                <w:sz w:val="17"/>
                <w:szCs w:val="17"/>
              </w:rPr>
              <w:t>on-line</w:t>
            </w:r>
            <w:r w:rsidRPr="00E430EF">
              <w:rPr>
                <w:sz w:val="17"/>
                <w:szCs w:val="17"/>
              </w:rPr>
              <w:t>, check on their application status and remain compliant with their obligations</w:t>
            </w:r>
          </w:p>
        </w:tc>
        <w:tc>
          <w:tcPr>
            <w:tcW w:w="1251" w:type="pct"/>
            <w:shd w:val="clear" w:color="auto" w:fill="auto"/>
          </w:tcPr>
          <w:p w14:paraId="0187753B" w14:textId="77777777" w:rsidR="00C949A2" w:rsidRPr="00E430EF" w:rsidRDefault="00C949A2" w:rsidP="00C949A2">
            <w:pPr>
              <w:pStyle w:val="TableText"/>
              <w:rPr>
                <w:sz w:val="17"/>
                <w:szCs w:val="17"/>
              </w:rPr>
            </w:pPr>
            <w:r w:rsidRPr="00E430EF">
              <w:rPr>
                <w:sz w:val="17"/>
                <w:szCs w:val="17"/>
              </w:rPr>
              <w:t>More efficient digital services</w:t>
            </w:r>
          </w:p>
          <w:p w14:paraId="44A91653" w14:textId="77777777" w:rsidR="00C949A2" w:rsidRPr="00E430EF" w:rsidRDefault="00C949A2" w:rsidP="00C949A2">
            <w:pPr>
              <w:pStyle w:val="Tablebullet"/>
              <w:rPr>
                <w:szCs w:val="17"/>
              </w:rPr>
            </w:pPr>
            <w:r w:rsidRPr="00E430EF">
              <w:rPr>
                <w:szCs w:val="17"/>
              </w:rPr>
              <w:t>Replace legacy systems with enterprise wide application</w:t>
            </w:r>
          </w:p>
          <w:p w14:paraId="25CA4958" w14:textId="77777777" w:rsidR="00C949A2" w:rsidRPr="00E430EF" w:rsidRDefault="00C949A2" w:rsidP="00C949A2">
            <w:pPr>
              <w:pStyle w:val="Tablebullet"/>
              <w:rPr>
                <w:szCs w:val="17"/>
              </w:rPr>
            </w:pPr>
            <w:r w:rsidRPr="00E430EF">
              <w:rPr>
                <w:szCs w:val="17"/>
              </w:rPr>
              <w:t xml:space="preserve">Extend </w:t>
            </w:r>
            <w:proofErr w:type="spellStart"/>
            <w:r w:rsidRPr="00E430EF">
              <w:rPr>
                <w:szCs w:val="17"/>
              </w:rPr>
              <w:t>myCAV</w:t>
            </w:r>
            <w:proofErr w:type="spellEnd"/>
            <w:r w:rsidRPr="00E430EF">
              <w:rPr>
                <w:szCs w:val="17"/>
              </w:rPr>
              <w:t xml:space="preserve"> for licensing and registration transactions</w:t>
            </w:r>
          </w:p>
        </w:tc>
        <w:tc>
          <w:tcPr>
            <w:tcW w:w="1249" w:type="pct"/>
            <w:shd w:val="clear" w:color="auto" w:fill="auto"/>
          </w:tcPr>
          <w:p w14:paraId="5C6C7614" w14:textId="77777777" w:rsidR="00C949A2" w:rsidRPr="00E430EF" w:rsidRDefault="00C949A2" w:rsidP="00C949A2">
            <w:pPr>
              <w:pStyle w:val="Tablebullet"/>
              <w:rPr>
                <w:szCs w:val="17"/>
              </w:rPr>
            </w:pPr>
            <w:r w:rsidRPr="00E430EF">
              <w:rPr>
                <w:szCs w:val="17"/>
              </w:rPr>
              <w:t>What proportion of eligible licensees use the portal?</w:t>
            </w:r>
          </w:p>
          <w:p w14:paraId="47FAD78C" w14:textId="4FB526F6" w:rsidR="00C949A2" w:rsidRPr="00E430EF" w:rsidRDefault="00C949A2" w:rsidP="00C949A2">
            <w:pPr>
              <w:pStyle w:val="Tablebullet"/>
              <w:rPr>
                <w:szCs w:val="17"/>
              </w:rPr>
            </w:pPr>
            <w:r w:rsidRPr="00E430EF">
              <w:rPr>
                <w:szCs w:val="17"/>
              </w:rPr>
              <w:t>Can applicants check the progress of their application on</w:t>
            </w:r>
            <w:r w:rsidR="00122DDC" w:rsidRPr="00E430EF">
              <w:rPr>
                <w:szCs w:val="17"/>
              </w:rPr>
              <w:t>-</w:t>
            </w:r>
            <w:r w:rsidRPr="00E430EF">
              <w:rPr>
                <w:szCs w:val="17"/>
              </w:rPr>
              <w:t>line (milestone reporting)?</w:t>
            </w:r>
          </w:p>
          <w:p w14:paraId="7D2C007B" w14:textId="77777777" w:rsidR="00C949A2" w:rsidRPr="00E430EF" w:rsidRDefault="00C949A2" w:rsidP="00C949A2">
            <w:pPr>
              <w:pStyle w:val="Tablebullet"/>
              <w:rPr>
                <w:szCs w:val="17"/>
              </w:rPr>
            </w:pPr>
            <w:r w:rsidRPr="00E430EF">
              <w:rPr>
                <w:szCs w:val="17"/>
              </w:rPr>
              <w:t>What is the volume of traffic on the website?</w:t>
            </w:r>
          </w:p>
          <w:p w14:paraId="1C1B5ABC" w14:textId="77777777" w:rsidR="00C949A2" w:rsidRPr="00E430EF" w:rsidRDefault="00C949A2" w:rsidP="00C949A2">
            <w:pPr>
              <w:pStyle w:val="Tablebullet"/>
              <w:rPr>
                <w:szCs w:val="17"/>
              </w:rPr>
            </w:pPr>
            <w:r w:rsidRPr="00E430EF">
              <w:rPr>
                <w:szCs w:val="17"/>
              </w:rPr>
              <w:t xml:space="preserve">What internal cost savings </w:t>
            </w:r>
            <w:proofErr w:type="gramStart"/>
            <w:r w:rsidRPr="00E430EF">
              <w:rPr>
                <w:szCs w:val="17"/>
              </w:rPr>
              <w:t>have been made</w:t>
            </w:r>
            <w:proofErr w:type="gramEnd"/>
            <w:r w:rsidRPr="00E430EF">
              <w:rPr>
                <w:szCs w:val="17"/>
              </w:rPr>
              <w:t>?</w:t>
            </w:r>
          </w:p>
          <w:p w14:paraId="60748F13" w14:textId="77777777" w:rsidR="00C949A2" w:rsidRPr="00E430EF" w:rsidRDefault="00C949A2" w:rsidP="00C949A2">
            <w:pPr>
              <w:pStyle w:val="Tablebullet"/>
              <w:rPr>
                <w:szCs w:val="17"/>
              </w:rPr>
            </w:pPr>
            <w:r w:rsidRPr="00E430EF">
              <w:rPr>
                <w:szCs w:val="17"/>
              </w:rPr>
              <w:t>What new mechanisms are in place to provide advice and information (such as guidelines)?</w:t>
            </w:r>
          </w:p>
          <w:p w14:paraId="72A1AF41" w14:textId="77777777" w:rsidR="00C949A2" w:rsidRPr="00E430EF" w:rsidRDefault="00C949A2" w:rsidP="00C949A2">
            <w:pPr>
              <w:pStyle w:val="Tablebullet"/>
              <w:rPr>
                <w:szCs w:val="17"/>
              </w:rPr>
            </w:pPr>
            <w:r w:rsidRPr="00E430EF">
              <w:rPr>
                <w:szCs w:val="17"/>
              </w:rPr>
              <w:t>Where is this information available?</w:t>
            </w:r>
          </w:p>
          <w:p w14:paraId="3FCD4B45" w14:textId="77777777" w:rsidR="00C949A2" w:rsidRPr="00E430EF" w:rsidRDefault="00C949A2" w:rsidP="00C949A2">
            <w:pPr>
              <w:pStyle w:val="Tablebullet"/>
              <w:rPr>
                <w:szCs w:val="17"/>
              </w:rPr>
            </w:pPr>
            <w:r w:rsidRPr="00E430EF">
              <w:rPr>
                <w:szCs w:val="17"/>
              </w:rPr>
              <w:t>How has CAV improved its responsiveness in time/processes?</w:t>
            </w:r>
          </w:p>
          <w:p w14:paraId="41CD7D3E" w14:textId="77777777" w:rsidR="00C949A2" w:rsidRPr="00E430EF" w:rsidRDefault="00C949A2" w:rsidP="00C949A2">
            <w:pPr>
              <w:pStyle w:val="Tablebullet"/>
              <w:rPr>
                <w:szCs w:val="17"/>
              </w:rPr>
            </w:pPr>
            <w:r w:rsidRPr="00E430EF">
              <w:rPr>
                <w:szCs w:val="17"/>
              </w:rPr>
              <w:lastRenderedPageBreak/>
              <w:t xml:space="preserve">What </w:t>
            </w:r>
            <w:proofErr w:type="gramStart"/>
            <w:r w:rsidRPr="00E430EF">
              <w:rPr>
                <w:szCs w:val="17"/>
              </w:rPr>
              <w:t>is the average time saved</w:t>
            </w:r>
            <w:proofErr w:type="gramEnd"/>
            <w:r w:rsidRPr="00E430EF">
              <w:rPr>
                <w:szCs w:val="17"/>
              </w:rPr>
              <w:t xml:space="preserve"> per applicant?</w:t>
            </w:r>
          </w:p>
          <w:p w14:paraId="034A91F0" w14:textId="77777777" w:rsidR="00C949A2" w:rsidRPr="00E430EF" w:rsidRDefault="00C949A2" w:rsidP="00C949A2">
            <w:pPr>
              <w:pStyle w:val="Tablebullet"/>
              <w:rPr>
                <w:bCs/>
                <w:szCs w:val="17"/>
              </w:rPr>
            </w:pPr>
            <w:r w:rsidRPr="00E430EF">
              <w:rPr>
                <w:szCs w:val="17"/>
              </w:rPr>
              <w:t>What barriers were there to implementation?</w:t>
            </w:r>
          </w:p>
        </w:tc>
        <w:tc>
          <w:tcPr>
            <w:tcW w:w="1248" w:type="pct"/>
          </w:tcPr>
          <w:p w14:paraId="3648A789" w14:textId="265AD891" w:rsidR="00C949A2" w:rsidRPr="00E430EF" w:rsidRDefault="00E6647B" w:rsidP="00C949A2">
            <w:pPr>
              <w:pStyle w:val="Tablebullet"/>
              <w:rPr>
                <w:szCs w:val="17"/>
              </w:rPr>
            </w:pPr>
            <w:r w:rsidRPr="00E430EF">
              <w:rPr>
                <w:szCs w:val="17"/>
              </w:rPr>
              <w:lastRenderedPageBreak/>
              <w:t>P</w:t>
            </w:r>
            <w:r w:rsidR="0069182A" w:rsidRPr="00E430EF">
              <w:rPr>
                <w:szCs w:val="17"/>
              </w:rPr>
              <w:t xml:space="preserve">er cent </w:t>
            </w:r>
            <w:r w:rsidR="00C949A2" w:rsidRPr="00E430EF">
              <w:rPr>
                <w:szCs w:val="17"/>
              </w:rPr>
              <w:t xml:space="preserve">of eligible licensees using </w:t>
            </w:r>
            <w:proofErr w:type="spellStart"/>
            <w:r w:rsidR="00C949A2" w:rsidRPr="00E430EF">
              <w:rPr>
                <w:szCs w:val="17"/>
              </w:rPr>
              <w:t>myCAV</w:t>
            </w:r>
            <w:proofErr w:type="spellEnd"/>
          </w:p>
          <w:p w14:paraId="1C500E1C" w14:textId="77777777" w:rsidR="00C949A2" w:rsidRPr="00E430EF" w:rsidRDefault="00C949A2" w:rsidP="00C949A2">
            <w:pPr>
              <w:pStyle w:val="Tablebullet"/>
              <w:rPr>
                <w:szCs w:val="17"/>
              </w:rPr>
            </w:pPr>
            <w:r w:rsidRPr="00E430EF">
              <w:rPr>
                <w:szCs w:val="17"/>
              </w:rPr>
              <w:t>Total number of enquiries</w:t>
            </w:r>
          </w:p>
          <w:p w14:paraId="463A0BC2" w14:textId="07A8AA2C" w:rsidR="00C949A2" w:rsidRPr="00E430EF" w:rsidRDefault="00122DDC" w:rsidP="00C949A2">
            <w:pPr>
              <w:pStyle w:val="Tablebullet"/>
              <w:rPr>
                <w:szCs w:val="17"/>
              </w:rPr>
            </w:pPr>
            <w:r w:rsidRPr="00E430EF">
              <w:rPr>
                <w:szCs w:val="17"/>
              </w:rPr>
              <w:t>On-line</w:t>
            </w:r>
            <w:r w:rsidR="00C949A2" w:rsidRPr="00E430EF">
              <w:rPr>
                <w:szCs w:val="17"/>
              </w:rPr>
              <w:t xml:space="preserve"> status checks per applicant</w:t>
            </w:r>
          </w:p>
          <w:p w14:paraId="0433D983" w14:textId="3BE1E52C" w:rsidR="00C949A2" w:rsidRPr="00E430EF" w:rsidRDefault="00C949A2" w:rsidP="00C949A2">
            <w:pPr>
              <w:pStyle w:val="Tablebullet"/>
              <w:rPr>
                <w:szCs w:val="17"/>
              </w:rPr>
            </w:pPr>
            <w:r w:rsidRPr="00E430EF">
              <w:rPr>
                <w:szCs w:val="17"/>
              </w:rPr>
              <w:t>Average time saved per applicant</w:t>
            </w:r>
          </w:p>
        </w:tc>
      </w:tr>
    </w:tbl>
    <w:p w14:paraId="5220CD6F" w14:textId="2FE41A81" w:rsidR="007D6AC6" w:rsidRDefault="007D6AC6" w:rsidP="007D6AC6">
      <w:pPr>
        <w:pStyle w:val="Heading4"/>
      </w:pPr>
      <w:r>
        <w:t xml:space="preserve">Data sources and evidence - Submit data </w:t>
      </w:r>
      <w:r w:rsidR="00122DDC">
        <w:t>on-line</w:t>
      </w:r>
      <w:r>
        <w:t xml:space="preserve"> and check application status</w:t>
      </w:r>
    </w:p>
    <w:tbl>
      <w:tblPr>
        <w:tblStyle w:val="DJRReporttablestyleNavy"/>
        <w:tblW w:w="8954" w:type="dxa"/>
        <w:tblLook w:val="04A0" w:firstRow="1" w:lastRow="0" w:firstColumn="1" w:lastColumn="0" w:noHBand="0" w:noVBand="1"/>
      </w:tblPr>
      <w:tblGrid>
        <w:gridCol w:w="4702"/>
        <w:gridCol w:w="4252"/>
      </w:tblGrid>
      <w:tr w:rsidR="007D6AC6" w:rsidRPr="00CB3285" w14:paraId="6448DE4A" w14:textId="77777777" w:rsidTr="007D6AC6">
        <w:trPr>
          <w:cnfStyle w:val="100000000000" w:firstRow="1" w:lastRow="0" w:firstColumn="0" w:lastColumn="0" w:oddVBand="0" w:evenVBand="0" w:oddHBand="0" w:evenHBand="0" w:firstRowFirstColumn="0" w:firstRowLastColumn="0" w:lastRowFirstColumn="0" w:lastRowLastColumn="0"/>
          <w:tblHeader/>
        </w:trPr>
        <w:tc>
          <w:tcPr>
            <w:tcW w:w="4702" w:type="dxa"/>
            <w:shd w:val="clear" w:color="auto" w:fill="16145F"/>
          </w:tcPr>
          <w:p w14:paraId="4F75F9A9" w14:textId="77777777" w:rsidR="007D6AC6" w:rsidRPr="00CB3285" w:rsidRDefault="007D6AC6" w:rsidP="007D6AC6">
            <w:pPr>
              <w:pStyle w:val="TableHeader"/>
            </w:pPr>
            <w:r>
              <w:t>Evidence Reviewed</w:t>
            </w:r>
          </w:p>
        </w:tc>
        <w:tc>
          <w:tcPr>
            <w:tcW w:w="4252" w:type="dxa"/>
            <w:shd w:val="clear" w:color="auto" w:fill="16145F"/>
          </w:tcPr>
          <w:p w14:paraId="7BF7962B" w14:textId="77777777" w:rsidR="007D6AC6" w:rsidRPr="00CB3285" w:rsidRDefault="007D6AC6" w:rsidP="007D6AC6">
            <w:pPr>
              <w:pStyle w:val="TableHeader"/>
            </w:pPr>
          </w:p>
        </w:tc>
      </w:tr>
      <w:tr w:rsidR="007D6AC6" w:rsidRPr="00E430EF" w14:paraId="4064DD2A" w14:textId="77777777" w:rsidTr="007D6AC6">
        <w:tc>
          <w:tcPr>
            <w:tcW w:w="4702" w:type="dxa"/>
          </w:tcPr>
          <w:p w14:paraId="5A84A1A9" w14:textId="77777777" w:rsidR="007D6AC6" w:rsidRPr="00E430EF" w:rsidRDefault="007D6AC6" w:rsidP="007D6AC6">
            <w:pPr>
              <w:pStyle w:val="TableText"/>
              <w:rPr>
                <w:sz w:val="17"/>
                <w:szCs w:val="17"/>
              </w:rPr>
            </w:pPr>
            <w:r w:rsidRPr="00E430EF">
              <w:rPr>
                <w:sz w:val="17"/>
                <w:szCs w:val="17"/>
              </w:rPr>
              <w:t>Project board minutes</w:t>
            </w:r>
          </w:p>
        </w:tc>
        <w:tc>
          <w:tcPr>
            <w:tcW w:w="4252" w:type="dxa"/>
          </w:tcPr>
          <w:p w14:paraId="2D3AB600" w14:textId="77777777" w:rsidR="007D6AC6" w:rsidRPr="00E430EF" w:rsidRDefault="007D6AC6" w:rsidP="007D6AC6">
            <w:pPr>
              <w:pStyle w:val="TableText"/>
              <w:rPr>
                <w:sz w:val="17"/>
                <w:szCs w:val="17"/>
              </w:rPr>
            </w:pPr>
            <w:r w:rsidRPr="00E430EF">
              <w:rPr>
                <w:sz w:val="17"/>
                <w:szCs w:val="17"/>
              </w:rPr>
              <w:t>Benefits plan and business cases</w:t>
            </w:r>
          </w:p>
        </w:tc>
      </w:tr>
      <w:tr w:rsidR="007D6AC6" w:rsidRPr="00E430EF" w14:paraId="3DDB82B1" w14:textId="77777777" w:rsidTr="007D6AC6">
        <w:tc>
          <w:tcPr>
            <w:tcW w:w="4702" w:type="dxa"/>
          </w:tcPr>
          <w:p w14:paraId="788572D0" w14:textId="77777777" w:rsidR="007D6AC6" w:rsidRPr="00E430EF" w:rsidRDefault="007D6AC6" w:rsidP="007D6AC6">
            <w:pPr>
              <w:pStyle w:val="TableText"/>
              <w:rPr>
                <w:sz w:val="17"/>
                <w:szCs w:val="17"/>
              </w:rPr>
            </w:pPr>
            <w:r w:rsidRPr="00E430EF">
              <w:rPr>
                <w:sz w:val="17"/>
                <w:szCs w:val="17"/>
              </w:rPr>
              <w:t>Communications plan and collateral – EARL</w:t>
            </w:r>
          </w:p>
        </w:tc>
        <w:tc>
          <w:tcPr>
            <w:tcW w:w="4252" w:type="dxa"/>
          </w:tcPr>
          <w:p w14:paraId="32929E9C" w14:textId="77777777" w:rsidR="007D6AC6" w:rsidRPr="00E430EF" w:rsidRDefault="007D6AC6" w:rsidP="007D6AC6">
            <w:pPr>
              <w:pStyle w:val="TableText"/>
              <w:rPr>
                <w:sz w:val="17"/>
                <w:szCs w:val="17"/>
              </w:rPr>
            </w:pPr>
            <w:r w:rsidRPr="00E430EF">
              <w:rPr>
                <w:sz w:val="17"/>
                <w:szCs w:val="17"/>
              </w:rPr>
              <w:t>Post implementation review - EARL</w:t>
            </w:r>
          </w:p>
        </w:tc>
      </w:tr>
      <w:tr w:rsidR="007D6AC6" w:rsidRPr="00E430EF" w14:paraId="70320575" w14:textId="77777777" w:rsidTr="007D6AC6">
        <w:trPr>
          <w:trHeight w:val="450"/>
        </w:trPr>
        <w:tc>
          <w:tcPr>
            <w:tcW w:w="4702" w:type="dxa"/>
          </w:tcPr>
          <w:p w14:paraId="293186BC" w14:textId="77777777" w:rsidR="007D6AC6" w:rsidRPr="00E430EF" w:rsidRDefault="007D6AC6" w:rsidP="007D6AC6">
            <w:pPr>
              <w:pStyle w:val="TableText"/>
              <w:rPr>
                <w:sz w:val="17"/>
                <w:szCs w:val="17"/>
              </w:rPr>
            </w:pPr>
            <w:r w:rsidRPr="00E430EF">
              <w:rPr>
                <w:sz w:val="17"/>
                <w:szCs w:val="17"/>
              </w:rPr>
              <w:t>Red tape savings documentation</w:t>
            </w:r>
          </w:p>
        </w:tc>
        <w:tc>
          <w:tcPr>
            <w:tcW w:w="4252" w:type="dxa"/>
          </w:tcPr>
          <w:p w14:paraId="6C0AAA3E" w14:textId="77777777" w:rsidR="007D6AC6" w:rsidRPr="00E430EF" w:rsidRDefault="007D6AC6" w:rsidP="007D6AC6">
            <w:pPr>
              <w:pStyle w:val="TableText"/>
              <w:rPr>
                <w:sz w:val="17"/>
                <w:szCs w:val="17"/>
              </w:rPr>
            </w:pPr>
            <w:r w:rsidRPr="00E430EF">
              <w:rPr>
                <w:sz w:val="17"/>
                <w:szCs w:val="17"/>
              </w:rPr>
              <w:t>Statement of Expectations Progress Report April 2018</w:t>
            </w:r>
          </w:p>
        </w:tc>
      </w:tr>
      <w:tr w:rsidR="007D6AC6" w:rsidRPr="00E430EF" w14:paraId="730C1B37" w14:textId="77777777" w:rsidTr="007D6AC6">
        <w:trPr>
          <w:trHeight w:val="373"/>
        </w:trPr>
        <w:tc>
          <w:tcPr>
            <w:tcW w:w="4702" w:type="dxa"/>
          </w:tcPr>
          <w:p w14:paraId="4A0839F0" w14:textId="77777777" w:rsidR="007D6AC6" w:rsidRPr="00E430EF" w:rsidRDefault="007D6AC6" w:rsidP="007D6AC6">
            <w:pPr>
              <w:pStyle w:val="TableText"/>
              <w:rPr>
                <w:sz w:val="17"/>
                <w:szCs w:val="17"/>
              </w:rPr>
            </w:pPr>
            <w:r w:rsidRPr="00E430EF">
              <w:rPr>
                <w:sz w:val="17"/>
                <w:szCs w:val="17"/>
              </w:rPr>
              <w:t xml:space="preserve">Review of </w:t>
            </w:r>
            <w:proofErr w:type="spellStart"/>
            <w:r w:rsidRPr="00E430EF">
              <w:rPr>
                <w:sz w:val="17"/>
                <w:szCs w:val="17"/>
              </w:rPr>
              <w:t>myCAV</w:t>
            </w:r>
            <w:proofErr w:type="spellEnd"/>
            <w:r w:rsidRPr="00E430EF">
              <w:rPr>
                <w:sz w:val="17"/>
                <w:szCs w:val="17"/>
              </w:rPr>
              <w:t xml:space="preserve"> system</w:t>
            </w:r>
          </w:p>
        </w:tc>
        <w:tc>
          <w:tcPr>
            <w:tcW w:w="4252" w:type="dxa"/>
          </w:tcPr>
          <w:p w14:paraId="38A37D56" w14:textId="77777777" w:rsidR="007D6AC6" w:rsidRPr="00E430EF" w:rsidRDefault="007D6AC6" w:rsidP="007D6AC6">
            <w:pPr>
              <w:pStyle w:val="TableText"/>
              <w:rPr>
                <w:sz w:val="17"/>
                <w:szCs w:val="17"/>
              </w:rPr>
            </w:pPr>
            <w:r w:rsidRPr="00E430EF">
              <w:rPr>
                <w:sz w:val="17"/>
                <w:szCs w:val="17"/>
              </w:rPr>
              <w:t>Review of back end GEM system</w:t>
            </w:r>
          </w:p>
        </w:tc>
      </w:tr>
      <w:tr w:rsidR="007D6AC6" w:rsidRPr="00CB3285" w14:paraId="1442D47C" w14:textId="77777777" w:rsidTr="007D6AC6">
        <w:tc>
          <w:tcPr>
            <w:tcW w:w="4702" w:type="dxa"/>
            <w:shd w:val="clear" w:color="auto" w:fill="16145F"/>
          </w:tcPr>
          <w:p w14:paraId="327CF80E" w14:textId="77777777" w:rsidR="007D6AC6" w:rsidRPr="00CB3285" w:rsidRDefault="007D6AC6" w:rsidP="007D6AC6">
            <w:pPr>
              <w:pStyle w:val="TableHeader"/>
            </w:pPr>
            <w:r>
              <w:t>Interviews</w:t>
            </w:r>
          </w:p>
        </w:tc>
        <w:tc>
          <w:tcPr>
            <w:tcW w:w="4252" w:type="dxa"/>
            <w:shd w:val="clear" w:color="auto" w:fill="16145F"/>
          </w:tcPr>
          <w:p w14:paraId="7F44FA4A" w14:textId="77777777" w:rsidR="007D6AC6" w:rsidRPr="00CB3285" w:rsidRDefault="007D6AC6" w:rsidP="007D6AC6">
            <w:pPr>
              <w:pStyle w:val="TableHeader"/>
            </w:pPr>
          </w:p>
        </w:tc>
      </w:tr>
      <w:tr w:rsidR="007D6AC6" w:rsidRPr="00E430EF" w14:paraId="1BBCD146" w14:textId="77777777" w:rsidTr="007D6AC6">
        <w:tc>
          <w:tcPr>
            <w:tcW w:w="4702" w:type="dxa"/>
          </w:tcPr>
          <w:p w14:paraId="62DE463A" w14:textId="77777777" w:rsidR="007D6AC6" w:rsidRPr="00E430EF" w:rsidRDefault="007D6AC6" w:rsidP="007D6AC6">
            <w:pPr>
              <w:pStyle w:val="TableText"/>
              <w:rPr>
                <w:sz w:val="17"/>
                <w:szCs w:val="17"/>
              </w:rPr>
            </w:pPr>
            <w:r w:rsidRPr="00E430EF">
              <w:rPr>
                <w:sz w:val="17"/>
                <w:szCs w:val="17"/>
              </w:rPr>
              <w:t>CAV Project Team</w:t>
            </w:r>
          </w:p>
        </w:tc>
        <w:tc>
          <w:tcPr>
            <w:tcW w:w="4252" w:type="dxa"/>
          </w:tcPr>
          <w:p w14:paraId="04390D38" w14:textId="77777777" w:rsidR="007D6AC6" w:rsidRPr="00E430EF" w:rsidRDefault="007D6AC6" w:rsidP="007D6AC6">
            <w:pPr>
              <w:pStyle w:val="TableText"/>
              <w:rPr>
                <w:sz w:val="17"/>
                <w:szCs w:val="17"/>
              </w:rPr>
            </w:pPr>
          </w:p>
        </w:tc>
      </w:tr>
    </w:tbl>
    <w:p w14:paraId="4D4F8FAB" w14:textId="12C2AB2D" w:rsidR="00592609" w:rsidRPr="00592609" w:rsidRDefault="00592609" w:rsidP="00592609">
      <w:pPr>
        <w:pStyle w:val="Heading4"/>
        <w:rPr>
          <w:lang w:val="en-US"/>
        </w:rPr>
      </w:pPr>
      <w:r>
        <w:rPr>
          <w:lang w:val="en-US"/>
        </w:rPr>
        <w:t>Evaluation questions</w:t>
      </w:r>
      <w:r w:rsidR="007D6AC6">
        <w:rPr>
          <w:lang w:val="en-US"/>
        </w:rPr>
        <w:t xml:space="preserve"> - </w:t>
      </w:r>
      <w:r w:rsidR="007D6AC6">
        <w:t>RTBA electronic transactions</w:t>
      </w:r>
    </w:p>
    <w:tbl>
      <w:tblPr>
        <w:tblW w:w="47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95"/>
        <w:gridCol w:w="2397"/>
        <w:gridCol w:w="2396"/>
        <w:gridCol w:w="2394"/>
      </w:tblGrid>
      <w:tr w:rsidR="00C949A2" w:rsidRPr="00334EED" w14:paraId="5A4E4019" w14:textId="19291CB4" w:rsidTr="00A32534">
        <w:trPr>
          <w:tblHeader/>
        </w:trPr>
        <w:tc>
          <w:tcPr>
            <w:tcW w:w="1250" w:type="pct"/>
            <w:shd w:val="clear" w:color="auto" w:fill="16145F"/>
          </w:tcPr>
          <w:p w14:paraId="00477AC0" w14:textId="77777777" w:rsidR="00C949A2" w:rsidRPr="00334EED" w:rsidRDefault="00C949A2" w:rsidP="00F86C0E">
            <w:pPr>
              <w:pStyle w:val="TableHeader"/>
            </w:pPr>
            <w:r w:rsidRPr="00334EED">
              <w:t>SOE improvement statement</w:t>
            </w:r>
          </w:p>
        </w:tc>
        <w:tc>
          <w:tcPr>
            <w:tcW w:w="1251" w:type="pct"/>
            <w:shd w:val="clear" w:color="auto" w:fill="16145F"/>
          </w:tcPr>
          <w:p w14:paraId="513CD33E" w14:textId="77777777" w:rsidR="00C949A2" w:rsidRPr="00334EED" w:rsidRDefault="00C949A2" w:rsidP="00F86C0E">
            <w:pPr>
              <w:pStyle w:val="TableHeader"/>
            </w:pPr>
            <w:r w:rsidRPr="00334EED">
              <w:t>Regulator response</w:t>
            </w:r>
          </w:p>
        </w:tc>
        <w:tc>
          <w:tcPr>
            <w:tcW w:w="1250" w:type="pct"/>
            <w:shd w:val="clear" w:color="auto" w:fill="16145F"/>
          </w:tcPr>
          <w:p w14:paraId="2580D3E8" w14:textId="77777777" w:rsidR="00C949A2" w:rsidRPr="00334EED" w:rsidRDefault="00C949A2" w:rsidP="00F86C0E">
            <w:pPr>
              <w:pStyle w:val="TableHeader"/>
              <w:rPr>
                <w:bCs/>
              </w:rPr>
            </w:pPr>
            <w:r w:rsidRPr="00334EED">
              <w:rPr>
                <w:bCs/>
              </w:rPr>
              <w:t>Key Questions</w:t>
            </w:r>
          </w:p>
        </w:tc>
        <w:tc>
          <w:tcPr>
            <w:tcW w:w="1249" w:type="pct"/>
            <w:shd w:val="clear" w:color="auto" w:fill="16145F"/>
          </w:tcPr>
          <w:p w14:paraId="593EE873" w14:textId="02D0121E" w:rsidR="00C949A2" w:rsidRPr="00334EED" w:rsidRDefault="00C949A2" w:rsidP="00F86C0E">
            <w:pPr>
              <w:pStyle w:val="TableHeader"/>
              <w:rPr>
                <w:bCs/>
              </w:rPr>
            </w:pPr>
            <w:r>
              <w:rPr>
                <w:bCs/>
              </w:rPr>
              <w:t>Suggested Measures</w:t>
            </w:r>
          </w:p>
        </w:tc>
      </w:tr>
      <w:tr w:rsidR="00C949A2" w:rsidRPr="00E430EF" w14:paraId="65454766" w14:textId="5D68736B" w:rsidTr="00A32534">
        <w:tc>
          <w:tcPr>
            <w:tcW w:w="1250" w:type="pct"/>
            <w:shd w:val="clear" w:color="auto" w:fill="auto"/>
          </w:tcPr>
          <w:p w14:paraId="06FDF09A" w14:textId="77777777" w:rsidR="00C949A2" w:rsidRPr="00E430EF" w:rsidRDefault="00C949A2" w:rsidP="00C949A2">
            <w:pPr>
              <w:pStyle w:val="TableText"/>
              <w:rPr>
                <w:sz w:val="17"/>
                <w:szCs w:val="17"/>
              </w:rPr>
            </w:pPr>
            <w:r w:rsidRPr="00E430EF">
              <w:rPr>
                <w:sz w:val="17"/>
                <w:szCs w:val="17"/>
              </w:rPr>
              <w:t>Expand use of the Residential Tenancies Bond Authority’s Electronic Transactions by property managers to make it easier to submit forms</w:t>
            </w:r>
          </w:p>
        </w:tc>
        <w:tc>
          <w:tcPr>
            <w:tcW w:w="1251" w:type="pct"/>
            <w:shd w:val="clear" w:color="auto" w:fill="auto"/>
          </w:tcPr>
          <w:p w14:paraId="5703FE8A" w14:textId="77777777" w:rsidR="00C949A2" w:rsidRPr="00E430EF" w:rsidRDefault="00C949A2" w:rsidP="00C949A2">
            <w:pPr>
              <w:pStyle w:val="TableText"/>
              <w:rPr>
                <w:sz w:val="17"/>
                <w:szCs w:val="17"/>
              </w:rPr>
            </w:pPr>
            <w:r w:rsidRPr="00E430EF">
              <w:rPr>
                <w:sz w:val="17"/>
                <w:szCs w:val="17"/>
              </w:rPr>
              <w:t>New on-line service to replace five paper-based processes for landlords and estate agents</w:t>
            </w:r>
          </w:p>
          <w:p w14:paraId="4F48CF9F" w14:textId="77777777" w:rsidR="00C949A2" w:rsidRPr="00E430EF" w:rsidRDefault="00C949A2" w:rsidP="00C949A2">
            <w:pPr>
              <w:pStyle w:val="TableText"/>
              <w:rPr>
                <w:sz w:val="17"/>
                <w:szCs w:val="17"/>
              </w:rPr>
            </w:pPr>
            <w:r w:rsidRPr="00E430EF">
              <w:rPr>
                <w:sz w:val="17"/>
                <w:szCs w:val="17"/>
              </w:rPr>
              <w:t>Reduced paper-based processes</w:t>
            </w:r>
          </w:p>
          <w:p w14:paraId="3751D849" w14:textId="77777777" w:rsidR="00C949A2" w:rsidRPr="00E430EF" w:rsidRDefault="00C949A2" w:rsidP="00C949A2">
            <w:pPr>
              <w:pStyle w:val="TableText"/>
              <w:rPr>
                <w:sz w:val="17"/>
                <w:szCs w:val="17"/>
              </w:rPr>
            </w:pPr>
            <w:r w:rsidRPr="00E430EF">
              <w:rPr>
                <w:sz w:val="17"/>
                <w:szCs w:val="17"/>
              </w:rPr>
              <w:t>Education program under development</w:t>
            </w:r>
          </w:p>
          <w:p w14:paraId="59E333F9" w14:textId="77777777" w:rsidR="00C949A2" w:rsidRPr="00E430EF" w:rsidRDefault="00C949A2" w:rsidP="00C949A2">
            <w:pPr>
              <w:pStyle w:val="TableText"/>
              <w:rPr>
                <w:sz w:val="17"/>
                <w:szCs w:val="17"/>
              </w:rPr>
            </w:pPr>
            <w:r w:rsidRPr="00E430EF">
              <w:rPr>
                <w:sz w:val="17"/>
                <w:szCs w:val="17"/>
              </w:rPr>
              <w:t>New on-line system developed and launched</w:t>
            </w:r>
          </w:p>
          <w:p w14:paraId="7C4DADEC" w14:textId="77777777" w:rsidR="00C949A2" w:rsidRPr="00E430EF" w:rsidRDefault="00C949A2" w:rsidP="00C949A2">
            <w:pPr>
              <w:pStyle w:val="TableText"/>
              <w:rPr>
                <w:sz w:val="17"/>
                <w:szCs w:val="17"/>
              </w:rPr>
            </w:pPr>
            <w:r w:rsidRPr="00E430EF">
              <w:rPr>
                <w:sz w:val="17"/>
                <w:szCs w:val="17"/>
              </w:rPr>
              <w:t>Current attitudes to e-transactions analysed and assessed</w:t>
            </w:r>
          </w:p>
        </w:tc>
        <w:tc>
          <w:tcPr>
            <w:tcW w:w="1250" w:type="pct"/>
            <w:shd w:val="clear" w:color="auto" w:fill="auto"/>
          </w:tcPr>
          <w:p w14:paraId="4B16281A" w14:textId="77777777" w:rsidR="00C949A2" w:rsidRPr="00E430EF" w:rsidRDefault="00C949A2" w:rsidP="00C949A2">
            <w:pPr>
              <w:pStyle w:val="Tablebullet"/>
              <w:rPr>
                <w:szCs w:val="17"/>
              </w:rPr>
            </w:pPr>
            <w:r w:rsidRPr="00E430EF">
              <w:rPr>
                <w:szCs w:val="17"/>
              </w:rPr>
              <w:t xml:space="preserve">How many electronic transactions </w:t>
            </w:r>
            <w:proofErr w:type="gramStart"/>
            <w:r w:rsidRPr="00E430EF">
              <w:rPr>
                <w:szCs w:val="17"/>
              </w:rPr>
              <w:t>are being processed</w:t>
            </w:r>
            <w:proofErr w:type="gramEnd"/>
            <w:r w:rsidRPr="00E430EF">
              <w:rPr>
                <w:szCs w:val="17"/>
              </w:rPr>
              <w:t xml:space="preserve"> in comparison to paper based?</w:t>
            </w:r>
          </w:p>
          <w:p w14:paraId="2C0D408B" w14:textId="77777777" w:rsidR="00C949A2" w:rsidRPr="00E430EF" w:rsidRDefault="00C949A2" w:rsidP="00C949A2">
            <w:pPr>
              <w:pStyle w:val="Tablebullet"/>
              <w:rPr>
                <w:szCs w:val="17"/>
              </w:rPr>
            </w:pPr>
            <w:r w:rsidRPr="00E430EF">
              <w:rPr>
                <w:szCs w:val="17"/>
              </w:rPr>
              <w:t>Has the number of phone call queries reduced?</w:t>
            </w:r>
          </w:p>
          <w:p w14:paraId="1371D8D5" w14:textId="77777777" w:rsidR="00C949A2" w:rsidRPr="00E430EF" w:rsidRDefault="00C949A2" w:rsidP="00C949A2">
            <w:pPr>
              <w:pStyle w:val="Tablebullet"/>
              <w:rPr>
                <w:szCs w:val="17"/>
              </w:rPr>
            </w:pPr>
            <w:r w:rsidRPr="00E430EF">
              <w:rPr>
                <w:szCs w:val="17"/>
              </w:rPr>
              <w:t>How much have paper-based processes reduced?</w:t>
            </w:r>
          </w:p>
          <w:p w14:paraId="11983009" w14:textId="77777777" w:rsidR="00C949A2" w:rsidRPr="00E430EF" w:rsidRDefault="00C949A2" w:rsidP="00C949A2">
            <w:pPr>
              <w:pStyle w:val="Tablebullet"/>
              <w:rPr>
                <w:szCs w:val="17"/>
              </w:rPr>
            </w:pPr>
            <w:r w:rsidRPr="00E430EF">
              <w:rPr>
                <w:szCs w:val="17"/>
              </w:rPr>
              <w:t>What proportion of forms are non-compliant?</w:t>
            </w:r>
          </w:p>
          <w:p w14:paraId="167775C8" w14:textId="1F6D9F50" w:rsidR="00C949A2" w:rsidRPr="00E430EF" w:rsidRDefault="00C949A2" w:rsidP="00C949A2">
            <w:pPr>
              <w:pStyle w:val="Tablebullet"/>
              <w:rPr>
                <w:szCs w:val="17"/>
              </w:rPr>
            </w:pPr>
            <w:r w:rsidRPr="00E430EF">
              <w:rPr>
                <w:szCs w:val="17"/>
              </w:rPr>
              <w:t xml:space="preserve">Can applicants check the progress of their application </w:t>
            </w:r>
            <w:r w:rsidR="00122DDC" w:rsidRPr="00E430EF">
              <w:rPr>
                <w:szCs w:val="17"/>
              </w:rPr>
              <w:t>on-line</w:t>
            </w:r>
            <w:r w:rsidRPr="00E430EF">
              <w:rPr>
                <w:szCs w:val="17"/>
              </w:rPr>
              <w:t xml:space="preserve"> (milestone reporting)?</w:t>
            </w:r>
          </w:p>
          <w:p w14:paraId="7FEE2915" w14:textId="77777777" w:rsidR="00C949A2" w:rsidRPr="00E430EF" w:rsidRDefault="00C949A2" w:rsidP="00C949A2">
            <w:pPr>
              <w:pStyle w:val="Tablebullet"/>
              <w:rPr>
                <w:szCs w:val="17"/>
              </w:rPr>
            </w:pPr>
            <w:r w:rsidRPr="00E430EF">
              <w:rPr>
                <w:szCs w:val="17"/>
              </w:rPr>
              <w:t>What is the volume of traffic on the website?</w:t>
            </w:r>
          </w:p>
          <w:p w14:paraId="6EAB0A01" w14:textId="77777777" w:rsidR="00C949A2" w:rsidRPr="00E430EF" w:rsidRDefault="00C949A2" w:rsidP="00C949A2">
            <w:pPr>
              <w:pStyle w:val="Tablebullet"/>
              <w:rPr>
                <w:szCs w:val="17"/>
              </w:rPr>
            </w:pPr>
            <w:r w:rsidRPr="00E430EF">
              <w:rPr>
                <w:szCs w:val="17"/>
              </w:rPr>
              <w:t xml:space="preserve">What will the education program consist of, and how </w:t>
            </w:r>
            <w:proofErr w:type="gramStart"/>
            <w:r w:rsidRPr="00E430EF">
              <w:rPr>
                <w:szCs w:val="17"/>
              </w:rPr>
              <w:t>will it be disseminated</w:t>
            </w:r>
            <w:proofErr w:type="gramEnd"/>
            <w:r w:rsidRPr="00E430EF">
              <w:rPr>
                <w:szCs w:val="17"/>
              </w:rPr>
              <w:t>?</w:t>
            </w:r>
          </w:p>
          <w:p w14:paraId="32ABC079" w14:textId="77777777" w:rsidR="00C949A2" w:rsidRPr="00E430EF" w:rsidRDefault="00C949A2" w:rsidP="00C949A2">
            <w:pPr>
              <w:pStyle w:val="Tablebullet"/>
              <w:rPr>
                <w:szCs w:val="17"/>
              </w:rPr>
            </w:pPr>
            <w:r w:rsidRPr="00E430EF">
              <w:rPr>
                <w:szCs w:val="17"/>
              </w:rPr>
              <w:t xml:space="preserve">What does the analysis of e-transactions show and how </w:t>
            </w:r>
            <w:proofErr w:type="gramStart"/>
            <w:r w:rsidRPr="00E430EF">
              <w:rPr>
                <w:szCs w:val="17"/>
              </w:rPr>
              <w:t>will this be incorporated</w:t>
            </w:r>
            <w:proofErr w:type="gramEnd"/>
            <w:r w:rsidRPr="00E430EF">
              <w:rPr>
                <w:szCs w:val="17"/>
              </w:rPr>
              <w:t xml:space="preserve"> into future plans?</w:t>
            </w:r>
          </w:p>
          <w:p w14:paraId="0203C265" w14:textId="77777777" w:rsidR="00C949A2" w:rsidRPr="00E430EF" w:rsidRDefault="00C949A2" w:rsidP="00C949A2">
            <w:pPr>
              <w:pStyle w:val="Tablebullet"/>
              <w:rPr>
                <w:szCs w:val="17"/>
              </w:rPr>
            </w:pPr>
            <w:r w:rsidRPr="00E430EF">
              <w:rPr>
                <w:szCs w:val="17"/>
              </w:rPr>
              <w:lastRenderedPageBreak/>
              <w:t xml:space="preserve">What information has come from the summaries of engagement with property managers and how is this </w:t>
            </w:r>
            <w:proofErr w:type="gramStart"/>
            <w:r w:rsidRPr="00E430EF">
              <w:rPr>
                <w:szCs w:val="17"/>
              </w:rPr>
              <w:t>being used</w:t>
            </w:r>
            <w:proofErr w:type="gramEnd"/>
            <w:r w:rsidRPr="00E430EF">
              <w:rPr>
                <w:szCs w:val="17"/>
              </w:rPr>
              <w:t>?</w:t>
            </w:r>
          </w:p>
        </w:tc>
        <w:tc>
          <w:tcPr>
            <w:tcW w:w="1249" w:type="pct"/>
          </w:tcPr>
          <w:p w14:paraId="5FC139D4" w14:textId="77777777" w:rsidR="00C949A2" w:rsidRPr="00E430EF" w:rsidRDefault="00C949A2" w:rsidP="00C949A2">
            <w:pPr>
              <w:pStyle w:val="Tablebullet"/>
              <w:rPr>
                <w:szCs w:val="17"/>
              </w:rPr>
            </w:pPr>
            <w:r w:rsidRPr="00E430EF">
              <w:rPr>
                <w:szCs w:val="17"/>
              </w:rPr>
              <w:lastRenderedPageBreak/>
              <w:t>Number of electronic transactions vs paper-based forms</w:t>
            </w:r>
          </w:p>
          <w:p w14:paraId="12D46158" w14:textId="77777777" w:rsidR="00C949A2" w:rsidRPr="00E430EF" w:rsidRDefault="00C949A2" w:rsidP="00C949A2">
            <w:pPr>
              <w:pStyle w:val="Tablebullet"/>
              <w:rPr>
                <w:szCs w:val="17"/>
              </w:rPr>
            </w:pPr>
            <w:r w:rsidRPr="00E430EF">
              <w:rPr>
                <w:szCs w:val="17"/>
              </w:rPr>
              <w:t>Number of phone call queries</w:t>
            </w:r>
          </w:p>
          <w:p w14:paraId="0B20C271" w14:textId="318532A9" w:rsidR="00C949A2" w:rsidRPr="00E430EF" w:rsidRDefault="00781A05" w:rsidP="00C949A2">
            <w:pPr>
              <w:pStyle w:val="Tablebullet"/>
              <w:rPr>
                <w:szCs w:val="17"/>
              </w:rPr>
            </w:pPr>
            <w:r w:rsidRPr="00E430EF">
              <w:rPr>
                <w:szCs w:val="17"/>
              </w:rPr>
              <w:t>P</w:t>
            </w:r>
            <w:r w:rsidR="0069182A" w:rsidRPr="00E430EF">
              <w:rPr>
                <w:szCs w:val="17"/>
              </w:rPr>
              <w:t xml:space="preserve">er cent </w:t>
            </w:r>
            <w:r w:rsidR="00C949A2" w:rsidRPr="00E430EF">
              <w:rPr>
                <w:szCs w:val="17"/>
              </w:rPr>
              <w:t>non-compliant forms</w:t>
            </w:r>
          </w:p>
        </w:tc>
      </w:tr>
    </w:tbl>
    <w:p w14:paraId="6F9FE63A" w14:textId="3C434DE1" w:rsidR="007D6AC6" w:rsidRDefault="007D6AC6" w:rsidP="007D6AC6">
      <w:pPr>
        <w:pStyle w:val="Heading4"/>
      </w:pPr>
      <w:r>
        <w:t>Data sources and evidence - RTBA electronic transactions</w:t>
      </w:r>
    </w:p>
    <w:tbl>
      <w:tblPr>
        <w:tblStyle w:val="DJRReporttablestyleNavy"/>
        <w:tblW w:w="8954" w:type="dxa"/>
        <w:tblLook w:val="04A0" w:firstRow="1" w:lastRow="0" w:firstColumn="1" w:lastColumn="0" w:noHBand="0" w:noVBand="1"/>
      </w:tblPr>
      <w:tblGrid>
        <w:gridCol w:w="4702"/>
        <w:gridCol w:w="4252"/>
      </w:tblGrid>
      <w:tr w:rsidR="007D6AC6" w:rsidRPr="00CB3285" w14:paraId="6ED5CB0B" w14:textId="77777777" w:rsidTr="007D6AC6">
        <w:trPr>
          <w:cnfStyle w:val="100000000000" w:firstRow="1" w:lastRow="0" w:firstColumn="0" w:lastColumn="0" w:oddVBand="0" w:evenVBand="0" w:oddHBand="0" w:evenHBand="0" w:firstRowFirstColumn="0" w:firstRowLastColumn="0" w:lastRowFirstColumn="0" w:lastRowLastColumn="0"/>
          <w:tblHeader/>
        </w:trPr>
        <w:tc>
          <w:tcPr>
            <w:tcW w:w="4702" w:type="dxa"/>
            <w:shd w:val="clear" w:color="auto" w:fill="16145F"/>
          </w:tcPr>
          <w:p w14:paraId="64503AED" w14:textId="77777777" w:rsidR="007D6AC6" w:rsidRPr="00CB3285" w:rsidRDefault="007D6AC6" w:rsidP="007D6AC6">
            <w:pPr>
              <w:pStyle w:val="TableHeader"/>
            </w:pPr>
            <w:r>
              <w:t>Evidence Reviewed</w:t>
            </w:r>
          </w:p>
        </w:tc>
        <w:tc>
          <w:tcPr>
            <w:tcW w:w="4252" w:type="dxa"/>
            <w:shd w:val="clear" w:color="auto" w:fill="16145F"/>
          </w:tcPr>
          <w:p w14:paraId="74F179AD" w14:textId="77777777" w:rsidR="007D6AC6" w:rsidRPr="00CB3285" w:rsidRDefault="007D6AC6" w:rsidP="007D6AC6">
            <w:pPr>
              <w:pStyle w:val="TableHeader"/>
            </w:pPr>
          </w:p>
        </w:tc>
      </w:tr>
      <w:tr w:rsidR="007D6AC6" w:rsidRPr="00E430EF" w14:paraId="112A7F7B" w14:textId="77777777" w:rsidTr="007D6AC6">
        <w:tc>
          <w:tcPr>
            <w:tcW w:w="4702" w:type="dxa"/>
          </w:tcPr>
          <w:p w14:paraId="1ADB661A" w14:textId="77777777" w:rsidR="007D6AC6" w:rsidRPr="00E430EF" w:rsidRDefault="007D6AC6" w:rsidP="007D6AC6">
            <w:pPr>
              <w:pStyle w:val="TableText"/>
              <w:rPr>
                <w:sz w:val="17"/>
                <w:szCs w:val="17"/>
              </w:rPr>
            </w:pPr>
            <w:r w:rsidRPr="00E430EF">
              <w:rPr>
                <w:sz w:val="17"/>
                <w:szCs w:val="17"/>
              </w:rPr>
              <w:t>RTBA annual reports 2016-17; 2017-18</w:t>
            </w:r>
          </w:p>
        </w:tc>
        <w:tc>
          <w:tcPr>
            <w:tcW w:w="4252" w:type="dxa"/>
          </w:tcPr>
          <w:p w14:paraId="6DE8A5B8" w14:textId="77777777" w:rsidR="007D6AC6" w:rsidRPr="00E430EF" w:rsidRDefault="007D6AC6" w:rsidP="007D6AC6">
            <w:pPr>
              <w:pStyle w:val="TableText"/>
              <w:rPr>
                <w:sz w:val="17"/>
                <w:szCs w:val="17"/>
              </w:rPr>
            </w:pPr>
            <w:r w:rsidRPr="00E430EF">
              <w:rPr>
                <w:sz w:val="17"/>
                <w:szCs w:val="17"/>
              </w:rPr>
              <w:t>Education and communications plans</w:t>
            </w:r>
          </w:p>
        </w:tc>
      </w:tr>
      <w:tr w:rsidR="007D6AC6" w:rsidRPr="00E430EF" w14:paraId="5C6CE73F" w14:textId="77777777" w:rsidTr="007D6AC6">
        <w:trPr>
          <w:trHeight w:val="333"/>
        </w:trPr>
        <w:tc>
          <w:tcPr>
            <w:tcW w:w="4702" w:type="dxa"/>
          </w:tcPr>
          <w:p w14:paraId="26693A12" w14:textId="77777777" w:rsidR="007D6AC6" w:rsidRPr="00E430EF" w:rsidRDefault="007D6AC6" w:rsidP="007D6AC6">
            <w:pPr>
              <w:pStyle w:val="TableText"/>
              <w:rPr>
                <w:sz w:val="17"/>
                <w:szCs w:val="17"/>
              </w:rPr>
            </w:pPr>
            <w:r w:rsidRPr="00E430EF">
              <w:rPr>
                <w:sz w:val="17"/>
                <w:szCs w:val="17"/>
              </w:rPr>
              <w:t>Review of on-line system</w:t>
            </w:r>
          </w:p>
        </w:tc>
        <w:tc>
          <w:tcPr>
            <w:tcW w:w="4252" w:type="dxa"/>
          </w:tcPr>
          <w:p w14:paraId="2DE59AB5" w14:textId="77777777" w:rsidR="007D6AC6" w:rsidRPr="00E430EF" w:rsidRDefault="007D6AC6" w:rsidP="007D6AC6">
            <w:pPr>
              <w:pStyle w:val="TableText"/>
              <w:rPr>
                <w:sz w:val="17"/>
                <w:szCs w:val="17"/>
              </w:rPr>
            </w:pPr>
            <w:r w:rsidRPr="00E430EF">
              <w:rPr>
                <w:sz w:val="17"/>
                <w:szCs w:val="17"/>
              </w:rPr>
              <w:t>Project management documentation</w:t>
            </w:r>
          </w:p>
        </w:tc>
      </w:tr>
      <w:tr w:rsidR="007D6AC6" w:rsidRPr="00E430EF" w14:paraId="4B5A69CF" w14:textId="77777777" w:rsidTr="007D6AC6">
        <w:trPr>
          <w:trHeight w:val="522"/>
        </w:trPr>
        <w:tc>
          <w:tcPr>
            <w:tcW w:w="4702" w:type="dxa"/>
          </w:tcPr>
          <w:p w14:paraId="58F03F64" w14:textId="77777777" w:rsidR="007D6AC6" w:rsidRPr="00E430EF" w:rsidRDefault="007D6AC6" w:rsidP="007D6AC6">
            <w:pPr>
              <w:pStyle w:val="TableText"/>
              <w:rPr>
                <w:sz w:val="17"/>
                <w:szCs w:val="17"/>
              </w:rPr>
            </w:pPr>
            <w:r w:rsidRPr="00E430EF">
              <w:rPr>
                <w:sz w:val="17"/>
                <w:szCs w:val="17"/>
              </w:rPr>
              <w:t>Progress Report</w:t>
            </w:r>
          </w:p>
        </w:tc>
        <w:tc>
          <w:tcPr>
            <w:tcW w:w="4252" w:type="dxa"/>
          </w:tcPr>
          <w:p w14:paraId="13BCC190" w14:textId="77777777" w:rsidR="007D6AC6" w:rsidRPr="00E430EF" w:rsidRDefault="007D6AC6" w:rsidP="007D6AC6">
            <w:pPr>
              <w:pStyle w:val="TableText"/>
              <w:rPr>
                <w:sz w:val="17"/>
                <w:szCs w:val="17"/>
              </w:rPr>
            </w:pPr>
            <w:r w:rsidRPr="00E430EF">
              <w:rPr>
                <w:sz w:val="17"/>
                <w:szCs w:val="17"/>
              </w:rPr>
              <w:t>Statement of Expectations Progress Report April 2018</w:t>
            </w:r>
          </w:p>
        </w:tc>
      </w:tr>
      <w:tr w:rsidR="007D6AC6" w:rsidRPr="00CB3285" w14:paraId="55260121" w14:textId="77777777" w:rsidTr="007D6AC6">
        <w:tc>
          <w:tcPr>
            <w:tcW w:w="4702" w:type="dxa"/>
            <w:shd w:val="clear" w:color="auto" w:fill="16145F" w:themeFill="accent3"/>
          </w:tcPr>
          <w:p w14:paraId="669A0263" w14:textId="77777777" w:rsidR="007D6AC6" w:rsidRPr="00CB3285" w:rsidRDefault="007D6AC6" w:rsidP="007D6AC6">
            <w:pPr>
              <w:pStyle w:val="TableHeader"/>
            </w:pPr>
            <w:r>
              <w:t>Interviews</w:t>
            </w:r>
          </w:p>
        </w:tc>
        <w:tc>
          <w:tcPr>
            <w:tcW w:w="4252" w:type="dxa"/>
            <w:shd w:val="clear" w:color="auto" w:fill="16145F" w:themeFill="accent3"/>
          </w:tcPr>
          <w:p w14:paraId="3D5A8826" w14:textId="77777777" w:rsidR="007D6AC6" w:rsidRPr="00CB3285" w:rsidRDefault="007D6AC6" w:rsidP="007D6AC6">
            <w:pPr>
              <w:pStyle w:val="TableHeader"/>
            </w:pPr>
          </w:p>
        </w:tc>
      </w:tr>
      <w:tr w:rsidR="007D6AC6" w:rsidRPr="00E430EF" w14:paraId="04EB4A53" w14:textId="77777777" w:rsidTr="007D6AC6">
        <w:tc>
          <w:tcPr>
            <w:tcW w:w="4702" w:type="dxa"/>
          </w:tcPr>
          <w:p w14:paraId="2E063B56" w14:textId="77777777" w:rsidR="007D6AC6" w:rsidRPr="00E430EF" w:rsidRDefault="007D6AC6" w:rsidP="007D6AC6">
            <w:pPr>
              <w:pStyle w:val="TableText"/>
              <w:rPr>
                <w:sz w:val="17"/>
                <w:szCs w:val="17"/>
              </w:rPr>
            </w:pPr>
            <w:r w:rsidRPr="00E430EF">
              <w:rPr>
                <w:sz w:val="17"/>
                <w:szCs w:val="17"/>
              </w:rPr>
              <w:t>CAV Project Team</w:t>
            </w:r>
          </w:p>
        </w:tc>
        <w:tc>
          <w:tcPr>
            <w:tcW w:w="4252" w:type="dxa"/>
          </w:tcPr>
          <w:p w14:paraId="401F1EBF" w14:textId="77777777" w:rsidR="007D6AC6" w:rsidRPr="00E430EF" w:rsidRDefault="007D6AC6" w:rsidP="007D6AC6">
            <w:pPr>
              <w:pStyle w:val="TableText"/>
              <w:rPr>
                <w:sz w:val="17"/>
                <w:szCs w:val="17"/>
              </w:rPr>
            </w:pPr>
          </w:p>
        </w:tc>
      </w:tr>
    </w:tbl>
    <w:p w14:paraId="519C005C" w14:textId="39E5758D" w:rsidR="00577E70" w:rsidRPr="00592609" w:rsidRDefault="00577E70" w:rsidP="00577E70">
      <w:pPr>
        <w:pStyle w:val="Heading4"/>
        <w:rPr>
          <w:lang w:val="en-US"/>
        </w:rPr>
      </w:pPr>
      <w:r>
        <w:rPr>
          <w:lang w:val="en-US"/>
        </w:rPr>
        <w:t>Evaluation questions</w:t>
      </w:r>
      <w:r w:rsidR="00C949A2">
        <w:rPr>
          <w:lang w:val="en-US"/>
        </w:rPr>
        <w:t xml:space="preserve"> and suggested measures</w:t>
      </w:r>
      <w:r w:rsidR="007D6AC6">
        <w:rPr>
          <w:lang w:val="en-US"/>
        </w:rPr>
        <w:t xml:space="preserve"> - </w:t>
      </w:r>
      <w:r w:rsidR="007D6AC6">
        <w:t>Not-for-profit incorporated associations and registered fundraisers</w:t>
      </w:r>
    </w:p>
    <w:tbl>
      <w:tblPr>
        <w:tblW w:w="4554"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095"/>
        <w:gridCol w:w="3096"/>
        <w:gridCol w:w="3094"/>
      </w:tblGrid>
      <w:tr w:rsidR="00577E70" w:rsidRPr="00334EED" w14:paraId="4A354B44" w14:textId="77777777" w:rsidTr="00A32534">
        <w:trPr>
          <w:tblHeader/>
        </w:trPr>
        <w:tc>
          <w:tcPr>
            <w:tcW w:w="1667" w:type="pct"/>
            <w:shd w:val="clear" w:color="auto" w:fill="16145F"/>
          </w:tcPr>
          <w:p w14:paraId="68C6B7B7" w14:textId="77777777" w:rsidR="00577E70" w:rsidRPr="00334EED" w:rsidRDefault="00577E70" w:rsidP="00F86C0E">
            <w:pPr>
              <w:pStyle w:val="TableHeader"/>
            </w:pPr>
            <w:r w:rsidRPr="00334EED">
              <w:t>SOE improvement statement</w:t>
            </w:r>
          </w:p>
        </w:tc>
        <w:tc>
          <w:tcPr>
            <w:tcW w:w="1667" w:type="pct"/>
            <w:shd w:val="clear" w:color="auto" w:fill="16145F"/>
          </w:tcPr>
          <w:p w14:paraId="2A82CFB5" w14:textId="77777777" w:rsidR="00577E70" w:rsidRPr="00334EED" w:rsidRDefault="00577E70" w:rsidP="00F86C0E">
            <w:pPr>
              <w:pStyle w:val="TableHeader"/>
            </w:pPr>
            <w:r w:rsidRPr="00334EED">
              <w:t>Regulator response</w:t>
            </w:r>
          </w:p>
        </w:tc>
        <w:tc>
          <w:tcPr>
            <w:tcW w:w="1666" w:type="pct"/>
            <w:shd w:val="clear" w:color="auto" w:fill="16145F"/>
          </w:tcPr>
          <w:p w14:paraId="77671FA1" w14:textId="77777777" w:rsidR="00577E70" w:rsidRPr="00334EED" w:rsidRDefault="00577E70" w:rsidP="00F86C0E">
            <w:pPr>
              <w:pStyle w:val="TableHeader"/>
              <w:rPr>
                <w:bCs/>
              </w:rPr>
            </w:pPr>
            <w:r w:rsidRPr="00334EED">
              <w:rPr>
                <w:bCs/>
              </w:rPr>
              <w:t>Key Questions</w:t>
            </w:r>
          </w:p>
        </w:tc>
      </w:tr>
      <w:tr w:rsidR="00F52631" w:rsidRPr="00E430EF" w14:paraId="40B6AB3F" w14:textId="77777777" w:rsidTr="00A32534">
        <w:tc>
          <w:tcPr>
            <w:tcW w:w="1667" w:type="pct"/>
            <w:shd w:val="clear" w:color="auto" w:fill="auto"/>
          </w:tcPr>
          <w:p w14:paraId="79953934" w14:textId="77777777" w:rsidR="00F52631" w:rsidRPr="00E430EF" w:rsidRDefault="00F52631" w:rsidP="00576F81">
            <w:pPr>
              <w:pStyle w:val="TableText"/>
              <w:rPr>
                <w:sz w:val="17"/>
                <w:szCs w:val="17"/>
              </w:rPr>
            </w:pPr>
            <w:r w:rsidRPr="00E430EF">
              <w:rPr>
                <w:sz w:val="17"/>
                <w:szCs w:val="17"/>
              </w:rPr>
              <w:t>Reduce red tape and duplicated reporting requirements for a range of not-for-profit incorporated associations and registered fundraisers</w:t>
            </w:r>
          </w:p>
        </w:tc>
        <w:tc>
          <w:tcPr>
            <w:tcW w:w="1667" w:type="pct"/>
            <w:shd w:val="clear" w:color="auto" w:fill="auto"/>
          </w:tcPr>
          <w:p w14:paraId="6CC0875C" w14:textId="55DDC656" w:rsidR="00F52631" w:rsidRPr="00E430EF" w:rsidRDefault="00F52631" w:rsidP="00334EED">
            <w:pPr>
              <w:pStyle w:val="TableText"/>
              <w:rPr>
                <w:sz w:val="17"/>
                <w:szCs w:val="17"/>
              </w:rPr>
            </w:pPr>
            <w:r w:rsidRPr="00E430EF">
              <w:rPr>
                <w:sz w:val="17"/>
                <w:szCs w:val="17"/>
              </w:rPr>
              <w:t xml:space="preserve">“Report </w:t>
            </w:r>
            <w:r w:rsidR="00E430EF" w:rsidRPr="00E430EF">
              <w:rPr>
                <w:sz w:val="17"/>
                <w:szCs w:val="17"/>
              </w:rPr>
              <w:t>o</w:t>
            </w:r>
            <w:r w:rsidRPr="00E430EF">
              <w:rPr>
                <w:sz w:val="17"/>
                <w:szCs w:val="17"/>
              </w:rPr>
              <w:t>nce-</w:t>
            </w:r>
            <w:r w:rsidR="00E430EF" w:rsidRPr="00E430EF">
              <w:rPr>
                <w:sz w:val="17"/>
                <w:szCs w:val="17"/>
              </w:rPr>
              <w:t>u</w:t>
            </w:r>
            <w:r w:rsidRPr="00E430EF">
              <w:rPr>
                <w:sz w:val="17"/>
                <w:szCs w:val="17"/>
              </w:rPr>
              <w:t xml:space="preserve">se </w:t>
            </w:r>
            <w:r w:rsidR="00E430EF" w:rsidRPr="00E430EF">
              <w:rPr>
                <w:sz w:val="17"/>
                <w:szCs w:val="17"/>
              </w:rPr>
              <w:t>o</w:t>
            </w:r>
            <w:r w:rsidRPr="00E430EF">
              <w:rPr>
                <w:sz w:val="17"/>
                <w:szCs w:val="17"/>
              </w:rPr>
              <w:t>ften” approach to annual reporting requirements</w:t>
            </w:r>
          </w:p>
          <w:p w14:paraId="3115BDD9" w14:textId="4743F5F6" w:rsidR="00F52631" w:rsidRPr="00E430EF" w:rsidRDefault="00F52631" w:rsidP="00334EED">
            <w:pPr>
              <w:pStyle w:val="TableText"/>
              <w:rPr>
                <w:sz w:val="17"/>
                <w:szCs w:val="17"/>
              </w:rPr>
            </w:pPr>
            <w:r w:rsidRPr="00E430EF">
              <w:rPr>
                <w:sz w:val="17"/>
                <w:szCs w:val="17"/>
              </w:rPr>
              <w:t xml:space="preserve">Education program implemented for charities and </w:t>
            </w:r>
            <w:r w:rsidR="001F1176" w:rsidRPr="00E430EF">
              <w:rPr>
                <w:sz w:val="17"/>
                <w:szCs w:val="17"/>
              </w:rPr>
              <w:t>n</w:t>
            </w:r>
            <w:r w:rsidRPr="00E430EF">
              <w:rPr>
                <w:sz w:val="17"/>
                <w:szCs w:val="17"/>
              </w:rPr>
              <w:t>ot</w:t>
            </w:r>
            <w:r w:rsidR="001F1176" w:rsidRPr="00E430EF">
              <w:rPr>
                <w:sz w:val="17"/>
                <w:szCs w:val="17"/>
              </w:rPr>
              <w:t>-</w:t>
            </w:r>
            <w:r w:rsidRPr="00E430EF">
              <w:rPr>
                <w:sz w:val="17"/>
                <w:szCs w:val="17"/>
              </w:rPr>
              <w:t>for</w:t>
            </w:r>
            <w:r w:rsidR="001F1176" w:rsidRPr="00E430EF">
              <w:rPr>
                <w:sz w:val="17"/>
                <w:szCs w:val="17"/>
              </w:rPr>
              <w:t>-p</w:t>
            </w:r>
            <w:r w:rsidRPr="00E430EF">
              <w:rPr>
                <w:sz w:val="17"/>
                <w:szCs w:val="17"/>
              </w:rPr>
              <w:t>rofit organisations</w:t>
            </w:r>
          </w:p>
          <w:p w14:paraId="2A20F730" w14:textId="77777777" w:rsidR="00F52631" w:rsidRPr="00E430EF" w:rsidRDefault="00F52631" w:rsidP="00334EED">
            <w:pPr>
              <w:pStyle w:val="TableText"/>
              <w:rPr>
                <w:sz w:val="17"/>
                <w:szCs w:val="17"/>
              </w:rPr>
            </w:pPr>
            <w:r w:rsidRPr="00E430EF">
              <w:rPr>
                <w:sz w:val="17"/>
                <w:szCs w:val="17"/>
              </w:rPr>
              <w:t>Collaborative national approach</w:t>
            </w:r>
          </w:p>
          <w:p w14:paraId="4DB7BF9B" w14:textId="77777777" w:rsidR="00F52631" w:rsidRPr="00E430EF" w:rsidRDefault="00F52631" w:rsidP="00334EED">
            <w:pPr>
              <w:pStyle w:val="TableText"/>
              <w:rPr>
                <w:sz w:val="17"/>
                <w:szCs w:val="17"/>
              </w:rPr>
            </w:pPr>
            <w:r w:rsidRPr="00E430EF">
              <w:rPr>
                <w:sz w:val="17"/>
                <w:szCs w:val="17"/>
              </w:rPr>
              <w:t>MOU between Australian Charities and Not-for profits Commission and CAV</w:t>
            </w:r>
          </w:p>
        </w:tc>
        <w:tc>
          <w:tcPr>
            <w:tcW w:w="1666" w:type="pct"/>
            <w:shd w:val="clear" w:color="auto" w:fill="auto"/>
          </w:tcPr>
          <w:p w14:paraId="2AB31937" w14:textId="77777777" w:rsidR="00C949A2" w:rsidRPr="00E430EF" w:rsidRDefault="00C949A2" w:rsidP="00C949A2">
            <w:pPr>
              <w:pStyle w:val="Tablebullet"/>
              <w:rPr>
                <w:szCs w:val="17"/>
              </w:rPr>
            </w:pPr>
            <w:r w:rsidRPr="00E430EF">
              <w:rPr>
                <w:szCs w:val="17"/>
              </w:rPr>
              <w:t>Change in red tape savings</w:t>
            </w:r>
          </w:p>
          <w:p w14:paraId="33DB0F00" w14:textId="5BE76D32" w:rsidR="00C949A2" w:rsidRPr="00E430EF" w:rsidRDefault="00C949A2" w:rsidP="00C949A2">
            <w:pPr>
              <w:pStyle w:val="Tablebullet"/>
              <w:rPr>
                <w:szCs w:val="17"/>
              </w:rPr>
            </w:pPr>
            <w:r w:rsidRPr="00E430EF">
              <w:rPr>
                <w:szCs w:val="17"/>
              </w:rPr>
              <w:t xml:space="preserve">Number of views on </w:t>
            </w:r>
            <w:r w:rsidR="00122DDC" w:rsidRPr="00E430EF">
              <w:rPr>
                <w:szCs w:val="17"/>
              </w:rPr>
              <w:t>on-line</w:t>
            </w:r>
            <w:r w:rsidRPr="00E430EF">
              <w:rPr>
                <w:szCs w:val="17"/>
              </w:rPr>
              <w:t xml:space="preserve"> education programs</w:t>
            </w:r>
          </w:p>
          <w:p w14:paraId="75DB396E" w14:textId="77777777" w:rsidR="00C949A2" w:rsidRPr="00E430EF" w:rsidRDefault="00C949A2" w:rsidP="00C949A2">
            <w:pPr>
              <w:pStyle w:val="Tablebullet"/>
              <w:rPr>
                <w:szCs w:val="17"/>
              </w:rPr>
            </w:pPr>
            <w:r w:rsidRPr="00E430EF">
              <w:rPr>
                <w:szCs w:val="17"/>
              </w:rPr>
              <w:t>Number of views of newsletter</w:t>
            </w:r>
          </w:p>
          <w:p w14:paraId="0887117D" w14:textId="76372745" w:rsidR="00F52631" w:rsidRPr="00E430EF" w:rsidRDefault="00C949A2" w:rsidP="00C949A2">
            <w:pPr>
              <w:pStyle w:val="Tablebullet"/>
              <w:rPr>
                <w:bCs/>
                <w:szCs w:val="17"/>
              </w:rPr>
            </w:pPr>
            <w:r w:rsidRPr="00E430EF">
              <w:rPr>
                <w:szCs w:val="17"/>
              </w:rPr>
              <w:t>MOU signed</w:t>
            </w:r>
          </w:p>
        </w:tc>
      </w:tr>
    </w:tbl>
    <w:p w14:paraId="2A9127B8" w14:textId="77777777" w:rsidR="007D6AC6" w:rsidRDefault="007D6AC6" w:rsidP="007D6AC6">
      <w:pPr>
        <w:pStyle w:val="Heading4"/>
      </w:pPr>
      <w:bookmarkStart w:id="70" w:name="_Toc515606175"/>
      <w:bookmarkStart w:id="71" w:name="_Toc527370742"/>
      <w:r>
        <w:t>Data sources and evidence - Not-for-profit incorporated associations and registered fundraisers</w:t>
      </w:r>
    </w:p>
    <w:tbl>
      <w:tblPr>
        <w:tblStyle w:val="DJRReporttablestyleNavy"/>
        <w:tblW w:w="8954" w:type="dxa"/>
        <w:tblLook w:val="04A0" w:firstRow="1" w:lastRow="0" w:firstColumn="1" w:lastColumn="0" w:noHBand="0" w:noVBand="1"/>
      </w:tblPr>
      <w:tblGrid>
        <w:gridCol w:w="4702"/>
        <w:gridCol w:w="4252"/>
      </w:tblGrid>
      <w:tr w:rsidR="007D6AC6" w:rsidRPr="00CB3285" w14:paraId="669ABD82" w14:textId="77777777" w:rsidTr="007D6AC6">
        <w:trPr>
          <w:cnfStyle w:val="100000000000" w:firstRow="1" w:lastRow="0" w:firstColumn="0" w:lastColumn="0" w:oddVBand="0" w:evenVBand="0" w:oddHBand="0" w:evenHBand="0" w:firstRowFirstColumn="0" w:firstRowLastColumn="0" w:lastRowFirstColumn="0" w:lastRowLastColumn="0"/>
          <w:tblHeader/>
        </w:trPr>
        <w:tc>
          <w:tcPr>
            <w:tcW w:w="4702" w:type="dxa"/>
            <w:shd w:val="clear" w:color="auto" w:fill="16145F"/>
          </w:tcPr>
          <w:p w14:paraId="1DAD9836" w14:textId="77777777" w:rsidR="007D6AC6" w:rsidRPr="00CB3285" w:rsidRDefault="007D6AC6" w:rsidP="007D6AC6">
            <w:pPr>
              <w:pStyle w:val="TableHeader"/>
            </w:pPr>
            <w:r>
              <w:t>Evidence Reviewed</w:t>
            </w:r>
          </w:p>
        </w:tc>
        <w:tc>
          <w:tcPr>
            <w:tcW w:w="4252" w:type="dxa"/>
            <w:shd w:val="clear" w:color="auto" w:fill="16145F"/>
          </w:tcPr>
          <w:p w14:paraId="27B50558" w14:textId="77777777" w:rsidR="007D6AC6" w:rsidRPr="00CB3285" w:rsidRDefault="007D6AC6" w:rsidP="007D6AC6">
            <w:pPr>
              <w:pStyle w:val="TableHeader"/>
            </w:pPr>
          </w:p>
        </w:tc>
      </w:tr>
      <w:tr w:rsidR="007D6AC6" w:rsidRPr="00E430EF" w14:paraId="5533BA5C" w14:textId="77777777" w:rsidTr="007D6AC6">
        <w:tc>
          <w:tcPr>
            <w:tcW w:w="4702" w:type="dxa"/>
          </w:tcPr>
          <w:p w14:paraId="59651B70" w14:textId="77777777" w:rsidR="007D6AC6" w:rsidRPr="00E430EF" w:rsidRDefault="007D6AC6" w:rsidP="007D6AC6">
            <w:pPr>
              <w:pStyle w:val="TableText"/>
              <w:rPr>
                <w:sz w:val="17"/>
                <w:szCs w:val="17"/>
              </w:rPr>
            </w:pPr>
            <w:r w:rsidRPr="00E430EF">
              <w:rPr>
                <w:sz w:val="17"/>
                <w:szCs w:val="17"/>
              </w:rPr>
              <w:t>Memorandum of Understanding – Supply of ACNC data</w:t>
            </w:r>
          </w:p>
        </w:tc>
        <w:tc>
          <w:tcPr>
            <w:tcW w:w="4252" w:type="dxa"/>
          </w:tcPr>
          <w:p w14:paraId="16DA7128" w14:textId="77777777" w:rsidR="007D6AC6" w:rsidRPr="00E430EF" w:rsidRDefault="007D6AC6" w:rsidP="007D6AC6">
            <w:pPr>
              <w:pStyle w:val="TableText"/>
              <w:rPr>
                <w:sz w:val="17"/>
                <w:szCs w:val="17"/>
              </w:rPr>
            </w:pPr>
            <w:r w:rsidRPr="00E430EF">
              <w:rPr>
                <w:sz w:val="17"/>
                <w:szCs w:val="17"/>
              </w:rPr>
              <w:t>Red tape savings documentation</w:t>
            </w:r>
          </w:p>
        </w:tc>
      </w:tr>
      <w:tr w:rsidR="007D6AC6" w:rsidRPr="00E430EF" w14:paraId="27941A12" w14:textId="77777777" w:rsidTr="007D6AC6">
        <w:trPr>
          <w:trHeight w:val="425"/>
        </w:trPr>
        <w:tc>
          <w:tcPr>
            <w:tcW w:w="4702" w:type="dxa"/>
          </w:tcPr>
          <w:p w14:paraId="3C81496B" w14:textId="77777777" w:rsidR="007D6AC6" w:rsidRPr="00E430EF" w:rsidRDefault="007D6AC6" w:rsidP="007D6AC6">
            <w:pPr>
              <w:pStyle w:val="TableText"/>
              <w:rPr>
                <w:sz w:val="17"/>
                <w:szCs w:val="17"/>
              </w:rPr>
            </w:pPr>
            <w:r w:rsidRPr="00E430EF">
              <w:rPr>
                <w:sz w:val="17"/>
                <w:szCs w:val="17"/>
              </w:rPr>
              <w:t>Examples from education campaign</w:t>
            </w:r>
          </w:p>
        </w:tc>
        <w:tc>
          <w:tcPr>
            <w:tcW w:w="4252" w:type="dxa"/>
          </w:tcPr>
          <w:p w14:paraId="46EA5A39" w14:textId="77777777" w:rsidR="007D6AC6" w:rsidRPr="00E430EF" w:rsidRDefault="007D6AC6" w:rsidP="007D6AC6">
            <w:pPr>
              <w:pStyle w:val="TableText"/>
              <w:rPr>
                <w:sz w:val="17"/>
                <w:szCs w:val="17"/>
              </w:rPr>
            </w:pPr>
            <w:r w:rsidRPr="00E430EF">
              <w:rPr>
                <w:sz w:val="17"/>
                <w:szCs w:val="17"/>
              </w:rPr>
              <w:t>Statement of Expectations Progress Report April 2018</w:t>
            </w:r>
          </w:p>
        </w:tc>
      </w:tr>
      <w:tr w:rsidR="007D6AC6" w:rsidRPr="00E430EF" w14:paraId="0E15C5DE" w14:textId="77777777" w:rsidTr="007D6AC6">
        <w:trPr>
          <w:trHeight w:val="347"/>
        </w:trPr>
        <w:tc>
          <w:tcPr>
            <w:tcW w:w="4702" w:type="dxa"/>
          </w:tcPr>
          <w:p w14:paraId="77B8E473" w14:textId="77777777" w:rsidR="007D6AC6" w:rsidRPr="00E430EF" w:rsidRDefault="007D6AC6" w:rsidP="007D6AC6">
            <w:pPr>
              <w:pStyle w:val="TableText"/>
              <w:rPr>
                <w:sz w:val="17"/>
                <w:szCs w:val="17"/>
              </w:rPr>
            </w:pPr>
            <w:r w:rsidRPr="00E430EF">
              <w:rPr>
                <w:sz w:val="17"/>
                <w:szCs w:val="17"/>
              </w:rPr>
              <w:t>CAV Website</w:t>
            </w:r>
          </w:p>
        </w:tc>
        <w:tc>
          <w:tcPr>
            <w:tcW w:w="4252" w:type="dxa"/>
          </w:tcPr>
          <w:p w14:paraId="0B210DA9" w14:textId="77777777" w:rsidR="007D6AC6" w:rsidRPr="00E430EF" w:rsidRDefault="007D6AC6" w:rsidP="007D6AC6">
            <w:pPr>
              <w:pStyle w:val="TableText"/>
              <w:rPr>
                <w:sz w:val="17"/>
                <w:szCs w:val="17"/>
              </w:rPr>
            </w:pPr>
          </w:p>
        </w:tc>
      </w:tr>
      <w:tr w:rsidR="007D6AC6" w:rsidRPr="00CB3285" w14:paraId="3B264341" w14:textId="77777777" w:rsidTr="007D6AC6">
        <w:tc>
          <w:tcPr>
            <w:tcW w:w="4702" w:type="dxa"/>
            <w:shd w:val="clear" w:color="auto" w:fill="16145F"/>
          </w:tcPr>
          <w:p w14:paraId="74549556" w14:textId="77777777" w:rsidR="007D6AC6" w:rsidRPr="00CB3285" w:rsidRDefault="007D6AC6" w:rsidP="007D6AC6">
            <w:pPr>
              <w:pStyle w:val="TableHeader"/>
            </w:pPr>
            <w:r>
              <w:t>Interviews</w:t>
            </w:r>
          </w:p>
        </w:tc>
        <w:tc>
          <w:tcPr>
            <w:tcW w:w="4252" w:type="dxa"/>
            <w:shd w:val="clear" w:color="auto" w:fill="16145F"/>
          </w:tcPr>
          <w:p w14:paraId="6BF1ED37" w14:textId="77777777" w:rsidR="007D6AC6" w:rsidRPr="00CB3285" w:rsidRDefault="007D6AC6" w:rsidP="007D6AC6">
            <w:pPr>
              <w:pStyle w:val="TableHeader"/>
            </w:pPr>
          </w:p>
        </w:tc>
      </w:tr>
      <w:tr w:rsidR="007D6AC6" w:rsidRPr="00E430EF" w14:paraId="02C1BB7A" w14:textId="77777777" w:rsidTr="007D6AC6">
        <w:tc>
          <w:tcPr>
            <w:tcW w:w="4702" w:type="dxa"/>
          </w:tcPr>
          <w:p w14:paraId="45EEDA39" w14:textId="77777777" w:rsidR="007D6AC6" w:rsidRPr="00E430EF" w:rsidRDefault="007D6AC6" w:rsidP="007D6AC6">
            <w:pPr>
              <w:pStyle w:val="TableText"/>
              <w:rPr>
                <w:sz w:val="17"/>
                <w:szCs w:val="17"/>
              </w:rPr>
            </w:pPr>
            <w:r w:rsidRPr="00E430EF">
              <w:rPr>
                <w:sz w:val="17"/>
                <w:szCs w:val="17"/>
              </w:rPr>
              <w:t>CAV Project Team</w:t>
            </w:r>
          </w:p>
        </w:tc>
        <w:tc>
          <w:tcPr>
            <w:tcW w:w="4252" w:type="dxa"/>
          </w:tcPr>
          <w:p w14:paraId="77368CBA" w14:textId="77777777" w:rsidR="007D6AC6" w:rsidRPr="00E430EF" w:rsidRDefault="007D6AC6" w:rsidP="007D6AC6">
            <w:pPr>
              <w:pStyle w:val="TableText"/>
              <w:rPr>
                <w:sz w:val="17"/>
                <w:szCs w:val="17"/>
              </w:rPr>
            </w:pPr>
          </w:p>
        </w:tc>
      </w:tr>
    </w:tbl>
    <w:p w14:paraId="1C7AB0B4" w14:textId="77777777" w:rsidR="00406B0D" w:rsidRDefault="00406B0D" w:rsidP="00577E70">
      <w:pPr>
        <w:pStyle w:val="Heading2notappearinginTOC"/>
      </w:pPr>
    </w:p>
    <w:p w14:paraId="39D5E028" w14:textId="77777777" w:rsidR="00E430EF" w:rsidRDefault="00E430EF" w:rsidP="00577E70">
      <w:pPr>
        <w:pStyle w:val="Heading2notappearinginTOC"/>
      </w:pPr>
    </w:p>
    <w:p w14:paraId="5D052004" w14:textId="77777777" w:rsidR="00E430EF" w:rsidRDefault="00E430EF" w:rsidP="00577E70">
      <w:pPr>
        <w:pStyle w:val="Heading2notappearinginTOC"/>
      </w:pPr>
    </w:p>
    <w:p w14:paraId="12982934" w14:textId="77777777" w:rsidR="00E430EF" w:rsidRDefault="00E430EF" w:rsidP="00577E70">
      <w:pPr>
        <w:pStyle w:val="Heading2notappearinginTOC"/>
      </w:pPr>
    </w:p>
    <w:p w14:paraId="3AD46AA0" w14:textId="4011F18B" w:rsidR="00F52631" w:rsidRDefault="00F52631" w:rsidP="00577E70">
      <w:pPr>
        <w:pStyle w:val="Heading2notappearinginTOC"/>
      </w:pPr>
      <w:r w:rsidRPr="000C27C1">
        <w:lastRenderedPageBreak/>
        <w:t>Risk</w:t>
      </w:r>
      <w:r w:rsidR="00406B0D">
        <w:t>-</w:t>
      </w:r>
      <w:r w:rsidRPr="000C27C1">
        <w:t xml:space="preserve">based </w:t>
      </w:r>
      <w:bookmarkEnd w:id="70"/>
      <w:r w:rsidRPr="000C27C1">
        <w:t>strateg</w:t>
      </w:r>
      <w:bookmarkEnd w:id="71"/>
      <w:r w:rsidR="00406B0D">
        <w:t>ies</w:t>
      </w:r>
      <w:r w:rsidR="00577E70">
        <w:t xml:space="preserve"> – CAV compliance operations</w:t>
      </w:r>
    </w:p>
    <w:tbl>
      <w:tblPr>
        <w:tblW w:w="455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20" w:firstRow="1" w:lastRow="0" w:firstColumn="0" w:lastColumn="0" w:noHBand="1" w:noVBand="1"/>
      </w:tblPr>
      <w:tblGrid>
        <w:gridCol w:w="4641"/>
        <w:gridCol w:w="4642"/>
      </w:tblGrid>
      <w:tr w:rsidR="00AD2FB2" w:rsidRPr="00F86C0E" w14:paraId="08E80630" w14:textId="77777777" w:rsidTr="00217C13">
        <w:trPr>
          <w:tblHeader/>
        </w:trPr>
        <w:tc>
          <w:tcPr>
            <w:tcW w:w="5000" w:type="pct"/>
            <w:gridSpan w:val="2"/>
            <w:shd w:val="clear" w:color="auto" w:fill="16145F"/>
            <w:vAlign w:val="bottom"/>
          </w:tcPr>
          <w:p w14:paraId="0C17D236" w14:textId="651FE691" w:rsidR="00AD2FB2" w:rsidRPr="00F86C0E" w:rsidRDefault="00AD2FB2" w:rsidP="00217C13">
            <w:pPr>
              <w:pStyle w:val="TableHeader"/>
              <w:rPr>
                <w:rFonts w:eastAsia="Arial"/>
              </w:rPr>
            </w:pPr>
            <w:r w:rsidRPr="00F86C0E">
              <w:rPr>
                <w:rFonts w:eastAsia="Arial"/>
              </w:rPr>
              <w:t>SOE Framework minimum standards and characteristics of best practice</w:t>
            </w:r>
            <w:r w:rsidR="00406B0D">
              <w:rPr>
                <w:rFonts w:eastAsia="Arial"/>
              </w:rPr>
              <w:t xml:space="preserve"> – Risk-based strategies</w:t>
            </w:r>
          </w:p>
        </w:tc>
      </w:tr>
      <w:tr w:rsidR="00AD2FB2" w:rsidRPr="00F86C0E" w14:paraId="45A60CB8" w14:textId="77777777" w:rsidTr="00217C13">
        <w:trPr>
          <w:cantSplit/>
        </w:trPr>
        <w:tc>
          <w:tcPr>
            <w:tcW w:w="2500" w:type="pct"/>
            <w:shd w:val="clear" w:color="auto" w:fill="16145F"/>
          </w:tcPr>
          <w:p w14:paraId="48420520" w14:textId="77777777" w:rsidR="00AD2FB2" w:rsidRPr="00F86C0E" w:rsidRDefault="00AD2FB2" w:rsidP="00217C13">
            <w:pPr>
              <w:pStyle w:val="TableHeader"/>
              <w:rPr>
                <w:rFonts w:eastAsia="Arial"/>
              </w:rPr>
            </w:pPr>
            <w:r w:rsidRPr="00F86C0E">
              <w:rPr>
                <w:rFonts w:eastAsia="Arial"/>
              </w:rPr>
              <w:t>Minimum standards</w:t>
            </w:r>
          </w:p>
        </w:tc>
        <w:tc>
          <w:tcPr>
            <w:tcW w:w="2500" w:type="pct"/>
            <w:shd w:val="clear" w:color="auto" w:fill="16145F"/>
          </w:tcPr>
          <w:p w14:paraId="27CB847A" w14:textId="77777777" w:rsidR="00AD2FB2" w:rsidRPr="00F86C0E" w:rsidRDefault="00AD2FB2" w:rsidP="00217C13">
            <w:pPr>
              <w:pStyle w:val="TableHeader"/>
              <w:rPr>
                <w:rFonts w:eastAsia="Arial"/>
              </w:rPr>
            </w:pPr>
            <w:r w:rsidRPr="00F86C0E">
              <w:rPr>
                <w:rFonts w:eastAsia="Arial"/>
              </w:rPr>
              <w:t>Characteristics of best practice</w:t>
            </w:r>
          </w:p>
        </w:tc>
      </w:tr>
      <w:tr w:rsidR="00AD2FB2" w:rsidRPr="00E430EF" w14:paraId="5AB3DACB" w14:textId="77777777" w:rsidTr="00217C13">
        <w:trPr>
          <w:cantSplit/>
        </w:trPr>
        <w:tc>
          <w:tcPr>
            <w:tcW w:w="2500" w:type="pct"/>
            <w:shd w:val="clear" w:color="auto" w:fill="auto"/>
          </w:tcPr>
          <w:p w14:paraId="0E42C4DD" w14:textId="77777777" w:rsidR="00AD2FB2" w:rsidRPr="00E430EF" w:rsidRDefault="00AD2FB2" w:rsidP="00217C13">
            <w:pPr>
              <w:pStyle w:val="Tablebullet"/>
              <w:rPr>
                <w:szCs w:val="17"/>
              </w:rPr>
            </w:pPr>
            <w:r w:rsidRPr="00E430EF">
              <w:rPr>
                <w:szCs w:val="17"/>
              </w:rPr>
              <w:t>Regulator has collected relevant data to inform a risk</w:t>
            </w:r>
            <w:r w:rsidRPr="00E430EF">
              <w:rPr>
                <w:szCs w:val="17"/>
              </w:rPr>
              <w:noBreakHyphen/>
              <w:t>based approach to regulation, and to evaluate outcomes.</w:t>
            </w:r>
          </w:p>
          <w:p w14:paraId="328719D8" w14:textId="77777777" w:rsidR="00AD2FB2" w:rsidRPr="00E430EF" w:rsidRDefault="00AD2FB2" w:rsidP="00217C13">
            <w:pPr>
              <w:pStyle w:val="Tablebullet"/>
              <w:rPr>
                <w:szCs w:val="17"/>
              </w:rPr>
            </w:pPr>
            <w:r w:rsidRPr="00E430EF">
              <w:rPr>
                <w:szCs w:val="17"/>
              </w:rPr>
              <w:t>Regulator has an established approach to risk assessment.</w:t>
            </w:r>
          </w:p>
          <w:p w14:paraId="03F738DB" w14:textId="77777777" w:rsidR="00AD2FB2" w:rsidRPr="00E430EF" w:rsidRDefault="00AD2FB2" w:rsidP="00217C13">
            <w:pPr>
              <w:pStyle w:val="Tablebullet"/>
              <w:rPr>
                <w:szCs w:val="17"/>
              </w:rPr>
            </w:pPr>
            <w:r w:rsidRPr="00E430EF">
              <w:rPr>
                <w:szCs w:val="17"/>
              </w:rPr>
              <w:t>Requests for data from regulated parties are proportionate to risk.</w:t>
            </w:r>
          </w:p>
          <w:p w14:paraId="3E4CE4AD" w14:textId="77777777" w:rsidR="00AD2FB2" w:rsidRPr="00E430EF" w:rsidRDefault="00AD2FB2" w:rsidP="00217C13">
            <w:pPr>
              <w:pStyle w:val="Tablebullet"/>
              <w:rPr>
                <w:szCs w:val="17"/>
              </w:rPr>
            </w:pPr>
            <w:r w:rsidRPr="00E430EF">
              <w:rPr>
                <w:szCs w:val="17"/>
              </w:rPr>
              <w:t>Risk</w:t>
            </w:r>
            <w:r w:rsidRPr="00E430EF">
              <w:rPr>
                <w:szCs w:val="17"/>
              </w:rPr>
              <w:noBreakHyphen/>
              <w:t xml:space="preserve">based approaches to compliance and enforcement </w:t>
            </w:r>
            <w:proofErr w:type="gramStart"/>
            <w:r w:rsidRPr="00E430EF">
              <w:rPr>
                <w:szCs w:val="17"/>
              </w:rPr>
              <w:t>are considered and adopted where appropriate</w:t>
            </w:r>
            <w:proofErr w:type="gramEnd"/>
            <w:r w:rsidRPr="00E430EF">
              <w:rPr>
                <w:szCs w:val="17"/>
              </w:rPr>
              <w:t xml:space="preserve"> (for example, regulator tailors sanctions so that they are proportionate and meaningful).</w:t>
            </w:r>
          </w:p>
        </w:tc>
        <w:tc>
          <w:tcPr>
            <w:tcW w:w="2500" w:type="pct"/>
            <w:shd w:val="clear" w:color="auto" w:fill="auto"/>
          </w:tcPr>
          <w:p w14:paraId="26EDA6C1" w14:textId="77777777" w:rsidR="00AD2FB2" w:rsidRPr="00E430EF" w:rsidRDefault="00AD2FB2" w:rsidP="00217C13">
            <w:pPr>
              <w:pStyle w:val="Tablebullet"/>
              <w:rPr>
                <w:szCs w:val="17"/>
              </w:rPr>
            </w:pPr>
            <w:r w:rsidRPr="00E430EF">
              <w:rPr>
                <w:szCs w:val="17"/>
              </w:rPr>
              <w:t xml:space="preserve">Risk assessment </w:t>
            </w:r>
            <w:proofErr w:type="gramStart"/>
            <w:r w:rsidRPr="00E430EF">
              <w:rPr>
                <w:szCs w:val="17"/>
              </w:rPr>
              <w:t>is consistently applied</w:t>
            </w:r>
            <w:proofErr w:type="gramEnd"/>
            <w:r w:rsidRPr="00E430EF">
              <w:rPr>
                <w:szCs w:val="17"/>
              </w:rPr>
              <w:t xml:space="preserve"> across all activities.</w:t>
            </w:r>
          </w:p>
          <w:p w14:paraId="0622EECB" w14:textId="77777777" w:rsidR="00AD2FB2" w:rsidRPr="00E430EF" w:rsidRDefault="00AD2FB2" w:rsidP="00217C13">
            <w:pPr>
              <w:pStyle w:val="Tablebullet"/>
              <w:rPr>
                <w:szCs w:val="17"/>
              </w:rPr>
            </w:pPr>
            <w:r w:rsidRPr="00E430EF">
              <w:rPr>
                <w:szCs w:val="17"/>
              </w:rPr>
              <w:t>Knowledge of risk informs inspection targeting.</w:t>
            </w:r>
          </w:p>
          <w:p w14:paraId="052F8976" w14:textId="77777777" w:rsidR="00AD2FB2" w:rsidRPr="00E430EF" w:rsidRDefault="00AD2FB2" w:rsidP="00217C13">
            <w:pPr>
              <w:pStyle w:val="Tablebullet"/>
              <w:rPr>
                <w:szCs w:val="17"/>
              </w:rPr>
            </w:pPr>
            <w:r w:rsidRPr="00E430EF">
              <w:rPr>
                <w:szCs w:val="17"/>
              </w:rPr>
              <w:t>Risk assessment processes and methodologies are transparent.</w:t>
            </w:r>
          </w:p>
          <w:p w14:paraId="0BB931B0" w14:textId="77777777" w:rsidR="00AD2FB2" w:rsidRPr="00E430EF" w:rsidRDefault="00AD2FB2" w:rsidP="00217C13">
            <w:pPr>
              <w:pStyle w:val="Tablebullet"/>
              <w:rPr>
                <w:szCs w:val="17"/>
              </w:rPr>
            </w:pPr>
            <w:r w:rsidRPr="00E430EF">
              <w:rPr>
                <w:szCs w:val="17"/>
              </w:rPr>
              <w:t>Resources are concentrated in areas of greatest risk to the achievement of outcomes.</w:t>
            </w:r>
          </w:p>
        </w:tc>
      </w:tr>
    </w:tbl>
    <w:p w14:paraId="6B5308CC" w14:textId="090F0560" w:rsidR="00577E70" w:rsidRPr="00592609" w:rsidRDefault="00577E70" w:rsidP="00577E70">
      <w:pPr>
        <w:pStyle w:val="Heading4"/>
        <w:rPr>
          <w:lang w:val="en-US"/>
        </w:rPr>
      </w:pPr>
      <w:r>
        <w:rPr>
          <w:lang w:val="en-US"/>
        </w:rPr>
        <w:t>Evaluation questions</w:t>
      </w:r>
      <w:r w:rsidR="00C949A2">
        <w:rPr>
          <w:lang w:val="en-US"/>
        </w:rPr>
        <w:t xml:space="preserve"> and suggested measures</w:t>
      </w:r>
    </w:p>
    <w:tbl>
      <w:tblPr>
        <w:tblW w:w="47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99"/>
        <w:gridCol w:w="2397"/>
        <w:gridCol w:w="2394"/>
        <w:gridCol w:w="2392"/>
      </w:tblGrid>
      <w:tr w:rsidR="00C949A2" w:rsidRPr="00334EED" w14:paraId="1A1D1AF2" w14:textId="20926A8D" w:rsidTr="00AD2FB2">
        <w:trPr>
          <w:tblHeader/>
        </w:trPr>
        <w:tc>
          <w:tcPr>
            <w:tcW w:w="1252" w:type="pct"/>
            <w:shd w:val="clear" w:color="auto" w:fill="16145F"/>
          </w:tcPr>
          <w:p w14:paraId="6B856B8C" w14:textId="77777777" w:rsidR="00C949A2" w:rsidRPr="00334EED" w:rsidRDefault="00C949A2" w:rsidP="00F86C0E">
            <w:pPr>
              <w:pStyle w:val="TableHeader"/>
            </w:pPr>
            <w:r w:rsidRPr="00334EED">
              <w:t>SOE improvement statement</w:t>
            </w:r>
          </w:p>
        </w:tc>
        <w:tc>
          <w:tcPr>
            <w:tcW w:w="1251" w:type="pct"/>
            <w:shd w:val="clear" w:color="auto" w:fill="16145F"/>
          </w:tcPr>
          <w:p w14:paraId="787BDA5C" w14:textId="77777777" w:rsidR="00C949A2" w:rsidRPr="00334EED" w:rsidRDefault="00C949A2" w:rsidP="00F86C0E">
            <w:pPr>
              <w:pStyle w:val="TableHeader"/>
            </w:pPr>
            <w:r w:rsidRPr="00334EED">
              <w:t>Regulator response</w:t>
            </w:r>
          </w:p>
        </w:tc>
        <w:tc>
          <w:tcPr>
            <w:tcW w:w="1249" w:type="pct"/>
            <w:shd w:val="clear" w:color="auto" w:fill="16145F"/>
          </w:tcPr>
          <w:p w14:paraId="4274E90B" w14:textId="77777777" w:rsidR="00C949A2" w:rsidRPr="00334EED" w:rsidRDefault="00C949A2" w:rsidP="00F86C0E">
            <w:pPr>
              <w:pStyle w:val="TableHeader"/>
              <w:rPr>
                <w:bCs/>
              </w:rPr>
            </w:pPr>
            <w:r w:rsidRPr="00334EED">
              <w:rPr>
                <w:bCs/>
              </w:rPr>
              <w:t>Key Questions</w:t>
            </w:r>
          </w:p>
        </w:tc>
        <w:tc>
          <w:tcPr>
            <w:tcW w:w="1248" w:type="pct"/>
            <w:shd w:val="clear" w:color="auto" w:fill="16145F"/>
          </w:tcPr>
          <w:p w14:paraId="2C0E7858" w14:textId="0A5305B7" w:rsidR="00C949A2" w:rsidRPr="00334EED" w:rsidRDefault="00C949A2" w:rsidP="00C949A2">
            <w:pPr>
              <w:pStyle w:val="TableHeader"/>
              <w:rPr>
                <w:bCs/>
              </w:rPr>
            </w:pPr>
            <w:r>
              <w:rPr>
                <w:bCs/>
              </w:rPr>
              <w:t>Suggested Measures</w:t>
            </w:r>
          </w:p>
        </w:tc>
      </w:tr>
      <w:tr w:rsidR="00C949A2" w:rsidRPr="00E430EF" w14:paraId="6270F400" w14:textId="422B88A2" w:rsidTr="00AD2FB2">
        <w:tc>
          <w:tcPr>
            <w:tcW w:w="1252" w:type="pct"/>
            <w:shd w:val="clear" w:color="auto" w:fill="auto"/>
          </w:tcPr>
          <w:p w14:paraId="699F887C" w14:textId="77777777" w:rsidR="00C949A2" w:rsidRPr="00E430EF" w:rsidRDefault="00C949A2" w:rsidP="00576F81">
            <w:pPr>
              <w:pStyle w:val="TableText"/>
              <w:rPr>
                <w:sz w:val="17"/>
                <w:szCs w:val="17"/>
              </w:rPr>
            </w:pPr>
            <w:r w:rsidRPr="00E430EF">
              <w:rPr>
                <w:sz w:val="17"/>
                <w:szCs w:val="17"/>
              </w:rPr>
              <w:t>Improve CAV compliance operations to concentrate on areas of greatest risk to the achievement of regulatory outcomes</w:t>
            </w:r>
          </w:p>
        </w:tc>
        <w:tc>
          <w:tcPr>
            <w:tcW w:w="1251" w:type="pct"/>
            <w:shd w:val="clear" w:color="auto" w:fill="auto"/>
          </w:tcPr>
          <w:p w14:paraId="2843DD55" w14:textId="77777777" w:rsidR="00C949A2" w:rsidRPr="00E430EF" w:rsidRDefault="00C949A2" w:rsidP="00334EED">
            <w:pPr>
              <w:pStyle w:val="TableText"/>
              <w:rPr>
                <w:sz w:val="17"/>
                <w:szCs w:val="17"/>
              </w:rPr>
            </w:pPr>
            <w:r w:rsidRPr="00E430EF">
              <w:rPr>
                <w:sz w:val="17"/>
                <w:szCs w:val="17"/>
              </w:rPr>
              <w:t>Establish Compliance Operating Model</w:t>
            </w:r>
          </w:p>
          <w:p w14:paraId="4E8EC904" w14:textId="77777777" w:rsidR="00C949A2" w:rsidRPr="00E430EF" w:rsidRDefault="00C949A2" w:rsidP="00334EED">
            <w:pPr>
              <w:pStyle w:val="TableText"/>
              <w:rPr>
                <w:sz w:val="17"/>
                <w:szCs w:val="17"/>
              </w:rPr>
            </w:pPr>
            <w:r w:rsidRPr="00E430EF">
              <w:rPr>
                <w:sz w:val="17"/>
                <w:szCs w:val="17"/>
              </w:rPr>
              <w:t>Strengthened risk management framework</w:t>
            </w:r>
          </w:p>
          <w:p w14:paraId="56C26EB3" w14:textId="77777777" w:rsidR="00C949A2" w:rsidRPr="00E430EF" w:rsidRDefault="00C949A2" w:rsidP="00334EED">
            <w:pPr>
              <w:pStyle w:val="TableText"/>
              <w:rPr>
                <w:sz w:val="17"/>
                <w:szCs w:val="17"/>
              </w:rPr>
            </w:pPr>
          </w:p>
        </w:tc>
        <w:tc>
          <w:tcPr>
            <w:tcW w:w="1249" w:type="pct"/>
            <w:shd w:val="clear" w:color="auto" w:fill="auto"/>
          </w:tcPr>
          <w:p w14:paraId="7C1DB778" w14:textId="77777777" w:rsidR="00C949A2" w:rsidRPr="00E430EF" w:rsidRDefault="00C949A2" w:rsidP="00334EED">
            <w:pPr>
              <w:pStyle w:val="Tablebullet"/>
              <w:rPr>
                <w:szCs w:val="17"/>
              </w:rPr>
            </w:pPr>
            <w:r w:rsidRPr="00E430EF">
              <w:rPr>
                <w:szCs w:val="17"/>
              </w:rPr>
              <w:t xml:space="preserve">How </w:t>
            </w:r>
            <w:proofErr w:type="gramStart"/>
            <w:r w:rsidRPr="00E430EF">
              <w:rPr>
                <w:szCs w:val="17"/>
              </w:rPr>
              <w:t>is risk assessment used</w:t>
            </w:r>
            <w:proofErr w:type="gramEnd"/>
            <w:r w:rsidRPr="00E430EF">
              <w:rPr>
                <w:szCs w:val="17"/>
              </w:rPr>
              <w:t xml:space="preserve"> in the identification of targets?</w:t>
            </w:r>
          </w:p>
          <w:p w14:paraId="1B146CC2" w14:textId="77777777" w:rsidR="00C949A2" w:rsidRPr="00E430EF" w:rsidRDefault="00C949A2" w:rsidP="00334EED">
            <w:pPr>
              <w:pStyle w:val="Tablebullet"/>
              <w:rPr>
                <w:szCs w:val="17"/>
              </w:rPr>
            </w:pPr>
            <w:r w:rsidRPr="00E430EF">
              <w:rPr>
                <w:szCs w:val="17"/>
              </w:rPr>
              <w:t xml:space="preserve">How many risk plans </w:t>
            </w:r>
            <w:proofErr w:type="gramStart"/>
            <w:r w:rsidRPr="00E430EF">
              <w:rPr>
                <w:szCs w:val="17"/>
              </w:rPr>
              <w:t>have been completed</w:t>
            </w:r>
            <w:proofErr w:type="gramEnd"/>
            <w:r w:rsidRPr="00E430EF">
              <w:rPr>
                <w:szCs w:val="17"/>
              </w:rPr>
              <w:t>?</w:t>
            </w:r>
          </w:p>
          <w:p w14:paraId="799D132F" w14:textId="77777777" w:rsidR="00C949A2" w:rsidRPr="00E430EF" w:rsidRDefault="00C949A2" w:rsidP="00334EED">
            <w:pPr>
              <w:pStyle w:val="Tablebullet"/>
              <w:rPr>
                <w:szCs w:val="17"/>
              </w:rPr>
            </w:pPr>
            <w:r w:rsidRPr="00E430EF">
              <w:rPr>
                <w:szCs w:val="17"/>
              </w:rPr>
              <w:t>How is the risk management framework utilised?</w:t>
            </w:r>
          </w:p>
          <w:p w14:paraId="19F5E192" w14:textId="77777777" w:rsidR="00C949A2" w:rsidRPr="00E430EF" w:rsidRDefault="00C949A2" w:rsidP="00334EED">
            <w:pPr>
              <w:pStyle w:val="Tablebullet"/>
              <w:rPr>
                <w:szCs w:val="17"/>
              </w:rPr>
            </w:pPr>
            <w:r w:rsidRPr="00E430EF">
              <w:rPr>
                <w:szCs w:val="17"/>
              </w:rPr>
              <w:t>What have been the changes in risk management procedures as a result of the new framework?</w:t>
            </w:r>
          </w:p>
          <w:p w14:paraId="08DB5C4F" w14:textId="77777777" w:rsidR="00C949A2" w:rsidRPr="00E430EF" w:rsidRDefault="00C949A2" w:rsidP="00334EED">
            <w:pPr>
              <w:pStyle w:val="Tablebullet"/>
              <w:rPr>
                <w:szCs w:val="17"/>
              </w:rPr>
            </w:pPr>
            <w:r w:rsidRPr="00E430EF">
              <w:rPr>
                <w:szCs w:val="17"/>
              </w:rPr>
              <w:t xml:space="preserve">How has the number of issues </w:t>
            </w:r>
            <w:proofErr w:type="gramStart"/>
            <w:r w:rsidRPr="00E430EF">
              <w:rPr>
                <w:szCs w:val="17"/>
              </w:rPr>
              <w:t>being referred</w:t>
            </w:r>
            <w:proofErr w:type="gramEnd"/>
            <w:r w:rsidRPr="00E430EF">
              <w:rPr>
                <w:szCs w:val="17"/>
              </w:rPr>
              <w:t xml:space="preserve"> to the Compliance Operating Group changed?</w:t>
            </w:r>
          </w:p>
        </w:tc>
        <w:tc>
          <w:tcPr>
            <w:tcW w:w="1248" w:type="pct"/>
          </w:tcPr>
          <w:p w14:paraId="0D2D43D8" w14:textId="77777777" w:rsidR="005803ED" w:rsidRPr="00E430EF" w:rsidRDefault="005803ED" w:rsidP="005803ED">
            <w:pPr>
              <w:pStyle w:val="Tablebullet"/>
              <w:rPr>
                <w:szCs w:val="17"/>
              </w:rPr>
            </w:pPr>
            <w:r w:rsidRPr="00E430EF">
              <w:rPr>
                <w:szCs w:val="17"/>
              </w:rPr>
              <w:t xml:space="preserve">Number and quality of issues referred to Compliance Operating Group </w:t>
            </w:r>
          </w:p>
          <w:p w14:paraId="1C9076BC" w14:textId="77777777" w:rsidR="005803ED" w:rsidRPr="00E430EF" w:rsidRDefault="005803ED" w:rsidP="005803ED">
            <w:pPr>
              <w:pStyle w:val="Tablebullet"/>
              <w:rPr>
                <w:szCs w:val="17"/>
              </w:rPr>
            </w:pPr>
            <w:r w:rsidRPr="00E430EF">
              <w:rPr>
                <w:szCs w:val="17"/>
              </w:rPr>
              <w:t xml:space="preserve">Changes in model to incorporate improved risk management </w:t>
            </w:r>
          </w:p>
          <w:p w14:paraId="1B257F54" w14:textId="6D27C5CA" w:rsidR="00C949A2" w:rsidRPr="00E430EF" w:rsidRDefault="005803ED" w:rsidP="005803ED">
            <w:pPr>
              <w:pStyle w:val="Tablebullet"/>
              <w:rPr>
                <w:szCs w:val="17"/>
              </w:rPr>
            </w:pPr>
            <w:r w:rsidRPr="00E430EF">
              <w:rPr>
                <w:szCs w:val="17"/>
              </w:rPr>
              <w:t>Changes in risk management procedures</w:t>
            </w:r>
          </w:p>
        </w:tc>
      </w:tr>
    </w:tbl>
    <w:p w14:paraId="22E87036" w14:textId="77777777" w:rsidR="00AD2FB2" w:rsidRDefault="00AD2FB2" w:rsidP="00AD2FB2">
      <w:pPr>
        <w:pStyle w:val="Heading4"/>
      </w:pPr>
      <w:bookmarkStart w:id="72" w:name="_Toc515606176"/>
      <w:bookmarkStart w:id="73" w:name="_Toc527370743"/>
      <w:r>
        <w:t>Data sources and evidence</w:t>
      </w:r>
    </w:p>
    <w:tbl>
      <w:tblPr>
        <w:tblStyle w:val="DJRReporttablestyleNavy"/>
        <w:tblW w:w="8954" w:type="dxa"/>
        <w:tblLook w:val="04A0" w:firstRow="1" w:lastRow="0" w:firstColumn="1" w:lastColumn="0" w:noHBand="0" w:noVBand="1"/>
      </w:tblPr>
      <w:tblGrid>
        <w:gridCol w:w="4702"/>
        <w:gridCol w:w="4252"/>
      </w:tblGrid>
      <w:tr w:rsidR="00AD2FB2" w:rsidRPr="00CB3285" w14:paraId="3C7CFE68" w14:textId="77777777" w:rsidTr="00217C13">
        <w:trPr>
          <w:cnfStyle w:val="100000000000" w:firstRow="1" w:lastRow="0" w:firstColumn="0" w:lastColumn="0" w:oddVBand="0" w:evenVBand="0" w:oddHBand="0" w:evenHBand="0" w:firstRowFirstColumn="0" w:firstRowLastColumn="0" w:lastRowFirstColumn="0" w:lastRowLastColumn="0"/>
          <w:tblHeader/>
        </w:trPr>
        <w:tc>
          <w:tcPr>
            <w:tcW w:w="4702" w:type="dxa"/>
            <w:shd w:val="clear" w:color="auto" w:fill="16145F"/>
          </w:tcPr>
          <w:p w14:paraId="4A259817" w14:textId="77777777" w:rsidR="00AD2FB2" w:rsidRPr="00CB3285" w:rsidRDefault="00AD2FB2" w:rsidP="00217C13">
            <w:pPr>
              <w:pStyle w:val="TableHeader"/>
            </w:pPr>
            <w:r>
              <w:t>Evidence Reviewed</w:t>
            </w:r>
          </w:p>
        </w:tc>
        <w:tc>
          <w:tcPr>
            <w:tcW w:w="4252" w:type="dxa"/>
            <w:shd w:val="clear" w:color="auto" w:fill="16145F"/>
          </w:tcPr>
          <w:p w14:paraId="1F488758" w14:textId="77777777" w:rsidR="00AD2FB2" w:rsidRPr="00CB3285" w:rsidRDefault="00AD2FB2" w:rsidP="00217C13">
            <w:pPr>
              <w:pStyle w:val="TableHeader"/>
            </w:pPr>
          </w:p>
        </w:tc>
      </w:tr>
      <w:tr w:rsidR="00AD2FB2" w:rsidRPr="00E430EF" w14:paraId="3D5BAF04" w14:textId="77777777" w:rsidTr="00217C13">
        <w:tc>
          <w:tcPr>
            <w:tcW w:w="4702" w:type="dxa"/>
          </w:tcPr>
          <w:p w14:paraId="2238A18B" w14:textId="77777777" w:rsidR="00AD2FB2" w:rsidRPr="00E430EF" w:rsidRDefault="00AD2FB2" w:rsidP="00217C13">
            <w:pPr>
              <w:pStyle w:val="TableText"/>
              <w:rPr>
                <w:sz w:val="17"/>
                <w:szCs w:val="17"/>
              </w:rPr>
            </w:pPr>
            <w:r w:rsidRPr="00E430EF">
              <w:rPr>
                <w:sz w:val="17"/>
                <w:szCs w:val="17"/>
              </w:rPr>
              <w:t xml:space="preserve">CAV Wiki on risk and information management </w:t>
            </w:r>
          </w:p>
        </w:tc>
        <w:tc>
          <w:tcPr>
            <w:tcW w:w="4252" w:type="dxa"/>
          </w:tcPr>
          <w:p w14:paraId="719A0917" w14:textId="77777777" w:rsidR="00AD2FB2" w:rsidRPr="00E430EF" w:rsidRDefault="00AD2FB2" w:rsidP="00217C13">
            <w:pPr>
              <w:pStyle w:val="TableText"/>
              <w:rPr>
                <w:sz w:val="17"/>
                <w:szCs w:val="17"/>
              </w:rPr>
            </w:pPr>
            <w:r w:rsidRPr="00E430EF">
              <w:rPr>
                <w:sz w:val="17"/>
                <w:szCs w:val="17"/>
              </w:rPr>
              <w:t>Compliance risk framework</w:t>
            </w:r>
          </w:p>
        </w:tc>
      </w:tr>
      <w:tr w:rsidR="00AD2FB2" w:rsidRPr="00E430EF" w14:paraId="25873C2C" w14:textId="77777777" w:rsidTr="006B03C3">
        <w:trPr>
          <w:trHeight w:val="437"/>
        </w:trPr>
        <w:tc>
          <w:tcPr>
            <w:tcW w:w="4702" w:type="dxa"/>
          </w:tcPr>
          <w:p w14:paraId="01560971" w14:textId="77777777" w:rsidR="00AD2FB2" w:rsidRPr="00E430EF" w:rsidRDefault="00AD2FB2" w:rsidP="00217C13">
            <w:pPr>
              <w:pStyle w:val="TableText"/>
              <w:rPr>
                <w:sz w:val="17"/>
                <w:szCs w:val="17"/>
              </w:rPr>
            </w:pPr>
            <w:r w:rsidRPr="00E430EF">
              <w:rPr>
                <w:sz w:val="17"/>
                <w:szCs w:val="17"/>
              </w:rPr>
              <w:t>Statement of Expectations Progress Reports: June 2018 and April 2018</w:t>
            </w:r>
          </w:p>
        </w:tc>
        <w:tc>
          <w:tcPr>
            <w:tcW w:w="4252" w:type="dxa"/>
          </w:tcPr>
          <w:p w14:paraId="5CB4F77C" w14:textId="77777777" w:rsidR="00AD2FB2" w:rsidRPr="00E430EF" w:rsidRDefault="00AD2FB2" w:rsidP="00217C13">
            <w:pPr>
              <w:pStyle w:val="TableText"/>
              <w:rPr>
                <w:sz w:val="17"/>
                <w:szCs w:val="17"/>
              </w:rPr>
            </w:pPr>
            <w:r w:rsidRPr="00E430EF">
              <w:rPr>
                <w:sz w:val="17"/>
                <w:szCs w:val="17"/>
              </w:rPr>
              <w:t xml:space="preserve">COG </w:t>
            </w:r>
            <w:proofErr w:type="spellStart"/>
            <w:r w:rsidRPr="00E430EF">
              <w:rPr>
                <w:sz w:val="17"/>
                <w:szCs w:val="17"/>
              </w:rPr>
              <w:t>Workplan</w:t>
            </w:r>
            <w:proofErr w:type="spellEnd"/>
            <w:r w:rsidRPr="00E430EF">
              <w:rPr>
                <w:sz w:val="17"/>
                <w:szCs w:val="17"/>
              </w:rPr>
              <w:t xml:space="preserve"> 2017-18</w:t>
            </w:r>
          </w:p>
        </w:tc>
      </w:tr>
      <w:tr w:rsidR="00AD2FB2" w:rsidRPr="00E430EF" w14:paraId="61751FC7" w14:textId="77777777" w:rsidTr="00217C13">
        <w:trPr>
          <w:trHeight w:val="357"/>
        </w:trPr>
        <w:tc>
          <w:tcPr>
            <w:tcW w:w="4702" w:type="dxa"/>
          </w:tcPr>
          <w:p w14:paraId="501C270B" w14:textId="77777777" w:rsidR="00AD2FB2" w:rsidRPr="00E430EF" w:rsidRDefault="00AD2FB2" w:rsidP="00217C13">
            <w:pPr>
              <w:pStyle w:val="TableText"/>
              <w:rPr>
                <w:sz w:val="17"/>
                <w:szCs w:val="17"/>
              </w:rPr>
            </w:pPr>
            <w:r w:rsidRPr="00E430EF">
              <w:rPr>
                <w:sz w:val="17"/>
                <w:szCs w:val="17"/>
              </w:rPr>
              <w:t>CAV Risk Manual</w:t>
            </w:r>
          </w:p>
        </w:tc>
        <w:tc>
          <w:tcPr>
            <w:tcW w:w="4252" w:type="dxa"/>
          </w:tcPr>
          <w:p w14:paraId="6312C0A3" w14:textId="77777777" w:rsidR="00AD2FB2" w:rsidRPr="00E430EF" w:rsidRDefault="00AD2FB2" w:rsidP="00217C13">
            <w:pPr>
              <w:pStyle w:val="TableText"/>
              <w:rPr>
                <w:sz w:val="17"/>
                <w:szCs w:val="17"/>
              </w:rPr>
            </w:pPr>
            <w:r w:rsidRPr="00E430EF">
              <w:rPr>
                <w:sz w:val="17"/>
                <w:szCs w:val="17"/>
              </w:rPr>
              <w:t>Examples of risk validations</w:t>
            </w:r>
          </w:p>
        </w:tc>
      </w:tr>
      <w:tr w:rsidR="00AD2FB2" w:rsidRPr="00E430EF" w14:paraId="63E2B1C9" w14:textId="77777777" w:rsidTr="00217C13">
        <w:trPr>
          <w:trHeight w:val="547"/>
        </w:trPr>
        <w:tc>
          <w:tcPr>
            <w:tcW w:w="4702" w:type="dxa"/>
          </w:tcPr>
          <w:p w14:paraId="65510B14" w14:textId="77777777" w:rsidR="00AD2FB2" w:rsidRPr="00E430EF" w:rsidRDefault="00AD2FB2" w:rsidP="00217C13">
            <w:pPr>
              <w:pStyle w:val="TableText"/>
              <w:rPr>
                <w:sz w:val="17"/>
                <w:szCs w:val="17"/>
              </w:rPr>
            </w:pPr>
            <w:r w:rsidRPr="00E430EF">
              <w:rPr>
                <w:sz w:val="17"/>
                <w:szCs w:val="17"/>
              </w:rPr>
              <w:t>CAV Regulatory Approach and Compliance Policy</w:t>
            </w:r>
          </w:p>
        </w:tc>
        <w:tc>
          <w:tcPr>
            <w:tcW w:w="4252" w:type="dxa"/>
          </w:tcPr>
          <w:p w14:paraId="7122ECC8" w14:textId="77777777" w:rsidR="00AD2FB2" w:rsidRPr="00E430EF" w:rsidRDefault="00AD2FB2" w:rsidP="00217C13">
            <w:pPr>
              <w:pStyle w:val="TableText"/>
              <w:rPr>
                <w:sz w:val="17"/>
                <w:szCs w:val="17"/>
              </w:rPr>
            </w:pPr>
          </w:p>
        </w:tc>
      </w:tr>
      <w:tr w:rsidR="00AD2FB2" w:rsidRPr="00CB3285" w14:paraId="1D8E9F5E" w14:textId="77777777" w:rsidTr="00217C13">
        <w:tc>
          <w:tcPr>
            <w:tcW w:w="4702" w:type="dxa"/>
            <w:shd w:val="clear" w:color="auto" w:fill="16145F"/>
          </w:tcPr>
          <w:p w14:paraId="0ACB530D" w14:textId="77777777" w:rsidR="00AD2FB2" w:rsidRPr="00CB3285" w:rsidRDefault="00AD2FB2" w:rsidP="00217C13">
            <w:pPr>
              <w:pStyle w:val="TableHeader"/>
            </w:pPr>
            <w:r>
              <w:t>Interviews</w:t>
            </w:r>
          </w:p>
        </w:tc>
        <w:tc>
          <w:tcPr>
            <w:tcW w:w="4252" w:type="dxa"/>
            <w:shd w:val="clear" w:color="auto" w:fill="16145F"/>
          </w:tcPr>
          <w:p w14:paraId="353DC3D5" w14:textId="77777777" w:rsidR="00AD2FB2" w:rsidRPr="00CB3285" w:rsidRDefault="00AD2FB2" w:rsidP="00217C13">
            <w:pPr>
              <w:pStyle w:val="TableHeader"/>
            </w:pPr>
          </w:p>
        </w:tc>
      </w:tr>
      <w:tr w:rsidR="00AD2FB2" w:rsidRPr="00DE1451" w14:paraId="40AF3136" w14:textId="77777777" w:rsidTr="00217C13">
        <w:tc>
          <w:tcPr>
            <w:tcW w:w="4702" w:type="dxa"/>
          </w:tcPr>
          <w:p w14:paraId="03849C97" w14:textId="77777777" w:rsidR="00AD2FB2" w:rsidRPr="00DE1451" w:rsidRDefault="00AD2FB2" w:rsidP="00217C13">
            <w:pPr>
              <w:pStyle w:val="TableText"/>
            </w:pPr>
            <w:r>
              <w:t>CAV Project Team</w:t>
            </w:r>
          </w:p>
        </w:tc>
        <w:tc>
          <w:tcPr>
            <w:tcW w:w="4252" w:type="dxa"/>
          </w:tcPr>
          <w:p w14:paraId="1177EC41" w14:textId="77777777" w:rsidR="00AD2FB2" w:rsidRPr="00DE1451" w:rsidRDefault="00AD2FB2" w:rsidP="00217C13">
            <w:pPr>
              <w:pStyle w:val="TableText"/>
            </w:pPr>
          </w:p>
        </w:tc>
      </w:tr>
    </w:tbl>
    <w:p w14:paraId="224D91C6" w14:textId="7B93C6A4" w:rsidR="00F52631" w:rsidRDefault="00F52631" w:rsidP="00577E70">
      <w:pPr>
        <w:pStyle w:val="Heading2notappearinginTOC"/>
      </w:pPr>
      <w:r w:rsidRPr="000C27C1">
        <w:lastRenderedPageBreak/>
        <w:t>Compliance</w:t>
      </w:r>
      <w:r w:rsidR="00406B0D">
        <w:t>-</w:t>
      </w:r>
      <w:r w:rsidRPr="000C27C1">
        <w:t>related assistance and advice</w:t>
      </w:r>
      <w:bookmarkEnd w:id="72"/>
      <w:bookmarkEnd w:id="73"/>
      <w:r w:rsidR="00AD2FB2">
        <w:t xml:space="preserve"> </w:t>
      </w:r>
    </w:p>
    <w:tbl>
      <w:tblPr>
        <w:tblW w:w="4553" w:type="pct"/>
        <w:tblInd w:w="612" w:type="dxa"/>
        <w:tblBorders>
          <w:top w:val="single" w:sz="4" w:space="0" w:color="666366"/>
          <w:bottom w:val="single" w:sz="4" w:space="0" w:color="666366"/>
          <w:insideH w:val="single" w:sz="2" w:space="0" w:color="C0C0C0"/>
        </w:tblBorders>
        <w:tblLayout w:type="fixed"/>
        <w:tblCellMar>
          <w:top w:w="57" w:type="dxa"/>
          <w:bottom w:w="57" w:type="dxa"/>
        </w:tblCellMar>
        <w:tblLook w:val="0620" w:firstRow="1" w:lastRow="0" w:firstColumn="0" w:lastColumn="0" w:noHBand="1" w:noVBand="1"/>
      </w:tblPr>
      <w:tblGrid>
        <w:gridCol w:w="5904"/>
        <w:gridCol w:w="3379"/>
      </w:tblGrid>
      <w:tr w:rsidR="00AD2FB2" w:rsidRPr="00F86C0E" w14:paraId="0493E379" w14:textId="77777777" w:rsidTr="00217C1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16145F"/>
            <w:vAlign w:val="bottom"/>
          </w:tcPr>
          <w:p w14:paraId="3C50D8A4" w14:textId="01678C1B" w:rsidR="00AD2FB2" w:rsidRPr="00F86C0E" w:rsidRDefault="00AD2FB2" w:rsidP="00217C13">
            <w:pPr>
              <w:pStyle w:val="TableHeader"/>
              <w:rPr>
                <w:rFonts w:eastAsia="Arial"/>
              </w:rPr>
            </w:pPr>
            <w:r w:rsidRPr="00F86C0E">
              <w:rPr>
                <w:rFonts w:eastAsia="Arial"/>
              </w:rPr>
              <w:t>SOE Framework minimum standards and characteristics of best practice</w:t>
            </w:r>
            <w:r w:rsidR="00406B0D">
              <w:rPr>
                <w:rFonts w:eastAsia="Arial"/>
              </w:rPr>
              <w:t xml:space="preserve"> – Compliance-related assistance and advice</w:t>
            </w:r>
          </w:p>
        </w:tc>
      </w:tr>
      <w:tr w:rsidR="00AD2FB2" w:rsidRPr="00F86C0E" w14:paraId="3DBD296B" w14:textId="77777777" w:rsidTr="00E430EF">
        <w:trPr>
          <w:cantSplit/>
        </w:trPr>
        <w:tc>
          <w:tcPr>
            <w:tcW w:w="3180" w:type="pct"/>
            <w:tcBorders>
              <w:top w:val="single" w:sz="4" w:space="0" w:color="auto"/>
              <w:left w:val="single" w:sz="4" w:space="0" w:color="auto"/>
              <w:bottom w:val="single" w:sz="4" w:space="0" w:color="auto"/>
              <w:right w:val="single" w:sz="4" w:space="0" w:color="auto"/>
            </w:tcBorders>
            <w:shd w:val="clear" w:color="auto" w:fill="16145F"/>
          </w:tcPr>
          <w:p w14:paraId="388A4EE8" w14:textId="77777777" w:rsidR="00AD2FB2" w:rsidRPr="00F86C0E" w:rsidRDefault="00AD2FB2" w:rsidP="00217C13">
            <w:pPr>
              <w:pStyle w:val="TableHeader"/>
              <w:rPr>
                <w:rFonts w:eastAsia="Arial"/>
              </w:rPr>
            </w:pPr>
            <w:r w:rsidRPr="00F86C0E">
              <w:rPr>
                <w:rFonts w:eastAsia="Arial"/>
              </w:rPr>
              <w:t>Minimum standards</w:t>
            </w:r>
          </w:p>
        </w:tc>
        <w:tc>
          <w:tcPr>
            <w:tcW w:w="1820" w:type="pct"/>
            <w:tcBorders>
              <w:top w:val="single" w:sz="4" w:space="0" w:color="auto"/>
              <w:left w:val="single" w:sz="4" w:space="0" w:color="auto"/>
              <w:bottom w:val="single" w:sz="4" w:space="0" w:color="auto"/>
              <w:right w:val="single" w:sz="4" w:space="0" w:color="auto"/>
            </w:tcBorders>
            <w:shd w:val="clear" w:color="auto" w:fill="16145F"/>
          </w:tcPr>
          <w:p w14:paraId="2D01EBBB" w14:textId="77777777" w:rsidR="00AD2FB2" w:rsidRPr="00F86C0E" w:rsidRDefault="00AD2FB2" w:rsidP="00217C13">
            <w:pPr>
              <w:pStyle w:val="TableHeader"/>
              <w:rPr>
                <w:rFonts w:eastAsia="Arial"/>
              </w:rPr>
            </w:pPr>
            <w:r w:rsidRPr="00F86C0E">
              <w:rPr>
                <w:rFonts w:eastAsia="Arial"/>
              </w:rPr>
              <w:t>Characteristics of best practice</w:t>
            </w:r>
          </w:p>
        </w:tc>
      </w:tr>
      <w:tr w:rsidR="00AD2FB2" w:rsidRPr="00F86C0E" w14:paraId="5CAE3AC4" w14:textId="77777777" w:rsidTr="00E430EF">
        <w:trPr>
          <w:cantSplit/>
        </w:trPr>
        <w:tc>
          <w:tcPr>
            <w:tcW w:w="3180" w:type="pct"/>
            <w:tcBorders>
              <w:top w:val="single" w:sz="4" w:space="0" w:color="auto"/>
              <w:left w:val="single" w:sz="4" w:space="0" w:color="auto"/>
              <w:bottom w:val="single" w:sz="4" w:space="0" w:color="auto"/>
              <w:right w:val="single" w:sz="4" w:space="0" w:color="auto"/>
            </w:tcBorders>
            <w:shd w:val="clear" w:color="auto" w:fill="auto"/>
          </w:tcPr>
          <w:p w14:paraId="1CEAC876" w14:textId="77777777" w:rsidR="00AD2FB2" w:rsidRPr="00F86C0E" w:rsidRDefault="00AD2FB2" w:rsidP="00217C13">
            <w:pPr>
              <w:pStyle w:val="Tablebullet"/>
            </w:pPr>
            <w:r w:rsidRPr="00F86C0E">
              <w:t xml:space="preserve">Regulator provides assistance and advice in order to secure compliance. </w:t>
            </w:r>
          </w:p>
          <w:p w14:paraId="7619217E" w14:textId="77777777" w:rsidR="00AD2FB2" w:rsidRPr="00F86C0E" w:rsidRDefault="00AD2FB2" w:rsidP="00217C13">
            <w:pPr>
              <w:pStyle w:val="Tablebullet"/>
            </w:pPr>
            <w:r w:rsidRPr="00F86C0E">
              <w:t>Advice is: easily available (for example, accessible in appropriate formats); accurate; easy to understand (i.e. written in plain English); comprehensive (e.g. include illustrative examples); timely (e.g. provided in time for individuals and businesses to adjust to changes in regulation); and, regularly reviewed and updated in light of feedback.</w:t>
            </w:r>
          </w:p>
          <w:p w14:paraId="3D26DBAE" w14:textId="77777777" w:rsidR="00AD2FB2" w:rsidRPr="00F86C0E" w:rsidRDefault="00AD2FB2" w:rsidP="00217C13">
            <w:pPr>
              <w:pStyle w:val="Tablebullet"/>
            </w:pPr>
            <w:r w:rsidRPr="00F86C0E">
              <w:t>Administration and enforcement is accompanied by ongoing advice.</w:t>
            </w:r>
          </w:p>
          <w:p w14:paraId="16C67443" w14:textId="77777777" w:rsidR="00AD2FB2" w:rsidRPr="00F86C0E" w:rsidRDefault="00AD2FB2" w:rsidP="00217C13">
            <w:pPr>
              <w:pStyle w:val="Tablebullet"/>
            </w:pPr>
            <w:r w:rsidRPr="00F86C0E">
              <w:t>Regulator judges the effectiveness of its assistance and advice by monitoring regulated parties’ awareness and understanding of the services.</w:t>
            </w:r>
          </w:p>
          <w:p w14:paraId="5666DDD8" w14:textId="77777777" w:rsidR="00AD2FB2" w:rsidRPr="00F86C0E" w:rsidRDefault="00AD2FB2" w:rsidP="00217C13">
            <w:pPr>
              <w:pStyle w:val="Tablebullet"/>
            </w:pPr>
            <w:r w:rsidRPr="00F86C0E">
              <w:t>Regulator provides clarity about the status and objectives of advice (i.e. whether it is statutory or non</w:t>
            </w:r>
            <w:r w:rsidRPr="00F86C0E">
              <w:noBreakHyphen/>
              <w:t>statutory).</w:t>
            </w:r>
          </w:p>
        </w:tc>
        <w:tc>
          <w:tcPr>
            <w:tcW w:w="1820" w:type="pct"/>
            <w:tcBorders>
              <w:top w:val="single" w:sz="4" w:space="0" w:color="auto"/>
              <w:left w:val="single" w:sz="4" w:space="0" w:color="auto"/>
              <w:bottom w:val="single" w:sz="4" w:space="0" w:color="auto"/>
              <w:right w:val="single" w:sz="4" w:space="0" w:color="auto"/>
            </w:tcBorders>
            <w:shd w:val="clear" w:color="auto" w:fill="auto"/>
          </w:tcPr>
          <w:p w14:paraId="43598774" w14:textId="77777777" w:rsidR="00AD2FB2" w:rsidRPr="00F86C0E" w:rsidRDefault="00AD2FB2" w:rsidP="00217C13">
            <w:pPr>
              <w:pStyle w:val="Tablebullet"/>
            </w:pPr>
            <w:r w:rsidRPr="00F86C0E">
              <w:t>Assistance and advice services cover the full range of regulated activities and are tailored where appropriate to different groupings of regulated parties.</w:t>
            </w:r>
          </w:p>
        </w:tc>
      </w:tr>
    </w:tbl>
    <w:p w14:paraId="2DD237D3" w14:textId="52A5DF3C" w:rsidR="00577E70" w:rsidRPr="00592609" w:rsidRDefault="00577E70" w:rsidP="00577E70">
      <w:pPr>
        <w:pStyle w:val="Heading4"/>
        <w:rPr>
          <w:lang w:val="en-US"/>
        </w:rPr>
      </w:pPr>
      <w:r>
        <w:rPr>
          <w:lang w:val="en-US"/>
        </w:rPr>
        <w:t>Evaluation questions</w:t>
      </w:r>
      <w:r w:rsidR="00C949A2">
        <w:rPr>
          <w:lang w:val="en-US"/>
        </w:rPr>
        <w:t xml:space="preserve"> and suggested measures</w:t>
      </w:r>
      <w:r w:rsidR="00AD2FB2">
        <w:rPr>
          <w:lang w:val="en-US"/>
        </w:rPr>
        <w:t xml:space="preserve"> - </w:t>
      </w:r>
      <w:r w:rsidR="00AD2FB2">
        <w:t>Underquoting</w:t>
      </w:r>
    </w:p>
    <w:tbl>
      <w:tblPr>
        <w:tblW w:w="47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218"/>
        <w:gridCol w:w="2268"/>
        <w:gridCol w:w="2702"/>
        <w:gridCol w:w="2394"/>
      </w:tblGrid>
      <w:tr w:rsidR="00C949A2" w14:paraId="029B8A3A" w14:textId="4206636F" w:rsidTr="00E430EF">
        <w:trPr>
          <w:tblHeader/>
        </w:trPr>
        <w:tc>
          <w:tcPr>
            <w:tcW w:w="1157" w:type="pct"/>
            <w:shd w:val="clear" w:color="auto" w:fill="16145F"/>
          </w:tcPr>
          <w:p w14:paraId="74B47271" w14:textId="77777777" w:rsidR="00C949A2" w:rsidRPr="004045DD" w:rsidRDefault="00C949A2" w:rsidP="00F86C0E">
            <w:pPr>
              <w:pStyle w:val="TableHeader"/>
            </w:pPr>
            <w:r w:rsidRPr="004045DD">
              <w:t xml:space="preserve">SOE </w:t>
            </w:r>
            <w:r>
              <w:t>i</w:t>
            </w:r>
            <w:r w:rsidRPr="004045DD">
              <w:t xml:space="preserve">mprovement </w:t>
            </w:r>
            <w:r>
              <w:t>s</w:t>
            </w:r>
            <w:r w:rsidRPr="004045DD">
              <w:t>tatement</w:t>
            </w:r>
          </w:p>
        </w:tc>
        <w:tc>
          <w:tcPr>
            <w:tcW w:w="1183" w:type="pct"/>
            <w:shd w:val="clear" w:color="auto" w:fill="16145F"/>
          </w:tcPr>
          <w:p w14:paraId="49973C41" w14:textId="77777777" w:rsidR="00C949A2" w:rsidRPr="004045DD" w:rsidRDefault="00C949A2" w:rsidP="00F86C0E">
            <w:pPr>
              <w:pStyle w:val="TableHeader"/>
            </w:pPr>
            <w:r w:rsidRPr="004045DD">
              <w:t xml:space="preserve">Regulator </w:t>
            </w:r>
            <w:r>
              <w:t>r</w:t>
            </w:r>
            <w:r w:rsidRPr="004045DD">
              <w:t>esponse</w:t>
            </w:r>
          </w:p>
        </w:tc>
        <w:tc>
          <w:tcPr>
            <w:tcW w:w="1410" w:type="pct"/>
            <w:shd w:val="clear" w:color="auto" w:fill="16145F"/>
          </w:tcPr>
          <w:p w14:paraId="49EF7655" w14:textId="77777777" w:rsidR="00C949A2" w:rsidRPr="00192F92" w:rsidRDefault="00C949A2" w:rsidP="00F86C0E">
            <w:pPr>
              <w:pStyle w:val="TableHeader"/>
              <w:rPr>
                <w:bCs/>
              </w:rPr>
            </w:pPr>
            <w:r w:rsidRPr="00192F92">
              <w:rPr>
                <w:bCs/>
              </w:rPr>
              <w:t>Key Questions</w:t>
            </w:r>
          </w:p>
        </w:tc>
        <w:tc>
          <w:tcPr>
            <w:tcW w:w="1249" w:type="pct"/>
            <w:shd w:val="clear" w:color="auto" w:fill="16145F"/>
          </w:tcPr>
          <w:p w14:paraId="0A21642E" w14:textId="7ACCA2DD" w:rsidR="00C949A2" w:rsidRPr="00192F92" w:rsidRDefault="00C949A2" w:rsidP="00F86C0E">
            <w:pPr>
              <w:pStyle w:val="TableHeader"/>
              <w:rPr>
                <w:bCs/>
              </w:rPr>
            </w:pPr>
            <w:r>
              <w:rPr>
                <w:bCs/>
              </w:rPr>
              <w:t>Suggested Measures</w:t>
            </w:r>
          </w:p>
        </w:tc>
      </w:tr>
      <w:tr w:rsidR="00C949A2" w:rsidRPr="00E430EF" w14:paraId="317FE452" w14:textId="3E0CFDCC" w:rsidTr="00E430EF">
        <w:tc>
          <w:tcPr>
            <w:tcW w:w="1157" w:type="pct"/>
            <w:shd w:val="clear" w:color="auto" w:fill="auto"/>
          </w:tcPr>
          <w:p w14:paraId="24128367" w14:textId="77777777" w:rsidR="00C949A2" w:rsidRPr="00E430EF" w:rsidRDefault="00C949A2" w:rsidP="00576F81">
            <w:pPr>
              <w:pStyle w:val="TableText"/>
              <w:rPr>
                <w:sz w:val="17"/>
                <w:szCs w:val="17"/>
              </w:rPr>
            </w:pPr>
            <w:r w:rsidRPr="00E430EF">
              <w:rPr>
                <w:sz w:val="17"/>
                <w:szCs w:val="17"/>
              </w:rPr>
              <w:t>Increase awareness and understanding among estate agents of their obligations under the legislation concerning underquoting</w:t>
            </w:r>
          </w:p>
        </w:tc>
        <w:tc>
          <w:tcPr>
            <w:tcW w:w="1183" w:type="pct"/>
            <w:shd w:val="clear" w:color="auto" w:fill="auto"/>
          </w:tcPr>
          <w:p w14:paraId="7547BFF6" w14:textId="77777777" w:rsidR="00C949A2" w:rsidRPr="00E430EF" w:rsidRDefault="00C949A2" w:rsidP="00334EED">
            <w:pPr>
              <w:pStyle w:val="TableText"/>
              <w:rPr>
                <w:sz w:val="17"/>
                <w:szCs w:val="17"/>
              </w:rPr>
            </w:pPr>
            <w:r w:rsidRPr="00E430EF">
              <w:rPr>
                <w:sz w:val="17"/>
                <w:szCs w:val="17"/>
              </w:rPr>
              <w:t>Focused business education program</w:t>
            </w:r>
          </w:p>
          <w:p w14:paraId="5C9C4464" w14:textId="77777777" w:rsidR="00C949A2" w:rsidRPr="00E430EF" w:rsidRDefault="00C949A2" w:rsidP="00334EED">
            <w:pPr>
              <w:pStyle w:val="TableText"/>
              <w:rPr>
                <w:sz w:val="17"/>
                <w:szCs w:val="17"/>
              </w:rPr>
            </w:pPr>
            <w:r w:rsidRPr="00E430EF">
              <w:rPr>
                <w:sz w:val="17"/>
                <w:szCs w:val="17"/>
              </w:rPr>
              <w:t>Develop and deliver education program to real estate agents</w:t>
            </w:r>
          </w:p>
          <w:p w14:paraId="71F88C43" w14:textId="77777777" w:rsidR="00C949A2" w:rsidRPr="00E430EF" w:rsidRDefault="00C949A2" w:rsidP="00334EED">
            <w:pPr>
              <w:pStyle w:val="TableText"/>
              <w:rPr>
                <w:sz w:val="17"/>
                <w:szCs w:val="17"/>
              </w:rPr>
            </w:pPr>
            <w:r w:rsidRPr="00E430EF">
              <w:rPr>
                <w:sz w:val="17"/>
                <w:szCs w:val="17"/>
              </w:rPr>
              <w:t>Develop and deliver underquoting communications campaign to general public</w:t>
            </w:r>
          </w:p>
        </w:tc>
        <w:tc>
          <w:tcPr>
            <w:tcW w:w="1410" w:type="pct"/>
            <w:shd w:val="clear" w:color="auto" w:fill="auto"/>
          </w:tcPr>
          <w:p w14:paraId="6729E1AB" w14:textId="77777777" w:rsidR="00C949A2" w:rsidRPr="00E430EF" w:rsidRDefault="00C949A2" w:rsidP="00334EED">
            <w:pPr>
              <w:pStyle w:val="Tablebullet"/>
              <w:rPr>
                <w:szCs w:val="17"/>
              </w:rPr>
            </w:pPr>
            <w:r w:rsidRPr="00E430EF">
              <w:rPr>
                <w:szCs w:val="17"/>
              </w:rPr>
              <w:t>How many downloads of the Statement of Information or views of the video?</w:t>
            </w:r>
          </w:p>
          <w:p w14:paraId="4CC35CB9" w14:textId="51D05571" w:rsidR="00C949A2" w:rsidRPr="00E430EF" w:rsidRDefault="00C949A2" w:rsidP="00334EED">
            <w:pPr>
              <w:pStyle w:val="Tablebullet"/>
              <w:rPr>
                <w:szCs w:val="17"/>
              </w:rPr>
            </w:pPr>
            <w:r w:rsidRPr="00E430EF">
              <w:rPr>
                <w:szCs w:val="17"/>
              </w:rPr>
              <w:t xml:space="preserve">What level of compliance has there been with the Statement of Information requirements (either through inspections or </w:t>
            </w:r>
            <w:r w:rsidR="00122DDC" w:rsidRPr="00E430EF">
              <w:rPr>
                <w:szCs w:val="17"/>
              </w:rPr>
              <w:t>on-line</w:t>
            </w:r>
            <w:r w:rsidRPr="00E430EF">
              <w:rPr>
                <w:szCs w:val="17"/>
              </w:rPr>
              <w:t>)?</w:t>
            </w:r>
          </w:p>
          <w:p w14:paraId="7DC90BDB" w14:textId="77777777" w:rsidR="00C949A2" w:rsidRPr="00E430EF" w:rsidRDefault="00C949A2" w:rsidP="00334EED">
            <w:pPr>
              <w:pStyle w:val="Tablebullet"/>
              <w:rPr>
                <w:szCs w:val="17"/>
              </w:rPr>
            </w:pPr>
            <w:r w:rsidRPr="00E430EF">
              <w:rPr>
                <w:szCs w:val="17"/>
              </w:rPr>
              <w:t>Were external stakeholders involved in the development of the communications plan?</w:t>
            </w:r>
          </w:p>
          <w:p w14:paraId="24D8CAEB" w14:textId="77777777" w:rsidR="00C949A2" w:rsidRPr="00E430EF" w:rsidRDefault="00C949A2" w:rsidP="00334EED">
            <w:pPr>
              <w:pStyle w:val="Tablebullet"/>
              <w:rPr>
                <w:szCs w:val="17"/>
              </w:rPr>
            </w:pPr>
            <w:r w:rsidRPr="00E430EF">
              <w:rPr>
                <w:szCs w:val="17"/>
              </w:rPr>
              <w:t>What was the reach of the communications plan?</w:t>
            </w:r>
          </w:p>
          <w:p w14:paraId="2BED64AD" w14:textId="77777777" w:rsidR="00C949A2" w:rsidRPr="00E430EF" w:rsidRDefault="00C949A2" w:rsidP="00334EED">
            <w:pPr>
              <w:pStyle w:val="Tablebullet"/>
              <w:rPr>
                <w:szCs w:val="17"/>
              </w:rPr>
            </w:pPr>
            <w:r w:rsidRPr="00E430EF">
              <w:rPr>
                <w:szCs w:val="17"/>
              </w:rPr>
              <w:t>How was success of the plan measured?</w:t>
            </w:r>
          </w:p>
          <w:p w14:paraId="4D3C0961" w14:textId="77777777" w:rsidR="00C949A2" w:rsidRPr="00E430EF" w:rsidRDefault="00C949A2" w:rsidP="00334EED">
            <w:pPr>
              <w:pStyle w:val="Tablebullet"/>
              <w:rPr>
                <w:szCs w:val="17"/>
              </w:rPr>
            </w:pPr>
            <w:r w:rsidRPr="00E430EF">
              <w:rPr>
                <w:szCs w:val="17"/>
              </w:rPr>
              <w:t>Has there been a reduction in underquoting?</w:t>
            </w:r>
          </w:p>
          <w:p w14:paraId="1340A17D" w14:textId="77777777" w:rsidR="00C949A2" w:rsidRPr="00E430EF" w:rsidRDefault="00C949A2" w:rsidP="00334EED">
            <w:pPr>
              <w:pStyle w:val="Tablebullet"/>
              <w:rPr>
                <w:szCs w:val="17"/>
              </w:rPr>
            </w:pPr>
            <w:r w:rsidRPr="00E430EF">
              <w:rPr>
                <w:szCs w:val="17"/>
              </w:rPr>
              <w:t>How has understanding of obligations around underquoting increased?</w:t>
            </w:r>
          </w:p>
        </w:tc>
        <w:tc>
          <w:tcPr>
            <w:tcW w:w="1249" w:type="pct"/>
          </w:tcPr>
          <w:p w14:paraId="6D23B225" w14:textId="77777777" w:rsidR="005803ED" w:rsidRPr="00E430EF" w:rsidRDefault="005803ED" w:rsidP="005803ED">
            <w:pPr>
              <w:pStyle w:val="Tablebullet"/>
              <w:rPr>
                <w:szCs w:val="17"/>
              </w:rPr>
            </w:pPr>
            <w:r w:rsidRPr="00E430EF">
              <w:rPr>
                <w:szCs w:val="17"/>
              </w:rPr>
              <w:t>Number of real estate agents educated</w:t>
            </w:r>
          </w:p>
          <w:p w14:paraId="0D762C82" w14:textId="77777777" w:rsidR="005803ED" w:rsidRPr="00E430EF" w:rsidRDefault="005803ED" w:rsidP="005803ED">
            <w:pPr>
              <w:pStyle w:val="Tablebullet"/>
              <w:rPr>
                <w:szCs w:val="17"/>
              </w:rPr>
            </w:pPr>
            <w:r w:rsidRPr="00E430EF">
              <w:rPr>
                <w:szCs w:val="17"/>
              </w:rPr>
              <w:t>Number of educational programs delivered</w:t>
            </w:r>
          </w:p>
          <w:p w14:paraId="09961C78" w14:textId="77777777" w:rsidR="005803ED" w:rsidRPr="00E430EF" w:rsidRDefault="005803ED" w:rsidP="005803ED">
            <w:pPr>
              <w:pStyle w:val="Tablebullet"/>
              <w:rPr>
                <w:szCs w:val="17"/>
              </w:rPr>
            </w:pPr>
            <w:r w:rsidRPr="00E430EF">
              <w:rPr>
                <w:szCs w:val="17"/>
              </w:rPr>
              <w:t>“Statement of Information” downloads</w:t>
            </w:r>
          </w:p>
          <w:p w14:paraId="5ECEE5A2" w14:textId="77777777" w:rsidR="005803ED" w:rsidRPr="00E430EF" w:rsidRDefault="005803ED" w:rsidP="005803ED">
            <w:pPr>
              <w:pStyle w:val="Tablebullet"/>
              <w:rPr>
                <w:szCs w:val="17"/>
              </w:rPr>
            </w:pPr>
            <w:r w:rsidRPr="00E430EF">
              <w:rPr>
                <w:szCs w:val="17"/>
              </w:rPr>
              <w:t>Views of video</w:t>
            </w:r>
          </w:p>
          <w:p w14:paraId="424C60FA" w14:textId="77777777" w:rsidR="005803ED" w:rsidRPr="00E430EF" w:rsidRDefault="005803ED" w:rsidP="005803ED">
            <w:pPr>
              <w:pStyle w:val="Tablebullet"/>
              <w:rPr>
                <w:szCs w:val="17"/>
              </w:rPr>
            </w:pPr>
            <w:r w:rsidRPr="00E430EF">
              <w:rPr>
                <w:szCs w:val="17"/>
              </w:rPr>
              <w:t>Interviews with CAV – perceptions of level of awareness</w:t>
            </w:r>
          </w:p>
          <w:p w14:paraId="07312A98" w14:textId="77777777" w:rsidR="005803ED" w:rsidRPr="00E430EF" w:rsidRDefault="005803ED" w:rsidP="005803ED">
            <w:pPr>
              <w:pStyle w:val="Tablebullet"/>
              <w:rPr>
                <w:szCs w:val="17"/>
              </w:rPr>
            </w:pPr>
            <w:r w:rsidRPr="00E430EF">
              <w:rPr>
                <w:szCs w:val="17"/>
              </w:rPr>
              <w:t>Number of public announcements</w:t>
            </w:r>
          </w:p>
          <w:p w14:paraId="137140B9" w14:textId="25A4AEE2" w:rsidR="00C949A2" w:rsidRPr="00E430EF" w:rsidRDefault="00E430EF" w:rsidP="005803ED">
            <w:pPr>
              <w:pStyle w:val="Tablebullet"/>
              <w:rPr>
                <w:szCs w:val="17"/>
              </w:rPr>
            </w:pPr>
            <w:r w:rsidRPr="00E430EF">
              <w:rPr>
                <w:szCs w:val="17"/>
              </w:rPr>
              <w:t>P</w:t>
            </w:r>
            <w:r w:rsidR="0069182A" w:rsidRPr="00E430EF">
              <w:rPr>
                <w:szCs w:val="17"/>
              </w:rPr>
              <w:t>er cent</w:t>
            </w:r>
            <w:r w:rsidR="006B03C3" w:rsidRPr="00E430EF">
              <w:rPr>
                <w:szCs w:val="17"/>
              </w:rPr>
              <w:t xml:space="preserve"> of</w:t>
            </w:r>
            <w:r w:rsidR="0069182A" w:rsidRPr="00E430EF">
              <w:rPr>
                <w:szCs w:val="17"/>
              </w:rPr>
              <w:t xml:space="preserve"> </w:t>
            </w:r>
            <w:r w:rsidR="005803ED" w:rsidRPr="00E430EF">
              <w:rPr>
                <w:szCs w:val="17"/>
              </w:rPr>
              <w:t>agents compliant with “Statement of Information” requirements</w:t>
            </w:r>
          </w:p>
        </w:tc>
      </w:tr>
    </w:tbl>
    <w:p w14:paraId="0BCD8133" w14:textId="77777777" w:rsidR="00AD2FB2" w:rsidRDefault="00AD2FB2" w:rsidP="00AD2FB2">
      <w:pPr>
        <w:pStyle w:val="Heading4"/>
      </w:pPr>
      <w:r>
        <w:t>Data sources and evidence - Underquoting</w:t>
      </w:r>
    </w:p>
    <w:tbl>
      <w:tblPr>
        <w:tblW w:w="455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41"/>
        <w:gridCol w:w="4642"/>
      </w:tblGrid>
      <w:tr w:rsidR="00AD2FB2" w:rsidRPr="00F47959" w14:paraId="6856E8D4" w14:textId="77777777" w:rsidTr="00217C13">
        <w:trPr>
          <w:tblHeader/>
        </w:trPr>
        <w:tc>
          <w:tcPr>
            <w:tcW w:w="2500" w:type="pct"/>
            <w:shd w:val="clear" w:color="auto" w:fill="16145F"/>
          </w:tcPr>
          <w:p w14:paraId="65E232D4" w14:textId="77777777" w:rsidR="00AD2FB2" w:rsidRPr="00F47959" w:rsidRDefault="00AD2FB2" w:rsidP="00217C13">
            <w:pPr>
              <w:pStyle w:val="TableHeader"/>
            </w:pPr>
            <w:r w:rsidRPr="00F47959">
              <w:t xml:space="preserve">Evidence </w:t>
            </w:r>
            <w:r>
              <w:t>reviewed</w:t>
            </w:r>
            <w:r w:rsidRPr="00F47959">
              <w:t>:</w:t>
            </w:r>
          </w:p>
        </w:tc>
        <w:tc>
          <w:tcPr>
            <w:tcW w:w="2500" w:type="pct"/>
            <w:shd w:val="clear" w:color="auto" w:fill="16145F"/>
          </w:tcPr>
          <w:p w14:paraId="31C4DCC9" w14:textId="77777777" w:rsidR="00AD2FB2" w:rsidRPr="00F47959" w:rsidRDefault="00AD2FB2" w:rsidP="00217C13">
            <w:pPr>
              <w:pStyle w:val="TableHeader"/>
            </w:pPr>
          </w:p>
        </w:tc>
      </w:tr>
      <w:tr w:rsidR="00AD2FB2" w:rsidRPr="00E430EF" w14:paraId="62CC2EA4" w14:textId="77777777" w:rsidTr="00217C13">
        <w:tc>
          <w:tcPr>
            <w:tcW w:w="2500" w:type="pct"/>
            <w:shd w:val="clear" w:color="auto" w:fill="auto"/>
          </w:tcPr>
          <w:p w14:paraId="692EF6BD" w14:textId="77777777" w:rsidR="00AD2FB2" w:rsidRPr="00E430EF" w:rsidRDefault="00AD2FB2" w:rsidP="00217C13">
            <w:pPr>
              <w:pStyle w:val="TableText"/>
              <w:rPr>
                <w:sz w:val="17"/>
                <w:szCs w:val="17"/>
              </w:rPr>
            </w:pPr>
            <w:r w:rsidRPr="00E430EF">
              <w:rPr>
                <w:sz w:val="17"/>
                <w:szCs w:val="17"/>
              </w:rPr>
              <w:t>State Inspection Program Compliance Report – Financial year ending 30 June 2017</w:t>
            </w:r>
          </w:p>
        </w:tc>
        <w:tc>
          <w:tcPr>
            <w:tcW w:w="2500" w:type="pct"/>
            <w:shd w:val="clear" w:color="auto" w:fill="auto"/>
          </w:tcPr>
          <w:p w14:paraId="49BC95D0" w14:textId="77777777" w:rsidR="00AD2FB2" w:rsidRPr="00E430EF" w:rsidRDefault="00AD2FB2" w:rsidP="00217C13">
            <w:pPr>
              <w:pStyle w:val="TableText"/>
              <w:rPr>
                <w:sz w:val="17"/>
                <w:szCs w:val="17"/>
              </w:rPr>
            </w:pPr>
            <w:r w:rsidRPr="00E430EF">
              <w:rPr>
                <w:sz w:val="17"/>
                <w:szCs w:val="17"/>
              </w:rPr>
              <w:t xml:space="preserve">Real Estate newsletters </w:t>
            </w:r>
          </w:p>
        </w:tc>
      </w:tr>
      <w:tr w:rsidR="00AD2FB2" w:rsidRPr="00E430EF" w14:paraId="27D9E9EB" w14:textId="77777777" w:rsidTr="00217C13">
        <w:tc>
          <w:tcPr>
            <w:tcW w:w="2500" w:type="pct"/>
            <w:shd w:val="clear" w:color="auto" w:fill="auto"/>
          </w:tcPr>
          <w:p w14:paraId="4E2640DD" w14:textId="77777777" w:rsidR="00AD2FB2" w:rsidRPr="00E430EF" w:rsidRDefault="00AD2FB2" w:rsidP="00217C13">
            <w:pPr>
              <w:pStyle w:val="TableText"/>
              <w:rPr>
                <w:sz w:val="17"/>
                <w:szCs w:val="17"/>
              </w:rPr>
            </w:pPr>
            <w:r w:rsidRPr="00E430EF">
              <w:rPr>
                <w:sz w:val="17"/>
                <w:szCs w:val="17"/>
              </w:rPr>
              <w:lastRenderedPageBreak/>
              <w:t>Estate Agents Compliance Report – State Inspection Program 2016-17</w:t>
            </w:r>
          </w:p>
        </w:tc>
        <w:tc>
          <w:tcPr>
            <w:tcW w:w="2500" w:type="pct"/>
            <w:shd w:val="clear" w:color="auto" w:fill="auto"/>
          </w:tcPr>
          <w:p w14:paraId="2C933EB8" w14:textId="77777777" w:rsidR="00AD2FB2" w:rsidRPr="00E430EF" w:rsidRDefault="00AD2FB2" w:rsidP="00217C13">
            <w:pPr>
              <w:pStyle w:val="TableText"/>
              <w:rPr>
                <w:sz w:val="17"/>
                <w:szCs w:val="17"/>
              </w:rPr>
            </w:pPr>
            <w:r w:rsidRPr="00E430EF">
              <w:rPr>
                <w:sz w:val="17"/>
                <w:szCs w:val="17"/>
              </w:rPr>
              <w:t>Communications campaign collateral</w:t>
            </w:r>
          </w:p>
        </w:tc>
      </w:tr>
      <w:tr w:rsidR="00AD2FB2" w:rsidRPr="00E430EF" w14:paraId="1B64094C" w14:textId="77777777" w:rsidTr="00217C13">
        <w:tc>
          <w:tcPr>
            <w:tcW w:w="2500" w:type="pct"/>
            <w:shd w:val="clear" w:color="auto" w:fill="auto"/>
          </w:tcPr>
          <w:p w14:paraId="6DEFA460" w14:textId="77777777" w:rsidR="00AD2FB2" w:rsidRPr="00E430EF" w:rsidRDefault="00AD2FB2" w:rsidP="00217C13">
            <w:pPr>
              <w:pStyle w:val="TableText"/>
              <w:rPr>
                <w:sz w:val="17"/>
                <w:szCs w:val="17"/>
              </w:rPr>
            </w:pPr>
            <w:r w:rsidRPr="00E430EF">
              <w:rPr>
                <w:sz w:val="17"/>
                <w:szCs w:val="17"/>
              </w:rPr>
              <w:t>Underquoting Consumer Campaign Evaluation</w:t>
            </w:r>
          </w:p>
        </w:tc>
        <w:tc>
          <w:tcPr>
            <w:tcW w:w="2500" w:type="pct"/>
            <w:shd w:val="clear" w:color="auto" w:fill="auto"/>
          </w:tcPr>
          <w:p w14:paraId="1D81E612" w14:textId="77777777" w:rsidR="00AD2FB2" w:rsidRPr="00E430EF" w:rsidRDefault="00AD2FB2" w:rsidP="00217C13">
            <w:pPr>
              <w:pStyle w:val="TableText"/>
              <w:rPr>
                <w:sz w:val="17"/>
                <w:szCs w:val="17"/>
              </w:rPr>
            </w:pPr>
            <w:r w:rsidRPr="00E430EF">
              <w:rPr>
                <w:sz w:val="17"/>
                <w:szCs w:val="17"/>
              </w:rPr>
              <w:t>Mandatory Property Price Advertising – Regulatory Change Measurement</w:t>
            </w:r>
          </w:p>
        </w:tc>
      </w:tr>
      <w:tr w:rsidR="00AD2FB2" w:rsidRPr="00E430EF" w14:paraId="6DB91943" w14:textId="77777777" w:rsidTr="00217C13">
        <w:tc>
          <w:tcPr>
            <w:tcW w:w="2500" w:type="pct"/>
            <w:shd w:val="clear" w:color="auto" w:fill="auto"/>
          </w:tcPr>
          <w:p w14:paraId="67C56A65" w14:textId="77777777" w:rsidR="00AD2FB2" w:rsidRPr="00E430EF" w:rsidRDefault="00AD2FB2" w:rsidP="00217C13">
            <w:pPr>
              <w:pStyle w:val="TableText"/>
              <w:rPr>
                <w:sz w:val="17"/>
                <w:szCs w:val="17"/>
              </w:rPr>
            </w:pPr>
            <w:r w:rsidRPr="00E430EF">
              <w:rPr>
                <w:sz w:val="17"/>
                <w:szCs w:val="17"/>
              </w:rPr>
              <w:t>Campaign outcomes evaluation: Underquoting law changes for estate agents 2017</w:t>
            </w:r>
          </w:p>
        </w:tc>
        <w:tc>
          <w:tcPr>
            <w:tcW w:w="2500" w:type="pct"/>
            <w:shd w:val="clear" w:color="auto" w:fill="auto"/>
          </w:tcPr>
          <w:p w14:paraId="1B8F90F7" w14:textId="77777777" w:rsidR="00AD2FB2" w:rsidRPr="00E430EF" w:rsidRDefault="00AD2FB2" w:rsidP="00217C13">
            <w:pPr>
              <w:pStyle w:val="TableText"/>
              <w:rPr>
                <w:sz w:val="17"/>
                <w:szCs w:val="17"/>
              </w:rPr>
            </w:pPr>
            <w:r w:rsidRPr="00E430EF">
              <w:rPr>
                <w:sz w:val="17"/>
                <w:szCs w:val="17"/>
              </w:rPr>
              <w:t>Statement of Expectations Progress Report April 2018</w:t>
            </w:r>
          </w:p>
        </w:tc>
      </w:tr>
      <w:tr w:rsidR="00AD2FB2" w:rsidRPr="00E430EF" w14:paraId="0FF52873" w14:textId="77777777" w:rsidTr="00217C13">
        <w:tc>
          <w:tcPr>
            <w:tcW w:w="2500" w:type="pct"/>
            <w:shd w:val="clear" w:color="auto" w:fill="auto"/>
          </w:tcPr>
          <w:p w14:paraId="710B0EC1" w14:textId="77777777" w:rsidR="00AD2FB2" w:rsidRPr="00E430EF" w:rsidRDefault="00AD2FB2" w:rsidP="00217C13">
            <w:pPr>
              <w:pStyle w:val="TableText"/>
              <w:rPr>
                <w:sz w:val="17"/>
                <w:szCs w:val="17"/>
              </w:rPr>
            </w:pPr>
            <w:r w:rsidRPr="00E430EF">
              <w:rPr>
                <w:sz w:val="17"/>
                <w:szCs w:val="17"/>
              </w:rPr>
              <w:t>https://www.realestate.com.au/news/new-laws-to-discourage-underquoting-real-estate-come-into-play-from-today/</w:t>
            </w:r>
          </w:p>
        </w:tc>
        <w:tc>
          <w:tcPr>
            <w:tcW w:w="2500" w:type="pct"/>
            <w:shd w:val="clear" w:color="auto" w:fill="auto"/>
          </w:tcPr>
          <w:p w14:paraId="50420636" w14:textId="77777777" w:rsidR="00AD2FB2" w:rsidRPr="00E430EF" w:rsidRDefault="00AD2FB2" w:rsidP="00217C13">
            <w:pPr>
              <w:pStyle w:val="TableText"/>
              <w:rPr>
                <w:sz w:val="17"/>
                <w:szCs w:val="17"/>
              </w:rPr>
            </w:pPr>
            <w:r w:rsidRPr="00E430EF">
              <w:rPr>
                <w:sz w:val="17"/>
                <w:szCs w:val="17"/>
              </w:rPr>
              <w:t>Snapshot “Estate Agents – SOI Review”</w:t>
            </w:r>
          </w:p>
        </w:tc>
      </w:tr>
      <w:tr w:rsidR="00AD2FB2" w:rsidRPr="00F47959" w14:paraId="1BBED938" w14:textId="77777777" w:rsidTr="00217C13">
        <w:trPr>
          <w:tblHeader/>
        </w:trPr>
        <w:tc>
          <w:tcPr>
            <w:tcW w:w="2500" w:type="pct"/>
            <w:shd w:val="clear" w:color="auto" w:fill="16145F"/>
          </w:tcPr>
          <w:p w14:paraId="4B1D8DA8" w14:textId="77777777" w:rsidR="00AD2FB2" w:rsidRPr="00F47959" w:rsidRDefault="00AD2FB2" w:rsidP="00217C13">
            <w:pPr>
              <w:pStyle w:val="TableHeader"/>
            </w:pPr>
            <w:r w:rsidRPr="00F47959">
              <w:t>Interviews:</w:t>
            </w:r>
          </w:p>
        </w:tc>
        <w:tc>
          <w:tcPr>
            <w:tcW w:w="2500" w:type="pct"/>
            <w:shd w:val="clear" w:color="auto" w:fill="16145F"/>
          </w:tcPr>
          <w:p w14:paraId="47D0439E" w14:textId="77777777" w:rsidR="00AD2FB2" w:rsidRPr="00F47959" w:rsidRDefault="00AD2FB2" w:rsidP="00217C13">
            <w:pPr>
              <w:pStyle w:val="TableHeader"/>
            </w:pPr>
          </w:p>
        </w:tc>
      </w:tr>
      <w:tr w:rsidR="00AD2FB2" w:rsidRPr="00E430EF" w14:paraId="29D53D35" w14:textId="77777777" w:rsidTr="00217C13">
        <w:tc>
          <w:tcPr>
            <w:tcW w:w="2500" w:type="pct"/>
            <w:shd w:val="clear" w:color="auto" w:fill="auto"/>
          </w:tcPr>
          <w:p w14:paraId="03A00480" w14:textId="77777777" w:rsidR="00AD2FB2" w:rsidRPr="00E430EF" w:rsidRDefault="00AD2FB2" w:rsidP="00217C13">
            <w:pPr>
              <w:pStyle w:val="TableText"/>
              <w:rPr>
                <w:sz w:val="17"/>
                <w:szCs w:val="17"/>
              </w:rPr>
            </w:pPr>
            <w:r w:rsidRPr="00E430EF">
              <w:rPr>
                <w:sz w:val="17"/>
                <w:szCs w:val="17"/>
              </w:rPr>
              <w:t>CAV Project team</w:t>
            </w:r>
          </w:p>
        </w:tc>
        <w:tc>
          <w:tcPr>
            <w:tcW w:w="2500" w:type="pct"/>
            <w:shd w:val="clear" w:color="auto" w:fill="auto"/>
          </w:tcPr>
          <w:p w14:paraId="2CD95D18" w14:textId="77777777" w:rsidR="00AD2FB2" w:rsidRPr="00E430EF" w:rsidRDefault="00AD2FB2" w:rsidP="00217C13">
            <w:pPr>
              <w:pStyle w:val="TableText"/>
              <w:rPr>
                <w:sz w:val="17"/>
                <w:szCs w:val="17"/>
              </w:rPr>
            </w:pPr>
          </w:p>
        </w:tc>
      </w:tr>
    </w:tbl>
    <w:p w14:paraId="49D6BE8C" w14:textId="77777777" w:rsidR="00E430EF" w:rsidRPr="00592609" w:rsidRDefault="00E430EF" w:rsidP="00E430EF">
      <w:pPr>
        <w:pStyle w:val="Heading4"/>
        <w:rPr>
          <w:lang w:val="en-US"/>
        </w:rPr>
      </w:pPr>
      <w:r>
        <w:rPr>
          <w:lang w:val="en-US"/>
        </w:rPr>
        <w:t>Evaluation questions and suggested measures</w:t>
      </w:r>
    </w:p>
    <w:tbl>
      <w:tblPr>
        <w:tblW w:w="470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395"/>
        <w:gridCol w:w="2233"/>
        <w:gridCol w:w="2560"/>
        <w:gridCol w:w="2394"/>
      </w:tblGrid>
      <w:tr w:rsidR="005803ED" w14:paraId="3914CF3F" w14:textId="2247CE2D" w:rsidTr="00E430EF">
        <w:trPr>
          <w:tblHeader/>
        </w:trPr>
        <w:tc>
          <w:tcPr>
            <w:tcW w:w="1250" w:type="pct"/>
            <w:shd w:val="clear" w:color="auto" w:fill="16145F"/>
          </w:tcPr>
          <w:p w14:paraId="017A273D" w14:textId="77777777" w:rsidR="005803ED" w:rsidRPr="004045DD" w:rsidRDefault="005803ED" w:rsidP="00F86C0E">
            <w:pPr>
              <w:pStyle w:val="TableHeader"/>
            </w:pPr>
            <w:r w:rsidRPr="004045DD">
              <w:t xml:space="preserve">SOE </w:t>
            </w:r>
            <w:r>
              <w:t>i</w:t>
            </w:r>
            <w:r w:rsidRPr="004045DD">
              <w:t xml:space="preserve">mprovement </w:t>
            </w:r>
            <w:r>
              <w:t>s</w:t>
            </w:r>
            <w:r w:rsidRPr="004045DD">
              <w:t>tatement</w:t>
            </w:r>
          </w:p>
        </w:tc>
        <w:tc>
          <w:tcPr>
            <w:tcW w:w="1165" w:type="pct"/>
            <w:shd w:val="clear" w:color="auto" w:fill="16145F"/>
          </w:tcPr>
          <w:p w14:paraId="46400DA6" w14:textId="77777777" w:rsidR="005803ED" w:rsidRPr="004045DD" w:rsidRDefault="005803ED" w:rsidP="00F86C0E">
            <w:pPr>
              <w:pStyle w:val="TableHeader"/>
            </w:pPr>
            <w:r w:rsidRPr="004045DD">
              <w:t xml:space="preserve">Regulator </w:t>
            </w:r>
            <w:r>
              <w:t>r</w:t>
            </w:r>
            <w:r w:rsidRPr="004045DD">
              <w:t>esponse</w:t>
            </w:r>
          </w:p>
        </w:tc>
        <w:tc>
          <w:tcPr>
            <w:tcW w:w="1336" w:type="pct"/>
            <w:shd w:val="clear" w:color="auto" w:fill="16145F"/>
          </w:tcPr>
          <w:p w14:paraId="225885E1" w14:textId="77777777" w:rsidR="005803ED" w:rsidRPr="00192F92" w:rsidRDefault="005803ED" w:rsidP="00F86C0E">
            <w:pPr>
              <w:pStyle w:val="TableHeader"/>
              <w:rPr>
                <w:bCs/>
              </w:rPr>
            </w:pPr>
            <w:r w:rsidRPr="00192F92">
              <w:rPr>
                <w:bCs/>
              </w:rPr>
              <w:t>Key Questions</w:t>
            </w:r>
          </w:p>
        </w:tc>
        <w:tc>
          <w:tcPr>
            <w:tcW w:w="1249" w:type="pct"/>
            <w:shd w:val="clear" w:color="auto" w:fill="16145F"/>
          </w:tcPr>
          <w:p w14:paraId="37BD6B6A" w14:textId="027E4B0A" w:rsidR="005803ED" w:rsidRPr="00192F92" w:rsidRDefault="005803ED" w:rsidP="00F86C0E">
            <w:pPr>
              <w:pStyle w:val="TableHeader"/>
              <w:rPr>
                <w:bCs/>
              </w:rPr>
            </w:pPr>
            <w:r>
              <w:rPr>
                <w:bCs/>
              </w:rPr>
              <w:t>Suggested Measures</w:t>
            </w:r>
          </w:p>
        </w:tc>
      </w:tr>
      <w:tr w:rsidR="005803ED" w:rsidRPr="00E430EF" w14:paraId="3D17863F" w14:textId="78CE9DE4" w:rsidTr="00E430EF">
        <w:tc>
          <w:tcPr>
            <w:tcW w:w="1250" w:type="pct"/>
            <w:shd w:val="clear" w:color="auto" w:fill="auto"/>
          </w:tcPr>
          <w:p w14:paraId="6E5F7ACD" w14:textId="27A9FC81" w:rsidR="005803ED" w:rsidRPr="00E430EF" w:rsidRDefault="005803ED" w:rsidP="00576F81">
            <w:pPr>
              <w:pStyle w:val="TableText"/>
              <w:rPr>
                <w:bCs/>
                <w:sz w:val="17"/>
                <w:szCs w:val="17"/>
              </w:rPr>
            </w:pPr>
            <w:r w:rsidRPr="00E430EF">
              <w:rPr>
                <w:bCs/>
                <w:sz w:val="17"/>
                <w:szCs w:val="17"/>
              </w:rPr>
              <w:t xml:space="preserve">Make </w:t>
            </w:r>
            <w:r w:rsidR="00122DDC" w:rsidRPr="00E430EF">
              <w:rPr>
                <w:bCs/>
                <w:sz w:val="17"/>
                <w:szCs w:val="17"/>
              </w:rPr>
              <w:t>on-line</w:t>
            </w:r>
            <w:r w:rsidRPr="00E430EF">
              <w:rPr>
                <w:bCs/>
                <w:sz w:val="17"/>
                <w:szCs w:val="17"/>
              </w:rPr>
              <w:t xml:space="preserve"> advice on regulatory requirements accessible to all regulated parties including businesses, advocates, landlords, tenants and consumers</w:t>
            </w:r>
          </w:p>
        </w:tc>
        <w:tc>
          <w:tcPr>
            <w:tcW w:w="1165" w:type="pct"/>
            <w:shd w:val="clear" w:color="auto" w:fill="auto"/>
          </w:tcPr>
          <w:p w14:paraId="5FF6FF49" w14:textId="77777777" w:rsidR="005803ED" w:rsidRPr="00E430EF" w:rsidRDefault="005803ED" w:rsidP="00334EED">
            <w:pPr>
              <w:pStyle w:val="TableText"/>
              <w:rPr>
                <w:sz w:val="17"/>
                <w:szCs w:val="17"/>
              </w:rPr>
            </w:pPr>
            <w:r w:rsidRPr="00E430EF">
              <w:rPr>
                <w:sz w:val="17"/>
                <w:szCs w:val="17"/>
              </w:rPr>
              <w:t>Responsive website</w:t>
            </w:r>
          </w:p>
          <w:p w14:paraId="21AC7441" w14:textId="77777777" w:rsidR="005803ED" w:rsidRPr="00E430EF" w:rsidRDefault="005803ED" w:rsidP="00334EED">
            <w:pPr>
              <w:pStyle w:val="TableText"/>
              <w:rPr>
                <w:sz w:val="17"/>
                <w:szCs w:val="17"/>
              </w:rPr>
            </w:pPr>
            <w:r w:rsidRPr="00E430EF">
              <w:rPr>
                <w:sz w:val="17"/>
                <w:szCs w:val="17"/>
              </w:rPr>
              <w:t>Equality of access to information for all regulated parties</w:t>
            </w:r>
          </w:p>
          <w:p w14:paraId="6FF4A831" w14:textId="77777777" w:rsidR="005803ED" w:rsidRPr="00E430EF" w:rsidRDefault="005803ED" w:rsidP="00334EED">
            <w:pPr>
              <w:pStyle w:val="TableText"/>
              <w:rPr>
                <w:sz w:val="17"/>
                <w:szCs w:val="17"/>
              </w:rPr>
            </w:pPr>
            <w:r w:rsidRPr="00E430EF">
              <w:rPr>
                <w:sz w:val="17"/>
                <w:szCs w:val="17"/>
              </w:rPr>
              <w:t>Information accessible across all platforms</w:t>
            </w:r>
          </w:p>
        </w:tc>
        <w:tc>
          <w:tcPr>
            <w:tcW w:w="1336" w:type="pct"/>
            <w:shd w:val="clear" w:color="auto" w:fill="auto"/>
          </w:tcPr>
          <w:p w14:paraId="17E5640D" w14:textId="77777777" w:rsidR="005803ED" w:rsidRPr="00E430EF" w:rsidRDefault="005803ED" w:rsidP="00334EED">
            <w:pPr>
              <w:pStyle w:val="Tablebullet"/>
              <w:rPr>
                <w:szCs w:val="17"/>
              </w:rPr>
            </w:pPr>
            <w:r w:rsidRPr="00E430EF">
              <w:rPr>
                <w:szCs w:val="17"/>
              </w:rPr>
              <w:t>How many views of ‘accessibility’ pages on the website?</w:t>
            </w:r>
          </w:p>
          <w:p w14:paraId="563C1120" w14:textId="77777777" w:rsidR="005803ED" w:rsidRPr="00E430EF" w:rsidRDefault="005803ED" w:rsidP="00334EED">
            <w:pPr>
              <w:pStyle w:val="Tablebullet"/>
              <w:rPr>
                <w:szCs w:val="17"/>
              </w:rPr>
            </w:pPr>
            <w:r w:rsidRPr="00E430EF">
              <w:rPr>
                <w:szCs w:val="17"/>
              </w:rPr>
              <w:t>How many views have been on mobile devices?</w:t>
            </w:r>
          </w:p>
          <w:p w14:paraId="5969E0A0" w14:textId="77777777" w:rsidR="005803ED" w:rsidRPr="00E430EF" w:rsidRDefault="005803ED" w:rsidP="00334EED">
            <w:pPr>
              <w:pStyle w:val="Tablebullet"/>
              <w:rPr>
                <w:szCs w:val="17"/>
              </w:rPr>
            </w:pPr>
            <w:r w:rsidRPr="00E430EF">
              <w:rPr>
                <w:szCs w:val="17"/>
              </w:rPr>
              <w:t>How many uses of ‘</w:t>
            </w:r>
            <w:proofErr w:type="spellStart"/>
            <w:r w:rsidRPr="00E430EF">
              <w:rPr>
                <w:szCs w:val="17"/>
              </w:rPr>
              <w:t>ReadSpeaker</w:t>
            </w:r>
            <w:proofErr w:type="spellEnd"/>
            <w:r w:rsidRPr="00E430EF">
              <w:rPr>
                <w:szCs w:val="17"/>
              </w:rPr>
              <w:t>’ tool are there?</w:t>
            </w:r>
          </w:p>
          <w:p w14:paraId="4DDB3876" w14:textId="77777777" w:rsidR="005803ED" w:rsidRPr="00E430EF" w:rsidRDefault="005803ED" w:rsidP="00334EED">
            <w:pPr>
              <w:pStyle w:val="Tablebullet"/>
              <w:rPr>
                <w:szCs w:val="17"/>
              </w:rPr>
            </w:pPr>
            <w:r w:rsidRPr="00E430EF">
              <w:rPr>
                <w:szCs w:val="17"/>
              </w:rPr>
              <w:t>Does the website comply with Disability Commissioner Guidelines?</w:t>
            </w:r>
          </w:p>
          <w:p w14:paraId="6E11D4A4" w14:textId="77777777" w:rsidR="005803ED" w:rsidRPr="00E430EF" w:rsidRDefault="005803ED" w:rsidP="00334EED">
            <w:pPr>
              <w:pStyle w:val="Tablebullet"/>
              <w:rPr>
                <w:szCs w:val="17"/>
              </w:rPr>
            </w:pPr>
            <w:r w:rsidRPr="00E430EF">
              <w:rPr>
                <w:szCs w:val="17"/>
              </w:rPr>
              <w:t>How long are search times within site?</w:t>
            </w:r>
          </w:p>
        </w:tc>
        <w:tc>
          <w:tcPr>
            <w:tcW w:w="1249" w:type="pct"/>
          </w:tcPr>
          <w:p w14:paraId="4211733C" w14:textId="77777777" w:rsidR="005803ED" w:rsidRPr="00E430EF" w:rsidRDefault="005803ED" w:rsidP="005803ED">
            <w:pPr>
              <w:pStyle w:val="Tablebullet"/>
              <w:rPr>
                <w:szCs w:val="17"/>
              </w:rPr>
            </w:pPr>
            <w:r w:rsidRPr="00E430EF">
              <w:rPr>
                <w:szCs w:val="17"/>
              </w:rPr>
              <w:t>Views of relevant website pages</w:t>
            </w:r>
          </w:p>
          <w:p w14:paraId="327E8BE8" w14:textId="77777777" w:rsidR="005803ED" w:rsidRPr="00E430EF" w:rsidRDefault="005803ED" w:rsidP="005803ED">
            <w:pPr>
              <w:pStyle w:val="Tablebullet"/>
              <w:rPr>
                <w:szCs w:val="17"/>
              </w:rPr>
            </w:pPr>
            <w:r w:rsidRPr="00E430EF">
              <w:rPr>
                <w:szCs w:val="17"/>
              </w:rPr>
              <w:t>Views of “English as a second language” pages</w:t>
            </w:r>
          </w:p>
          <w:p w14:paraId="3BCA1C39" w14:textId="77777777" w:rsidR="005803ED" w:rsidRPr="00E430EF" w:rsidRDefault="005803ED" w:rsidP="005803ED">
            <w:pPr>
              <w:pStyle w:val="Tablebullet"/>
              <w:rPr>
                <w:szCs w:val="17"/>
              </w:rPr>
            </w:pPr>
            <w:r w:rsidRPr="00E430EF">
              <w:rPr>
                <w:szCs w:val="17"/>
              </w:rPr>
              <w:t>Search times within site</w:t>
            </w:r>
          </w:p>
          <w:p w14:paraId="53A9817C" w14:textId="77777777" w:rsidR="005803ED" w:rsidRPr="00E430EF" w:rsidRDefault="005803ED" w:rsidP="005803ED">
            <w:pPr>
              <w:pStyle w:val="Tablebullet"/>
              <w:rPr>
                <w:szCs w:val="17"/>
              </w:rPr>
            </w:pPr>
            <w:r w:rsidRPr="00E430EF">
              <w:rPr>
                <w:szCs w:val="17"/>
              </w:rPr>
              <w:t>Mobile views</w:t>
            </w:r>
          </w:p>
          <w:p w14:paraId="28D95687" w14:textId="77777777" w:rsidR="005803ED" w:rsidRPr="00E430EF" w:rsidRDefault="005803ED" w:rsidP="005803ED">
            <w:pPr>
              <w:pStyle w:val="Tablebullet"/>
              <w:rPr>
                <w:szCs w:val="17"/>
              </w:rPr>
            </w:pPr>
            <w:r w:rsidRPr="00E430EF">
              <w:rPr>
                <w:szCs w:val="17"/>
              </w:rPr>
              <w:t>Use of ‘</w:t>
            </w:r>
            <w:proofErr w:type="spellStart"/>
            <w:r w:rsidRPr="00E430EF">
              <w:rPr>
                <w:szCs w:val="17"/>
              </w:rPr>
              <w:t>ReadSpeaker</w:t>
            </w:r>
            <w:proofErr w:type="spellEnd"/>
            <w:r w:rsidRPr="00E430EF">
              <w:rPr>
                <w:szCs w:val="17"/>
              </w:rPr>
              <w:t>’ tool</w:t>
            </w:r>
          </w:p>
          <w:p w14:paraId="34D942C6" w14:textId="77777777" w:rsidR="005803ED" w:rsidRPr="00E430EF" w:rsidRDefault="005803ED" w:rsidP="005803ED">
            <w:pPr>
              <w:pStyle w:val="Tablebullet"/>
              <w:rPr>
                <w:szCs w:val="17"/>
              </w:rPr>
            </w:pPr>
            <w:r w:rsidRPr="00E430EF">
              <w:rPr>
                <w:szCs w:val="17"/>
              </w:rPr>
              <w:t>Number of public announcements</w:t>
            </w:r>
          </w:p>
          <w:p w14:paraId="298C329C" w14:textId="0DE37595" w:rsidR="005803ED" w:rsidRPr="00E430EF" w:rsidRDefault="005803ED" w:rsidP="005803ED">
            <w:pPr>
              <w:pStyle w:val="Tablebullet"/>
              <w:rPr>
                <w:szCs w:val="17"/>
              </w:rPr>
            </w:pPr>
            <w:r w:rsidRPr="00E430EF">
              <w:rPr>
                <w:szCs w:val="17"/>
              </w:rPr>
              <w:t xml:space="preserve">Compliance with </w:t>
            </w:r>
            <w:proofErr w:type="spellStart"/>
            <w:r w:rsidRPr="00E430EF">
              <w:rPr>
                <w:szCs w:val="17"/>
              </w:rPr>
              <w:t>VicGov</w:t>
            </w:r>
            <w:proofErr w:type="spellEnd"/>
            <w:r w:rsidRPr="00E430EF">
              <w:rPr>
                <w:szCs w:val="17"/>
              </w:rPr>
              <w:t xml:space="preserve"> Digital Guidelines/Disability Commissioner guidelines</w:t>
            </w:r>
          </w:p>
        </w:tc>
      </w:tr>
    </w:tbl>
    <w:p w14:paraId="1BA5924F" w14:textId="5F4FD530" w:rsidR="00AD2FB2" w:rsidRDefault="00AD2FB2" w:rsidP="00AD2FB2">
      <w:pPr>
        <w:pStyle w:val="Heading4"/>
      </w:pPr>
      <w:r>
        <w:t xml:space="preserve">Data sources and evidence - accessible advice </w:t>
      </w:r>
      <w:r w:rsidR="00122DDC">
        <w:t>on-line</w:t>
      </w:r>
    </w:p>
    <w:tbl>
      <w:tblPr>
        <w:tblW w:w="455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41"/>
        <w:gridCol w:w="4642"/>
      </w:tblGrid>
      <w:tr w:rsidR="00AD2FB2" w:rsidRPr="00F47959" w14:paraId="670836CC" w14:textId="77777777" w:rsidTr="00217C13">
        <w:trPr>
          <w:tblHeader/>
        </w:trPr>
        <w:tc>
          <w:tcPr>
            <w:tcW w:w="2500" w:type="pct"/>
            <w:shd w:val="clear" w:color="auto" w:fill="16145F"/>
          </w:tcPr>
          <w:p w14:paraId="39EA95D3" w14:textId="77777777" w:rsidR="00AD2FB2" w:rsidRPr="00F47959" w:rsidRDefault="00AD2FB2" w:rsidP="00217C13">
            <w:pPr>
              <w:pStyle w:val="TableHeader"/>
            </w:pPr>
            <w:r w:rsidRPr="00F47959">
              <w:t xml:space="preserve">Evidence </w:t>
            </w:r>
            <w:r>
              <w:t>reviewed</w:t>
            </w:r>
            <w:r w:rsidRPr="00F47959">
              <w:t>:</w:t>
            </w:r>
          </w:p>
        </w:tc>
        <w:tc>
          <w:tcPr>
            <w:tcW w:w="2500" w:type="pct"/>
            <w:shd w:val="clear" w:color="auto" w:fill="16145F"/>
          </w:tcPr>
          <w:p w14:paraId="7782912C" w14:textId="77777777" w:rsidR="00AD2FB2" w:rsidRPr="00F47959" w:rsidRDefault="00AD2FB2" w:rsidP="00217C13">
            <w:pPr>
              <w:pStyle w:val="TableHeader"/>
            </w:pPr>
          </w:p>
        </w:tc>
      </w:tr>
      <w:tr w:rsidR="00AD2FB2" w:rsidRPr="00E430EF" w14:paraId="0AFE5880" w14:textId="77777777" w:rsidTr="00217C13">
        <w:tc>
          <w:tcPr>
            <w:tcW w:w="2500" w:type="pct"/>
            <w:shd w:val="clear" w:color="auto" w:fill="auto"/>
          </w:tcPr>
          <w:p w14:paraId="412B2D04" w14:textId="77777777" w:rsidR="00AD2FB2" w:rsidRPr="00E430EF" w:rsidRDefault="00AD2FB2" w:rsidP="00217C13">
            <w:pPr>
              <w:pStyle w:val="TableText"/>
              <w:rPr>
                <w:sz w:val="17"/>
                <w:szCs w:val="17"/>
              </w:rPr>
            </w:pPr>
            <w:r w:rsidRPr="00E430EF">
              <w:rPr>
                <w:sz w:val="17"/>
                <w:szCs w:val="17"/>
              </w:rPr>
              <w:t>Website analytics</w:t>
            </w:r>
          </w:p>
        </w:tc>
        <w:tc>
          <w:tcPr>
            <w:tcW w:w="2500" w:type="pct"/>
            <w:shd w:val="clear" w:color="auto" w:fill="auto"/>
          </w:tcPr>
          <w:p w14:paraId="306AC46D" w14:textId="77777777" w:rsidR="00AD2FB2" w:rsidRPr="00E430EF" w:rsidRDefault="00AD2FB2" w:rsidP="00217C13">
            <w:pPr>
              <w:pStyle w:val="TableText"/>
              <w:rPr>
                <w:sz w:val="17"/>
                <w:szCs w:val="17"/>
              </w:rPr>
            </w:pPr>
            <w:r w:rsidRPr="00E430EF">
              <w:rPr>
                <w:sz w:val="17"/>
                <w:szCs w:val="17"/>
              </w:rPr>
              <w:t xml:space="preserve">CAV website </w:t>
            </w:r>
          </w:p>
        </w:tc>
      </w:tr>
      <w:tr w:rsidR="00AD2FB2" w:rsidRPr="00E430EF" w14:paraId="1E9EEF30" w14:textId="77777777" w:rsidTr="00217C13">
        <w:tc>
          <w:tcPr>
            <w:tcW w:w="2500" w:type="pct"/>
            <w:shd w:val="clear" w:color="auto" w:fill="auto"/>
          </w:tcPr>
          <w:p w14:paraId="5A95E43D" w14:textId="77777777" w:rsidR="00AD2FB2" w:rsidRPr="00E430EF" w:rsidRDefault="00AD2FB2" w:rsidP="00217C13">
            <w:pPr>
              <w:pStyle w:val="TableText"/>
              <w:rPr>
                <w:sz w:val="17"/>
                <w:szCs w:val="17"/>
              </w:rPr>
            </w:pPr>
            <w:r w:rsidRPr="00E430EF">
              <w:rPr>
                <w:sz w:val="17"/>
                <w:szCs w:val="17"/>
              </w:rPr>
              <w:t>Internal CAV Feedback Report Jan-Mar 2018</w:t>
            </w:r>
          </w:p>
        </w:tc>
        <w:tc>
          <w:tcPr>
            <w:tcW w:w="2500" w:type="pct"/>
            <w:shd w:val="clear" w:color="auto" w:fill="auto"/>
          </w:tcPr>
          <w:p w14:paraId="4361EBC6" w14:textId="77777777" w:rsidR="00AD2FB2" w:rsidRPr="00E430EF" w:rsidRDefault="00AD2FB2" w:rsidP="00217C13">
            <w:pPr>
              <w:pStyle w:val="TableText"/>
              <w:rPr>
                <w:sz w:val="17"/>
                <w:szCs w:val="17"/>
              </w:rPr>
            </w:pPr>
            <w:r w:rsidRPr="00E430EF">
              <w:rPr>
                <w:sz w:val="17"/>
                <w:szCs w:val="17"/>
              </w:rPr>
              <w:t>Statement of Expectations Progress Report April 2018</w:t>
            </w:r>
          </w:p>
        </w:tc>
      </w:tr>
      <w:tr w:rsidR="00AD2FB2" w:rsidRPr="00E430EF" w14:paraId="26D027A2" w14:textId="77777777" w:rsidTr="00217C13">
        <w:tc>
          <w:tcPr>
            <w:tcW w:w="2500" w:type="pct"/>
            <w:shd w:val="clear" w:color="auto" w:fill="auto"/>
          </w:tcPr>
          <w:p w14:paraId="524AB943" w14:textId="77777777" w:rsidR="00AD2FB2" w:rsidRPr="00E430EF" w:rsidRDefault="00AD2FB2" w:rsidP="00217C13">
            <w:pPr>
              <w:pStyle w:val="TableText"/>
              <w:rPr>
                <w:sz w:val="17"/>
                <w:szCs w:val="17"/>
              </w:rPr>
            </w:pPr>
            <w:r w:rsidRPr="00E430EF">
              <w:rPr>
                <w:sz w:val="17"/>
                <w:szCs w:val="17"/>
              </w:rPr>
              <w:t>CAV 2017-18 Annual Report</w:t>
            </w:r>
          </w:p>
        </w:tc>
        <w:tc>
          <w:tcPr>
            <w:tcW w:w="2500" w:type="pct"/>
            <w:shd w:val="clear" w:color="auto" w:fill="auto"/>
          </w:tcPr>
          <w:p w14:paraId="17B21B5B" w14:textId="77777777" w:rsidR="00AD2FB2" w:rsidRPr="00E430EF" w:rsidRDefault="00AD2FB2" w:rsidP="00217C13">
            <w:pPr>
              <w:pStyle w:val="TableText"/>
              <w:rPr>
                <w:sz w:val="17"/>
                <w:szCs w:val="17"/>
              </w:rPr>
            </w:pPr>
          </w:p>
        </w:tc>
      </w:tr>
      <w:tr w:rsidR="00AD2FB2" w:rsidRPr="00E430EF" w14:paraId="6DD4C4F3" w14:textId="77777777" w:rsidTr="00217C13">
        <w:tc>
          <w:tcPr>
            <w:tcW w:w="2500" w:type="pct"/>
            <w:shd w:val="clear" w:color="auto" w:fill="auto"/>
          </w:tcPr>
          <w:p w14:paraId="1A8D46D3" w14:textId="77777777" w:rsidR="00AD2FB2" w:rsidRPr="00E430EF" w:rsidRDefault="00AD2FB2" w:rsidP="00217C13">
            <w:pPr>
              <w:pStyle w:val="TableText"/>
              <w:rPr>
                <w:sz w:val="17"/>
                <w:szCs w:val="17"/>
              </w:rPr>
            </w:pPr>
            <w:r w:rsidRPr="00E430EF">
              <w:rPr>
                <w:sz w:val="17"/>
                <w:szCs w:val="17"/>
              </w:rPr>
              <w:t>February 2018 CAV Website User Survey analytics</w:t>
            </w:r>
          </w:p>
        </w:tc>
        <w:tc>
          <w:tcPr>
            <w:tcW w:w="2500" w:type="pct"/>
            <w:shd w:val="clear" w:color="auto" w:fill="auto"/>
          </w:tcPr>
          <w:p w14:paraId="38E2BF61" w14:textId="77777777" w:rsidR="00AD2FB2" w:rsidRPr="00E430EF" w:rsidRDefault="00AD2FB2" w:rsidP="00217C13">
            <w:pPr>
              <w:pStyle w:val="TableText"/>
              <w:rPr>
                <w:sz w:val="17"/>
                <w:szCs w:val="17"/>
              </w:rPr>
            </w:pPr>
            <w:r w:rsidRPr="00E430EF">
              <w:rPr>
                <w:sz w:val="17"/>
                <w:szCs w:val="17"/>
              </w:rPr>
              <w:t>Recommendations from Website User Survey</w:t>
            </w:r>
          </w:p>
        </w:tc>
      </w:tr>
      <w:tr w:rsidR="00AD2FB2" w:rsidRPr="00F47959" w14:paraId="371AE6D2" w14:textId="77777777" w:rsidTr="00217C13">
        <w:trPr>
          <w:tblHeader/>
        </w:trPr>
        <w:tc>
          <w:tcPr>
            <w:tcW w:w="2500" w:type="pct"/>
            <w:shd w:val="clear" w:color="auto" w:fill="16145F"/>
          </w:tcPr>
          <w:p w14:paraId="1694A0E1" w14:textId="77777777" w:rsidR="00AD2FB2" w:rsidRPr="00F47959" w:rsidRDefault="00AD2FB2" w:rsidP="00217C13">
            <w:pPr>
              <w:pStyle w:val="TableHeader"/>
            </w:pPr>
            <w:r w:rsidRPr="00F47959">
              <w:t>Interviews:</w:t>
            </w:r>
          </w:p>
        </w:tc>
        <w:tc>
          <w:tcPr>
            <w:tcW w:w="2500" w:type="pct"/>
            <w:shd w:val="clear" w:color="auto" w:fill="16145F"/>
          </w:tcPr>
          <w:p w14:paraId="5EECA24A" w14:textId="77777777" w:rsidR="00AD2FB2" w:rsidRPr="00F47959" w:rsidRDefault="00AD2FB2" w:rsidP="00217C13">
            <w:pPr>
              <w:pStyle w:val="TableHeader"/>
            </w:pPr>
          </w:p>
        </w:tc>
      </w:tr>
      <w:tr w:rsidR="00AD2FB2" w:rsidRPr="00E430EF" w14:paraId="6F583540" w14:textId="77777777" w:rsidTr="00217C13">
        <w:tc>
          <w:tcPr>
            <w:tcW w:w="2500" w:type="pct"/>
            <w:shd w:val="clear" w:color="auto" w:fill="auto"/>
          </w:tcPr>
          <w:p w14:paraId="1E15DC62" w14:textId="77777777" w:rsidR="00AD2FB2" w:rsidRPr="00E430EF" w:rsidRDefault="00AD2FB2" w:rsidP="00217C13">
            <w:pPr>
              <w:pStyle w:val="TableText"/>
              <w:rPr>
                <w:sz w:val="17"/>
                <w:szCs w:val="17"/>
              </w:rPr>
            </w:pPr>
            <w:r w:rsidRPr="00E430EF">
              <w:rPr>
                <w:sz w:val="17"/>
                <w:szCs w:val="17"/>
              </w:rPr>
              <w:t>CAV Project team</w:t>
            </w:r>
          </w:p>
        </w:tc>
        <w:tc>
          <w:tcPr>
            <w:tcW w:w="2500" w:type="pct"/>
            <w:shd w:val="clear" w:color="auto" w:fill="auto"/>
          </w:tcPr>
          <w:p w14:paraId="47B46A20" w14:textId="77777777" w:rsidR="00AD2FB2" w:rsidRPr="00E430EF" w:rsidRDefault="00AD2FB2" w:rsidP="00217C13">
            <w:pPr>
              <w:pStyle w:val="TableText"/>
              <w:rPr>
                <w:sz w:val="17"/>
                <w:szCs w:val="17"/>
              </w:rPr>
            </w:pPr>
          </w:p>
        </w:tc>
      </w:tr>
    </w:tbl>
    <w:p w14:paraId="4A8603AA" w14:textId="77777777" w:rsidR="00F52631" w:rsidRDefault="00F52631" w:rsidP="00F52631">
      <w:pPr>
        <w:pStyle w:val="BodyText"/>
        <w:rPr>
          <w:lang w:val="en-US"/>
        </w:rPr>
      </w:pPr>
    </w:p>
    <w:p w14:paraId="1247765D" w14:textId="77777777" w:rsidR="00F52631" w:rsidRPr="000C27C1" w:rsidRDefault="00A35812" w:rsidP="00576F81">
      <w:pPr>
        <w:pStyle w:val="AppendixHeading1"/>
        <w:rPr>
          <w:color w:val="16145F" w:themeColor="accent3"/>
        </w:rPr>
      </w:pPr>
      <w:bookmarkStart w:id="74" w:name="_Ref527441610"/>
      <w:bookmarkStart w:id="75" w:name="_Toc533678793"/>
      <w:r>
        <w:rPr>
          <w:color w:val="16145F" w:themeColor="accent3"/>
        </w:rPr>
        <w:lastRenderedPageBreak/>
        <w:t>SOE letter and response</w:t>
      </w:r>
      <w:bookmarkEnd w:id="74"/>
      <w:bookmarkEnd w:id="75"/>
    </w:p>
    <w:p w14:paraId="0FF024D7" w14:textId="77777777" w:rsidR="007443E8" w:rsidRDefault="007443E8" w:rsidP="007443E8">
      <w:pPr>
        <w:pStyle w:val="DJRbody"/>
      </w:pPr>
    </w:p>
    <w:p w14:paraId="0AC2086D" w14:textId="6674E25F" w:rsidR="00576F81" w:rsidRDefault="00BD5D5A">
      <w:pPr>
        <w:rPr>
          <w:rFonts w:ascii="Arial" w:eastAsia="Times" w:hAnsi="Arial"/>
          <w:sz w:val="18"/>
        </w:rPr>
      </w:pPr>
      <w:r>
        <w:rPr>
          <w:noProof/>
          <w:lang w:eastAsia="en-AU"/>
        </w:rPr>
        <w:drawing>
          <wp:inline distT="0" distB="0" distL="0" distR="0" wp14:anchorId="2D1D4629" wp14:editId="1A91A6F6">
            <wp:extent cx="6287911" cy="7738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7223" cy="7750427"/>
                    </a:xfrm>
                    <a:prstGeom prst="rect">
                      <a:avLst/>
                    </a:prstGeom>
                  </pic:spPr>
                </pic:pic>
              </a:graphicData>
            </a:graphic>
          </wp:inline>
        </w:drawing>
      </w:r>
    </w:p>
    <w:p w14:paraId="50C9F98A" w14:textId="3241FDDE" w:rsidR="00BD5D5A" w:rsidRDefault="00395D23">
      <w:pPr>
        <w:rPr>
          <w:sz w:val="18"/>
        </w:rPr>
      </w:pPr>
      <w:r>
        <w:rPr>
          <w:sz w:val="18"/>
        </w:rPr>
        <w:br w:type="page"/>
      </w:r>
    </w:p>
    <w:p w14:paraId="15E3A4CD" w14:textId="13E6A2F2" w:rsidR="00395D23" w:rsidRDefault="00BD5D5A">
      <w:pPr>
        <w:rPr>
          <w:rFonts w:ascii="Arial" w:eastAsia="Times" w:hAnsi="Arial"/>
          <w:sz w:val="18"/>
        </w:rPr>
      </w:pPr>
      <w:r>
        <w:rPr>
          <w:noProof/>
          <w:lang w:eastAsia="en-AU"/>
        </w:rPr>
        <w:lastRenderedPageBreak/>
        <w:drawing>
          <wp:inline distT="0" distB="0" distL="0" distR="0" wp14:anchorId="1205E0D4" wp14:editId="2FC615CC">
            <wp:extent cx="5667022" cy="82952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6737" cy="8309427"/>
                    </a:xfrm>
                    <a:prstGeom prst="rect">
                      <a:avLst/>
                    </a:prstGeom>
                  </pic:spPr>
                </pic:pic>
              </a:graphicData>
            </a:graphic>
          </wp:inline>
        </w:drawing>
      </w:r>
    </w:p>
    <w:p w14:paraId="28B4FC53" w14:textId="77777777" w:rsidR="00BD5D5A" w:rsidRDefault="00BD5D5A">
      <w:pPr>
        <w:rPr>
          <w:rFonts w:ascii="Arial" w:eastAsia="Times" w:hAnsi="Arial"/>
          <w:sz w:val="18"/>
        </w:rPr>
      </w:pPr>
    </w:p>
    <w:p w14:paraId="4240CB5A" w14:textId="36365F01" w:rsidR="00BD5D5A" w:rsidRDefault="00BD5D5A">
      <w:pPr>
        <w:rPr>
          <w:rFonts w:ascii="Arial" w:eastAsia="Times" w:hAnsi="Arial"/>
          <w:sz w:val="18"/>
        </w:rPr>
      </w:pPr>
      <w:r>
        <w:rPr>
          <w:noProof/>
          <w:lang w:eastAsia="en-AU"/>
        </w:rPr>
        <w:lastRenderedPageBreak/>
        <w:drawing>
          <wp:inline distT="0" distB="0" distL="0" distR="0" wp14:anchorId="61543630" wp14:editId="00096F3B">
            <wp:extent cx="6324791" cy="774417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28876" cy="7749179"/>
                    </a:xfrm>
                    <a:prstGeom prst="rect">
                      <a:avLst/>
                    </a:prstGeom>
                  </pic:spPr>
                </pic:pic>
              </a:graphicData>
            </a:graphic>
          </wp:inline>
        </w:drawing>
      </w:r>
      <w:r>
        <w:rPr>
          <w:noProof/>
          <w:lang w:eastAsia="en-AU"/>
        </w:rPr>
        <w:lastRenderedPageBreak/>
        <w:drawing>
          <wp:inline distT="0" distB="0" distL="0" distR="0" wp14:anchorId="5EE78513" wp14:editId="5460350E">
            <wp:extent cx="6163733" cy="842228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64847" cy="8423807"/>
                    </a:xfrm>
                    <a:prstGeom prst="rect">
                      <a:avLst/>
                    </a:prstGeom>
                  </pic:spPr>
                </pic:pic>
              </a:graphicData>
            </a:graphic>
          </wp:inline>
        </w:drawing>
      </w:r>
    </w:p>
    <w:p w14:paraId="72244BF7" w14:textId="77777777" w:rsidR="00BD5D5A" w:rsidRDefault="00BD5D5A">
      <w:pPr>
        <w:rPr>
          <w:rFonts w:ascii="Arial" w:eastAsia="Times" w:hAnsi="Arial"/>
          <w:sz w:val="18"/>
        </w:rPr>
      </w:pPr>
    </w:p>
    <w:p w14:paraId="55C74894" w14:textId="169C183C" w:rsidR="00BD5D5A" w:rsidRDefault="00BD5D5A">
      <w:pPr>
        <w:rPr>
          <w:rFonts w:ascii="Arial" w:eastAsia="Times" w:hAnsi="Arial"/>
          <w:sz w:val="18"/>
        </w:rPr>
      </w:pPr>
      <w:r>
        <w:rPr>
          <w:noProof/>
          <w:lang w:eastAsia="en-AU"/>
        </w:rPr>
        <w:lastRenderedPageBreak/>
        <w:drawing>
          <wp:inline distT="0" distB="0" distL="0" distR="0" wp14:anchorId="7D5A672C" wp14:editId="71DB46F3">
            <wp:extent cx="5915377" cy="8166265"/>
            <wp:effectExtent l="0" t="0" r="952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20086" cy="8172766"/>
                    </a:xfrm>
                    <a:prstGeom prst="rect">
                      <a:avLst/>
                    </a:prstGeom>
                  </pic:spPr>
                </pic:pic>
              </a:graphicData>
            </a:graphic>
          </wp:inline>
        </w:drawing>
      </w:r>
    </w:p>
    <w:p w14:paraId="5B104E0B" w14:textId="77777777" w:rsidR="00BD5D5A" w:rsidRDefault="00BD5D5A">
      <w:pPr>
        <w:rPr>
          <w:rFonts w:ascii="Arial" w:eastAsia="Times" w:hAnsi="Arial"/>
          <w:sz w:val="18"/>
        </w:rPr>
      </w:pPr>
    </w:p>
    <w:p w14:paraId="6F8ADA7E" w14:textId="1B782818" w:rsidR="00BD5D5A" w:rsidRDefault="00BD5D5A">
      <w:pPr>
        <w:rPr>
          <w:rFonts w:ascii="Arial" w:eastAsia="Times" w:hAnsi="Arial"/>
          <w:sz w:val="18"/>
        </w:rPr>
      </w:pPr>
      <w:r>
        <w:rPr>
          <w:noProof/>
          <w:lang w:eastAsia="en-AU"/>
        </w:rPr>
        <w:lastRenderedPageBreak/>
        <w:drawing>
          <wp:inline distT="0" distB="0" distL="0" distR="0" wp14:anchorId="6BA6EC05" wp14:editId="16DCB4E6">
            <wp:extent cx="5960533" cy="8355584"/>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65522" cy="8362578"/>
                    </a:xfrm>
                    <a:prstGeom prst="rect">
                      <a:avLst/>
                    </a:prstGeom>
                  </pic:spPr>
                </pic:pic>
              </a:graphicData>
            </a:graphic>
          </wp:inline>
        </w:drawing>
      </w:r>
    </w:p>
    <w:p w14:paraId="4D3F9B5D" w14:textId="77777777" w:rsidR="00BD5D5A" w:rsidRDefault="00BD5D5A">
      <w:pPr>
        <w:rPr>
          <w:rFonts w:ascii="Arial" w:eastAsia="Times" w:hAnsi="Arial"/>
          <w:sz w:val="18"/>
        </w:rPr>
      </w:pPr>
    </w:p>
    <w:p w14:paraId="38936273" w14:textId="5DF67FFF" w:rsidR="00BD5D5A" w:rsidRDefault="00BD5D5A">
      <w:pPr>
        <w:rPr>
          <w:rFonts w:ascii="Arial" w:eastAsia="Times" w:hAnsi="Arial"/>
          <w:sz w:val="18"/>
        </w:rPr>
      </w:pPr>
      <w:r>
        <w:rPr>
          <w:noProof/>
          <w:lang w:eastAsia="en-AU"/>
        </w:rPr>
        <w:lastRenderedPageBreak/>
        <w:drawing>
          <wp:inline distT="0" distB="0" distL="0" distR="0" wp14:anchorId="54993E7D" wp14:editId="3440DA7D">
            <wp:extent cx="5702380" cy="54751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11677" cy="5484037"/>
                    </a:xfrm>
                    <a:prstGeom prst="rect">
                      <a:avLst/>
                    </a:prstGeom>
                  </pic:spPr>
                </pic:pic>
              </a:graphicData>
            </a:graphic>
          </wp:inline>
        </w:drawing>
      </w:r>
    </w:p>
    <w:p w14:paraId="3CED061D" w14:textId="7993D796" w:rsidR="00BD5D5A" w:rsidRDefault="00BD5D5A">
      <w:pPr>
        <w:rPr>
          <w:rFonts w:ascii="Arial" w:eastAsia="Times" w:hAnsi="Arial"/>
          <w:sz w:val="18"/>
        </w:rPr>
      </w:pPr>
      <w:r>
        <w:rPr>
          <w:rFonts w:ascii="Arial" w:eastAsia="Times" w:hAnsi="Arial"/>
          <w:sz w:val="18"/>
        </w:rPr>
        <w:br w:type="page"/>
      </w:r>
    </w:p>
    <w:p w14:paraId="6F7708F5" w14:textId="77777777" w:rsidR="00043C76" w:rsidRPr="00576F81" w:rsidRDefault="00043C76" w:rsidP="00576F81">
      <w:pPr>
        <w:pStyle w:val="Heading1"/>
      </w:pPr>
      <w:bookmarkStart w:id="76" w:name="_Toc533678794"/>
      <w:r w:rsidRPr="00576F81">
        <w:lastRenderedPageBreak/>
        <w:t>Document information</w:t>
      </w:r>
      <w:bookmarkEnd w:id="76"/>
    </w:p>
    <w:p w14:paraId="449F9970" w14:textId="77777777" w:rsidR="00043C76" w:rsidRPr="002659E3" w:rsidRDefault="00043C76" w:rsidP="00CE7745">
      <w:pPr>
        <w:pStyle w:val="Heading2notappearinginTOC"/>
      </w:pPr>
      <w:r>
        <w:t>Document details</w:t>
      </w:r>
    </w:p>
    <w:tbl>
      <w:tblPr>
        <w:tblStyle w:val="DJRReporttablestyleNavy"/>
        <w:tblW w:w="0" w:type="auto"/>
        <w:tblLayout w:type="fixed"/>
        <w:tblLook w:val="04A0" w:firstRow="1" w:lastRow="0" w:firstColumn="1" w:lastColumn="0" w:noHBand="0" w:noVBand="1"/>
      </w:tblPr>
      <w:tblGrid>
        <w:gridCol w:w="2122"/>
        <w:gridCol w:w="7398"/>
      </w:tblGrid>
      <w:tr w:rsidR="00935BC3" w14:paraId="74F473CD" w14:textId="77777777" w:rsidTr="0062265D">
        <w:trPr>
          <w:cnfStyle w:val="100000000000" w:firstRow="1" w:lastRow="0" w:firstColumn="0" w:lastColumn="0" w:oddVBand="0" w:evenVBand="0" w:oddHBand="0" w:evenHBand="0" w:firstRowFirstColumn="0" w:firstRowLastColumn="0" w:lastRowFirstColumn="0" w:lastRowLastColumn="0"/>
          <w:tblHeader/>
        </w:trPr>
        <w:tc>
          <w:tcPr>
            <w:tcW w:w="2122" w:type="dxa"/>
          </w:tcPr>
          <w:p w14:paraId="39CE3009" w14:textId="77777777" w:rsidR="00935BC3" w:rsidRDefault="00935BC3" w:rsidP="00395D23">
            <w:pPr>
              <w:pStyle w:val="TableHeader"/>
            </w:pPr>
            <w:r>
              <w:t>Criteria</w:t>
            </w:r>
          </w:p>
        </w:tc>
        <w:tc>
          <w:tcPr>
            <w:tcW w:w="7398" w:type="dxa"/>
          </w:tcPr>
          <w:p w14:paraId="361594A6" w14:textId="77777777" w:rsidR="00935BC3" w:rsidRDefault="00935BC3" w:rsidP="00395D23">
            <w:pPr>
              <w:pStyle w:val="TableHeader"/>
            </w:pPr>
            <w:r>
              <w:t>Details</w:t>
            </w:r>
          </w:p>
        </w:tc>
      </w:tr>
      <w:tr w:rsidR="00935BC3" w14:paraId="0EDC5E58" w14:textId="77777777" w:rsidTr="00CF1F92">
        <w:tc>
          <w:tcPr>
            <w:tcW w:w="2122" w:type="dxa"/>
          </w:tcPr>
          <w:p w14:paraId="610B74F5" w14:textId="77777777" w:rsidR="00935BC3" w:rsidRPr="00C2297D" w:rsidRDefault="00935BC3" w:rsidP="00395D23">
            <w:pPr>
              <w:pStyle w:val="TableText"/>
              <w:rPr>
                <w:rStyle w:val="Strong"/>
              </w:rPr>
            </w:pPr>
            <w:r w:rsidRPr="00C2297D">
              <w:rPr>
                <w:rStyle w:val="Strong"/>
              </w:rPr>
              <w:t>TRIM ID</w:t>
            </w:r>
            <w:r w:rsidR="00D964A7">
              <w:rPr>
                <w:rStyle w:val="Strong"/>
              </w:rPr>
              <w:t>:</w:t>
            </w:r>
          </w:p>
        </w:tc>
        <w:sdt>
          <w:sdtPr>
            <w:alias w:val="Enter TRIM ID"/>
            <w:tag w:val="Enter TRIM ID"/>
            <w:id w:val="-1125690445"/>
            <w:placeholder>
              <w:docPart w:val="27735591036A487BA000ED5D0BE0002E"/>
            </w:placeholder>
            <w:text/>
          </w:sdtPr>
          <w:sdtContent>
            <w:tc>
              <w:tcPr>
                <w:tcW w:w="7398" w:type="dxa"/>
              </w:tcPr>
              <w:p w14:paraId="0F92D404" w14:textId="77777777" w:rsidR="00935BC3" w:rsidRDefault="00C94B22" w:rsidP="00395D23">
                <w:pPr>
                  <w:pStyle w:val="TableText"/>
                </w:pPr>
                <w:r>
                  <w:t>CD/18/704334</w:t>
                </w:r>
              </w:p>
            </w:tc>
          </w:sdtContent>
        </w:sdt>
      </w:tr>
      <w:tr w:rsidR="00935BC3" w14:paraId="6A3AD48B" w14:textId="77777777" w:rsidTr="00CF1F92">
        <w:tc>
          <w:tcPr>
            <w:tcW w:w="2122" w:type="dxa"/>
          </w:tcPr>
          <w:p w14:paraId="371C14FC" w14:textId="77777777" w:rsidR="00935BC3" w:rsidRPr="00C2297D" w:rsidRDefault="00935BC3" w:rsidP="00395D23">
            <w:pPr>
              <w:pStyle w:val="TableText"/>
              <w:rPr>
                <w:rStyle w:val="Strong"/>
              </w:rPr>
            </w:pPr>
            <w:r w:rsidRPr="00C2297D">
              <w:rPr>
                <w:rStyle w:val="Strong"/>
              </w:rPr>
              <w:t>Document title:</w:t>
            </w:r>
          </w:p>
        </w:tc>
        <w:sdt>
          <w:sdtPr>
            <w:alias w:val="Enter document title here"/>
            <w:tag w:val="Enter document title here"/>
            <w:id w:val="-1726517402"/>
            <w:placeholder>
              <w:docPart w:val="1F27198E78E14F0695026AB8EFEFA7E6"/>
            </w:placeholder>
            <w:text/>
          </w:sdtPr>
          <w:sdtContent>
            <w:tc>
              <w:tcPr>
                <w:tcW w:w="7398" w:type="dxa"/>
              </w:tcPr>
              <w:p w14:paraId="4B5DD82B" w14:textId="77777777" w:rsidR="00935BC3" w:rsidRDefault="00C94B22" w:rsidP="00395D23">
                <w:pPr>
                  <w:pStyle w:val="TableText"/>
                </w:pPr>
                <w:r>
                  <w:t>CAV Statement of Expectations Evaluation Report</w:t>
                </w:r>
              </w:p>
            </w:tc>
          </w:sdtContent>
        </w:sdt>
      </w:tr>
      <w:tr w:rsidR="00935BC3" w14:paraId="6440AB35" w14:textId="77777777" w:rsidTr="00CF1F92">
        <w:tc>
          <w:tcPr>
            <w:tcW w:w="2122" w:type="dxa"/>
          </w:tcPr>
          <w:p w14:paraId="6DF8BA0D" w14:textId="77777777" w:rsidR="00935BC3" w:rsidRPr="00C2297D" w:rsidRDefault="00935BC3" w:rsidP="00395D23">
            <w:pPr>
              <w:pStyle w:val="TableText"/>
              <w:rPr>
                <w:rStyle w:val="Strong"/>
              </w:rPr>
            </w:pPr>
            <w:r w:rsidRPr="00C2297D">
              <w:rPr>
                <w:rStyle w:val="Strong"/>
              </w:rPr>
              <w:t>Document owner:</w:t>
            </w:r>
          </w:p>
        </w:tc>
        <w:sdt>
          <w:sdtPr>
            <w:alias w:val="Enter document owner here"/>
            <w:tag w:val="Enter document owner here"/>
            <w:id w:val="2083251482"/>
            <w:placeholder>
              <w:docPart w:val="71130C7D11C54A6D89F6CA0ED8A4AFEA"/>
            </w:placeholder>
            <w:text/>
          </w:sdtPr>
          <w:sdtContent>
            <w:tc>
              <w:tcPr>
                <w:tcW w:w="7398" w:type="dxa"/>
              </w:tcPr>
              <w:p w14:paraId="7A067197" w14:textId="4E58D5FA" w:rsidR="00935BC3" w:rsidRDefault="00C94B22" w:rsidP="00395D23">
                <w:pPr>
                  <w:pStyle w:val="TableText"/>
                </w:pPr>
                <w:r>
                  <w:t>Strategic Planning</w:t>
                </w:r>
                <w:r w:rsidR="00E430EF">
                  <w:t xml:space="preserve"> Unit</w:t>
                </w:r>
              </w:p>
            </w:tc>
          </w:sdtContent>
        </w:sdt>
      </w:tr>
    </w:tbl>
    <w:p w14:paraId="7B4202E3" w14:textId="77777777" w:rsidR="00043C76" w:rsidRPr="00044BF1" w:rsidRDefault="00043C76" w:rsidP="004B67A5">
      <w:pPr>
        <w:pStyle w:val="Heading2notappearinginTOC"/>
      </w:pPr>
      <w:r w:rsidRPr="00044BF1">
        <w:t>Document approval</w:t>
      </w:r>
    </w:p>
    <w:p w14:paraId="2E75CB68" w14:textId="77777777" w:rsidR="00043C76" w:rsidRPr="000B78B9" w:rsidRDefault="00043C76" w:rsidP="00043C76">
      <w:pPr>
        <w:pStyle w:val="DJRbody"/>
      </w:pPr>
      <w:r w:rsidRPr="000B78B9">
        <w:t>This document requires the following approval:</w:t>
      </w:r>
    </w:p>
    <w:tbl>
      <w:tblPr>
        <w:tblStyle w:val="DJRReporttablestyleNavy"/>
        <w:tblW w:w="9520" w:type="dxa"/>
        <w:tblLayout w:type="fixed"/>
        <w:tblLook w:val="04A0" w:firstRow="1" w:lastRow="0" w:firstColumn="1" w:lastColumn="0" w:noHBand="0" w:noVBand="1"/>
      </w:tblPr>
      <w:tblGrid>
        <w:gridCol w:w="2434"/>
        <w:gridCol w:w="4026"/>
        <w:gridCol w:w="3060"/>
      </w:tblGrid>
      <w:tr w:rsidR="00043C76" w14:paraId="0B271A3D" w14:textId="77777777" w:rsidTr="002326CD">
        <w:trPr>
          <w:cnfStyle w:val="100000000000" w:firstRow="1" w:lastRow="0" w:firstColumn="0" w:lastColumn="0" w:oddVBand="0" w:evenVBand="0" w:oddHBand="0" w:evenHBand="0" w:firstRowFirstColumn="0" w:firstRowLastColumn="0" w:lastRowFirstColumn="0" w:lastRowLastColumn="0"/>
          <w:tblHeader/>
        </w:trPr>
        <w:tc>
          <w:tcPr>
            <w:tcW w:w="2434" w:type="dxa"/>
          </w:tcPr>
          <w:p w14:paraId="780921E1" w14:textId="77777777" w:rsidR="00043C76" w:rsidRDefault="00043C76" w:rsidP="00395D23">
            <w:pPr>
              <w:pStyle w:val="TableHeader"/>
            </w:pPr>
            <w:r>
              <w:t>Name</w:t>
            </w:r>
          </w:p>
        </w:tc>
        <w:tc>
          <w:tcPr>
            <w:tcW w:w="4026" w:type="dxa"/>
          </w:tcPr>
          <w:p w14:paraId="1165B16C" w14:textId="77777777" w:rsidR="00043C76" w:rsidRDefault="00043C76" w:rsidP="00395D23">
            <w:pPr>
              <w:pStyle w:val="TableHeader"/>
            </w:pPr>
            <w:r>
              <w:t>Title</w:t>
            </w:r>
          </w:p>
        </w:tc>
        <w:tc>
          <w:tcPr>
            <w:tcW w:w="3060" w:type="dxa"/>
          </w:tcPr>
          <w:p w14:paraId="0554394E" w14:textId="77777777" w:rsidR="00043C76" w:rsidRDefault="00043C76" w:rsidP="00395D23">
            <w:pPr>
              <w:pStyle w:val="TableHeader"/>
            </w:pPr>
            <w:r>
              <w:t>Organisation</w:t>
            </w:r>
          </w:p>
        </w:tc>
      </w:tr>
      <w:tr w:rsidR="00043C76" w14:paraId="762B3C85" w14:textId="77777777" w:rsidTr="002326CD">
        <w:sdt>
          <w:sdtPr>
            <w:alias w:val="Enter name here"/>
            <w:tag w:val="Enter name here"/>
            <w:id w:val="2096902373"/>
            <w:placeholder>
              <w:docPart w:val="CCF97F9310964C44AD4FDAC8AEF15CA2"/>
            </w:placeholder>
            <w:text/>
          </w:sdtPr>
          <w:sdtEndPr>
            <w:rPr>
              <w:rStyle w:val="Strong"/>
              <w:b/>
              <w:bCs/>
            </w:rPr>
          </w:sdtEndPr>
          <w:sdtContent>
            <w:tc>
              <w:tcPr>
                <w:tcW w:w="2434" w:type="dxa"/>
              </w:tcPr>
              <w:p w14:paraId="762652C6" w14:textId="77777777" w:rsidR="00043C76" w:rsidRPr="00C2297D" w:rsidRDefault="002326CD" w:rsidP="00395D23">
                <w:pPr>
                  <w:pStyle w:val="TableText"/>
                  <w:rPr>
                    <w:rStyle w:val="Strong"/>
                  </w:rPr>
                </w:pPr>
                <w:r>
                  <w:t>Neil Twist</w:t>
                </w:r>
              </w:p>
            </w:tc>
          </w:sdtContent>
        </w:sdt>
        <w:sdt>
          <w:sdtPr>
            <w:alias w:val="Enter title here"/>
            <w:tag w:val="Enter title here"/>
            <w:id w:val="-1649048492"/>
            <w:placeholder>
              <w:docPart w:val="89350BE342A048CEB71583955ED862AC"/>
            </w:placeholder>
            <w:text/>
          </w:sdtPr>
          <w:sdtEndPr>
            <w:rPr>
              <w:rStyle w:val="Strong"/>
              <w:b/>
              <w:bCs/>
            </w:rPr>
          </w:sdtEndPr>
          <w:sdtContent>
            <w:tc>
              <w:tcPr>
                <w:tcW w:w="4026" w:type="dxa"/>
              </w:tcPr>
              <w:p w14:paraId="3742741C" w14:textId="77777777" w:rsidR="00043C76" w:rsidRDefault="002326CD" w:rsidP="00395D23">
                <w:pPr>
                  <w:pStyle w:val="TableText"/>
                </w:pPr>
                <w:r>
                  <w:t>Director, Strategic Planning</w:t>
                </w:r>
              </w:p>
            </w:tc>
          </w:sdtContent>
        </w:sdt>
        <w:sdt>
          <w:sdtPr>
            <w:alias w:val="Enter organisation"/>
            <w:tag w:val="Enter organisation"/>
            <w:id w:val="-851950245"/>
            <w:placeholder>
              <w:docPart w:val="75F28B0ECD5D40F0AFF43283B4F9A731"/>
            </w:placeholder>
            <w:text/>
          </w:sdtPr>
          <w:sdtContent>
            <w:tc>
              <w:tcPr>
                <w:tcW w:w="3060" w:type="dxa"/>
              </w:tcPr>
              <w:p w14:paraId="0B6D2B85" w14:textId="7A475B4D" w:rsidR="00043C76" w:rsidRDefault="00E430EF" w:rsidP="00395D23">
                <w:pPr>
                  <w:pStyle w:val="TableText"/>
                </w:pPr>
                <w:r>
                  <w:t>DJCS</w:t>
                </w:r>
              </w:p>
            </w:tc>
          </w:sdtContent>
        </w:sdt>
      </w:tr>
      <w:tr w:rsidR="00043C76" w14:paraId="7C0F3727" w14:textId="77777777" w:rsidTr="002326CD">
        <w:sdt>
          <w:sdtPr>
            <w:alias w:val="Enter name here"/>
            <w:tag w:val="Enter name here"/>
            <w:id w:val="-1513674321"/>
            <w:placeholder>
              <w:docPart w:val="34C1CC2925F44482A7C1E531E13041DD"/>
            </w:placeholder>
            <w:text/>
          </w:sdtPr>
          <w:sdtEndPr>
            <w:rPr>
              <w:rStyle w:val="Strong"/>
              <w:b/>
              <w:bCs/>
            </w:rPr>
          </w:sdtEndPr>
          <w:sdtContent>
            <w:tc>
              <w:tcPr>
                <w:tcW w:w="2434" w:type="dxa"/>
              </w:tcPr>
              <w:p w14:paraId="73BDA4C9" w14:textId="77777777" w:rsidR="00043C76" w:rsidRPr="00C2297D" w:rsidRDefault="002326CD" w:rsidP="00395D23">
                <w:pPr>
                  <w:pStyle w:val="TableText"/>
                  <w:rPr>
                    <w:rStyle w:val="Strong"/>
                  </w:rPr>
                </w:pPr>
                <w:r>
                  <w:t>Simon Cohen</w:t>
                </w:r>
              </w:p>
            </w:tc>
          </w:sdtContent>
        </w:sdt>
        <w:sdt>
          <w:sdtPr>
            <w:alias w:val="Enter title here"/>
            <w:tag w:val="Enter title here"/>
            <w:id w:val="-945230955"/>
            <w:placeholder>
              <w:docPart w:val="0E50BC513B7246A8BF894EE3C522C4CF"/>
            </w:placeholder>
            <w:text/>
          </w:sdtPr>
          <w:sdtEndPr>
            <w:rPr>
              <w:rStyle w:val="Strong"/>
              <w:b/>
              <w:bCs/>
            </w:rPr>
          </w:sdtEndPr>
          <w:sdtContent>
            <w:tc>
              <w:tcPr>
                <w:tcW w:w="4026" w:type="dxa"/>
              </w:tcPr>
              <w:p w14:paraId="4D67B791" w14:textId="0B965829" w:rsidR="00043C76" w:rsidRDefault="002326CD" w:rsidP="00FD4776">
                <w:pPr>
                  <w:pStyle w:val="TableText"/>
                </w:pPr>
                <w:r>
                  <w:t xml:space="preserve">Deputy Secretary, </w:t>
                </w:r>
                <w:r w:rsidR="00FD4776">
                  <w:t>Regulation</w:t>
                </w:r>
              </w:p>
            </w:tc>
          </w:sdtContent>
        </w:sdt>
        <w:sdt>
          <w:sdtPr>
            <w:alias w:val="Enter organisation"/>
            <w:tag w:val="Enter organisation"/>
            <w:id w:val="1443496390"/>
            <w:placeholder>
              <w:docPart w:val="3B7CFE91118F453894133AEF6F4387A5"/>
            </w:placeholder>
            <w:text/>
          </w:sdtPr>
          <w:sdtContent>
            <w:tc>
              <w:tcPr>
                <w:tcW w:w="3060" w:type="dxa"/>
              </w:tcPr>
              <w:p w14:paraId="1EFA1BF5" w14:textId="6DE6C555" w:rsidR="00043C76" w:rsidRDefault="00CE2DD6" w:rsidP="00395D23">
                <w:pPr>
                  <w:pStyle w:val="TableText"/>
                </w:pPr>
                <w:r>
                  <w:t>DJCS</w:t>
                </w:r>
              </w:p>
            </w:tc>
          </w:sdtContent>
        </w:sdt>
      </w:tr>
    </w:tbl>
    <w:p w14:paraId="6EC3D95D" w14:textId="77777777" w:rsidR="00043C76" w:rsidRPr="000B78B9" w:rsidRDefault="00043C76" w:rsidP="004B67A5">
      <w:pPr>
        <w:pStyle w:val="Heading2notappearinginTOC"/>
      </w:pPr>
      <w:r>
        <w:t>Audience</w:t>
      </w:r>
    </w:p>
    <w:p w14:paraId="6A76AAE9" w14:textId="77777777" w:rsidR="00043C76" w:rsidRDefault="00043C76" w:rsidP="00043C76">
      <w:pPr>
        <w:pStyle w:val="DJRbody"/>
      </w:pPr>
      <w:r w:rsidRPr="00044BF1">
        <w:t xml:space="preserve">The audience for this </w:t>
      </w:r>
      <w:r w:rsidRPr="00F8443A">
        <w:t>document</w:t>
      </w:r>
      <w:r w:rsidRPr="00044BF1">
        <w:t xml:space="preserve"> is</w:t>
      </w:r>
      <w:r>
        <w:t xml:space="preserve"> </w:t>
      </w:r>
      <w:sdt>
        <w:sdtPr>
          <w:alias w:val="Describe audience"/>
          <w:tag w:val="Describe audience"/>
          <w:id w:val="453529708"/>
          <w:placeholder>
            <w:docPart w:val="B05A669868D74F36B7C7729F8685BAFC"/>
          </w:placeholder>
          <w:text/>
        </w:sdtPr>
        <w:sdtContent>
          <w:r w:rsidR="002326CD">
            <w:t>Consumer Affairs Victoria</w:t>
          </w:r>
        </w:sdtContent>
      </w:sdt>
      <w:r w:rsidR="00A35812">
        <w:t xml:space="preserve"> </w:t>
      </w:r>
      <w:r w:rsidRPr="00044BF1">
        <w:t>to</w:t>
      </w:r>
      <w:r>
        <w:t xml:space="preserve"> </w:t>
      </w:r>
      <w:sdt>
        <w:sdtPr>
          <w:alias w:val="Describe purpose"/>
          <w:tag w:val="Describe purpose"/>
          <w:id w:val="558825133"/>
          <w:placeholder>
            <w:docPart w:val="37FD7E2513BD4C198C7AF12969D46F55"/>
          </w:placeholder>
          <w:text/>
        </w:sdtPr>
        <w:sdtContent>
          <w:r w:rsidR="002326CD">
            <w:t>provide the findings of the SOE evaluation</w:t>
          </w:r>
        </w:sdtContent>
      </w:sdt>
      <w:r>
        <w:t>.</w:t>
      </w:r>
    </w:p>
    <w:p w14:paraId="65879CA9" w14:textId="77777777" w:rsidR="0051182A" w:rsidRDefault="0051182A" w:rsidP="0051182A">
      <w:pPr>
        <w:pStyle w:val="Heading2notappearinginTOC"/>
      </w:pPr>
      <w:r>
        <w:t>Reference material</w:t>
      </w:r>
    </w:p>
    <w:tbl>
      <w:tblPr>
        <w:tblStyle w:val="DJRReporttablestyleNavy"/>
        <w:tblW w:w="0" w:type="auto"/>
        <w:tblLayout w:type="fixed"/>
        <w:tblLook w:val="04A0" w:firstRow="1" w:lastRow="0" w:firstColumn="1" w:lastColumn="0" w:noHBand="0" w:noVBand="1"/>
      </w:tblPr>
      <w:tblGrid>
        <w:gridCol w:w="6544"/>
        <w:gridCol w:w="2976"/>
      </w:tblGrid>
      <w:tr w:rsidR="00043C76" w14:paraId="2B54780B" w14:textId="77777777" w:rsidTr="0062265D">
        <w:trPr>
          <w:cnfStyle w:val="100000000000" w:firstRow="1" w:lastRow="0" w:firstColumn="0" w:lastColumn="0" w:oddVBand="0" w:evenVBand="0" w:oddHBand="0" w:evenHBand="0" w:firstRowFirstColumn="0" w:firstRowLastColumn="0" w:lastRowFirstColumn="0" w:lastRowLastColumn="0"/>
          <w:tblHeader/>
        </w:trPr>
        <w:tc>
          <w:tcPr>
            <w:tcW w:w="6544" w:type="dxa"/>
          </w:tcPr>
          <w:p w14:paraId="1E91EE71" w14:textId="77777777" w:rsidR="00043C76" w:rsidRDefault="00043C76" w:rsidP="00395D23">
            <w:pPr>
              <w:pStyle w:val="TableHeader"/>
            </w:pPr>
            <w:r>
              <w:t>Attached references</w:t>
            </w:r>
          </w:p>
        </w:tc>
        <w:tc>
          <w:tcPr>
            <w:tcW w:w="2976" w:type="dxa"/>
          </w:tcPr>
          <w:p w14:paraId="5F751FDE" w14:textId="77777777" w:rsidR="00043C76" w:rsidRDefault="00043C76" w:rsidP="00395D23">
            <w:pPr>
              <w:pStyle w:val="TableHeader"/>
            </w:pPr>
            <w:r>
              <w:t>TRIM ID/Location</w:t>
            </w:r>
          </w:p>
        </w:tc>
      </w:tr>
      <w:tr w:rsidR="00043C76" w14:paraId="31BE1813" w14:textId="77777777" w:rsidTr="00DB703B">
        <w:sdt>
          <w:sdtPr>
            <w:alias w:val="Enter attached references"/>
            <w:tag w:val="Enter attached references"/>
            <w:id w:val="269669969"/>
            <w:placeholder>
              <w:docPart w:val="3D86496AC7E2406E92E20795F0D41D23"/>
            </w:placeholder>
            <w:text/>
          </w:sdtPr>
          <w:sdtContent>
            <w:tc>
              <w:tcPr>
                <w:tcW w:w="6544" w:type="dxa"/>
              </w:tcPr>
              <w:p w14:paraId="628E0327" w14:textId="77777777" w:rsidR="00043C76" w:rsidRPr="00E8662D" w:rsidRDefault="002326CD" w:rsidP="00395D23">
                <w:pPr>
                  <w:pStyle w:val="TableText"/>
                </w:pPr>
                <w:r>
                  <w:t>CAV SOE and response</w:t>
                </w:r>
              </w:p>
            </w:tc>
          </w:sdtContent>
        </w:sdt>
        <w:sdt>
          <w:sdtPr>
            <w:alias w:val="Enter TRIM ID / Location"/>
            <w:tag w:val="Enter TRIM ID / Location"/>
            <w:id w:val="152119950"/>
            <w:placeholder>
              <w:docPart w:val="A153CE93923747B18C48ED05C683A244"/>
            </w:placeholder>
            <w:text/>
          </w:sdtPr>
          <w:sdtContent>
            <w:tc>
              <w:tcPr>
                <w:tcW w:w="2976" w:type="dxa"/>
              </w:tcPr>
              <w:p w14:paraId="7D1BE21B" w14:textId="59239AAC" w:rsidR="00043C76" w:rsidRPr="00E8662D" w:rsidRDefault="00E6647B" w:rsidP="00E6647B">
                <w:pPr>
                  <w:pStyle w:val="TableText"/>
                </w:pPr>
                <w:r>
                  <w:t>CD/18/274595</w:t>
                </w:r>
              </w:p>
            </w:tc>
          </w:sdtContent>
        </w:sdt>
      </w:tr>
    </w:tbl>
    <w:p w14:paraId="64AE6AE4" w14:textId="77777777" w:rsidR="002326CD" w:rsidRDefault="002326CD" w:rsidP="002326CD">
      <w:pPr>
        <w:pStyle w:val="Heading2notappearinginTOC"/>
      </w:pPr>
      <w:r>
        <w:t>Acronyms</w:t>
      </w:r>
    </w:p>
    <w:tbl>
      <w:tblPr>
        <w:tblStyle w:val="DJRReporttablestyleNavy"/>
        <w:tblW w:w="9520" w:type="dxa"/>
        <w:tblLayout w:type="fixed"/>
        <w:tblLook w:val="04A0" w:firstRow="1" w:lastRow="0" w:firstColumn="1" w:lastColumn="0" w:noHBand="0" w:noVBand="1"/>
      </w:tblPr>
      <w:tblGrid>
        <w:gridCol w:w="2122"/>
        <w:gridCol w:w="7398"/>
      </w:tblGrid>
      <w:tr w:rsidR="00043C76" w14:paraId="7A2C61B7" w14:textId="77777777" w:rsidTr="004E6050">
        <w:trPr>
          <w:cnfStyle w:val="100000000000" w:firstRow="1" w:lastRow="0" w:firstColumn="0" w:lastColumn="0" w:oddVBand="0" w:evenVBand="0" w:oddHBand="0" w:evenHBand="0" w:firstRowFirstColumn="0" w:firstRowLastColumn="0" w:lastRowFirstColumn="0" w:lastRowLastColumn="0"/>
          <w:tblHeader/>
        </w:trPr>
        <w:tc>
          <w:tcPr>
            <w:tcW w:w="2122" w:type="dxa"/>
          </w:tcPr>
          <w:p w14:paraId="12478C71" w14:textId="77777777" w:rsidR="00043C76" w:rsidRPr="00357D85" w:rsidRDefault="00043C76" w:rsidP="00395D23">
            <w:pPr>
              <w:pStyle w:val="TableHeader"/>
            </w:pPr>
            <w:r w:rsidRPr="00044BF1">
              <w:t>Acronyms</w:t>
            </w:r>
          </w:p>
        </w:tc>
        <w:tc>
          <w:tcPr>
            <w:tcW w:w="7398" w:type="dxa"/>
          </w:tcPr>
          <w:p w14:paraId="5DE375D5" w14:textId="77777777" w:rsidR="00043C76" w:rsidRPr="00044BF1" w:rsidRDefault="00043C76" w:rsidP="00395D23">
            <w:pPr>
              <w:pStyle w:val="TableHeader"/>
            </w:pPr>
            <w:r w:rsidRPr="00044BF1">
              <w:t>Description</w:t>
            </w:r>
          </w:p>
        </w:tc>
      </w:tr>
      <w:tr w:rsidR="004E6050" w:rsidRPr="004E6050" w14:paraId="0A7834FC" w14:textId="77777777" w:rsidTr="004E6050">
        <w:tc>
          <w:tcPr>
            <w:tcW w:w="2122" w:type="dxa"/>
          </w:tcPr>
          <w:p w14:paraId="13AD948E" w14:textId="77777777" w:rsidR="004E6050" w:rsidRPr="004E6050" w:rsidRDefault="004E6050" w:rsidP="00395D23">
            <w:pPr>
              <w:pStyle w:val="TableText"/>
              <w:rPr>
                <w:rStyle w:val="Strong"/>
                <w:b w:val="0"/>
              </w:rPr>
            </w:pPr>
            <w:r w:rsidRPr="004E6050">
              <w:rPr>
                <w:rStyle w:val="Strong"/>
                <w:b w:val="0"/>
              </w:rPr>
              <w:t>ACNC</w:t>
            </w:r>
          </w:p>
        </w:tc>
        <w:tc>
          <w:tcPr>
            <w:tcW w:w="7398" w:type="dxa"/>
          </w:tcPr>
          <w:p w14:paraId="0528D4CB" w14:textId="77777777" w:rsidR="004E6050" w:rsidRPr="004E6050" w:rsidRDefault="004E6050" w:rsidP="00395D23">
            <w:pPr>
              <w:pStyle w:val="TableText"/>
              <w:rPr>
                <w:rStyle w:val="Strong"/>
                <w:b w:val="0"/>
              </w:rPr>
            </w:pPr>
            <w:r w:rsidRPr="004E6050">
              <w:rPr>
                <w:rStyle w:val="Strong"/>
                <w:b w:val="0"/>
              </w:rPr>
              <w:t>Australian Charities and Not-for-profits Commission</w:t>
            </w:r>
          </w:p>
        </w:tc>
      </w:tr>
      <w:tr w:rsidR="004E6050" w:rsidRPr="004E6050" w14:paraId="27ABB3C5" w14:textId="77777777" w:rsidTr="004E6050">
        <w:tc>
          <w:tcPr>
            <w:tcW w:w="2122" w:type="dxa"/>
          </w:tcPr>
          <w:p w14:paraId="409554BB" w14:textId="77777777" w:rsidR="004E6050" w:rsidRPr="004E6050" w:rsidRDefault="004E6050" w:rsidP="00395D23">
            <w:pPr>
              <w:pStyle w:val="TableText"/>
              <w:rPr>
                <w:rStyle w:val="Strong"/>
                <w:b w:val="0"/>
              </w:rPr>
            </w:pPr>
            <w:r w:rsidRPr="004E6050">
              <w:rPr>
                <w:rStyle w:val="Strong"/>
                <w:b w:val="0"/>
              </w:rPr>
              <w:t>AIRA</w:t>
            </w:r>
          </w:p>
        </w:tc>
        <w:tc>
          <w:tcPr>
            <w:tcW w:w="7398" w:type="dxa"/>
          </w:tcPr>
          <w:p w14:paraId="3BE051B7" w14:textId="77777777" w:rsidR="004E6050" w:rsidRPr="004E6050" w:rsidRDefault="004E6050" w:rsidP="00395D23">
            <w:pPr>
              <w:pStyle w:val="TableText"/>
              <w:rPr>
                <w:rStyle w:val="Strong"/>
                <w:b w:val="0"/>
              </w:rPr>
            </w:pPr>
            <w:r w:rsidRPr="004E6050">
              <w:rPr>
                <w:rStyle w:val="Strong"/>
                <w:b w:val="0"/>
              </w:rPr>
              <w:t>Associations Incorporation Reform Act 2012</w:t>
            </w:r>
          </w:p>
        </w:tc>
      </w:tr>
      <w:tr w:rsidR="004E6050" w:rsidRPr="004E6050" w14:paraId="78FFAD6B" w14:textId="77777777" w:rsidTr="004E6050">
        <w:tc>
          <w:tcPr>
            <w:tcW w:w="2122" w:type="dxa"/>
          </w:tcPr>
          <w:p w14:paraId="011C61B0" w14:textId="77777777" w:rsidR="004E6050" w:rsidRPr="004E6050" w:rsidRDefault="004E6050" w:rsidP="00395D23">
            <w:pPr>
              <w:pStyle w:val="TableText"/>
              <w:rPr>
                <w:rStyle w:val="Strong"/>
                <w:b w:val="0"/>
              </w:rPr>
            </w:pPr>
            <w:r w:rsidRPr="004E6050">
              <w:rPr>
                <w:rStyle w:val="Strong"/>
                <w:b w:val="0"/>
              </w:rPr>
              <w:t>CALD</w:t>
            </w:r>
          </w:p>
        </w:tc>
        <w:tc>
          <w:tcPr>
            <w:tcW w:w="7398" w:type="dxa"/>
          </w:tcPr>
          <w:p w14:paraId="38DC5D9A" w14:textId="77777777" w:rsidR="004E6050" w:rsidRPr="004E6050" w:rsidRDefault="004E6050" w:rsidP="00395D23">
            <w:pPr>
              <w:pStyle w:val="TableText"/>
              <w:rPr>
                <w:rStyle w:val="Strong"/>
                <w:b w:val="0"/>
              </w:rPr>
            </w:pPr>
            <w:r w:rsidRPr="004E6050">
              <w:rPr>
                <w:rStyle w:val="Strong"/>
                <w:b w:val="0"/>
              </w:rPr>
              <w:t>Culturally and linguistically diverse</w:t>
            </w:r>
          </w:p>
        </w:tc>
      </w:tr>
      <w:tr w:rsidR="004E6050" w:rsidRPr="004E6050" w14:paraId="597BB531" w14:textId="77777777" w:rsidTr="004E6050">
        <w:tc>
          <w:tcPr>
            <w:tcW w:w="2122" w:type="dxa"/>
          </w:tcPr>
          <w:p w14:paraId="03ACCA53" w14:textId="77777777" w:rsidR="004E6050" w:rsidRPr="004E6050" w:rsidRDefault="004E6050" w:rsidP="00395D23">
            <w:pPr>
              <w:pStyle w:val="TableText"/>
              <w:rPr>
                <w:rStyle w:val="Strong"/>
                <w:b w:val="0"/>
              </w:rPr>
            </w:pPr>
            <w:r w:rsidRPr="004E6050">
              <w:rPr>
                <w:rStyle w:val="Strong"/>
                <w:b w:val="0"/>
              </w:rPr>
              <w:t>CAV</w:t>
            </w:r>
          </w:p>
        </w:tc>
        <w:tc>
          <w:tcPr>
            <w:tcW w:w="7398" w:type="dxa"/>
          </w:tcPr>
          <w:p w14:paraId="16DA8DB9" w14:textId="77777777" w:rsidR="004E6050" w:rsidRPr="004E6050" w:rsidRDefault="004E6050" w:rsidP="00395D23">
            <w:pPr>
              <w:pStyle w:val="TableText"/>
              <w:rPr>
                <w:rStyle w:val="Strong"/>
                <w:b w:val="0"/>
              </w:rPr>
            </w:pPr>
            <w:r w:rsidRPr="004E6050">
              <w:rPr>
                <w:rStyle w:val="Strong"/>
                <w:b w:val="0"/>
              </w:rPr>
              <w:t>Consumer Affairs Victoria</w:t>
            </w:r>
          </w:p>
        </w:tc>
      </w:tr>
      <w:tr w:rsidR="004E6050" w:rsidRPr="004E6050" w14:paraId="1CFA09FE" w14:textId="77777777" w:rsidTr="004E6050">
        <w:tc>
          <w:tcPr>
            <w:tcW w:w="2122" w:type="dxa"/>
          </w:tcPr>
          <w:p w14:paraId="79E30179" w14:textId="77777777" w:rsidR="004E6050" w:rsidRPr="004E6050" w:rsidRDefault="004E6050" w:rsidP="00395D23">
            <w:pPr>
              <w:pStyle w:val="TableText"/>
              <w:rPr>
                <w:rStyle w:val="Strong"/>
                <w:b w:val="0"/>
              </w:rPr>
            </w:pPr>
            <w:r w:rsidRPr="004E6050">
              <w:rPr>
                <w:rStyle w:val="Strong"/>
                <w:b w:val="0"/>
              </w:rPr>
              <w:t>CCU</w:t>
            </w:r>
          </w:p>
        </w:tc>
        <w:tc>
          <w:tcPr>
            <w:tcW w:w="7398" w:type="dxa"/>
          </w:tcPr>
          <w:p w14:paraId="14BC75A5" w14:textId="77777777" w:rsidR="004E6050" w:rsidRPr="004E6050" w:rsidRDefault="004E6050" w:rsidP="00395D23">
            <w:pPr>
              <w:pStyle w:val="TableText"/>
              <w:rPr>
                <w:rStyle w:val="Strong"/>
                <w:b w:val="0"/>
              </w:rPr>
            </w:pPr>
            <w:r w:rsidRPr="004E6050">
              <w:rPr>
                <w:rStyle w:val="Strong"/>
                <w:b w:val="0"/>
              </w:rPr>
              <w:t>Compliance Coordination Unit</w:t>
            </w:r>
          </w:p>
        </w:tc>
      </w:tr>
      <w:tr w:rsidR="004E6050" w:rsidRPr="004E6050" w14:paraId="6D36C64E" w14:textId="77777777" w:rsidTr="004E6050">
        <w:tc>
          <w:tcPr>
            <w:tcW w:w="2122" w:type="dxa"/>
          </w:tcPr>
          <w:p w14:paraId="3F5E20F4" w14:textId="77777777" w:rsidR="004E6050" w:rsidRPr="004E6050" w:rsidRDefault="004E6050" w:rsidP="00395D23">
            <w:pPr>
              <w:pStyle w:val="TableText"/>
              <w:rPr>
                <w:rStyle w:val="Strong"/>
                <w:b w:val="0"/>
              </w:rPr>
            </w:pPr>
            <w:r w:rsidRPr="004E6050">
              <w:rPr>
                <w:rStyle w:val="Strong"/>
                <w:b w:val="0"/>
              </w:rPr>
              <w:t>COG</w:t>
            </w:r>
          </w:p>
        </w:tc>
        <w:tc>
          <w:tcPr>
            <w:tcW w:w="7398" w:type="dxa"/>
          </w:tcPr>
          <w:p w14:paraId="1922F5A7" w14:textId="77777777" w:rsidR="004E6050" w:rsidRPr="004E6050" w:rsidRDefault="004E6050" w:rsidP="00395D23">
            <w:pPr>
              <w:pStyle w:val="TableText"/>
              <w:rPr>
                <w:rStyle w:val="Strong"/>
                <w:b w:val="0"/>
              </w:rPr>
            </w:pPr>
            <w:r w:rsidRPr="004E6050">
              <w:rPr>
                <w:rStyle w:val="Strong"/>
                <w:b w:val="0"/>
              </w:rPr>
              <w:t>Compliance Operating Group</w:t>
            </w:r>
          </w:p>
        </w:tc>
      </w:tr>
      <w:tr w:rsidR="004E6050" w:rsidRPr="004E6050" w14:paraId="21605968" w14:textId="77777777" w:rsidTr="004E6050">
        <w:tc>
          <w:tcPr>
            <w:tcW w:w="2122" w:type="dxa"/>
          </w:tcPr>
          <w:p w14:paraId="696298D7" w14:textId="1E194A5C" w:rsidR="004E6050" w:rsidRPr="004E6050" w:rsidRDefault="00CE2DD6" w:rsidP="00395D23">
            <w:pPr>
              <w:pStyle w:val="TableText"/>
              <w:rPr>
                <w:rStyle w:val="Strong"/>
                <w:b w:val="0"/>
              </w:rPr>
            </w:pPr>
            <w:r>
              <w:rPr>
                <w:rStyle w:val="Strong"/>
                <w:b w:val="0"/>
              </w:rPr>
              <w:t>DJCS</w:t>
            </w:r>
          </w:p>
        </w:tc>
        <w:tc>
          <w:tcPr>
            <w:tcW w:w="7398" w:type="dxa"/>
          </w:tcPr>
          <w:p w14:paraId="068E6FB6" w14:textId="1B8E4B41" w:rsidR="004E6050" w:rsidRPr="004E6050" w:rsidRDefault="004E6050" w:rsidP="00CE2DD6">
            <w:pPr>
              <w:pStyle w:val="TableText"/>
              <w:rPr>
                <w:rStyle w:val="Strong"/>
                <w:b w:val="0"/>
              </w:rPr>
            </w:pPr>
            <w:r w:rsidRPr="004E6050">
              <w:rPr>
                <w:rStyle w:val="Strong"/>
                <w:b w:val="0"/>
              </w:rPr>
              <w:t xml:space="preserve">Department of Justice and </w:t>
            </w:r>
            <w:r w:rsidR="00CE2DD6">
              <w:rPr>
                <w:rStyle w:val="Strong"/>
                <w:b w:val="0"/>
              </w:rPr>
              <w:t>Community Safety</w:t>
            </w:r>
          </w:p>
        </w:tc>
      </w:tr>
      <w:tr w:rsidR="004E6050" w:rsidRPr="004E6050" w14:paraId="2E270D3E" w14:textId="77777777" w:rsidTr="004E6050">
        <w:tc>
          <w:tcPr>
            <w:tcW w:w="2122" w:type="dxa"/>
          </w:tcPr>
          <w:p w14:paraId="0852BEC8" w14:textId="77777777" w:rsidR="004E6050" w:rsidRPr="004E6050" w:rsidRDefault="004E6050" w:rsidP="00395D23">
            <w:pPr>
              <w:pStyle w:val="TableText"/>
              <w:rPr>
                <w:rStyle w:val="Strong"/>
                <w:b w:val="0"/>
              </w:rPr>
            </w:pPr>
            <w:r w:rsidRPr="004E6050">
              <w:rPr>
                <w:rStyle w:val="Strong"/>
                <w:b w:val="0"/>
              </w:rPr>
              <w:t>EARL</w:t>
            </w:r>
          </w:p>
        </w:tc>
        <w:tc>
          <w:tcPr>
            <w:tcW w:w="7398" w:type="dxa"/>
          </w:tcPr>
          <w:p w14:paraId="696DA385" w14:textId="77777777" w:rsidR="004E6050" w:rsidRPr="004E6050" w:rsidRDefault="004E6050" w:rsidP="00395D23">
            <w:pPr>
              <w:pStyle w:val="TableText"/>
              <w:rPr>
                <w:rStyle w:val="Strong"/>
                <w:b w:val="0"/>
              </w:rPr>
            </w:pPr>
            <w:r w:rsidRPr="004E6050">
              <w:rPr>
                <w:rStyle w:val="Strong"/>
                <w:b w:val="0"/>
              </w:rPr>
              <w:t>Estate Agent and Rooming House Licensing Scheme</w:t>
            </w:r>
          </w:p>
        </w:tc>
      </w:tr>
      <w:tr w:rsidR="004E6050" w:rsidRPr="004E6050" w14:paraId="4E4A5D80" w14:textId="77777777" w:rsidTr="004E6050">
        <w:tc>
          <w:tcPr>
            <w:tcW w:w="2122" w:type="dxa"/>
          </w:tcPr>
          <w:p w14:paraId="2B33DAE4" w14:textId="77777777" w:rsidR="004E6050" w:rsidRPr="004E6050" w:rsidRDefault="004E6050" w:rsidP="00395D23">
            <w:pPr>
              <w:pStyle w:val="TableText"/>
              <w:rPr>
                <w:rStyle w:val="Strong"/>
                <w:b w:val="0"/>
              </w:rPr>
            </w:pPr>
            <w:r w:rsidRPr="004E6050">
              <w:rPr>
                <w:rStyle w:val="Strong"/>
                <w:b w:val="0"/>
              </w:rPr>
              <w:t>EFT</w:t>
            </w:r>
          </w:p>
        </w:tc>
        <w:tc>
          <w:tcPr>
            <w:tcW w:w="7398" w:type="dxa"/>
          </w:tcPr>
          <w:p w14:paraId="7F612EB9" w14:textId="77777777" w:rsidR="004E6050" w:rsidRPr="004E6050" w:rsidRDefault="004E6050" w:rsidP="00395D23">
            <w:pPr>
              <w:pStyle w:val="TableText"/>
              <w:rPr>
                <w:rStyle w:val="Strong"/>
                <w:b w:val="0"/>
              </w:rPr>
            </w:pPr>
            <w:r w:rsidRPr="004E6050">
              <w:rPr>
                <w:rStyle w:val="Strong"/>
                <w:b w:val="0"/>
              </w:rPr>
              <w:t>Electronic Funds Transfer</w:t>
            </w:r>
          </w:p>
        </w:tc>
      </w:tr>
      <w:tr w:rsidR="004E6050" w:rsidRPr="004E6050" w14:paraId="2FF79031" w14:textId="77777777" w:rsidTr="004E6050">
        <w:tc>
          <w:tcPr>
            <w:tcW w:w="2122" w:type="dxa"/>
          </w:tcPr>
          <w:p w14:paraId="15F1DFBA" w14:textId="77777777" w:rsidR="004E6050" w:rsidRPr="004E6050" w:rsidRDefault="004E6050" w:rsidP="00395D23">
            <w:pPr>
              <w:pStyle w:val="TableText"/>
              <w:rPr>
                <w:rStyle w:val="Strong"/>
                <w:b w:val="0"/>
              </w:rPr>
            </w:pPr>
            <w:r w:rsidRPr="004E6050">
              <w:rPr>
                <w:rStyle w:val="Strong"/>
                <w:b w:val="0"/>
              </w:rPr>
              <w:t>I&amp;A</w:t>
            </w:r>
          </w:p>
        </w:tc>
        <w:tc>
          <w:tcPr>
            <w:tcW w:w="7398" w:type="dxa"/>
          </w:tcPr>
          <w:p w14:paraId="7B20AF72" w14:textId="77777777" w:rsidR="004E6050" w:rsidRPr="004E6050" w:rsidRDefault="004E6050" w:rsidP="00395D23">
            <w:pPr>
              <w:pStyle w:val="TableText"/>
              <w:rPr>
                <w:rStyle w:val="Strong"/>
                <w:b w:val="0"/>
              </w:rPr>
            </w:pPr>
            <w:r w:rsidRPr="004E6050">
              <w:rPr>
                <w:rStyle w:val="Strong"/>
                <w:b w:val="0"/>
              </w:rPr>
              <w:t>Information and Analysis Branch</w:t>
            </w:r>
          </w:p>
        </w:tc>
      </w:tr>
      <w:tr w:rsidR="004E6050" w:rsidRPr="004E6050" w14:paraId="5F113E79" w14:textId="77777777" w:rsidTr="004E6050">
        <w:tc>
          <w:tcPr>
            <w:tcW w:w="2122" w:type="dxa"/>
          </w:tcPr>
          <w:p w14:paraId="4763714E" w14:textId="77777777" w:rsidR="004E6050" w:rsidRPr="004E6050" w:rsidRDefault="004E6050" w:rsidP="00395D23">
            <w:pPr>
              <w:pStyle w:val="TableText"/>
              <w:rPr>
                <w:rStyle w:val="Strong"/>
                <w:b w:val="0"/>
              </w:rPr>
            </w:pPr>
            <w:r w:rsidRPr="004E6050">
              <w:rPr>
                <w:rStyle w:val="Strong"/>
                <w:b w:val="0"/>
              </w:rPr>
              <w:t>ICT</w:t>
            </w:r>
          </w:p>
        </w:tc>
        <w:tc>
          <w:tcPr>
            <w:tcW w:w="7398" w:type="dxa"/>
          </w:tcPr>
          <w:p w14:paraId="4CFE9E71" w14:textId="77777777" w:rsidR="004E6050" w:rsidRPr="004E6050" w:rsidRDefault="004E6050" w:rsidP="00395D23">
            <w:pPr>
              <w:pStyle w:val="TableText"/>
              <w:rPr>
                <w:rStyle w:val="Strong"/>
                <w:b w:val="0"/>
              </w:rPr>
            </w:pPr>
            <w:r w:rsidRPr="004E6050">
              <w:rPr>
                <w:rStyle w:val="Strong"/>
                <w:b w:val="0"/>
              </w:rPr>
              <w:t>Information Communication Technology</w:t>
            </w:r>
          </w:p>
        </w:tc>
      </w:tr>
      <w:tr w:rsidR="004E6050" w:rsidRPr="004E6050" w14:paraId="2212703B" w14:textId="77777777" w:rsidTr="004E6050">
        <w:tc>
          <w:tcPr>
            <w:tcW w:w="2122" w:type="dxa"/>
          </w:tcPr>
          <w:p w14:paraId="3396979A" w14:textId="77777777" w:rsidR="004E6050" w:rsidRPr="004E6050" w:rsidRDefault="004E6050" w:rsidP="00395D23">
            <w:pPr>
              <w:pStyle w:val="TableText"/>
              <w:rPr>
                <w:rStyle w:val="Strong"/>
                <w:b w:val="0"/>
              </w:rPr>
            </w:pPr>
            <w:r w:rsidRPr="004E6050">
              <w:rPr>
                <w:rStyle w:val="Strong"/>
                <w:b w:val="0"/>
              </w:rPr>
              <w:t>IDSC</w:t>
            </w:r>
          </w:p>
        </w:tc>
        <w:tc>
          <w:tcPr>
            <w:tcW w:w="7398" w:type="dxa"/>
          </w:tcPr>
          <w:p w14:paraId="3342BB26" w14:textId="77777777" w:rsidR="004E6050" w:rsidRPr="004E6050" w:rsidRDefault="004E6050" w:rsidP="00395D23">
            <w:pPr>
              <w:pStyle w:val="TableText"/>
              <w:rPr>
                <w:rStyle w:val="Strong"/>
                <w:b w:val="0"/>
              </w:rPr>
            </w:pPr>
            <w:r w:rsidRPr="004E6050">
              <w:rPr>
                <w:rStyle w:val="Strong"/>
                <w:b w:val="0"/>
              </w:rPr>
              <w:t>Information and Dispute Services Centre</w:t>
            </w:r>
          </w:p>
        </w:tc>
      </w:tr>
      <w:tr w:rsidR="00CE2DD6" w:rsidRPr="004E6050" w14:paraId="16FD39E1" w14:textId="77777777" w:rsidTr="004E6050">
        <w:tc>
          <w:tcPr>
            <w:tcW w:w="2122" w:type="dxa"/>
          </w:tcPr>
          <w:p w14:paraId="3C5F3970" w14:textId="0BA2332D" w:rsidR="00CE2DD6" w:rsidRDefault="00CE2DD6" w:rsidP="00395D23">
            <w:pPr>
              <w:pStyle w:val="TableText"/>
              <w:rPr>
                <w:rStyle w:val="Strong"/>
                <w:b w:val="0"/>
              </w:rPr>
            </w:pPr>
            <w:r>
              <w:rPr>
                <w:rStyle w:val="Strong"/>
                <w:b w:val="0"/>
              </w:rPr>
              <w:t>MOU</w:t>
            </w:r>
          </w:p>
        </w:tc>
        <w:tc>
          <w:tcPr>
            <w:tcW w:w="7398" w:type="dxa"/>
          </w:tcPr>
          <w:p w14:paraId="2C2B5F8C" w14:textId="41881965" w:rsidR="00CE2DD6" w:rsidRDefault="00CE2DD6" w:rsidP="00395D23">
            <w:pPr>
              <w:pStyle w:val="TableText"/>
              <w:rPr>
                <w:rStyle w:val="Strong"/>
                <w:b w:val="0"/>
              </w:rPr>
            </w:pPr>
            <w:r>
              <w:rPr>
                <w:rStyle w:val="Strong"/>
                <w:b w:val="0"/>
              </w:rPr>
              <w:t>Memorandum of Understanding</w:t>
            </w:r>
          </w:p>
        </w:tc>
      </w:tr>
      <w:tr w:rsidR="00535D29" w:rsidRPr="004E6050" w14:paraId="4E1FF4F7" w14:textId="77777777" w:rsidTr="004E6050">
        <w:tc>
          <w:tcPr>
            <w:tcW w:w="2122" w:type="dxa"/>
          </w:tcPr>
          <w:p w14:paraId="1C6F44A8" w14:textId="3B05797A" w:rsidR="00535D29" w:rsidRPr="004E6050" w:rsidRDefault="00535D29" w:rsidP="00395D23">
            <w:pPr>
              <w:pStyle w:val="TableText"/>
              <w:rPr>
                <w:rStyle w:val="Strong"/>
                <w:b w:val="0"/>
              </w:rPr>
            </w:pPr>
            <w:r>
              <w:rPr>
                <w:rStyle w:val="Strong"/>
                <w:b w:val="0"/>
              </w:rPr>
              <w:t>REIV</w:t>
            </w:r>
          </w:p>
        </w:tc>
        <w:tc>
          <w:tcPr>
            <w:tcW w:w="7398" w:type="dxa"/>
          </w:tcPr>
          <w:p w14:paraId="73A9A4B0" w14:textId="5C121DAD" w:rsidR="00535D29" w:rsidRPr="004E6050" w:rsidRDefault="00535D29" w:rsidP="00395D23">
            <w:pPr>
              <w:pStyle w:val="TableText"/>
              <w:rPr>
                <w:rStyle w:val="Strong"/>
                <w:b w:val="0"/>
              </w:rPr>
            </w:pPr>
            <w:r>
              <w:rPr>
                <w:rStyle w:val="Strong"/>
                <w:b w:val="0"/>
              </w:rPr>
              <w:t>Real Estate Institute of Victoria</w:t>
            </w:r>
          </w:p>
        </w:tc>
      </w:tr>
      <w:tr w:rsidR="004E6050" w:rsidRPr="004E6050" w14:paraId="77E9FCA3" w14:textId="77777777" w:rsidTr="004E6050">
        <w:tc>
          <w:tcPr>
            <w:tcW w:w="2122" w:type="dxa"/>
          </w:tcPr>
          <w:p w14:paraId="38684F97" w14:textId="77777777" w:rsidR="004E6050" w:rsidRPr="004E6050" w:rsidRDefault="004E6050" w:rsidP="00395D23">
            <w:pPr>
              <w:pStyle w:val="TableText"/>
              <w:rPr>
                <w:rStyle w:val="Strong"/>
                <w:b w:val="0"/>
              </w:rPr>
            </w:pPr>
            <w:r w:rsidRPr="004E6050">
              <w:rPr>
                <w:rStyle w:val="Strong"/>
                <w:b w:val="0"/>
              </w:rPr>
              <w:t>RTBA</w:t>
            </w:r>
          </w:p>
        </w:tc>
        <w:tc>
          <w:tcPr>
            <w:tcW w:w="7398" w:type="dxa"/>
          </w:tcPr>
          <w:p w14:paraId="14C22AA0" w14:textId="77777777" w:rsidR="004E6050" w:rsidRPr="004E6050" w:rsidRDefault="004E6050" w:rsidP="00395D23">
            <w:pPr>
              <w:pStyle w:val="TableText"/>
              <w:rPr>
                <w:rStyle w:val="Strong"/>
                <w:b w:val="0"/>
              </w:rPr>
            </w:pPr>
            <w:r w:rsidRPr="004E6050">
              <w:rPr>
                <w:rStyle w:val="Strong"/>
                <w:b w:val="0"/>
              </w:rPr>
              <w:t>Residential Tenancies Bond Authority</w:t>
            </w:r>
          </w:p>
        </w:tc>
      </w:tr>
      <w:tr w:rsidR="004E6050" w:rsidRPr="004E6050" w14:paraId="62BBBCE3" w14:textId="77777777" w:rsidTr="004E6050">
        <w:tc>
          <w:tcPr>
            <w:tcW w:w="2122" w:type="dxa"/>
          </w:tcPr>
          <w:p w14:paraId="668DE21D" w14:textId="77777777" w:rsidR="004E6050" w:rsidRPr="004E6050" w:rsidRDefault="004E6050" w:rsidP="00395D23">
            <w:pPr>
              <w:pStyle w:val="TableText"/>
              <w:rPr>
                <w:rStyle w:val="Strong"/>
                <w:b w:val="0"/>
              </w:rPr>
            </w:pPr>
            <w:r w:rsidRPr="004E6050">
              <w:rPr>
                <w:rStyle w:val="Strong"/>
                <w:b w:val="0"/>
              </w:rPr>
              <w:t>SOE</w:t>
            </w:r>
          </w:p>
        </w:tc>
        <w:tc>
          <w:tcPr>
            <w:tcW w:w="7398" w:type="dxa"/>
          </w:tcPr>
          <w:p w14:paraId="6C2857C3" w14:textId="77777777" w:rsidR="004E6050" w:rsidRPr="004E6050" w:rsidRDefault="004E6050" w:rsidP="00395D23">
            <w:pPr>
              <w:pStyle w:val="TableText"/>
              <w:rPr>
                <w:rStyle w:val="Strong"/>
                <w:b w:val="0"/>
              </w:rPr>
            </w:pPr>
            <w:r w:rsidRPr="004E6050">
              <w:rPr>
                <w:rStyle w:val="Strong"/>
                <w:b w:val="0"/>
              </w:rPr>
              <w:t>Statement of Expectations</w:t>
            </w:r>
          </w:p>
        </w:tc>
      </w:tr>
      <w:tr w:rsidR="004E6050" w:rsidRPr="004E6050" w14:paraId="2C01FCF1" w14:textId="77777777" w:rsidTr="004E6050">
        <w:tc>
          <w:tcPr>
            <w:tcW w:w="2122" w:type="dxa"/>
          </w:tcPr>
          <w:p w14:paraId="574A43C7" w14:textId="77777777" w:rsidR="004E6050" w:rsidRPr="004E6050" w:rsidRDefault="004E6050" w:rsidP="00395D23">
            <w:pPr>
              <w:pStyle w:val="TableText"/>
              <w:rPr>
                <w:rStyle w:val="Strong"/>
                <w:b w:val="0"/>
              </w:rPr>
            </w:pPr>
            <w:r w:rsidRPr="004E6050">
              <w:rPr>
                <w:rStyle w:val="Strong"/>
                <w:b w:val="0"/>
              </w:rPr>
              <w:t>SPU</w:t>
            </w:r>
          </w:p>
        </w:tc>
        <w:tc>
          <w:tcPr>
            <w:tcW w:w="7398" w:type="dxa"/>
          </w:tcPr>
          <w:p w14:paraId="57171809" w14:textId="77777777" w:rsidR="004E6050" w:rsidRPr="004E6050" w:rsidRDefault="004E6050" w:rsidP="00395D23">
            <w:pPr>
              <w:pStyle w:val="TableText"/>
              <w:rPr>
                <w:rStyle w:val="Strong"/>
                <w:b w:val="0"/>
              </w:rPr>
            </w:pPr>
            <w:r w:rsidRPr="004E6050">
              <w:rPr>
                <w:rStyle w:val="Strong"/>
                <w:b w:val="0"/>
              </w:rPr>
              <w:t>Strategic Planning Unit</w:t>
            </w:r>
          </w:p>
        </w:tc>
      </w:tr>
    </w:tbl>
    <w:p w14:paraId="63518410" w14:textId="77777777" w:rsidR="004E6050" w:rsidRDefault="004E6050" w:rsidP="002E4A35">
      <w:pPr>
        <w:pStyle w:val="DJRbodynospace"/>
      </w:pPr>
    </w:p>
    <w:sectPr w:rsidR="004E6050" w:rsidSect="00BF12F7">
      <w:pgSz w:w="11906" w:h="16838" w:code="9"/>
      <w:pgMar w:top="1871" w:right="851" w:bottom="1418" w:left="851" w:header="1106"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C53E" w14:textId="77777777" w:rsidR="00A76974" w:rsidRDefault="00A76974">
      <w:r>
        <w:separator/>
      </w:r>
    </w:p>
    <w:p w14:paraId="7DDB7E36" w14:textId="77777777" w:rsidR="00A76974" w:rsidRDefault="00A76974"/>
  </w:endnote>
  <w:endnote w:type="continuationSeparator" w:id="0">
    <w:p w14:paraId="732E2C83" w14:textId="77777777" w:rsidR="00A76974" w:rsidRDefault="00A76974">
      <w:r>
        <w:continuationSeparator/>
      </w:r>
    </w:p>
    <w:p w14:paraId="4D6E98EC" w14:textId="77777777" w:rsidR="00A76974" w:rsidRDefault="00A76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9B3D" w14:textId="77777777" w:rsidR="00BF12F7" w:rsidRDefault="00BF12F7" w:rsidP="00E8487C">
    <w:pPr>
      <w:pStyle w:val="DJRfooter"/>
      <w:tabs>
        <w:tab w:val="left" w:pos="567"/>
        <w:tab w:val="left" w:pos="1418"/>
        <w:tab w:val="left" w:pos="43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2E78" w14:textId="1972DC09" w:rsidR="00BF12F7" w:rsidRDefault="00BF12F7" w:rsidP="00DA79A4">
    <w:pPr>
      <w:pStyle w:val="DJRfooter"/>
      <w:tabs>
        <w:tab w:val="clear" w:pos="9299"/>
        <w:tab w:val="left" w:pos="567"/>
        <w:tab w:val="left" w:pos="1418"/>
        <w:tab w:val="left" w:pos="4395"/>
        <w:tab w:val="right" w:pos="8647"/>
      </w:tabs>
    </w:pPr>
    <w:sdt>
      <w:sdtPr>
        <w:id w:val="251018541"/>
        <w:docPartObj>
          <w:docPartGallery w:val="Page Numbers (Bottom of Page)"/>
          <w:docPartUnique/>
        </w:docPartObj>
      </w:sdtPr>
      <w:sdtContent>
        <w:sdt>
          <w:sdtPr>
            <w:id w:val="675004290"/>
            <w:docPartObj>
              <w:docPartGallery w:val="Page Numbers (Top of Page)"/>
              <w:docPartUnique/>
            </w:docPartObj>
          </w:sdtPr>
          <w:sdtContent>
            <w:r>
              <w:rPr>
                <w:noProof/>
                <w:lang w:eastAsia="en-AU"/>
              </w:rPr>
              <w:drawing>
                <wp:anchor distT="0" distB="0" distL="114300" distR="114300" simplePos="0" relativeHeight="251660288" behindDoc="1" locked="1" layoutInCell="1" allowOverlap="1" wp14:anchorId="5E3ABA6B" wp14:editId="0E0E9515">
                  <wp:simplePos x="0" y="0"/>
                  <wp:positionH relativeFrom="page">
                    <wp:posOffset>0</wp:posOffset>
                  </wp:positionH>
                  <wp:positionV relativeFrom="page">
                    <wp:posOffset>9832975</wp:posOffset>
                  </wp:positionV>
                  <wp:extent cx="7560000" cy="864000"/>
                  <wp:effectExtent l="0" t="0" r="3175" b="0"/>
                  <wp:wrapNone/>
                  <wp:docPr id="5" name="Picture 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 NEW logo placement state justice.png"/>
                          <pic:cNvPicPr/>
                        </pic:nvPicPr>
                        <pic:blipFill rotWithShape="1">
                          <a:blip r:embed="rId1">
                            <a:extLst>
                              <a:ext uri="{28A0092B-C50C-407E-A947-70E740481C1C}">
                                <a14:useLocalDpi xmlns:a14="http://schemas.microsoft.com/office/drawing/2010/main" val="0"/>
                              </a:ext>
                            </a:extLst>
                          </a:blip>
                          <a:srcRect t="31395"/>
                          <a:stretch/>
                        </pic:blipFill>
                        <pic:spPr bwMode="auto">
                          <a:xfrm>
                            <a:off x="0" y="0"/>
                            <a:ext cx="7560000" cy="86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sdtContent>
    </w:sdt>
    <w:r>
      <w:t>Public</w:t>
    </w:r>
    <w:r>
      <w:tab/>
    </w:r>
    <w:r>
      <w:tab/>
    </w:r>
    <w:r>
      <w:tab/>
      <w:t xml:space="preserve">TRIM ID: </w:t>
    </w:r>
    <w:sdt>
      <w:sdtPr>
        <w:alias w:val="Enter TRIM ID here"/>
        <w:tag w:val="Enter TRIM ID here"/>
        <w:id w:val="1632976589"/>
        <w:placeholder>
          <w:docPart w:val="A83E8A4711B04C3F9AD2E683BD2B1C5D"/>
        </w:placeholder>
        <w:text/>
      </w:sdtPr>
      <w:sdtContent>
        <w:r>
          <w:t>CD/18/704334</w:t>
        </w:r>
      </w:sdtContent>
    </w:sdt>
  </w:p>
  <w:p w14:paraId="695A8AE8" w14:textId="28AC9DBC" w:rsidR="00BF12F7" w:rsidRDefault="00BF12F7" w:rsidP="00DA79A4">
    <w:pPr>
      <w:pStyle w:val="DJRfooter"/>
      <w:tabs>
        <w:tab w:val="clear" w:pos="9299"/>
        <w:tab w:val="left" w:pos="567"/>
        <w:tab w:val="left" w:pos="4395"/>
        <w:tab w:val="right" w:pos="8647"/>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E430EF">
      <w:rPr>
        <w:bCs/>
        <w:noProof/>
      </w:rPr>
      <w:t>36</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E430EF">
      <w:rPr>
        <w:bCs/>
        <w:noProof/>
      </w:rPr>
      <w:t>36</w:t>
    </w:r>
    <w:r w:rsidRPr="00424153">
      <w:rPr>
        <w:bCs/>
        <w:sz w:val="24"/>
        <w:szCs w:val="24"/>
      </w:rPr>
      <w:fldChar w:fldCharType="end"/>
    </w:r>
    <w:r>
      <w:tab/>
    </w:r>
    <w:sdt>
      <w:sdtPr>
        <w:alias w:val="Enter date"/>
        <w:tag w:val="Enter date"/>
        <w:id w:val="-343169503"/>
        <w:placeholder>
          <w:docPart w:val="A000DC29940545FB8214E0270FDAD92C"/>
        </w:placeholder>
        <w:text/>
      </w:sdtPr>
      <w:sdtContent>
        <w:r>
          <w:t>15/10/2018</w:t>
        </w:r>
      </w:sdtContent>
    </w:sdt>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4A0CB" w14:textId="77777777" w:rsidR="00A76974" w:rsidRDefault="00A76974">
      <w:r>
        <w:separator/>
      </w:r>
    </w:p>
    <w:p w14:paraId="6CF97A1D" w14:textId="77777777" w:rsidR="00A76974" w:rsidRDefault="00A76974"/>
  </w:footnote>
  <w:footnote w:type="continuationSeparator" w:id="0">
    <w:p w14:paraId="45EC63B0" w14:textId="77777777" w:rsidR="00A76974" w:rsidRDefault="00A76974">
      <w:r>
        <w:continuationSeparator/>
      </w:r>
    </w:p>
    <w:p w14:paraId="18B93F17" w14:textId="77777777" w:rsidR="00A76974" w:rsidRDefault="00A76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8E78" w14:textId="48408FDF" w:rsidR="00BF12F7" w:rsidRDefault="00BF12F7" w:rsidP="004B65F7">
    <w:pPr>
      <w:pStyle w:val="DJRheader"/>
    </w:pPr>
    <w:r>
      <w:t>R Header</w:t>
    </w:r>
  </w:p>
  <w:p w14:paraId="01155CE7" w14:textId="77777777" w:rsidR="00BF12F7" w:rsidRDefault="00BF12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30EB" w14:textId="70686012" w:rsidR="00BF12F7" w:rsidRDefault="00BF12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B3D9" w14:textId="6F3A7511" w:rsidR="00BF12F7" w:rsidRDefault="00BF12F7" w:rsidP="00DA79A4">
    <w:pPr>
      <w:pStyle w:val="DJRheader"/>
      <w:tabs>
        <w:tab w:val="clear" w:pos="8505"/>
        <w:tab w:val="right" w:pos="10065"/>
      </w:tabs>
    </w:pPr>
    <w:r>
      <w:fldChar w:fldCharType="begin"/>
    </w:r>
    <w:r>
      <w:instrText xml:space="preserve"> REF busunit \h </w:instrText>
    </w:r>
    <w:r>
      <w:fldChar w:fldCharType="separate"/>
    </w:r>
    <w:sdt>
      <w:sdtPr>
        <w:alias w:val="Business unit"/>
        <w:tag w:val="Business unit"/>
        <w:id w:val="150253777"/>
        <w:placeholder>
          <w:docPart w:val="65BBFB58EF204033AEFB20153405A8D7"/>
        </w:placeholder>
        <w:text/>
      </w:sdtPr>
      <w:sdtContent>
        <w:r>
          <w:t>Consumer Affairs Victoria</w:t>
        </w:r>
      </w:sdtContent>
    </w:sdt>
    <w:r>
      <w:fldChar w:fldCharType="end"/>
    </w:r>
    <w:r>
      <w:rPr>
        <w:noProof/>
        <w:lang w:eastAsia="en-AU"/>
      </w:rPr>
      <w:drawing>
        <wp:anchor distT="0" distB="0" distL="114300" distR="114300" simplePos="0" relativeHeight="251657216" behindDoc="1" locked="0" layoutInCell="1" allowOverlap="1" wp14:anchorId="2B477B5A" wp14:editId="7053E9BC">
          <wp:simplePos x="0" y="0"/>
          <wp:positionH relativeFrom="page">
            <wp:posOffset>0</wp:posOffset>
          </wp:positionH>
          <wp:positionV relativeFrom="page">
            <wp:posOffset>0</wp:posOffset>
          </wp:positionV>
          <wp:extent cx="7560000" cy="988891"/>
          <wp:effectExtent l="0" t="0" r="0" b="1905"/>
          <wp:wrapNone/>
          <wp:docPr id="6" name="Picture 6"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fldChar w:fldCharType="begin"/>
    </w:r>
    <w:r>
      <w:instrText xml:space="preserve"> REF maintitle \h  \* MERGEFORMAT </w:instrText>
    </w:r>
    <w:r>
      <w:fldChar w:fldCharType="separate"/>
    </w:r>
    <w:sdt>
      <w:sdtPr>
        <w:alias w:val="Document title"/>
        <w:tag w:val="Document title"/>
        <w:id w:val="1871177198"/>
        <w:placeholder>
          <w:docPart w:val="F9B4E5BE8ADA480D94CF78388A5D95E6"/>
        </w:placeholder>
        <w:text/>
      </w:sdtPr>
      <w:sdtContent>
        <w:r>
          <w:t>Statement of Expectations Evaluation Report</w:t>
        </w:r>
      </w:sdtContent>
    </w:sdt>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34F8" w14:textId="6FDC45A3" w:rsidR="00BF12F7" w:rsidRDefault="00BF1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D6D96"/>
    <w:multiLevelType w:val="multilevel"/>
    <w:tmpl w:val="AD06323A"/>
    <w:numStyleLink w:val="zzDJRbullets"/>
  </w:abstractNum>
  <w:abstractNum w:abstractNumId="5" w15:restartNumberingAfterBreak="0">
    <w:nsid w:val="2446472D"/>
    <w:multiLevelType w:val="multilevel"/>
    <w:tmpl w:val="B3F8DAFC"/>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456FFD"/>
    <w:multiLevelType w:val="multilevel"/>
    <w:tmpl w:val="E18C6278"/>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360"/>
        </w:tabs>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9"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EE7674"/>
    <w:multiLevelType w:val="hybridMultilevel"/>
    <w:tmpl w:val="D978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787B53A8"/>
    <w:multiLevelType w:val="multilevel"/>
    <w:tmpl w:val="AD06323A"/>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DJR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2"/>
  </w:num>
  <w:num w:numId="4">
    <w:abstractNumId w:val="7"/>
  </w:num>
  <w:num w:numId="5">
    <w:abstractNumId w:val="14"/>
  </w:num>
  <w:num w:numId="6">
    <w:abstractNumId w:val="12"/>
  </w:num>
  <w:num w:numId="7">
    <w:abstractNumId w:val="11"/>
  </w:num>
  <w:num w:numId="8">
    <w:abstractNumId w:val="9"/>
  </w:num>
  <w:num w:numId="9">
    <w:abstractNumId w:val="19"/>
  </w:num>
  <w:num w:numId="10">
    <w:abstractNumId w:val="18"/>
  </w:num>
  <w:num w:numId="11">
    <w:abstractNumId w:val="3"/>
  </w:num>
  <w:num w:numId="12">
    <w:abstractNumId w:val="17"/>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7"/>
  </w:num>
  <w:num w:numId="14">
    <w:abstractNumId w:val="12"/>
  </w:num>
  <w:num w:numId="15">
    <w:abstractNumId w:val="5"/>
  </w:num>
  <w:num w:numId="16">
    <w:abstractNumId w:val="4"/>
  </w:num>
  <w:num w:numId="17">
    <w:abstractNumId w:val="0"/>
  </w:num>
  <w:num w:numId="18">
    <w:abstractNumId w:val="8"/>
  </w:num>
  <w:num w:numId="19">
    <w:abstractNumId w:val="6"/>
  </w:num>
  <w:num w:numId="20">
    <w:abstractNumId w:val="16"/>
  </w:num>
  <w:num w:numId="21">
    <w:abstractNumId w:val="15"/>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2F"/>
    <w:rsid w:val="000024CD"/>
    <w:rsid w:val="00002990"/>
    <w:rsid w:val="00002C14"/>
    <w:rsid w:val="000048AC"/>
    <w:rsid w:val="0000713D"/>
    <w:rsid w:val="00007D1F"/>
    <w:rsid w:val="00012943"/>
    <w:rsid w:val="00013678"/>
    <w:rsid w:val="000140BF"/>
    <w:rsid w:val="00014FC4"/>
    <w:rsid w:val="00015E16"/>
    <w:rsid w:val="00020AAB"/>
    <w:rsid w:val="000223A4"/>
    <w:rsid w:val="00022E60"/>
    <w:rsid w:val="00024960"/>
    <w:rsid w:val="00026C19"/>
    <w:rsid w:val="0002753E"/>
    <w:rsid w:val="00031263"/>
    <w:rsid w:val="00035CBB"/>
    <w:rsid w:val="000368BD"/>
    <w:rsid w:val="00037350"/>
    <w:rsid w:val="00037406"/>
    <w:rsid w:val="00042180"/>
    <w:rsid w:val="00042371"/>
    <w:rsid w:val="00043C76"/>
    <w:rsid w:val="000518FC"/>
    <w:rsid w:val="0005587D"/>
    <w:rsid w:val="00060E93"/>
    <w:rsid w:val="00064936"/>
    <w:rsid w:val="00073486"/>
    <w:rsid w:val="000734F8"/>
    <w:rsid w:val="000736B8"/>
    <w:rsid w:val="0007404C"/>
    <w:rsid w:val="000758B0"/>
    <w:rsid w:val="000817CB"/>
    <w:rsid w:val="000873EF"/>
    <w:rsid w:val="00091F17"/>
    <w:rsid w:val="00091F30"/>
    <w:rsid w:val="000A12D5"/>
    <w:rsid w:val="000B1380"/>
    <w:rsid w:val="000B1B83"/>
    <w:rsid w:val="000B273A"/>
    <w:rsid w:val="000B3792"/>
    <w:rsid w:val="000B5E6C"/>
    <w:rsid w:val="000B78B9"/>
    <w:rsid w:val="000C2594"/>
    <w:rsid w:val="000C27C1"/>
    <w:rsid w:val="000C51BD"/>
    <w:rsid w:val="000C58C1"/>
    <w:rsid w:val="000C59D1"/>
    <w:rsid w:val="000C6242"/>
    <w:rsid w:val="000C68DB"/>
    <w:rsid w:val="000D0562"/>
    <w:rsid w:val="000D1962"/>
    <w:rsid w:val="000D2C32"/>
    <w:rsid w:val="000D2D7F"/>
    <w:rsid w:val="000D5750"/>
    <w:rsid w:val="000E3EDE"/>
    <w:rsid w:val="000E6964"/>
    <w:rsid w:val="000E6F72"/>
    <w:rsid w:val="000E7BFA"/>
    <w:rsid w:val="000F0478"/>
    <w:rsid w:val="000F0A50"/>
    <w:rsid w:val="000F25C8"/>
    <w:rsid w:val="000F6399"/>
    <w:rsid w:val="00101C34"/>
    <w:rsid w:val="00103D5E"/>
    <w:rsid w:val="00104EA7"/>
    <w:rsid w:val="00105FAD"/>
    <w:rsid w:val="0011155B"/>
    <w:rsid w:val="00111A4A"/>
    <w:rsid w:val="00111A6A"/>
    <w:rsid w:val="001131D6"/>
    <w:rsid w:val="00114ADA"/>
    <w:rsid w:val="00121BF1"/>
    <w:rsid w:val="00122985"/>
    <w:rsid w:val="00122DDC"/>
    <w:rsid w:val="00125B59"/>
    <w:rsid w:val="001270A5"/>
    <w:rsid w:val="00127A8B"/>
    <w:rsid w:val="00134BE5"/>
    <w:rsid w:val="00140BA7"/>
    <w:rsid w:val="001412D1"/>
    <w:rsid w:val="001423E3"/>
    <w:rsid w:val="001475EA"/>
    <w:rsid w:val="00147EE4"/>
    <w:rsid w:val="001504F5"/>
    <w:rsid w:val="001505D5"/>
    <w:rsid w:val="001517A3"/>
    <w:rsid w:val="001517BD"/>
    <w:rsid w:val="00155109"/>
    <w:rsid w:val="001625D1"/>
    <w:rsid w:val="0016626C"/>
    <w:rsid w:val="0017248D"/>
    <w:rsid w:val="00173626"/>
    <w:rsid w:val="00173A34"/>
    <w:rsid w:val="0017614A"/>
    <w:rsid w:val="00180D0C"/>
    <w:rsid w:val="0018177B"/>
    <w:rsid w:val="001817CD"/>
    <w:rsid w:val="0018235E"/>
    <w:rsid w:val="001855A8"/>
    <w:rsid w:val="0018768C"/>
    <w:rsid w:val="001914FA"/>
    <w:rsid w:val="00192BA0"/>
    <w:rsid w:val="00197303"/>
    <w:rsid w:val="00197EFA"/>
    <w:rsid w:val="001A17EA"/>
    <w:rsid w:val="001A1D17"/>
    <w:rsid w:val="001A22AA"/>
    <w:rsid w:val="001A2CB0"/>
    <w:rsid w:val="001A49A6"/>
    <w:rsid w:val="001A55D6"/>
    <w:rsid w:val="001A7A18"/>
    <w:rsid w:val="001B13CA"/>
    <w:rsid w:val="001B1565"/>
    <w:rsid w:val="001B166D"/>
    <w:rsid w:val="001B28B5"/>
    <w:rsid w:val="001B2975"/>
    <w:rsid w:val="001B35EA"/>
    <w:rsid w:val="001B5E16"/>
    <w:rsid w:val="001B6398"/>
    <w:rsid w:val="001B6636"/>
    <w:rsid w:val="001B7DB6"/>
    <w:rsid w:val="001C08A9"/>
    <w:rsid w:val="001C0E31"/>
    <w:rsid w:val="001C122D"/>
    <w:rsid w:val="001C17CA"/>
    <w:rsid w:val="001C3E2E"/>
    <w:rsid w:val="001C5DD7"/>
    <w:rsid w:val="001D2A2D"/>
    <w:rsid w:val="001D2A82"/>
    <w:rsid w:val="001D569B"/>
    <w:rsid w:val="001E0EA3"/>
    <w:rsid w:val="001E4995"/>
    <w:rsid w:val="001E7A42"/>
    <w:rsid w:val="001F061B"/>
    <w:rsid w:val="001F09DC"/>
    <w:rsid w:val="001F1176"/>
    <w:rsid w:val="001F32D3"/>
    <w:rsid w:val="001F43E6"/>
    <w:rsid w:val="002101E2"/>
    <w:rsid w:val="002129CD"/>
    <w:rsid w:val="00213772"/>
    <w:rsid w:val="00215AED"/>
    <w:rsid w:val="00215D68"/>
    <w:rsid w:val="002161E0"/>
    <w:rsid w:val="0021794B"/>
    <w:rsid w:val="00217C13"/>
    <w:rsid w:val="00220749"/>
    <w:rsid w:val="00224031"/>
    <w:rsid w:val="0022422C"/>
    <w:rsid w:val="00224BBD"/>
    <w:rsid w:val="0022724E"/>
    <w:rsid w:val="00230666"/>
    <w:rsid w:val="00230AD8"/>
    <w:rsid w:val="00231153"/>
    <w:rsid w:val="0023252E"/>
    <w:rsid w:val="002326CD"/>
    <w:rsid w:val="00240647"/>
    <w:rsid w:val="00241C31"/>
    <w:rsid w:val="00242551"/>
    <w:rsid w:val="002426DF"/>
    <w:rsid w:val="002430EB"/>
    <w:rsid w:val="0024451B"/>
    <w:rsid w:val="002447FF"/>
    <w:rsid w:val="00246AB1"/>
    <w:rsid w:val="00247857"/>
    <w:rsid w:val="00250D70"/>
    <w:rsid w:val="00256E7C"/>
    <w:rsid w:val="0026193D"/>
    <w:rsid w:val="002619D9"/>
    <w:rsid w:val="002645BC"/>
    <w:rsid w:val="00264D6B"/>
    <w:rsid w:val="002659E3"/>
    <w:rsid w:val="002679D5"/>
    <w:rsid w:val="00270DC8"/>
    <w:rsid w:val="002714FD"/>
    <w:rsid w:val="00275F94"/>
    <w:rsid w:val="00281B9C"/>
    <w:rsid w:val="00284C9B"/>
    <w:rsid w:val="002906E9"/>
    <w:rsid w:val="00290F83"/>
    <w:rsid w:val="00292635"/>
    <w:rsid w:val="00295285"/>
    <w:rsid w:val="002974CD"/>
    <w:rsid w:val="002A03AB"/>
    <w:rsid w:val="002A0DBB"/>
    <w:rsid w:val="002A141B"/>
    <w:rsid w:val="002A26B6"/>
    <w:rsid w:val="002A3423"/>
    <w:rsid w:val="002A6A4E"/>
    <w:rsid w:val="002B06F4"/>
    <w:rsid w:val="002B124B"/>
    <w:rsid w:val="002B1C8F"/>
    <w:rsid w:val="002B2622"/>
    <w:rsid w:val="002B271E"/>
    <w:rsid w:val="002B34CA"/>
    <w:rsid w:val="002B55C8"/>
    <w:rsid w:val="002B5A85"/>
    <w:rsid w:val="002B63A7"/>
    <w:rsid w:val="002C22E6"/>
    <w:rsid w:val="002C2583"/>
    <w:rsid w:val="002C3BBB"/>
    <w:rsid w:val="002C42BA"/>
    <w:rsid w:val="002C5543"/>
    <w:rsid w:val="002C58F9"/>
    <w:rsid w:val="002D0F7F"/>
    <w:rsid w:val="002D2D7E"/>
    <w:rsid w:val="002D3BC7"/>
    <w:rsid w:val="002D5F9D"/>
    <w:rsid w:val="002E0198"/>
    <w:rsid w:val="002E1D7C"/>
    <w:rsid w:val="002E2ABA"/>
    <w:rsid w:val="002E4125"/>
    <w:rsid w:val="002E4A35"/>
    <w:rsid w:val="002E6159"/>
    <w:rsid w:val="002F1DDC"/>
    <w:rsid w:val="002F1F5B"/>
    <w:rsid w:val="002F449B"/>
    <w:rsid w:val="002F4D86"/>
    <w:rsid w:val="002F5D69"/>
    <w:rsid w:val="002F66D4"/>
    <w:rsid w:val="002F696F"/>
    <w:rsid w:val="002F7C77"/>
    <w:rsid w:val="00300C38"/>
    <w:rsid w:val="00300CB3"/>
    <w:rsid w:val="003023EA"/>
    <w:rsid w:val="0030394B"/>
    <w:rsid w:val="003039F9"/>
    <w:rsid w:val="00304110"/>
    <w:rsid w:val="00305446"/>
    <w:rsid w:val="003072C6"/>
    <w:rsid w:val="00310D8E"/>
    <w:rsid w:val="0031189E"/>
    <w:rsid w:val="00315BBD"/>
    <w:rsid w:val="00316AB8"/>
    <w:rsid w:val="00317505"/>
    <w:rsid w:val="0031753A"/>
    <w:rsid w:val="003201DA"/>
    <w:rsid w:val="00320293"/>
    <w:rsid w:val="003206E6"/>
    <w:rsid w:val="00322CC2"/>
    <w:rsid w:val="00324D53"/>
    <w:rsid w:val="0032637B"/>
    <w:rsid w:val="003271DC"/>
    <w:rsid w:val="0032722F"/>
    <w:rsid w:val="00330F36"/>
    <w:rsid w:val="00334B54"/>
    <w:rsid w:val="00334EED"/>
    <w:rsid w:val="0033503B"/>
    <w:rsid w:val="0033739E"/>
    <w:rsid w:val="00340934"/>
    <w:rsid w:val="00342142"/>
    <w:rsid w:val="00343733"/>
    <w:rsid w:val="00346ABE"/>
    <w:rsid w:val="00354ED6"/>
    <w:rsid w:val="00355886"/>
    <w:rsid w:val="00356769"/>
    <w:rsid w:val="00356814"/>
    <w:rsid w:val="003638A8"/>
    <w:rsid w:val="0037100E"/>
    <w:rsid w:val="003741AD"/>
    <w:rsid w:val="0038019F"/>
    <w:rsid w:val="0038082D"/>
    <w:rsid w:val="00382071"/>
    <w:rsid w:val="003823AE"/>
    <w:rsid w:val="00382402"/>
    <w:rsid w:val="0038531C"/>
    <w:rsid w:val="00390D1F"/>
    <w:rsid w:val="003939FC"/>
    <w:rsid w:val="00395D23"/>
    <w:rsid w:val="003A2F25"/>
    <w:rsid w:val="003A2F6C"/>
    <w:rsid w:val="003A4300"/>
    <w:rsid w:val="003A6604"/>
    <w:rsid w:val="003B2807"/>
    <w:rsid w:val="003B4011"/>
    <w:rsid w:val="003C58CB"/>
    <w:rsid w:val="003C68F2"/>
    <w:rsid w:val="003D12C5"/>
    <w:rsid w:val="003D16DF"/>
    <w:rsid w:val="003D2333"/>
    <w:rsid w:val="003D491D"/>
    <w:rsid w:val="003D58B8"/>
    <w:rsid w:val="003D5CFB"/>
    <w:rsid w:val="003E11A1"/>
    <w:rsid w:val="003E1FB7"/>
    <w:rsid w:val="003E2636"/>
    <w:rsid w:val="003E2E12"/>
    <w:rsid w:val="003E574D"/>
    <w:rsid w:val="003E6357"/>
    <w:rsid w:val="003E7A1A"/>
    <w:rsid w:val="003F39CE"/>
    <w:rsid w:val="003F3C3C"/>
    <w:rsid w:val="00400BA3"/>
    <w:rsid w:val="00401108"/>
    <w:rsid w:val="004011AD"/>
    <w:rsid w:val="00402927"/>
    <w:rsid w:val="0040354F"/>
    <w:rsid w:val="004039F5"/>
    <w:rsid w:val="00406B0D"/>
    <w:rsid w:val="0040705F"/>
    <w:rsid w:val="00407993"/>
    <w:rsid w:val="00410AFD"/>
    <w:rsid w:val="00411833"/>
    <w:rsid w:val="00412F64"/>
    <w:rsid w:val="004149B4"/>
    <w:rsid w:val="00417BEB"/>
    <w:rsid w:val="00417CC6"/>
    <w:rsid w:val="004324FF"/>
    <w:rsid w:val="00432A55"/>
    <w:rsid w:val="00432D53"/>
    <w:rsid w:val="00434920"/>
    <w:rsid w:val="0043579D"/>
    <w:rsid w:val="004372B7"/>
    <w:rsid w:val="00440533"/>
    <w:rsid w:val="004416C7"/>
    <w:rsid w:val="004424B2"/>
    <w:rsid w:val="0044260A"/>
    <w:rsid w:val="00442939"/>
    <w:rsid w:val="00442A6C"/>
    <w:rsid w:val="00444B07"/>
    <w:rsid w:val="00444D82"/>
    <w:rsid w:val="00452768"/>
    <w:rsid w:val="00454418"/>
    <w:rsid w:val="004564C6"/>
    <w:rsid w:val="004603F2"/>
    <w:rsid w:val="004610CC"/>
    <w:rsid w:val="00461C14"/>
    <w:rsid w:val="004637FC"/>
    <w:rsid w:val="00465464"/>
    <w:rsid w:val="00465E87"/>
    <w:rsid w:val="00470105"/>
    <w:rsid w:val="00471EBE"/>
    <w:rsid w:val="00472A1D"/>
    <w:rsid w:val="0047786A"/>
    <w:rsid w:val="00477A65"/>
    <w:rsid w:val="00482DB3"/>
    <w:rsid w:val="00485D9E"/>
    <w:rsid w:val="00485F46"/>
    <w:rsid w:val="00495AA6"/>
    <w:rsid w:val="004A0236"/>
    <w:rsid w:val="004A369A"/>
    <w:rsid w:val="004A3B3E"/>
    <w:rsid w:val="004A6967"/>
    <w:rsid w:val="004A6F7B"/>
    <w:rsid w:val="004A7217"/>
    <w:rsid w:val="004B2729"/>
    <w:rsid w:val="004B65F7"/>
    <w:rsid w:val="004B67A5"/>
    <w:rsid w:val="004C07D1"/>
    <w:rsid w:val="004C1361"/>
    <w:rsid w:val="004C5777"/>
    <w:rsid w:val="004D0173"/>
    <w:rsid w:val="004D1056"/>
    <w:rsid w:val="004D2B7B"/>
    <w:rsid w:val="004D3577"/>
    <w:rsid w:val="004D6F07"/>
    <w:rsid w:val="004E1EDE"/>
    <w:rsid w:val="004E21E2"/>
    <w:rsid w:val="004E293F"/>
    <w:rsid w:val="004E3250"/>
    <w:rsid w:val="004E380D"/>
    <w:rsid w:val="004E6050"/>
    <w:rsid w:val="004E634F"/>
    <w:rsid w:val="004E7922"/>
    <w:rsid w:val="004F0DFC"/>
    <w:rsid w:val="004F3441"/>
    <w:rsid w:val="004F41B2"/>
    <w:rsid w:val="004F4AFC"/>
    <w:rsid w:val="004F52A5"/>
    <w:rsid w:val="00500C8C"/>
    <w:rsid w:val="00501375"/>
    <w:rsid w:val="00501D3B"/>
    <w:rsid w:val="005022C9"/>
    <w:rsid w:val="00502B8F"/>
    <w:rsid w:val="0050779D"/>
    <w:rsid w:val="0051182A"/>
    <w:rsid w:val="00511B7D"/>
    <w:rsid w:val="005139EA"/>
    <w:rsid w:val="00520BBB"/>
    <w:rsid w:val="00520C72"/>
    <w:rsid w:val="00521BAD"/>
    <w:rsid w:val="00524310"/>
    <w:rsid w:val="00525456"/>
    <w:rsid w:val="005257D4"/>
    <w:rsid w:val="00525F0E"/>
    <w:rsid w:val="00527634"/>
    <w:rsid w:val="00527A64"/>
    <w:rsid w:val="00530548"/>
    <w:rsid w:val="00531328"/>
    <w:rsid w:val="00532236"/>
    <w:rsid w:val="0053279D"/>
    <w:rsid w:val="005338EA"/>
    <w:rsid w:val="00535D29"/>
    <w:rsid w:val="00541DFE"/>
    <w:rsid w:val="00543E6C"/>
    <w:rsid w:val="00544184"/>
    <w:rsid w:val="00547A8B"/>
    <w:rsid w:val="00550740"/>
    <w:rsid w:val="00551789"/>
    <w:rsid w:val="00553F68"/>
    <w:rsid w:val="005552FD"/>
    <w:rsid w:val="005600E5"/>
    <w:rsid w:val="0056276B"/>
    <w:rsid w:val="00563AD9"/>
    <w:rsid w:val="00564B26"/>
    <w:rsid w:val="00564E8F"/>
    <w:rsid w:val="00565F69"/>
    <w:rsid w:val="00566080"/>
    <w:rsid w:val="00572089"/>
    <w:rsid w:val="005728A4"/>
    <w:rsid w:val="005729E2"/>
    <w:rsid w:val="00573F2C"/>
    <w:rsid w:val="00575097"/>
    <w:rsid w:val="005763FC"/>
    <w:rsid w:val="00576EB4"/>
    <w:rsid w:val="00576F81"/>
    <w:rsid w:val="00577B30"/>
    <w:rsid w:val="00577E70"/>
    <w:rsid w:val="005803ED"/>
    <w:rsid w:val="00582768"/>
    <w:rsid w:val="00583461"/>
    <w:rsid w:val="005856A4"/>
    <w:rsid w:val="00585C87"/>
    <w:rsid w:val="00587164"/>
    <w:rsid w:val="00590730"/>
    <w:rsid w:val="00592609"/>
    <w:rsid w:val="00595F91"/>
    <w:rsid w:val="005A3051"/>
    <w:rsid w:val="005A53FE"/>
    <w:rsid w:val="005A74C7"/>
    <w:rsid w:val="005B7D22"/>
    <w:rsid w:val="005C029E"/>
    <w:rsid w:val="005C5592"/>
    <w:rsid w:val="005C5E06"/>
    <w:rsid w:val="005D1823"/>
    <w:rsid w:val="005D2879"/>
    <w:rsid w:val="005D2EED"/>
    <w:rsid w:val="005D4D7C"/>
    <w:rsid w:val="005E085D"/>
    <w:rsid w:val="005E1C92"/>
    <w:rsid w:val="005E3DFD"/>
    <w:rsid w:val="005E3FA7"/>
    <w:rsid w:val="005E794E"/>
    <w:rsid w:val="005E7963"/>
    <w:rsid w:val="005F218C"/>
    <w:rsid w:val="005F4523"/>
    <w:rsid w:val="005F692A"/>
    <w:rsid w:val="005F6D5C"/>
    <w:rsid w:val="00600FCE"/>
    <w:rsid w:val="00601460"/>
    <w:rsid w:val="00601C26"/>
    <w:rsid w:val="00601D4D"/>
    <w:rsid w:val="006021B4"/>
    <w:rsid w:val="00604B8A"/>
    <w:rsid w:val="00605B5B"/>
    <w:rsid w:val="006062D8"/>
    <w:rsid w:val="00606827"/>
    <w:rsid w:val="006160EE"/>
    <w:rsid w:val="00616F25"/>
    <w:rsid w:val="00620262"/>
    <w:rsid w:val="00621361"/>
    <w:rsid w:val="00621B4C"/>
    <w:rsid w:val="0062265D"/>
    <w:rsid w:val="0062357D"/>
    <w:rsid w:val="00627501"/>
    <w:rsid w:val="00627C52"/>
    <w:rsid w:val="00630937"/>
    <w:rsid w:val="00634974"/>
    <w:rsid w:val="006433E1"/>
    <w:rsid w:val="00644842"/>
    <w:rsid w:val="00645985"/>
    <w:rsid w:val="00653B84"/>
    <w:rsid w:val="00653E0D"/>
    <w:rsid w:val="00657DB5"/>
    <w:rsid w:val="006602B6"/>
    <w:rsid w:val="00660CED"/>
    <w:rsid w:val="0066110D"/>
    <w:rsid w:val="006616E5"/>
    <w:rsid w:val="006627F7"/>
    <w:rsid w:val="00667AD7"/>
    <w:rsid w:val="00674448"/>
    <w:rsid w:val="006805A4"/>
    <w:rsid w:val="006807F6"/>
    <w:rsid w:val="00681EC2"/>
    <w:rsid w:val="00681F9C"/>
    <w:rsid w:val="00685366"/>
    <w:rsid w:val="006865C8"/>
    <w:rsid w:val="00686B48"/>
    <w:rsid w:val="00687038"/>
    <w:rsid w:val="0068714E"/>
    <w:rsid w:val="006872F5"/>
    <w:rsid w:val="0069161A"/>
    <w:rsid w:val="0069182A"/>
    <w:rsid w:val="00691F41"/>
    <w:rsid w:val="006929F7"/>
    <w:rsid w:val="0069374A"/>
    <w:rsid w:val="00694AB8"/>
    <w:rsid w:val="00695EF7"/>
    <w:rsid w:val="0069699D"/>
    <w:rsid w:val="006A2DB2"/>
    <w:rsid w:val="006A445E"/>
    <w:rsid w:val="006A673F"/>
    <w:rsid w:val="006A7445"/>
    <w:rsid w:val="006B03C3"/>
    <w:rsid w:val="006B21C0"/>
    <w:rsid w:val="006B2C51"/>
    <w:rsid w:val="006B6361"/>
    <w:rsid w:val="006C5977"/>
    <w:rsid w:val="006D07D6"/>
    <w:rsid w:val="006D24CE"/>
    <w:rsid w:val="006D2AD0"/>
    <w:rsid w:val="006D360C"/>
    <w:rsid w:val="006D5AC9"/>
    <w:rsid w:val="006D66ED"/>
    <w:rsid w:val="006E5DBA"/>
    <w:rsid w:val="006E786B"/>
    <w:rsid w:val="006E7C59"/>
    <w:rsid w:val="006F1EF7"/>
    <w:rsid w:val="006F3CF2"/>
    <w:rsid w:val="006F3E0E"/>
    <w:rsid w:val="007002B1"/>
    <w:rsid w:val="0070031A"/>
    <w:rsid w:val="00702F29"/>
    <w:rsid w:val="00704EB7"/>
    <w:rsid w:val="00705742"/>
    <w:rsid w:val="007104FE"/>
    <w:rsid w:val="00711B0C"/>
    <w:rsid w:val="007121A2"/>
    <w:rsid w:val="00713981"/>
    <w:rsid w:val="00716968"/>
    <w:rsid w:val="007176D6"/>
    <w:rsid w:val="00721AD7"/>
    <w:rsid w:val="007258E7"/>
    <w:rsid w:val="00727D54"/>
    <w:rsid w:val="00730644"/>
    <w:rsid w:val="0073083A"/>
    <w:rsid w:val="00730A79"/>
    <w:rsid w:val="00731EF2"/>
    <w:rsid w:val="00731EF4"/>
    <w:rsid w:val="00733869"/>
    <w:rsid w:val="007344C5"/>
    <w:rsid w:val="00734959"/>
    <w:rsid w:val="00735137"/>
    <w:rsid w:val="0073520D"/>
    <w:rsid w:val="00735CF5"/>
    <w:rsid w:val="00737923"/>
    <w:rsid w:val="007400BC"/>
    <w:rsid w:val="007443E8"/>
    <w:rsid w:val="00744DB1"/>
    <w:rsid w:val="00747AA3"/>
    <w:rsid w:val="00766A17"/>
    <w:rsid w:val="007722AD"/>
    <w:rsid w:val="00775502"/>
    <w:rsid w:val="00776111"/>
    <w:rsid w:val="00780226"/>
    <w:rsid w:val="00780D17"/>
    <w:rsid w:val="00781A05"/>
    <w:rsid w:val="00781AB4"/>
    <w:rsid w:val="00782117"/>
    <w:rsid w:val="00787751"/>
    <w:rsid w:val="007910BF"/>
    <w:rsid w:val="007923B7"/>
    <w:rsid w:val="00792616"/>
    <w:rsid w:val="007926BB"/>
    <w:rsid w:val="0079344C"/>
    <w:rsid w:val="00795D5E"/>
    <w:rsid w:val="007968AE"/>
    <w:rsid w:val="00796CDC"/>
    <w:rsid w:val="00797416"/>
    <w:rsid w:val="00797C96"/>
    <w:rsid w:val="007A0283"/>
    <w:rsid w:val="007A26FA"/>
    <w:rsid w:val="007A3279"/>
    <w:rsid w:val="007A3566"/>
    <w:rsid w:val="007A3BBD"/>
    <w:rsid w:val="007A6BE8"/>
    <w:rsid w:val="007B2B6C"/>
    <w:rsid w:val="007B68AF"/>
    <w:rsid w:val="007B7846"/>
    <w:rsid w:val="007C02C7"/>
    <w:rsid w:val="007C184A"/>
    <w:rsid w:val="007C21EE"/>
    <w:rsid w:val="007C3371"/>
    <w:rsid w:val="007C41EF"/>
    <w:rsid w:val="007D0C4D"/>
    <w:rsid w:val="007D3A2E"/>
    <w:rsid w:val="007D6652"/>
    <w:rsid w:val="007D6AC6"/>
    <w:rsid w:val="007E0020"/>
    <w:rsid w:val="007E343D"/>
    <w:rsid w:val="007E3B04"/>
    <w:rsid w:val="007E61CA"/>
    <w:rsid w:val="007E66FC"/>
    <w:rsid w:val="007F330B"/>
    <w:rsid w:val="007F4383"/>
    <w:rsid w:val="007F5858"/>
    <w:rsid w:val="007F6862"/>
    <w:rsid w:val="00801601"/>
    <w:rsid w:val="0080169A"/>
    <w:rsid w:val="00801951"/>
    <w:rsid w:val="00801FE9"/>
    <w:rsid w:val="008036A7"/>
    <w:rsid w:val="00804D50"/>
    <w:rsid w:val="00810991"/>
    <w:rsid w:val="00811FF0"/>
    <w:rsid w:val="008127AF"/>
    <w:rsid w:val="00814A9B"/>
    <w:rsid w:val="00814F66"/>
    <w:rsid w:val="00817C9E"/>
    <w:rsid w:val="008205AF"/>
    <w:rsid w:val="008225E5"/>
    <w:rsid w:val="008243C4"/>
    <w:rsid w:val="00826215"/>
    <w:rsid w:val="00831053"/>
    <w:rsid w:val="008314D2"/>
    <w:rsid w:val="008324A7"/>
    <w:rsid w:val="0083254D"/>
    <w:rsid w:val="00836249"/>
    <w:rsid w:val="0083689C"/>
    <w:rsid w:val="00836F00"/>
    <w:rsid w:val="00843F3D"/>
    <w:rsid w:val="00846192"/>
    <w:rsid w:val="0084768A"/>
    <w:rsid w:val="00850806"/>
    <w:rsid w:val="00854669"/>
    <w:rsid w:val="008553C8"/>
    <w:rsid w:val="0085615D"/>
    <w:rsid w:val="00856A1B"/>
    <w:rsid w:val="008621C3"/>
    <w:rsid w:val="00864ACF"/>
    <w:rsid w:val="00865486"/>
    <w:rsid w:val="008669BE"/>
    <w:rsid w:val="00871606"/>
    <w:rsid w:val="00872E5E"/>
    <w:rsid w:val="00876275"/>
    <w:rsid w:val="00881B41"/>
    <w:rsid w:val="00882B30"/>
    <w:rsid w:val="00882B99"/>
    <w:rsid w:val="00886121"/>
    <w:rsid w:val="00886313"/>
    <w:rsid w:val="00887489"/>
    <w:rsid w:val="00894371"/>
    <w:rsid w:val="00895518"/>
    <w:rsid w:val="00895865"/>
    <w:rsid w:val="008A295B"/>
    <w:rsid w:val="008A390A"/>
    <w:rsid w:val="008A5B97"/>
    <w:rsid w:val="008A6604"/>
    <w:rsid w:val="008B1C73"/>
    <w:rsid w:val="008B38B6"/>
    <w:rsid w:val="008B48B1"/>
    <w:rsid w:val="008B5482"/>
    <w:rsid w:val="008B7009"/>
    <w:rsid w:val="008C11F4"/>
    <w:rsid w:val="008C2BEC"/>
    <w:rsid w:val="008C33D6"/>
    <w:rsid w:val="008C616E"/>
    <w:rsid w:val="008C6523"/>
    <w:rsid w:val="008C6D0E"/>
    <w:rsid w:val="008D09D2"/>
    <w:rsid w:val="008D1DFC"/>
    <w:rsid w:val="008D39C5"/>
    <w:rsid w:val="008E0D26"/>
    <w:rsid w:val="008E1D89"/>
    <w:rsid w:val="008E3E3E"/>
    <w:rsid w:val="008E4508"/>
    <w:rsid w:val="008E5250"/>
    <w:rsid w:val="008F1474"/>
    <w:rsid w:val="008F234A"/>
    <w:rsid w:val="008F299D"/>
    <w:rsid w:val="008F5F87"/>
    <w:rsid w:val="00900A34"/>
    <w:rsid w:val="00900E2F"/>
    <w:rsid w:val="00906132"/>
    <w:rsid w:val="00907073"/>
    <w:rsid w:val="0090748D"/>
    <w:rsid w:val="00911976"/>
    <w:rsid w:val="00912929"/>
    <w:rsid w:val="009146FB"/>
    <w:rsid w:val="0091717F"/>
    <w:rsid w:val="009208F5"/>
    <w:rsid w:val="0092109A"/>
    <w:rsid w:val="00927D51"/>
    <w:rsid w:val="009303F7"/>
    <w:rsid w:val="00932272"/>
    <w:rsid w:val="00932862"/>
    <w:rsid w:val="0093554C"/>
    <w:rsid w:val="00935BC3"/>
    <w:rsid w:val="00935D60"/>
    <w:rsid w:val="00943E7A"/>
    <w:rsid w:val="009447BB"/>
    <w:rsid w:val="00944C48"/>
    <w:rsid w:val="00945670"/>
    <w:rsid w:val="00946335"/>
    <w:rsid w:val="009464C5"/>
    <w:rsid w:val="009513C4"/>
    <w:rsid w:val="00952D29"/>
    <w:rsid w:val="00955E55"/>
    <w:rsid w:val="00962200"/>
    <w:rsid w:val="00962D9A"/>
    <w:rsid w:val="009636D8"/>
    <w:rsid w:val="00963855"/>
    <w:rsid w:val="0096422D"/>
    <w:rsid w:val="009642AD"/>
    <w:rsid w:val="00965B6F"/>
    <w:rsid w:val="009665B7"/>
    <w:rsid w:val="00966F54"/>
    <w:rsid w:val="00973242"/>
    <w:rsid w:val="0097532A"/>
    <w:rsid w:val="00975E61"/>
    <w:rsid w:val="00976E31"/>
    <w:rsid w:val="0097739C"/>
    <w:rsid w:val="00977C63"/>
    <w:rsid w:val="00980087"/>
    <w:rsid w:val="00980C0B"/>
    <w:rsid w:val="009849F9"/>
    <w:rsid w:val="0098524F"/>
    <w:rsid w:val="0098658A"/>
    <w:rsid w:val="009874C2"/>
    <w:rsid w:val="00987ABE"/>
    <w:rsid w:val="009906C7"/>
    <w:rsid w:val="00991AE9"/>
    <w:rsid w:val="00993B77"/>
    <w:rsid w:val="009963CD"/>
    <w:rsid w:val="00997FFE"/>
    <w:rsid w:val="009A2D55"/>
    <w:rsid w:val="009A3F63"/>
    <w:rsid w:val="009B0A8B"/>
    <w:rsid w:val="009B266D"/>
    <w:rsid w:val="009B3AB9"/>
    <w:rsid w:val="009B5CBF"/>
    <w:rsid w:val="009B6FFA"/>
    <w:rsid w:val="009B7411"/>
    <w:rsid w:val="009C184A"/>
    <w:rsid w:val="009C2CA5"/>
    <w:rsid w:val="009C3BD1"/>
    <w:rsid w:val="009D0487"/>
    <w:rsid w:val="009D0CDA"/>
    <w:rsid w:val="009D3E45"/>
    <w:rsid w:val="009D4788"/>
    <w:rsid w:val="009E5612"/>
    <w:rsid w:val="009E5A41"/>
    <w:rsid w:val="009E7424"/>
    <w:rsid w:val="009E7876"/>
    <w:rsid w:val="009E7B87"/>
    <w:rsid w:val="009F080B"/>
    <w:rsid w:val="009F351F"/>
    <w:rsid w:val="009F3F89"/>
    <w:rsid w:val="009F480E"/>
    <w:rsid w:val="00A022A2"/>
    <w:rsid w:val="00A02D15"/>
    <w:rsid w:val="00A062B1"/>
    <w:rsid w:val="00A11403"/>
    <w:rsid w:val="00A14773"/>
    <w:rsid w:val="00A15E86"/>
    <w:rsid w:val="00A229C1"/>
    <w:rsid w:val="00A26B0D"/>
    <w:rsid w:val="00A32534"/>
    <w:rsid w:val="00A34527"/>
    <w:rsid w:val="00A35812"/>
    <w:rsid w:val="00A3735A"/>
    <w:rsid w:val="00A41303"/>
    <w:rsid w:val="00A41583"/>
    <w:rsid w:val="00A41FD9"/>
    <w:rsid w:val="00A42F1B"/>
    <w:rsid w:val="00A44EBE"/>
    <w:rsid w:val="00A5038B"/>
    <w:rsid w:val="00A510C8"/>
    <w:rsid w:val="00A546BC"/>
    <w:rsid w:val="00A55989"/>
    <w:rsid w:val="00A5694A"/>
    <w:rsid w:val="00A60B51"/>
    <w:rsid w:val="00A62FB6"/>
    <w:rsid w:val="00A63DA4"/>
    <w:rsid w:val="00A6633A"/>
    <w:rsid w:val="00A710B8"/>
    <w:rsid w:val="00A74108"/>
    <w:rsid w:val="00A74495"/>
    <w:rsid w:val="00A752BE"/>
    <w:rsid w:val="00A75CD5"/>
    <w:rsid w:val="00A75FBF"/>
    <w:rsid w:val="00A7630E"/>
    <w:rsid w:val="00A763D5"/>
    <w:rsid w:val="00A76974"/>
    <w:rsid w:val="00A7790B"/>
    <w:rsid w:val="00A808C0"/>
    <w:rsid w:val="00A830CC"/>
    <w:rsid w:val="00A83DF3"/>
    <w:rsid w:val="00A85915"/>
    <w:rsid w:val="00A86270"/>
    <w:rsid w:val="00A911E9"/>
    <w:rsid w:val="00A94517"/>
    <w:rsid w:val="00A952AB"/>
    <w:rsid w:val="00A974F0"/>
    <w:rsid w:val="00A9783D"/>
    <w:rsid w:val="00A97EE6"/>
    <w:rsid w:val="00AA2D35"/>
    <w:rsid w:val="00AA45E6"/>
    <w:rsid w:val="00AA5A37"/>
    <w:rsid w:val="00AB489C"/>
    <w:rsid w:val="00AB50C1"/>
    <w:rsid w:val="00AB6936"/>
    <w:rsid w:val="00AC0C3B"/>
    <w:rsid w:val="00AC2B20"/>
    <w:rsid w:val="00AC2D63"/>
    <w:rsid w:val="00AC5983"/>
    <w:rsid w:val="00AC5EE6"/>
    <w:rsid w:val="00AC6CE4"/>
    <w:rsid w:val="00AD00BB"/>
    <w:rsid w:val="00AD03D8"/>
    <w:rsid w:val="00AD0711"/>
    <w:rsid w:val="00AD2FB2"/>
    <w:rsid w:val="00AD704E"/>
    <w:rsid w:val="00AD7226"/>
    <w:rsid w:val="00AD7AE6"/>
    <w:rsid w:val="00AE2976"/>
    <w:rsid w:val="00AE5FE0"/>
    <w:rsid w:val="00AE60B7"/>
    <w:rsid w:val="00AE649B"/>
    <w:rsid w:val="00AE73AC"/>
    <w:rsid w:val="00AF2AB7"/>
    <w:rsid w:val="00AF2B1C"/>
    <w:rsid w:val="00AF4D3F"/>
    <w:rsid w:val="00AF4FE5"/>
    <w:rsid w:val="00AF5978"/>
    <w:rsid w:val="00AF6031"/>
    <w:rsid w:val="00B0078A"/>
    <w:rsid w:val="00B00D9E"/>
    <w:rsid w:val="00B02352"/>
    <w:rsid w:val="00B0300B"/>
    <w:rsid w:val="00B04468"/>
    <w:rsid w:val="00B05159"/>
    <w:rsid w:val="00B05457"/>
    <w:rsid w:val="00B057F5"/>
    <w:rsid w:val="00B05AA2"/>
    <w:rsid w:val="00B10197"/>
    <w:rsid w:val="00B121C8"/>
    <w:rsid w:val="00B128A0"/>
    <w:rsid w:val="00B1331D"/>
    <w:rsid w:val="00B15D5E"/>
    <w:rsid w:val="00B15D79"/>
    <w:rsid w:val="00B1605B"/>
    <w:rsid w:val="00B20240"/>
    <w:rsid w:val="00B23281"/>
    <w:rsid w:val="00B27571"/>
    <w:rsid w:val="00B40AC4"/>
    <w:rsid w:val="00B4164B"/>
    <w:rsid w:val="00B454D1"/>
    <w:rsid w:val="00B518C8"/>
    <w:rsid w:val="00B5409A"/>
    <w:rsid w:val="00B55574"/>
    <w:rsid w:val="00B57501"/>
    <w:rsid w:val="00B5757E"/>
    <w:rsid w:val="00B6525D"/>
    <w:rsid w:val="00B65ABA"/>
    <w:rsid w:val="00B67097"/>
    <w:rsid w:val="00B6790F"/>
    <w:rsid w:val="00B71B3B"/>
    <w:rsid w:val="00B77850"/>
    <w:rsid w:val="00B77B1D"/>
    <w:rsid w:val="00B808C4"/>
    <w:rsid w:val="00B82142"/>
    <w:rsid w:val="00B840B0"/>
    <w:rsid w:val="00B853DB"/>
    <w:rsid w:val="00B857CA"/>
    <w:rsid w:val="00B86295"/>
    <w:rsid w:val="00B87D61"/>
    <w:rsid w:val="00B93948"/>
    <w:rsid w:val="00BA17F1"/>
    <w:rsid w:val="00BA4BC7"/>
    <w:rsid w:val="00BA55B7"/>
    <w:rsid w:val="00BA5E47"/>
    <w:rsid w:val="00BA7D57"/>
    <w:rsid w:val="00BA7E79"/>
    <w:rsid w:val="00BB156E"/>
    <w:rsid w:val="00BB3330"/>
    <w:rsid w:val="00BB47D7"/>
    <w:rsid w:val="00BB4A62"/>
    <w:rsid w:val="00BB72CE"/>
    <w:rsid w:val="00BC01C1"/>
    <w:rsid w:val="00BC028E"/>
    <w:rsid w:val="00BC05C6"/>
    <w:rsid w:val="00BC42D4"/>
    <w:rsid w:val="00BC45A1"/>
    <w:rsid w:val="00BC5A34"/>
    <w:rsid w:val="00BD1590"/>
    <w:rsid w:val="00BD17F5"/>
    <w:rsid w:val="00BD5543"/>
    <w:rsid w:val="00BD5D5A"/>
    <w:rsid w:val="00BD6E05"/>
    <w:rsid w:val="00BE31B5"/>
    <w:rsid w:val="00BE3C3E"/>
    <w:rsid w:val="00BE519A"/>
    <w:rsid w:val="00BE54D0"/>
    <w:rsid w:val="00BE54D8"/>
    <w:rsid w:val="00BF12F7"/>
    <w:rsid w:val="00BF5212"/>
    <w:rsid w:val="00BF6B6C"/>
    <w:rsid w:val="00BF6D23"/>
    <w:rsid w:val="00BF7251"/>
    <w:rsid w:val="00BF7F28"/>
    <w:rsid w:val="00C01909"/>
    <w:rsid w:val="00C05787"/>
    <w:rsid w:val="00C11871"/>
    <w:rsid w:val="00C12D2F"/>
    <w:rsid w:val="00C13059"/>
    <w:rsid w:val="00C13785"/>
    <w:rsid w:val="00C14527"/>
    <w:rsid w:val="00C152C6"/>
    <w:rsid w:val="00C156D4"/>
    <w:rsid w:val="00C1591B"/>
    <w:rsid w:val="00C167A3"/>
    <w:rsid w:val="00C1778B"/>
    <w:rsid w:val="00C2062C"/>
    <w:rsid w:val="00C2181C"/>
    <w:rsid w:val="00C223A5"/>
    <w:rsid w:val="00C2297D"/>
    <w:rsid w:val="00C2657D"/>
    <w:rsid w:val="00C26A87"/>
    <w:rsid w:val="00C26A99"/>
    <w:rsid w:val="00C274D0"/>
    <w:rsid w:val="00C3745D"/>
    <w:rsid w:val="00C40BFD"/>
    <w:rsid w:val="00C416E1"/>
    <w:rsid w:val="00C45AFC"/>
    <w:rsid w:val="00C45F23"/>
    <w:rsid w:val="00C471F6"/>
    <w:rsid w:val="00C47BF8"/>
    <w:rsid w:val="00C500BC"/>
    <w:rsid w:val="00C51B1C"/>
    <w:rsid w:val="00C53DCE"/>
    <w:rsid w:val="00C655F2"/>
    <w:rsid w:val="00C65B4C"/>
    <w:rsid w:val="00C65B61"/>
    <w:rsid w:val="00C70E53"/>
    <w:rsid w:val="00C71C41"/>
    <w:rsid w:val="00C72979"/>
    <w:rsid w:val="00C73126"/>
    <w:rsid w:val="00C74528"/>
    <w:rsid w:val="00C74EB4"/>
    <w:rsid w:val="00C75883"/>
    <w:rsid w:val="00C76B8C"/>
    <w:rsid w:val="00C81529"/>
    <w:rsid w:val="00C81BA6"/>
    <w:rsid w:val="00C82ACA"/>
    <w:rsid w:val="00C8377C"/>
    <w:rsid w:val="00C85AA1"/>
    <w:rsid w:val="00C877CD"/>
    <w:rsid w:val="00C902E9"/>
    <w:rsid w:val="00C908B7"/>
    <w:rsid w:val="00C91D81"/>
    <w:rsid w:val="00C92A42"/>
    <w:rsid w:val="00C9384B"/>
    <w:rsid w:val="00C949A2"/>
    <w:rsid w:val="00C94B22"/>
    <w:rsid w:val="00C97D5E"/>
    <w:rsid w:val="00CA18F2"/>
    <w:rsid w:val="00CA4871"/>
    <w:rsid w:val="00CA6722"/>
    <w:rsid w:val="00CA6D4E"/>
    <w:rsid w:val="00CA7B4B"/>
    <w:rsid w:val="00CB1BAB"/>
    <w:rsid w:val="00CB1FFB"/>
    <w:rsid w:val="00CB36A8"/>
    <w:rsid w:val="00CB3997"/>
    <w:rsid w:val="00CB3AB5"/>
    <w:rsid w:val="00CB4FC7"/>
    <w:rsid w:val="00CC02DC"/>
    <w:rsid w:val="00CC0F15"/>
    <w:rsid w:val="00CC139A"/>
    <w:rsid w:val="00CC1E7A"/>
    <w:rsid w:val="00CC3398"/>
    <w:rsid w:val="00CC4AC8"/>
    <w:rsid w:val="00CC4F64"/>
    <w:rsid w:val="00CC5051"/>
    <w:rsid w:val="00CC7050"/>
    <w:rsid w:val="00CC7361"/>
    <w:rsid w:val="00CD058C"/>
    <w:rsid w:val="00CD3B98"/>
    <w:rsid w:val="00CD405D"/>
    <w:rsid w:val="00CD4216"/>
    <w:rsid w:val="00CD518C"/>
    <w:rsid w:val="00CD733F"/>
    <w:rsid w:val="00CD7C65"/>
    <w:rsid w:val="00CE0942"/>
    <w:rsid w:val="00CE17C7"/>
    <w:rsid w:val="00CE2276"/>
    <w:rsid w:val="00CE2DD6"/>
    <w:rsid w:val="00CE6326"/>
    <w:rsid w:val="00CE640F"/>
    <w:rsid w:val="00CE7745"/>
    <w:rsid w:val="00CE7CA5"/>
    <w:rsid w:val="00CF1539"/>
    <w:rsid w:val="00CF1D81"/>
    <w:rsid w:val="00CF1F92"/>
    <w:rsid w:val="00CF2DC9"/>
    <w:rsid w:val="00CF491C"/>
    <w:rsid w:val="00CF7CB6"/>
    <w:rsid w:val="00D03540"/>
    <w:rsid w:val="00D12167"/>
    <w:rsid w:val="00D137B0"/>
    <w:rsid w:val="00D15BB2"/>
    <w:rsid w:val="00D160BA"/>
    <w:rsid w:val="00D1643C"/>
    <w:rsid w:val="00D17321"/>
    <w:rsid w:val="00D1762D"/>
    <w:rsid w:val="00D20090"/>
    <w:rsid w:val="00D21D38"/>
    <w:rsid w:val="00D311AB"/>
    <w:rsid w:val="00D3143F"/>
    <w:rsid w:val="00D32290"/>
    <w:rsid w:val="00D325A8"/>
    <w:rsid w:val="00D34416"/>
    <w:rsid w:val="00D4007C"/>
    <w:rsid w:val="00D42D12"/>
    <w:rsid w:val="00D442AD"/>
    <w:rsid w:val="00D521A7"/>
    <w:rsid w:val="00D536BD"/>
    <w:rsid w:val="00D55041"/>
    <w:rsid w:val="00D5618A"/>
    <w:rsid w:val="00D5784B"/>
    <w:rsid w:val="00D63EFB"/>
    <w:rsid w:val="00D658AF"/>
    <w:rsid w:val="00D673AB"/>
    <w:rsid w:val="00D70289"/>
    <w:rsid w:val="00D70A79"/>
    <w:rsid w:val="00D7267F"/>
    <w:rsid w:val="00D77F0F"/>
    <w:rsid w:val="00D835AB"/>
    <w:rsid w:val="00D83DE9"/>
    <w:rsid w:val="00D8450D"/>
    <w:rsid w:val="00D9237A"/>
    <w:rsid w:val="00D95AF9"/>
    <w:rsid w:val="00D964A7"/>
    <w:rsid w:val="00D972E1"/>
    <w:rsid w:val="00DA09C9"/>
    <w:rsid w:val="00DA13E5"/>
    <w:rsid w:val="00DA1822"/>
    <w:rsid w:val="00DA2A7C"/>
    <w:rsid w:val="00DA470D"/>
    <w:rsid w:val="00DA79A4"/>
    <w:rsid w:val="00DB1AD1"/>
    <w:rsid w:val="00DB5147"/>
    <w:rsid w:val="00DB5E1F"/>
    <w:rsid w:val="00DB703B"/>
    <w:rsid w:val="00DB76D3"/>
    <w:rsid w:val="00DC097F"/>
    <w:rsid w:val="00DC19D8"/>
    <w:rsid w:val="00DC2613"/>
    <w:rsid w:val="00DC375A"/>
    <w:rsid w:val="00DC4512"/>
    <w:rsid w:val="00DC6466"/>
    <w:rsid w:val="00DC6646"/>
    <w:rsid w:val="00DD3691"/>
    <w:rsid w:val="00DD4B55"/>
    <w:rsid w:val="00DE1E90"/>
    <w:rsid w:val="00DE24E6"/>
    <w:rsid w:val="00DE2896"/>
    <w:rsid w:val="00DE44A8"/>
    <w:rsid w:val="00DE5064"/>
    <w:rsid w:val="00DE5C8A"/>
    <w:rsid w:val="00DE70CC"/>
    <w:rsid w:val="00DF07AD"/>
    <w:rsid w:val="00DF07C4"/>
    <w:rsid w:val="00DF3364"/>
    <w:rsid w:val="00DF4C50"/>
    <w:rsid w:val="00DF504C"/>
    <w:rsid w:val="00E00C53"/>
    <w:rsid w:val="00E03330"/>
    <w:rsid w:val="00E055BB"/>
    <w:rsid w:val="00E11988"/>
    <w:rsid w:val="00E1405C"/>
    <w:rsid w:val="00E1421F"/>
    <w:rsid w:val="00E1559E"/>
    <w:rsid w:val="00E15DA9"/>
    <w:rsid w:val="00E17427"/>
    <w:rsid w:val="00E2095D"/>
    <w:rsid w:val="00E245B3"/>
    <w:rsid w:val="00E26B5D"/>
    <w:rsid w:val="00E30414"/>
    <w:rsid w:val="00E30EF6"/>
    <w:rsid w:val="00E40769"/>
    <w:rsid w:val="00E42BB2"/>
    <w:rsid w:val="00E42BE4"/>
    <w:rsid w:val="00E42C90"/>
    <w:rsid w:val="00E42CDA"/>
    <w:rsid w:val="00E42E8B"/>
    <w:rsid w:val="00E430EF"/>
    <w:rsid w:val="00E45635"/>
    <w:rsid w:val="00E47DC1"/>
    <w:rsid w:val="00E57CEA"/>
    <w:rsid w:val="00E60F12"/>
    <w:rsid w:val="00E64BB7"/>
    <w:rsid w:val="00E652FB"/>
    <w:rsid w:val="00E6647B"/>
    <w:rsid w:val="00E66C20"/>
    <w:rsid w:val="00E71C46"/>
    <w:rsid w:val="00E731B7"/>
    <w:rsid w:val="00E75ED2"/>
    <w:rsid w:val="00E80B2E"/>
    <w:rsid w:val="00E8280C"/>
    <w:rsid w:val="00E83E4C"/>
    <w:rsid w:val="00E8487C"/>
    <w:rsid w:val="00E8662D"/>
    <w:rsid w:val="00E91933"/>
    <w:rsid w:val="00E92A81"/>
    <w:rsid w:val="00E95CCA"/>
    <w:rsid w:val="00E969B1"/>
    <w:rsid w:val="00EA1660"/>
    <w:rsid w:val="00EB2749"/>
    <w:rsid w:val="00EB2E19"/>
    <w:rsid w:val="00EB300B"/>
    <w:rsid w:val="00EB445A"/>
    <w:rsid w:val="00EB57C1"/>
    <w:rsid w:val="00EB6552"/>
    <w:rsid w:val="00EC18E6"/>
    <w:rsid w:val="00EC1984"/>
    <w:rsid w:val="00EC234C"/>
    <w:rsid w:val="00EC2AE9"/>
    <w:rsid w:val="00EC48B7"/>
    <w:rsid w:val="00EC70C1"/>
    <w:rsid w:val="00ED0093"/>
    <w:rsid w:val="00ED1828"/>
    <w:rsid w:val="00ED3529"/>
    <w:rsid w:val="00ED4362"/>
    <w:rsid w:val="00ED4D17"/>
    <w:rsid w:val="00ED7615"/>
    <w:rsid w:val="00EE3E2D"/>
    <w:rsid w:val="00EE47D5"/>
    <w:rsid w:val="00EE6CD3"/>
    <w:rsid w:val="00EF20D7"/>
    <w:rsid w:val="00EF3419"/>
    <w:rsid w:val="00EF5AD7"/>
    <w:rsid w:val="00EF76EE"/>
    <w:rsid w:val="00F00EED"/>
    <w:rsid w:val="00F0119C"/>
    <w:rsid w:val="00F01884"/>
    <w:rsid w:val="00F02BDB"/>
    <w:rsid w:val="00F03B78"/>
    <w:rsid w:val="00F0441B"/>
    <w:rsid w:val="00F06C0F"/>
    <w:rsid w:val="00F070E5"/>
    <w:rsid w:val="00F07623"/>
    <w:rsid w:val="00F07D0B"/>
    <w:rsid w:val="00F127C8"/>
    <w:rsid w:val="00F15688"/>
    <w:rsid w:val="00F2073E"/>
    <w:rsid w:val="00F21528"/>
    <w:rsid w:val="00F3092C"/>
    <w:rsid w:val="00F3136B"/>
    <w:rsid w:val="00F314F1"/>
    <w:rsid w:val="00F327EA"/>
    <w:rsid w:val="00F33641"/>
    <w:rsid w:val="00F33E3A"/>
    <w:rsid w:val="00F40A86"/>
    <w:rsid w:val="00F42842"/>
    <w:rsid w:val="00F43EE0"/>
    <w:rsid w:val="00F44DC1"/>
    <w:rsid w:val="00F45D08"/>
    <w:rsid w:val="00F46E40"/>
    <w:rsid w:val="00F4760A"/>
    <w:rsid w:val="00F52039"/>
    <w:rsid w:val="00F52631"/>
    <w:rsid w:val="00F529FE"/>
    <w:rsid w:val="00F52B8E"/>
    <w:rsid w:val="00F53CFD"/>
    <w:rsid w:val="00F54AF5"/>
    <w:rsid w:val="00F557E3"/>
    <w:rsid w:val="00F61A60"/>
    <w:rsid w:val="00F61E78"/>
    <w:rsid w:val="00F62353"/>
    <w:rsid w:val="00F635C5"/>
    <w:rsid w:val="00F648B1"/>
    <w:rsid w:val="00F736E3"/>
    <w:rsid w:val="00F767E8"/>
    <w:rsid w:val="00F807FF"/>
    <w:rsid w:val="00F8379D"/>
    <w:rsid w:val="00F8443A"/>
    <w:rsid w:val="00F86A3F"/>
    <w:rsid w:val="00F86C0E"/>
    <w:rsid w:val="00F91297"/>
    <w:rsid w:val="00F9133B"/>
    <w:rsid w:val="00F921F3"/>
    <w:rsid w:val="00F9302F"/>
    <w:rsid w:val="00F9359A"/>
    <w:rsid w:val="00F95057"/>
    <w:rsid w:val="00F97730"/>
    <w:rsid w:val="00F97F01"/>
    <w:rsid w:val="00FA1792"/>
    <w:rsid w:val="00FB32A4"/>
    <w:rsid w:val="00FB4A22"/>
    <w:rsid w:val="00FB4A8D"/>
    <w:rsid w:val="00FB594D"/>
    <w:rsid w:val="00FC49BB"/>
    <w:rsid w:val="00FC7718"/>
    <w:rsid w:val="00FD28D8"/>
    <w:rsid w:val="00FD4776"/>
    <w:rsid w:val="00FD47EC"/>
    <w:rsid w:val="00FD544D"/>
    <w:rsid w:val="00FD616B"/>
    <w:rsid w:val="00FE07C2"/>
    <w:rsid w:val="00FE10B9"/>
    <w:rsid w:val="00FE1D5D"/>
    <w:rsid w:val="00FE367F"/>
    <w:rsid w:val="00FE6A13"/>
    <w:rsid w:val="00FF0DAE"/>
    <w:rsid w:val="00FF29DC"/>
    <w:rsid w:val="00FF385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E5307"/>
  <w15:docId w15:val="{38BC075E-3BC0-48E2-B879-B736FB9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6276B"/>
    <w:rPr>
      <w:rFonts w:ascii="Cambria" w:hAnsi="Cambria"/>
      <w:lang w:eastAsia="en-US"/>
    </w:rPr>
  </w:style>
  <w:style w:type="paragraph" w:styleId="Heading1">
    <w:name w:val="heading 1"/>
    <w:next w:val="DJRbody"/>
    <w:link w:val="Heading1Char"/>
    <w:uiPriority w:val="1"/>
    <w:qFormat/>
    <w:rsid w:val="005E1C92"/>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uiPriority w:val="1"/>
    <w:qFormat/>
    <w:rsid w:val="00C40BFD"/>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uiPriority w:val="1"/>
    <w:unhideWhenUsed/>
    <w:qFormat/>
    <w:rsid w:val="00C40BFD"/>
    <w:pPr>
      <w:keepNext/>
      <w:keepLines/>
      <w:numPr>
        <w:ilvl w:val="2"/>
        <w:numId w:val="15"/>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unhideWhenUsed/>
    <w:qFormat/>
    <w:rsid w:val="00C40BFD"/>
    <w:pPr>
      <w:keepNext/>
      <w:keepLines/>
      <w:spacing w:before="240" w:after="120" w:line="240" w:lineRule="atLeast"/>
      <w:ind w:left="680"/>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1C92"/>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rsid w:val="00C40BFD"/>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rsid w:val="00C40BFD"/>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C40BFD"/>
    <w:rPr>
      <w:rFonts w:ascii="Arial" w:eastAsia="MS Mincho" w:hAnsi="Arial" w:cstheme="majorBidi"/>
      <w:b/>
      <w:bCs/>
      <w:color w:val="16145F" w:themeColor="accent3"/>
      <w:sz w:val="22"/>
      <w:lang w:eastAsia="en-US"/>
    </w:rPr>
  </w:style>
  <w:style w:type="paragraph" w:customStyle="1" w:styleId="DJRbodynospace">
    <w:name w:val="DJR body no space"/>
    <w:basedOn w:val="DJRbody"/>
    <w:rsid w:val="00CC02DC"/>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D233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nhideWhenUsed/>
    <w:qFormat/>
    <w:rsid w:val="00C40BFD"/>
    <w:pPr>
      <w:spacing w:after="120"/>
    </w:pPr>
  </w:style>
  <w:style w:type="character" w:customStyle="1" w:styleId="BodyTextChar">
    <w:name w:val="Body Text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qFormat/>
    <w:rsid w:val="00C40BFD"/>
    <w:pPr>
      <w:spacing w:after="120" w:line="250" w:lineRule="atLeast"/>
      <w:ind w:left="680"/>
    </w:pPr>
    <w:rPr>
      <w:rFonts w:ascii="Arial" w:eastAsia="Times" w:hAnsi="Arial"/>
      <w:sz w:val="22"/>
      <w:lang w:eastAsia="en-US"/>
    </w:rPr>
  </w:style>
  <w:style w:type="paragraph" w:customStyle="1" w:styleId="DJRbullet1">
    <w:name w:val="DJR bullet 1"/>
    <w:basedOn w:val="DJRbody"/>
    <w:qFormat/>
    <w:rsid w:val="00C40BFD"/>
    <w:pPr>
      <w:numPr>
        <w:numId w:val="16"/>
      </w:numPr>
      <w:spacing w:after="40"/>
    </w:pPr>
  </w:style>
  <w:style w:type="paragraph" w:customStyle="1" w:styleId="DJRtabletext">
    <w:name w:val="DJR table text"/>
    <w:uiPriority w:val="3"/>
    <w:qFormat/>
    <w:rsid w:val="00C40BFD"/>
    <w:pPr>
      <w:spacing w:before="80" w:after="60"/>
    </w:pPr>
    <w:rPr>
      <w:rFonts w:ascii="Arial" w:hAnsi="Arial"/>
      <w:sz w:val="22"/>
      <w:lang w:eastAsia="en-US"/>
    </w:rPr>
  </w:style>
  <w:style w:type="paragraph" w:customStyle="1" w:styleId="DJRtablecaption">
    <w:name w:val="DJR table caption"/>
    <w:next w:val="DJRbody"/>
    <w:uiPriority w:val="3"/>
    <w:qFormat/>
    <w:rsid w:val="00C40BFD"/>
    <w:pPr>
      <w:keepNext/>
      <w:keepLines/>
      <w:spacing w:before="240" w:after="120" w:line="240" w:lineRule="atLeast"/>
      <w:ind w:left="680"/>
    </w:pPr>
    <w:rPr>
      <w:rFonts w:ascii="Arial" w:hAnsi="Arial"/>
      <w:i/>
      <w:color w:val="000000" w:themeColor="text1"/>
      <w:sz w:val="22"/>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DJRbullet2">
    <w:name w:val="DJR bullet 2"/>
    <w:basedOn w:val="DJRbody"/>
    <w:uiPriority w:val="2"/>
    <w:qFormat/>
    <w:rsid w:val="0033503B"/>
    <w:pPr>
      <w:numPr>
        <w:ilvl w:val="1"/>
        <w:numId w:val="16"/>
      </w:numPr>
      <w:spacing w:after="40"/>
    </w:pPr>
  </w:style>
  <w:style w:type="paragraph" w:customStyle="1" w:styleId="DJRbodyafterbullets">
    <w:name w:val="DJR body after bullets"/>
    <w:basedOn w:val="DJRbody"/>
    <w:uiPriority w:val="11"/>
    <w:rsid w:val="00F95057"/>
    <w:pPr>
      <w:spacing w:before="120"/>
    </w:pPr>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szCs w:val="18"/>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uiPriority w:val="11"/>
    <w:qFormat/>
    <w:rsid w:val="00432D53"/>
    <w:pPr>
      <w:spacing w:before="80" w:after="60"/>
    </w:pPr>
    <w:rPr>
      <w:rFonts w:ascii="Arial" w:hAnsi="Arial"/>
      <w:b/>
      <w:color w:val="FFFFFF" w:themeColor="background1"/>
      <w:sz w:val="22"/>
    </w:rPr>
  </w:style>
  <w:style w:type="table" w:customStyle="1" w:styleId="DJRtablestyleNavy">
    <w:name w:val="DJR table style Navy"/>
    <w:basedOn w:val="TableNormal"/>
    <w:uiPriority w:val="99"/>
    <w:rsid w:val="00730A79"/>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CC7050"/>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39"/>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unhideWhenUsed/>
    <w:rsid w:val="00390D1F"/>
    <w:rPr>
      <w:color w:val="808080"/>
    </w:rPr>
  </w:style>
  <w:style w:type="paragraph" w:styleId="Header">
    <w:name w:val="header"/>
    <w:basedOn w:val="Normal"/>
    <w:link w:val="HeaderChar"/>
    <w:uiPriority w:val="99"/>
    <w:unhideWhenUsed/>
    <w:rsid w:val="00BE54D8"/>
    <w:pPr>
      <w:tabs>
        <w:tab w:val="center" w:pos="4513"/>
        <w:tab w:val="right" w:pos="9026"/>
      </w:tabs>
    </w:pPr>
  </w:style>
  <w:style w:type="character" w:customStyle="1" w:styleId="HeaderChar">
    <w:name w:val="Header Char"/>
    <w:basedOn w:val="DefaultParagraphFont"/>
    <w:link w:val="Header"/>
    <w:uiPriority w:val="99"/>
    <w:rsid w:val="00BE54D8"/>
    <w:rPr>
      <w:rFonts w:ascii="Cambria" w:hAnsi="Cambria"/>
      <w:lang w:eastAsia="en-US"/>
    </w:rPr>
  </w:style>
  <w:style w:type="paragraph" w:styleId="Footer">
    <w:name w:val="footer"/>
    <w:basedOn w:val="Normal"/>
    <w:link w:val="FooterChar"/>
    <w:uiPriority w:val="99"/>
    <w:unhideWhenUsed/>
    <w:rsid w:val="00BE54D8"/>
    <w:pPr>
      <w:tabs>
        <w:tab w:val="center" w:pos="4513"/>
        <w:tab w:val="right" w:pos="9026"/>
      </w:tabs>
    </w:pPr>
  </w:style>
  <w:style w:type="character" w:customStyle="1" w:styleId="FooterChar">
    <w:name w:val="Footer Char"/>
    <w:basedOn w:val="DefaultParagraphFont"/>
    <w:link w:val="Footer"/>
    <w:uiPriority w:val="99"/>
    <w:rsid w:val="00BE54D8"/>
    <w:rPr>
      <w:rFonts w:ascii="Cambria" w:hAnsi="Cambria"/>
      <w:lang w:eastAsia="en-US"/>
    </w:rPr>
  </w:style>
  <w:style w:type="character" w:styleId="FootnoteReference">
    <w:name w:val="footnote reference"/>
    <w:rsid w:val="006D2AD0"/>
    <w:rPr>
      <w:rFonts w:ascii="Arial" w:hAnsi="Arial" w:cs="Arial"/>
      <w:sz w:val="16"/>
      <w:vertAlign w:val="superscript"/>
    </w:rPr>
  </w:style>
  <w:style w:type="paragraph" w:customStyle="1" w:styleId="BodyText-List">
    <w:name w:val="Body Text - List"/>
    <w:rsid w:val="006D2AD0"/>
    <w:pPr>
      <w:numPr>
        <w:numId w:val="18"/>
      </w:numPr>
      <w:spacing w:after="120"/>
    </w:pPr>
    <w:rPr>
      <w:rFonts w:ascii="Arial" w:hAnsi="Arial" w:cs="Arial"/>
      <w:szCs w:val="24"/>
      <w:lang w:eastAsia="en-US"/>
    </w:rPr>
  </w:style>
  <w:style w:type="paragraph" w:styleId="ListBullet3">
    <w:name w:val="List Bullet 3"/>
    <w:basedOn w:val="Normal"/>
    <w:semiHidden/>
    <w:rsid w:val="006D2AD0"/>
    <w:pPr>
      <w:numPr>
        <w:numId w:val="17"/>
      </w:numPr>
    </w:pPr>
    <w:rPr>
      <w:rFonts w:ascii="Arial" w:hAnsi="Arial" w:cs="Arial"/>
      <w:color w:val="FF0000"/>
      <w:u w:val="single"/>
    </w:rPr>
  </w:style>
  <w:style w:type="paragraph" w:customStyle="1" w:styleId="TableText">
    <w:name w:val="Table Text"/>
    <w:link w:val="TableTextChar"/>
    <w:rsid w:val="006D2AD0"/>
    <w:pPr>
      <w:spacing w:before="40" w:after="40"/>
    </w:pPr>
    <w:rPr>
      <w:rFonts w:ascii="Arial" w:hAnsi="Arial" w:cs="Arial"/>
      <w:sz w:val="18"/>
      <w:szCs w:val="18"/>
      <w:lang w:eastAsia="en-US"/>
    </w:rPr>
  </w:style>
  <w:style w:type="paragraph" w:customStyle="1" w:styleId="TableHeader">
    <w:name w:val="Table Header"/>
    <w:rsid w:val="006D2AD0"/>
    <w:pPr>
      <w:keepNext/>
      <w:spacing w:before="60" w:after="20"/>
    </w:pPr>
    <w:rPr>
      <w:rFonts w:ascii="Arial" w:hAnsi="Arial" w:cs="Arial"/>
      <w:b/>
      <w:color w:val="FFFFFF"/>
      <w:lang w:eastAsia="en-US"/>
    </w:rPr>
  </w:style>
  <w:style w:type="paragraph" w:customStyle="1" w:styleId="TableLabel">
    <w:name w:val="Table Label"/>
    <w:next w:val="BodyText"/>
    <w:rsid w:val="006D2AD0"/>
    <w:pPr>
      <w:keepNext/>
      <w:keepLines/>
      <w:tabs>
        <w:tab w:val="left" w:pos="1701"/>
      </w:tabs>
      <w:spacing w:before="120" w:after="60"/>
      <w:ind w:left="1701" w:hanging="907"/>
    </w:pPr>
    <w:rPr>
      <w:rFonts w:ascii="Arial" w:hAnsi="Arial"/>
      <w:i/>
      <w:iCs/>
      <w:lang w:eastAsia="en-US"/>
    </w:rPr>
  </w:style>
  <w:style w:type="character" w:customStyle="1" w:styleId="TableTextChar">
    <w:name w:val="Table Text Char"/>
    <w:link w:val="TableText"/>
    <w:rsid w:val="006D2AD0"/>
    <w:rPr>
      <w:rFonts w:ascii="Arial" w:hAnsi="Arial" w:cs="Arial"/>
      <w:sz w:val="18"/>
      <w:szCs w:val="18"/>
      <w:lang w:eastAsia="en-US"/>
    </w:rPr>
  </w:style>
  <w:style w:type="paragraph" w:customStyle="1" w:styleId="Tablebullet">
    <w:name w:val="Table bullet"/>
    <w:basedOn w:val="TableText"/>
    <w:uiPriority w:val="6"/>
    <w:rsid w:val="00945670"/>
    <w:pPr>
      <w:numPr>
        <w:numId w:val="19"/>
      </w:numPr>
      <w:spacing w:before="60" w:after="60" w:line="264" w:lineRule="auto"/>
    </w:pPr>
    <w:rPr>
      <w:rFonts w:cs="Times New Roman"/>
      <w:spacing w:val="2"/>
      <w:sz w:val="17"/>
      <w:szCs w:val="20"/>
      <w:lang w:eastAsia="en-AU"/>
    </w:rPr>
  </w:style>
  <w:style w:type="paragraph" w:customStyle="1" w:styleId="Tabledash">
    <w:name w:val="Table dash"/>
    <w:basedOn w:val="Tablebullet"/>
    <w:uiPriority w:val="6"/>
    <w:rsid w:val="00945670"/>
    <w:pPr>
      <w:numPr>
        <w:ilvl w:val="1"/>
      </w:numPr>
      <w:ind w:left="284" w:hanging="284"/>
    </w:pPr>
  </w:style>
  <w:style w:type="paragraph" w:customStyle="1" w:styleId="Tablenum1">
    <w:name w:val="Table num 1"/>
    <w:basedOn w:val="Normal"/>
    <w:uiPriority w:val="6"/>
    <w:rsid w:val="00945670"/>
    <w:pPr>
      <w:numPr>
        <w:ilvl w:val="2"/>
        <w:numId w:val="19"/>
      </w:numPr>
      <w:tabs>
        <w:tab w:val="clear" w:pos="360"/>
      </w:tabs>
      <w:spacing w:before="60" w:after="60" w:line="276" w:lineRule="auto"/>
      <w:ind w:left="567" w:hanging="283"/>
    </w:pPr>
    <w:rPr>
      <w:rFonts w:ascii="Arial" w:hAnsi="Arial"/>
      <w:spacing w:val="2"/>
      <w:sz w:val="17"/>
      <w:lang w:eastAsia="en-AU"/>
    </w:rPr>
  </w:style>
  <w:style w:type="paragraph" w:customStyle="1" w:styleId="Tablenum2">
    <w:name w:val="Table num 2"/>
    <w:basedOn w:val="Normal"/>
    <w:uiPriority w:val="6"/>
    <w:rsid w:val="00945670"/>
    <w:pPr>
      <w:numPr>
        <w:ilvl w:val="3"/>
        <w:numId w:val="19"/>
      </w:numPr>
      <w:tabs>
        <w:tab w:val="clear" w:pos="360"/>
      </w:tabs>
      <w:spacing w:before="60" w:after="60"/>
      <w:ind w:left="567" w:hanging="283"/>
    </w:pPr>
    <w:rPr>
      <w:rFonts w:ascii="Arial" w:eastAsia="Arial" w:hAnsi="Arial"/>
      <w:spacing w:val="2"/>
      <w:sz w:val="17"/>
      <w:szCs w:val="21"/>
    </w:rPr>
  </w:style>
  <w:style w:type="paragraph" w:customStyle="1" w:styleId="AppendixHeading1">
    <w:name w:val="Appendix Heading 1"/>
    <w:next w:val="AppendixHeading2"/>
    <w:rsid w:val="00F52631"/>
    <w:pPr>
      <w:keepNext/>
      <w:pageBreakBefore/>
      <w:numPr>
        <w:numId w:val="20"/>
      </w:numPr>
      <w:tabs>
        <w:tab w:val="clear" w:pos="1440"/>
        <w:tab w:val="left" w:pos="2268"/>
      </w:tabs>
      <w:spacing w:after="120"/>
      <w:ind w:left="2268" w:hanging="2268"/>
      <w:contextualSpacing/>
      <w:outlineLvl w:val="0"/>
    </w:pPr>
    <w:rPr>
      <w:rFonts w:ascii="Arial" w:hAnsi="Arial" w:cs="Arial"/>
      <w:color w:val="156570"/>
      <w:sz w:val="32"/>
      <w:szCs w:val="36"/>
      <w:lang w:eastAsia="en-US"/>
    </w:rPr>
  </w:style>
  <w:style w:type="paragraph" w:customStyle="1" w:styleId="AppendixHeading2">
    <w:name w:val="Appendix Heading 2"/>
    <w:next w:val="BodyText"/>
    <w:rsid w:val="00F52631"/>
    <w:pPr>
      <w:keepNext/>
      <w:numPr>
        <w:ilvl w:val="1"/>
        <w:numId w:val="20"/>
      </w:numPr>
      <w:spacing w:before="240" w:after="120"/>
      <w:outlineLvl w:val="1"/>
    </w:pPr>
    <w:rPr>
      <w:rFonts w:ascii="Arial" w:hAnsi="Arial" w:cs="Arial"/>
      <w:iCs/>
      <w:color w:val="156570"/>
      <w:sz w:val="28"/>
      <w:szCs w:val="28"/>
      <w:lang w:val="en-US" w:eastAsia="en-US"/>
    </w:rPr>
  </w:style>
  <w:style w:type="character" w:styleId="CommentReference">
    <w:name w:val="annotation reference"/>
    <w:basedOn w:val="DefaultParagraphFont"/>
    <w:uiPriority w:val="99"/>
    <w:semiHidden/>
    <w:unhideWhenUsed/>
    <w:rsid w:val="00395D23"/>
    <w:rPr>
      <w:sz w:val="16"/>
      <w:szCs w:val="16"/>
    </w:rPr>
  </w:style>
  <w:style w:type="paragraph" w:styleId="CommentText">
    <w:name w:val="annotation text"/>
    <w:basedOn w:val="Normal"/>
    <w:link w:val="CommentTextChar"/>
    <w:uiPriority w:val="99"/>
    <w:semiHidden/>
    <w:unhideWhenUsed/>
    <w:rsid w:val="00395D23"/>
  </w:style>
  <w:style w:type="character" w:customStyle="1" w:styleId="CommentTextChar">
    <w:name w:val="Comment Text Char"/>
    <w:basedOn w:val="DefaultParagraphFont"/>
    <w:link w:val="CommentText"/>
    <w:uiPriority w:val="99"/>
    <w:semiHidden/>
    <w:rsid w:val="00395D2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95D23"/>
    <w:rPr>
      <w:b/>
      <w:bCs/>
    </w:rPr>
  </w:style>
  <w:style w:type="character" w:customStyle="1" w:styleId="CommentSubjectChar">
    <w:name w:val="Comment Subject Char"/>
    <w:basedOn w:val="CommentTextChar"/>
    <w:link w:val="CommentSubject"/>
    <w:uiPriority w:val="99"/>
    <w:semiHidden/>
    <w:rsid w:val="00395D23"/>
    <w:rPr>
      <w:rFonts w:ascii="Cambria" w:hAnsi="Cambria"/>
      <w:b/>
      <w:bCs/>
      <w:lang w:eastAsia="en-US"/>
    </w:rPr>
  </w:style>
  <w:style w:type="paragraph" w:styleId="TOC3">
    <w:name w:val="toc 3"/>
    <w:basedOn w:val="Normal"/>
    <w:next w:val="Normal"/>
    <w:autoRedefine/>
    <w:uiPriority w:val="39"/>
    <w:unhideWhenUsed/>
    <w:rsid w:val="00CB1FFB"/>
    <w:pPr>
      <w:spacing w:after="100"/>
      <w:ind w:left="400"/>
    </w:pPr>
  </w:style>
  <w:style w:type="paragraph" w:styleId="ListBullet2">
    <w:name w:val="List Bullet 2"/>
    <w:basedOn w:val="Normal"/>
    <w:semiHidden/>
    <w:rsid w:val="00180D0C"/>
    <w:pPr>
      <w:numPr>
        <w:numId w:val="22"/>
      </w:numPr>
      <w:spacing w:after="160" w:line="259" w:lineRule="auto"/>
    </w:pPr>
    <w:rPr>
      <w:rFonts w:ascii="Arial" w:eastAsia="Calibri" w:hAnsi="Arial" w:cs="Arial"/>
      <w:color w:val="FF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4C1D6055045D6ABBA483989315204"/>
        <w:category>
          <w:name w:val="General"/>
          <w:gallery w:val="placeholder"/>
        </w:category>
        <w:types>
          <w:type w:val="bbPlcHdr"/>
        </w:types>
        <w:behaviors>
          <w:behavior w:val="content"/>
        </w:behaviors>
        <w:guid w:val="{D481B5D3-AB2B-4805-BEED-16B87BDD1FD8}"/>
      </w:docPartPr>
      <w:docPartBody>
        <w:p w:rsidR="00A8326A" w:rsidRDefault="00F7597D">
          <w:pPr>
            <w:pStyle w:val="F754C1D6055045D6ABBA483989315204"/>
          </w:pPr>
          <w:r w:rsidRPr="002645BC">
            <w:t>Document title</w:t>
          </w:r>
        </w:p>
      </w:docPartBody>
    </w:docPart>
    <w:docPart>
      <w:docPartPr>
        <w:name w:val="257ACA5AB27F416BB3DDDA77A2E3FA28"/>
        <w:category>
          <w:name w:val="General"/>
          <w:gallery w:val="placeholder"/>
        </w:category>
        <w:types>
          <w:type w:val="bbPlcHdr"/>
        </w:types>
        <w:behaviors>
          <w:behavior w:val="content"/>
        </w:behaviors>
        <w:guid w:val="{B2DADFA2-950F-46CB-8B05-B0E59301B24C}"/>
      </w:docPartPr>
      <w:docPartBody>
        <w:p w:rsidR="00A8326A" w:rsidRDefault="00F7597D">
          <w:pPr>
            <w:pStyle w:val="257ACA5AB27F416BB3DDDA77A2E3FA28"/>
          </w:pPr>
          <w:r>
            <w:t>Business Unit</w:t>
          </w:r>
        </w:p>
      </w:docPartBody>
    </w:docPart>
    <w:docPart>
      <w:docPartPr>
        <w:name w:val="27735591036A487BA000ED5D0BE0002E"/>
        <w:category>
          <w:name w:val="General"/>
          <w:gallery w:val="placeholder"/>
        </w:category>
        <w:types>
          <w:type w:val="bbPlcHdr"/>
        </w:types>
        <w:behaviors>
          <w:behavior w:val="content"/>
        </w:behaviors>
        <w:guid w:val="{62F93CDA-9133-40C4-9032-7704276E458A}"/>
      </w:docPartPr>
      <w:docPartBody>
        <w:p w:rsidR="00A8326A" w:rsidRDefault="00F7597D">
          <w:pPr>
            <w:pStyle w:val="27735591036A487BA000ED5D0BE0002E"/>
          </w:pPr>
          <w:r>
            <w:t>&lt;Enter TRIM ID&gt;</w:t>
          </w:r>
        </w:p>
      </w:docPartBody>
    </w:docPart>
    <w:docPart>
      <w:docPartPr>
        <w:name w:val="1F27198E78E14F0695026AB8EFEFA7E6"/>
        <w:category>
          <w:name w:val="General"/>
          <w:gallery w:val="placeholder"/>
        </w:category>
        <w:types>
          <w:type w:val="bbPlcHdr"/>
        </w:types>
        <w:behaviors>
          <w:behavior w:val="content"/>
        </w:behaviors>
        <w:guid w:val="{6BCF7C4D-C7FE-445D-9252-2824FF2E1B1C}"/>
      </w:docPartPr>
      <w:docPartBody>
        <w:p w:rsidR="00A8326A" w:rsidRDefault="00F7597D">
          <w:pPr>
            <w:pStyle w:val="1F27198E78E14F0695026AB8EFEFA7E6"/>
          </w:pPr>
          <w:r w:rsidRPr="00442A6C">
            <w:t xml:space="preserve">&lt;Enter </w:t>
          </w:r>
          <w:r>
            <w:t>document title</w:t>
          </w:r>
          <w:r w:rsidRPr="00442A6C">
            <w:t>&gt;</w:t>
          </w:r>
        </w:p>
      </w:docPartBody>
    </w:docPart>
    <w:docPart>
      <w:docPartPr>
        <w:name w:val="71130C7D11C54A6D89F6CA0ED8A4AFEA"/>
        <w:category>
          <w:name w:val="General"/>
          <w:gallery w:val="placeholder"/>
        </w:category>
        <w:types>
          <w:type w:val="bbPlcHdr"/>
        </w:types>
        <w:behaviors>
          <w:behavior w:val="content"/>
        </w:behaviors>
        <w:guid w:val="{46B0987F-42CA-46C7-B0B4-85EA73C55791}"/>
      </w:docPartPr>
      <w:docPartBody>
        <w:p w:rsidR="00A8326A" w:rsidRDefault="00F7597D">
          <w:pPr>
            <w:pStyle w:val="71130C7D11C54A6D89F6CA0ED8A4AFEA"/>
          </w:pPr>
          <w:r w:rsidRPr="00442A6C">
            <w:t>&lt;Enter document owner&gt;</w:t>
          </w:r>
        </w:p>
      </w:docPartBody>
    </w:docPart>
    <w:docPart>
      <w:docPartPr>
        <w:name w:val="CCF97F9310964C44AD4FDAC8AEF15CA2"/>
        <w:category>
          <w:name w:val="General"/>
          <w:gallery w:val="placeholder"/>
        </w:category>
        <w:types>
          <w:type w:val="bbPlcHdr"/>
        </w:types>
        <w:behaviors>
          <w:behavior w:val="content"/>
        </w:behaviors>
        <w:guid w:val="{7599597A-DD8D-4EC4-A804-2A56C3C96D45}"/>
      </w:docPartPr>
      <w:docPartBody>
        <w:p w:rsidR="00A8326A" w:rsidRDefault="00F7597D">
          <w:pPr>
            <w:pStyle w:val="CCF97F9310964C44AD4FDAC8AEF15CA2"/>
          </w:pPr>
          <w:r w:rsidRPr="009303F7">
            <w:t>&lt;Enter name&gt;</w:t>
          </w:r>
        </w:p>
      </w:docPartBody>
    </w:docPart>
    <w:docPart>
      <w:docPartPr>
        <w:name w:val="89350BE342A048CEB71583955ED862AC"/>
        <w:category>
          <w:name w:val="General"/>
          <w:gallery w:val="placeholder"/>
        </w:category>
        <w:types>
          <w:type w:val="bbPlcHdr"/>
        </w:types>
        <w:behaviors>
          <w:behavior w:val="content"/>
        </w:behaviors>
        <w:guid w:val="{4AD2B7FE-E414-4B8C-AFFB-AC839CD38F61}"/>
      </w:docPartPr>
      <w:docPartBody>
        <w:p w:rsidR="00A8326A" w:rsidRDefault="00F7597D">
          <w:pPr>
            <w:pStyle w:val="89350BE342A048CEB71583955ED862AC"/>
          </w:pPr>
          <w:r w:rsidRPr="009303F7">
            <w:t xml:space="preserve">&lt;Enter </w:t>
          </w:r>
          <w:r>
            <w:t>title</w:t>
          </w:r>
          <w:r w:rsidRPr="009303F7">
            <w:t>&gt;</w:t>
          </w:r>
        </w:p>
      </w:docPartBody>
    </w:docPart>
    <w:docPart>
      <w:docPartPr>
        <w:name w:val="75F28B0ECD5D40F0AFF43283B4F9A731"/>
        <w:category>
          <w:name w:val="General"/>
          <w:gallery w:val="placeholder"/>
        </w:category>
        <w:types>
          <w:type w:val="bbPlcHdr"/>
        </w:types>
        <w:behaviors>
          <w:behavior w:val="content"/>
        </w:behaviors>
        <w:guid w:val="{D3947718-0369-46FE-8E82-B17F9D10B716}"/>
      </w:docPartPr>
      <w:docPartBody>
        <w:p w:rsidR="00A8326A" w:rsidRDefault="00F7597D">
          <w:pPr>
            <w:pStyle w:val="75F28B0ECD5D40F0AFF43283B4F9A731"/>
          </w:pPr>
          <w:r>
            <w:t>&lt;Enter organisation&gt;</w:t>
          </w:r>
        </w:p>
      </w:docPartBody>
    </w:docPart>
    <w:docPart>
      <w:docPartPr>
        <w:name w:val="34C1CC2925F44482A7C1E531E13041DD"/>
        <w:category>
          <w:name w:val="General"/>
          <w:gallery w:val="placeholder"/>
        </w:category>
        <w:types>
          <w:type w:val="bbPlcHdr"/>
        </w:types>
        <w:behaviors>
          <w:behavior w:val="content"/>
        </w:behaviors>
        <w:guid w:val="{9675A1E7-9152-4295-B7A2-4CB89FE691E4}"/>
      </w:docPartPr>
      <w:docPartBody>
        <w:p w:rsidR="00A8326A" w:rsidRDefault="00F7597D">
          <w:pPr>
            <w:pStyle w:val="34C1CC2925F44482A7C1E531E13041DD"/>
          </w:pPr>
          <w:r w:rsidRPr="009303F7">
            <w:t>&lt;Enter name&gt;</w:t>
          </w:r>
        </w:p>
      </w:docPartBody>
    </w:docPart>
    <w:docPart>
      <w:docPartPr>
        <w:name w:val="0E50BC513B7246A8BF894EE3C522C4CF"/>
        <w:category>
          <w:name w:val="General"/>
          <w:gallery w:val="placeholder"/>
        </w:category>
        <w:types>
          <w:type w:val="bbPlcHdr"/>
        </w:types>
        <w:behaviors>
          <w:behavior w:val="content"/>
        </w:behaviors>
        <w:guid w:val="{C772EFED-0210-40BA-A604-D43E6E159614}"/>
      </w:docPartPr>
      <w:docPartBody>
        <w:p w:rsidR="00A8326A" w:rsidRDefault="00F7597D">
          <w:pPr>
            <w:pStyle w:val="0E50BC513B7246A8BF894EE3C522C4CF"/>
          </w:pPr>
          <w:r w:rsidRPr="009303F7">
            <w:t xml:space="preserve">&lt;Enter </w:t>
          </w:r>
          <w:r>
            <w:t>title</w:t>
          </w:r>
          <w:r w:rsidRPr="009303F7">
            <w:t>&gt;</w:t>
          </w:r>
        </w:p>
      </w:docPartBody>
    </w:docPart>
    <w:docPart>
      <w:docPartPr>
        <w:name w:val="3B7CFE91118F453894133AEF6F4387A5"/>
        <w:category>
          <w:name w:val="General"/>
          <w:gallery w:val="placeholder"/>
        </w:category>
        <w:types>
          <w:type w:val="bbPlcHdr"/>
        </w:types>
        <w:behaviors>
          <w:behavior w:val="content"/>
        </w:behaviors>
        <w:guid w:val="{424B46C7-63AE-406F-8968-413B4532DB28}"/>
      </w:docPartPr>
      <w:docPartBody>
        <w:p w:rsidR="00A8326A" w:rsidRDefault="00F7597D">
          <w:pPr>
            <w:pStyle w:val="3B7CFE91118F453894133AEF6F4387A5"/>
          </w:pPr>
          <w:r>
            <w:t>&lt;Enter organisation&gt;</w:t>
          </w:r>
        </w:p>
      </w:docPartBody>
    </w:docPart>
    <w:docPart>
      <w:docPartPr>
        <w:name w:val="B05A669868D74F36B7C7729F8685BAFC"/>
        <w:category>
          <w:name w:val="General"/>
          <w:gallery w:val="placeholder"/>
        </w:category>
        <w:types>
          <w:type w:val="bbPlcHdr"/>
        </w:types>
        <w:behaviors>
          <w:behavior w:val="content"/>
        </w:behaviors>
        <w:guid w:val="{78B66693-29F4-4C6A-BDD8-81DC563D54EB}"/>
      </w:docPartPr>
      <w:docPartBody>
        <w:p w:rsidR="00A8326A" w:rsidRDefault="00F7597D">
          <w:pPr>
            <w:pStyle w:val="B05A669868D74F36B7C7729F8685BAFC"/>
          </w:pPr>
          <w:r>
            <w:t>&lt;</w:t>
          </w:r>
          <w:r w:rsidRPr="00F8443A">
            <w:t>Describe audience</w:t>
          </w:r>
          <w:r>
            <w:t>&gt;</w:t>
          </w:r>
        </w:p>
      </w:docPartBody>
    </w:docPart>
    <w:docPart>
      <w:docPartPr>
        <w:name w:val="37FD7E2513BD4C198C7AF12969D46F55"/>
        <w:category>
          <w:name w:val="General"/>
          <w:gallery w:val="placeholder"/>
        </w:category>
        <w:types>
          <w:type w:val="bbPlcHdr"/>
        </w:types>
        <w:behaviors>
          <w:behavior w:val="content"/>
        </w:behaviors>
        <w:guid w:val="{DC598B3E-3C83-4897-B485-8DB37DDF22BF}"/>
      </w:docPartPr>
      <w:docPartBody>
        <w:p w:rsidR="00A8326A" w:rsidRDefault="00F7597D">
          <w:pPr>
            <w:pStyle w:val="37FD7E2513BD4C198C7AF12969D46F55"/>
          </w:pPr>
          <w:r>
            <w:t>&lt;</w:t>
          </w:r>
          <w:r w:rsidRPr="00F8443A">
            <w:t>Describe purpose</w:t>
          </w:r>
          <w:r>
            <w:t>&gt;</w:t>
          </w:r>
        </w:p>
      </w:docPartBody>
    </w:docPart>
    <w:docPart>
      <w:docPartPr>
        <w:name w:val="3D86496AC7E2406E92E20795F0D41D23"/>
        <w:category>
          <w:name w:val="General"/>
          <w:gallery w:val="placeholder"/>
        </w:category>
        <w:types>
          <w:type w:val="bbPlcHdr"/>
        </w:types>
        <w:behaviors>
          <w:behavior w:val="content"/>
        </w:behaviors>
        <w:guid w:val="{CE896E60-F99D-4E03-ADFB-8F7F4E826DEC}"/>
      </w:docPartPr>
      <w:docPartBody>
        <w:p w:rsidR="00A8326A" w:rsidRDefault="00F7597D">
          <w:pPr>
            <w:pStyle w:val="3D86496AC7E2406E92E20795F0D41D23"/>
          </w:pPr>
          <w:r>
            <w:t>&lt;Enter attached references&gt;</w:t>
          </w:r>
        </w:p>
      </w:docPartBody>
    </w:docPart>
    <w:docPart>
      <w:docPartPr>
        <w:name w:val="A153CE93923747B18C48ED05C683A244"/>
        <w:category>
          <w:name w:val="General"/>
          <w:gallery w:val="placeholder"/>
        </w:category>
        <w:types>
          <w:type w:val="bbPlcHdr"/>
        </w:types>
        <w:behaviors>
          <w:behavior w:val="content"/>
        </w:behaviors>
        <w:guid w:val="{443DE4BA-4990-4EFE-BCE0-BC07EA3342E6}"/>
      </w:docPartPr>
      <w:docPartBody>
        <w:p w:rsidR="00A8326A" w:rsidRDefault="00F7597D">
          <w:pPr>
            <w:pStyle w:val="A153CE93923747B18C48ED05C683A244"/>
          </w:pPr>
          <w:r>
            <w:t>&lt;Enter TRIM ID / Location&gt;</w:t>
          </w:r>
        </w:p>
      </w:docPartBody>
    </w:docPart>
    <w:docPart>
      <w:docPartPr>
        <w:name w:val="A83E8A4711B04C3F9AD2E683BD2B1C5D"/>
        <w:category>
          <w:name w:val="General"/>
          <w:gallery w:val="placeholder"/>
        </w:category>
        <w:types>
          <w:type w:val="bbPlcHdr"/>
        </w:types>
        <w:behaviors>
          <w:behavior w:val="content"/>
        </w:behaviors>
        <w:guid w:val="{6E5E058E-552F-425B-BED1-2C1043A53E5B}"/>
      </w:docPartPr>
      <w:docPartBody>
        <w:p w:rsidR="00A8326A" w:rsidRDefault="00F7597D">
          <w:pPr>
            <w:pStyle w:val="A83E8A4711B04C3F9AD2E683BD2B1C5D"/>
          </w:pPr>
          <w:r w:rsidRPr="00DB0CCC">
            <w:t>Enter TRIM ID here</w:t>
          </w:r>
        </w:p>
      </w:docPartBody>
    </w:docPart>
    <w:docPart>
      <w:docPartPr>
        <w:name w:val="A000DC29940545FB8214E0270FDAD92C"/>
        <w:category>
          <w:name w:val="General"/>
          <w:gallery w:val="placeholder"/>
        </w:category>
        <w:types>
          <w:type w:val="bbPlcHdr"/>
        </w:types>
        <w:behaviors>
          <w:behavior w:val="content"/>
        </w:behaviors>
        <w:guid w:val="{4A7E9D22-E0F2-4E6A-A01B-58F1A52EC9FB}"/>
      </w:docPartPr>
      <w:docPartBody>
        <w:p w:rsidR="00A8326A" w:rsidRDefault="00F7597D">
          <w:pPr>
            <w:pStyle w:val="A000DC29940545FB8214E0270FDAD92C"/>
          </w:pPr>
          <w:r>
            <w:t>&lt;</w:t>
          </w:r>
          <w:r w:rsidRPr="00A752BE">
            <w:t>Enter date</w:t>
          </w:r>
          <w:r>
            <w:t>&gt;</w:t>
          </w:r>
        </w:p>
      </w:docPartBody>
    </w:docPart>
    <w:docPart>
      <w:docPartPr>
        <w:name w:val="65BBFB58EF204033AEFB20153405A8D7"/>
        <w:category>
          <w:name w:val="General"/>
          <w:gallery w:val="placeholder"/>
        </w:category>
        <w:types>
          <w:type w:val="bbPlcHdr"/>
        </w:types>
        <w:behaviors>
          <w:behavior w:val="content"/>
        </w:behaviors>
        <w:guid w:val="{64F95D55-890C-4F38-ABE9-FDF166F1F22B}"/>
      </w:docPartPr>
      <w:docPartBody>
        <w:p w:rsidR="00F9363F" w:rsidRDefault="00F9363F" w:rsidP="00F9363F">
          <w:pPr>
            <w:pStyle w:val="65BBFB58EF204033AEFB20153405A8D7"/>
          </w:pPr>
          <w:r>
            <w:t>Business Unit</w:t>
          </w:r>
        </w:p>
      </w:docPartBody>
    </w:docPart>
    <w:docPart>
      <w:docPartPr>
        <w:name w:val="F9B4E5BE8ADA480D94CF78388A5D95E6"/>
        <w:category>
          <w:name w:val="General"/>
          <w:gallery w:val="placeholder"/>
        </w:category>
        <w:types>
          <w:type w:val="bbPlcHdr"/>
        </w:types>
        <w:behaviors>
          <w:behavior w:val="content"/>
        </w:behaviors>
        <w:guid w:val="{E67B9B82-E117-4368-99E9-8F627F9A5587}"/>
      </w:docPartPr>
      <w:docPartBody>
        <w:p w:rsidR="00F9363F" w:rsidRDefault="00F9363F" w:rsidP="00F9363F">
          <w:pPr>
            <w:pStyle w:val="F9B4E5BE8ADA480D94CF78388A5D95E6"/>
          </w:pPr>
          <w:r w:rsidRPr="002645BC">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U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7D"/>
    <w:rsid w:val="00073570"/>
    <w:rsid w:val="000977B4"/>
    <w:rsid w:val="000B5847"/>
    <w:rsid w:val="000F0557"/>
    <w:rsid w:val="0011669A"/>
    <w:rsid w:val="00130D7B"/>
    <w:rsid w:val="00151F4D"/>
    <w:rsid w:val="00174D1C"/>
    <w:rsid w:val="0035760E"/>
    <w:rsid w:val="003C21C6"/>
    <w:rsid w:val="004548E0"/>
    <w:rsid w:val="00463B5F"/>
    <w:rsid w:val="00495846"/>
    <w:rsid w:val="004F7B71"/>
    <w:rsid w:val="00530A8B"/>
    <w:rsid w:val="006814ED"/>
    <w:rsid w:val="00696E4E"/>
    <w:rsid w:val="006C4139"/>
    <w:rsid w:val="007318DD"/>
    <w:rsid w:val="008579A4"/>
    <w:rsid w:val="00873161"/>
    <w:rsid w:val="008E40BF"/>
    <w:rsid w:val="00926927"/>
    <w:rsid w:val="00986B4B"/>
    <w:rsid w:val="00990565"/>
    <w:rsid w:val="00A015B5"/>
    <w:rsid w:val="00A369C8"/>
    <w:rsid w:val="00A8326A"/>
    <w:rsid w:val="00AB4A17"/>
    <w:rsid w:val="00AF09DC"/>
    <w:rsid w:val="00B01B59"/>
    <w:rsid w:val="00BC64C4"/>
    <w:rsid w:val="00BE51FF"/>
    <w:rsid w:val="00C1219C"/>
    <w:rsid w:val="00C832D9"/>
    <w:rsid w:val="00C932A1"/>
    <w:rsid w:val="00CB6135"/>
    <w:rsid w:val="00D461CF"/>
    <w:rsid w:val="00D7308D"/>
    <w:rsid w:val="00DE16A2"/>
    <w:rsid w:val="00E065F0"/>
    <w:rsid w:val="00E50E1B"/>
    <w:rsid w:val="00E64107"/>
    <w:rsid w:val="00E6730F"/>
    <w:rsid w:val="00F36E13"/>
    <w:rsid w:val="00F7597D"/>
    <w:rsid w:val="00F93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54C1D6055045D6ABBA483989315204">
    <w:name w:val="F754C1D6055045D6ABBA483989315204"/>
  </w:style>
  <w:style w:type="paragraph" w:customStyle="1" w:styleId="257ACA5AB27F416BB3DDDA77A2E3FA28">
    <w:name w:val="257ACA5AB27F416BB3DDDA77A2E3FA28"/>
  </w:style>
  <w:style w:type="paragraph" w:customStyle="1" w:styleId="27735591036A487BA000ED5D0BE0002E">
    <w:name w:val="27735591036A487BA000ED5D0BE0002E"/>
  </w:style>
  <w:style w:type="paragraph" w:customStyle="1" w:styleId="1F27198E78E14F0695026AB8EFEFA7E6">
    <w:name w:val="1F27198E78E14F0695026AB8EFEFA7E6"/>
  </w:style>
  <w:style w:type="paragraph" w:customStyle="1" w:styleId="71130C7D11C54A6D89F6CA0ED8A4AFEA">
    <w:name w:val="71130C7D11C54A6D89F6CA0ED8A4AFEA"/>
  </w:style>
  <w:style w:type="paragraph" w:customStyle="1" w:styleId="F6998F1A92244ADAB11F5B0A2CCB8C03">
    <w:name w:val="F6998F1A92244ADAB11F5B0A2CCB8C03"/>
  </w:style>
  <w:style w:type="paragraph" w:customStyle="1" w:styleId="F89889A8B6EF489AB6AB6422BED9EF49">
    <w:name w:val="F89889A8B6EF489AB6AB6422BED9EF49"/>
  </w:style>
  <w:style w:type="paragraph" w:customStyle="1" w:styleId="3B3CFFA319ED45A592442B7E997E44E0">
    <w:name w:val="3B3CFFA319ED45A592442B7E997E44E0"/>
  </w:style>
  <w:style w:type="paragraph" w:customStyle="1" w:styleId="C4F2F153454C42A5BD9795437A97B008">
    <w:name w:val="C4F2F153454C42A5BD9795437A97B008"/>
  </w:style>
  <w:style w:type="paragraph" w:customStyle="1" w:styleId="CCF97F9310964C44AD4FDAC8AEF15CA2">
    <w:name w:val="CCF97F9310964C44AD4FDAC8AEF15CA2"/>
  </w:style>
  <w:style w:type="paragraph" w:customStyle="1" w:styleId="89350BE342A048CEB71583955ED862AC">
    <w:name w:val="89350BE342A048CEB71583955ED862AC"/>
  </w:style>
  <w:style w:type="paragraph" w:customStyle="1" w:styleId="75F28B0ECD5D40F0AFF43283B4F9A731">
    <w:name w:val="75F28B0ECD5D40F0AFF43283B4F9A731"/>
  </w:style>
  <w:style w:type="paragraph" w:customStyle="1" w:styleId="34C1CC2925F44482A7C1E531E13041DD">
    <w:name w:val="34C1CC2925F44482A7C1E531E13041DD"/>
  </w:style>
  <w:style w:type="paragraph" w:customStyle="1" w:styleId="0E50BC513B7246A8BF894EE3C522C4CF">
    <w:name w:val="0E50BC513B7246A8BF894EE3C522C4CF"/>
  </w:style>
  <w:style w:type="paragraph" w:customStyle="1" w:styleId="3B7CFE91118F453894133AEF6F4387A5">
    <w:name w:val="3B7CFE91118F453894133AEF6F4387A5"/>
  </w:style>
  <w:style w:type="paragraph" w:customStyle="1" w:styleId="B05A669868D74F36B7C7729F8685BAFC">
    <w:name w:val="B05A669868D74F36B7C7729F8685BAFC"/>
  </w:style>
  <w:style w:type="paragraph" w:customStyle="1" w:styleId="37FD7E2513BD4C198C7AF12969D46F55">
    <w:name w:val="37FD7E2513BD4C198C7AF12969D46F55"/>
  </w:style>
  <w:style w:type="paragraph" w:customStyle="1" w:styleId="3D86496AC7E2406E92E20795F0D41D23">
    <w:name w:val="3D86496AC7E2406E92E20795F0D41D23"/>
  </w:style>
  <w:style w:type="paragraph" w:customStyle="1" w:styleId="A153CE93923747B18C48ED05C683A244">
    <w:name w:val="A153CE93923747B18C48ED05C683A244"/>
  </w:style>
  <w:style w:type="character" w:styleId="Strong">
    <w:name w:val="Strong"/>
    <w:uiPriority w:val="22"/>
    <w:rPr>
      <w:b/>
      <w:bCs/>
    </w:rPr>
  </w:style>
  <w:style w:type="paragraph" w:customStyle="1" w:styleId="00C13533AF544F00B98917C9650A1012">
    <w:name w:val="00C13533AF544F00B98917C9650A1012"/>
  </w:style>
  <w:style w:type="paragraph" w:customStyle="1" w:styleId="64CD6F53CFA7432097BD612E538FEFF5">
    <w:name w:val="64CD6F53CFA7432097BD612E538FEFF5"/>
  </w:style>
  <w:style w:type="paragraph" w:customStyle="1" w:styleId="22D02F9B95EC49D5AA61006FE58CA28F">
    <w:name w:val="22D02F9B95EC49D5AA61006FE58CA28F"/>
  </w:style>
  <w:style w:type="paragraph" w:customStyle="1" w:styleId="7B8CFE69C3E44B86B1054F19A213593F">
    <w:name w:val="7B8CFE69C3E44B86B1054F19A213593F"/>
  </w:style>
  <w:style w:type="paragraph" w:customStyle="1" w:styleId="261B33DC36FD4624B661926E68D4F8AC">
    <w:name w:val="261B33DC36FD4624B661926E68D4F8AC"/>
  </w:style>
  <w:style w:type="paragraph" w:customStyle="1" w:styleId="E49B7FE5FF58466FB0F64729A603B122">
    <w:name w:val="E49B7FE5FF58466FB0F64729A603B122"/>
  </w:style>
  <w:style w:type="paragraph" w:customStyle="1" w:styleId="2A5E24D3323E40B09A77A6BD7D793544">
    <w:name w:val="2A5E24D3323E40B09A77A6BD7D793544"/>
  </w:style>
  <w:style w:type="paragraph" w:customStyle="1" w:styleId="DAF84EFDD1EB455E82343B8CDDBE0185">
    <w:name w:val="DAF84EFDD1EB455E82343B8CDDBE0185"/>
  </w:style>
  <w:style w:type="character" w:styleId="PlaceholderText">
    <w:name w:val="Placeholder Text"/>
    <w:basedOn w:val="DefaultParagraphFont"/>
    <w:uiPriority w:val="99"/>
    <w:semiHidden/>
    <w:rPr>
      <w:color w:val="808080"/>
    </w:rPr>
  </w:style>
  <w:style w:type="paragraph" w:customStyle="1" w:styleId="BBA4063175E2456FB602DC200748F61B">
    <w:name w:val="BBA4063175E2456FB602DC200748F61B"/>
  </w:style>
  <w:style w:type="paragraph" w:customStyle="1" w:styleId="A83E8A4711B04C3F9AD2E683BD2B1C5D">
    <w:name w:val="A83E8A4711B04C3F9AD2E683BD2B1C5D"/>
  </w:style>
  <w:style w:type="paragraph" w:customStyle="1" w:styleId="A000DC29940545FB8214E0270FDAD92C">
    <w:name w:val="A000DC29940545FB8214E0270FDAD92C"/>
  </w:style>
  <w:style w:type="paragraph" w:customStyle="1" w:styleId="33B94DAB84AD411288F7EDBD337091F5">
    <w:name w:val="33B94DAB84AD411288F7EDBD337091F5"/>
  </w:style>
  <w:style w:type="paragraph" w:customStyle="1" w:styleId="1983B8F7A24443EF8325F90C12D8724D">
    <w:name w:val="1983B8F7A24443EF8325F90C12D8724D"/>
    <w:rsid w:val="00F7597D"/>
  </w:style>
  <w:style w:type="paragraph" w:customStyle="1" w:styleId="706444415F9C4C1DB14CC1CF3B59BDBF">
    <w:name w:val="706444415F9C4C1DB14CC1CF3B59BDBF"/>
    <w:rsid w:val="00F7597D"/>
  </w:style>
  <w:style w:type="paragraph" w:customStyle="1" w:styleId="56C4381C5F504FD9A24857A6366BD96F">
    <w:name w:val="56C4381C5F504FD9A24857A6366BD96F"/>
    <w:rsid w:val="00A8326A"/>
  </w:style>
  <w:style w:type="paragraph" w:customStyle="1" w:styleId="C8D7C817024D4A898BF10FF7759BD52F">
    <w:name w:val="C8D7C817024D4A898BF10FF7759BD52F"/>
    <w:rsid w:val="00A8326A"/>
  </w:style>
  <w:style w:type="paragraph" w:customStyle="1" w:styleId="3091E638D63C47E583BABC1130D27005">
    <w:name w:val="3091E638D63C47E583BABC1130D27005"/>
    <w:rsid w:val="00A8326A"/>
  </w:style>
  <w:style w:type="paragraph" w:customStyle="1" w:styleId="C5FF114243704C8D813DD5615B52E97C">
    <w:name w:val="C5FF114243704C8D813DD5615B52E97C"/>
    <w:rsid w:val="00A8326A"/>
  </w:style>
  <w:style w:type="paragraph" w:customStyle="1" w:styleId="577D622BAE7F4568ABD5A7B47939C440">
    <w:name w:val="577D622BAE7F4568ABD5A7B47939C440"/>
    <w:rsid w:val="00A8326A"/>
  </w:style>
  <w:style w:type="paragraph" w:customStyle="1" w:styleId="D2C7F3B90CC54738985AB0ED5239F280">
    <w:name w:val="D2C7F3B90CC54738985AB0ED5239F280"/>
    <w:rsid w:val="00A8326A"/>
  </w:style>
  <w:style w:type="paragraph" w:customStyle="1" w:styleId="20854304717240BE8C06F000162762D9">
    <w:name w:val="20854304717240BE8C06F000162762D9"/>
    <w:rsid w:val="00A8326A"/>
  </w:style>
  <w:style w:type="paragraph" w:customStyle="1" w:styleId="E5F2071278FB4CA98AE706835753D929">
    <w:name w:val="E5F2071278FB4CA98AE706835753D929"/>
    <w:rsid w:val="00A8326A"/>
  </w:style>
  <w:style w:type="paragraph" w:customStyle="1" w:styleId="03211CFE8B4B43EB987270B6417C9DC6">
    <w:name w:val="03211CFE8B4B43EB987270B6417C9DC6"/>
    <w:rsid w:val="00A8326A"/>
  </w:style>
  <w:style w:type="paragraph" w:customStyle="1" w:styleId="C663251497584CA7BD13F3233BE76818">
    <w:name w:val="C663251497584CA7BD13F3233BE76818"/>
    <w:rsid w:val="00A8326A"/>
  </w:style>
  <w:style w:type="paragraph" w:customStyle="1" w:styleId="8DD41BB347634FF09ADFFA24E2C57BE8">
    <w:name w:val="8DD41BB347634FF09ADFFA24E2C57BE8"/>
    <w:rsid w:val="00A8326A"/>
  </w:style>
  <w:style w:type="paragraph" w:customStyle="1" w:styleId="5ECAC8E621854B8EAA204ACD8EAF65A7">
    <w:name w:val="5ECAC8E621854B8EAA204ACD8EAF65A7"/>
    <w:rsid w:val="00A8326A"/>
  </w:style>
  <w:style w:type="paragraph" w:customStyle="1" w:styleId="E86D23F3DDC94E4E9BCC49F462708DDB">
    <w:name w:val="E86D23F3DDC94E4E9BCC49F462708DDB"/>
    <w:rsid w:val="00A8326A"/>
  </w:style>
  <w:style w:type="paragraph" w:customStyle="1" w:styleId="F57AD7696B4F467081D19E17BC04C5A0">
    <w:name w:val="F57AD7696B4F467081D19E17BC04C5A0"/>
    <w:rsid w:val="00A8326A"/>
  </w:style>
  <w:style w:type="paragraph" w:customStyle="1" w:styleId="2148D197175541CEB3EE9D3629757065">
    <w:name w:val="2148D197175541CEB3EE9D3629757065"/>
    <w:rsid w:val="00A8326A"/>
  </w:style>
  <w:style w:type="paragraph" w:customStyle="1" w:styleId="2FF7F28B3918477C82DD4B8AD4D56C3B">
    <w:name w:val="2FF7F28B3918477C82DD4B8AD4D56C3B"/>
    <w:rsid w:val="00A8326A"/>
  </w:style>
  <w:style w:type="paragraph" w:customStyle="1" w:styleId="CD9922E697354E07B4D96B76D2CBE0C1">
    <w:name w:val="CD9922E697354E07B4D96B76D2CBE0C1"/>
    <w:rsid w:val="00A8326A"/>
  </w:style>
  <w:style w:type="paragraph" w:customStyle="1" w:styleId="E78856EF57AF402F965E65903B359E63">
    <w:name w:val="E78856EF57AF402F965E65903B359E63"/>
    <w:rsid w:val="00A8326A"/>
  </w:style>
  <w:style w:type="paragraph" w:customStyle="1" w:styleId="FE543BF7A0364F2EB58039CF6C876709">
    <w:name w:val="FE543BF7A0364F2EB58039CF6C876709"/>
    <w:rsid w:val="00A8326A"/>
  </w:style>
  <w:style w:type="paragraph" w:customStyle="1" w:styleId="3C930149C5D64B9C9F37ABDFC48B32E2">
    <w:name w:val="3C930149C5D64B9C9F37ABDFC48B32E2"/>
    <w:rsid w:val="00A8326A"/>
  </w:style>
  <w:style w:type="paragraph" w:customStyle="1" w:styleId="A98D95D46F9B4260A193E3AADCBBD63F">
    <w:name w:val="A98D95D46F9B4260A193E3AADCBBD63F"/>
    <w:rsid w:val="00A8326A"/>
  </w:style>
  <w:style w:type="paragraph" w:customStyle="1" w:styleId="FF6C92B61A2D41F3ABA78BA4483E78B1">
    <w:name w:val="FF6C92B61A2D41F3ABA78BA4483E78B1"/>
    <w:rsid w:val="00A8326A"/>
  </w:style>
  <w:style w:type="paragraph" w:customStyle="1" w:styleId="674082AFFC85477CB71EEF3CEB4FEDEF">
    <w:name w:val="674082AFFC85477CB71EEF3CEB4FEDEF"/>
    <w:rsid w:val="00A8326A"/>
  </w:style>
  <w:style w:type="paragraph" w:customStyle="1" w:styleId="BE0250783B664F6FB5094CE2D00E0C01">
    <w:name w:val="BE0250783B664F6FB5094CE2D00E0C01"/>
    <w:rsid w:val="00A8326A"/>
  </w:style>
  <w:style w:type="paragraph" w:customStyle="1" w:styleId="7913043FADE546B08DFDE456C33D88AF">
    <w:name w:val="7913043FADE546B08DFDE456C33D88AF"/>
    <w:rsid w:val="00A8326A"/>
  </w:style>
  <w:style w:type="paragraph" w:customStyle="1" w:styleId="EBD59B8F030840E7BE5875856F594F0E">
    <w:name w:val="EBD59B8F030840E7BE5875856F594F0E"/>
    <w:rsid w:val="00A8326A"/>
  </w:style>
  <w:style w:type="paragraph" w:customStyle="1" w:styleId="3A4121E55BFF483E80476930D365480F">
    <w:name w:val="3A4121E55BFF483E80476930D365480F"/>
    <w:rsid w:val="00A8326A"/>
  </w:style>
  <w:style w:type="paragraph" w:customStyle="1" w:styleId="792688B3AFB54A0C9AB67A9D940C1367">
    <w:name w:val="792688B3AFB54A0C9AB67A9D940C1367"/>
    <w:rsid w:val="00A8326A"/>
  </w:style>
  <w:style w:type="paragraph" w:customStyle="1" w:styleId="2D20430B63D34476878814B28444574B">
    <w:name w:val="2D20430B63D34476878814B28444574B"/>
    <w:rsid w:val="00A8326A"/>
  </w:style>
  <w:style w:type="paragraph" w:customStyle="1" w:styleId="3890D351035B47228A3D0D59A40BDCF1">
    <w:name w:val="3890D351035B47228A3D0D59A40BDCF1"/>
    <w:rsid w:val="00A8326A"/>
  </w:style>
  <w:style w:type="paragraph" w:customStyle="1" w:styleId="D632DDAD5C7C48A1AF469AB3DBD258F2">
    <w:name w:val="D632DDAD5C7C48A1AF469AB3DBD258F2"/>
    <w:rsid w:val="00A8326A"/>
  </w:style>
  <w:style w:type="paragraph" w:customStyle="1" w:styleId="AE12B837E7D040A38A73429C919CFC8E">
    <w:name w:val="AE12B837E7D040A38A73429C919CFC8E"/>
    <w:rsid w:val="00A8326A"/>
  </w:style>
  <w:style w:type="paragraph" w:customStyle="1" w:styleId="731AA4A0D9D04D39AAED521A753D7AEF">
    <w:name w:val="731AA4A0D9D04D39AAED521A753D7AEF"/>
    <w:rsid w:val="00A8326A"/>
  </w:style>
  <w:style w:type="paragraph" w:customStyle="1" w:styleId="C633A0FDD7F64FEFB2C84E357F71B41E">
    <w:name w:val="C633A0FDD7F64FEFB2C84E357F71B41E"/>
    <w:rsid w:val="00A8326A"/>
  </w:style>
  <w:style w:type="paragraph" w:customStyle="1" w:styleId="BEDBCB49308F416F9AEBAC71A9F3C670">
    <w:name w:val="BEDBCB49308F416F9AEBAC71A9F3C670"/>
    <w:rsid w:val="006814ED"/>
  </w:style>
  <w:style w:type="paragraph" w:customStyle="1" w:styleId="79796767627D42DB88A61DD8D425AC60">
    <w:name w:val="79796767627D42DB88A61DD8D425AC60"/>
    <w:rsid w:val="006814ED"/>
  </w:style>
  <w:style w:type="paragraph" w:customStyle="1" w:styleId="B4FBC3BD7FB542DE889C703C5173B711">
    <w:name w:val="B4FBC3BD7FB542DE889C703C5173B711"/>
    <w:rsid w:val="006814ED"/>
  </w:style>
  <w:style w:type="paragraph" w:customStyle="1" w:styleId="977826DD36434865A0F6E39B3C7CF500">
    <w:name w:val="977826DD36434865A0F6E39B3C7CF500"/>
    <w:rsid w:val="006814ED"/>
  </w:style>
  <w:style w:type="paragraph" w:customStyle="1" w:styleId="B69000BD7A8D4D3C8009F09F59A860D2">
    <w:name w:val="B69000BD7A8D4D3C8009F09F59A860D2"/>
    <w:rsid w:val="006814ED"/>
  </w:style>
  <w:style w:type="paragraph" w:customStyle="1" w:styleId="87CA2A3D8F2249CCA45860BA1D73AFFE">
    <w:name w:val="87CA2A3D8F2249CCA45860BA1D73AFFE"/>
    <w:rsid w:val="006814ED"/>
  </w:style>
  <w:style w:type="paragraph" w:customStyle="1" w:styleId="D3D7A925787D4974BBA3382BB773278F">
    <w:name w:val="D3D7A925787D4974BBA3382BB773278F"/>
    <w:rsid w:val="000B5847"/>
  </w:style>
  <w:style w:type="paragraph" w:customStyle="1" w:styleId="3C65B306BCDB4D6D8A8D871306A23F17">
    <w:name w:val="3C65B306BCDB4D6D8A8D871306A23F17"/>
    <w:rsid w:val="000B5847"/>
  </w:style>
  <w:style w:type="paragraph" w:customStyle="1" w:styleId="8F498F2593504F4BACB0FBAB59D957D3">
    <w:name w:val="8F498F2593504F4BACB0FBAB59D957D3"/>
    <w:rsid w:val="000B5847"/>
  </w:style>
  <w:style w:type="paragraph" w:customStyle="1" w:styleId="8BBECD63D06F478491EF3E1C2ADE6E2F">
    <w:name w:val="8BBECD63D06F478491EF3E1C2ADE6E2F"/>
    <w:rsid w:val="000B5847"/>
  </w:style>
  <w:style w:type="paragraph" w:customStyle="1" w:styleId="26D00A9DB7C6415EAAC1215B1F1406AE">
    <w:name w:val="26D00A9DB7C6415EAAC1215B1F1406AE"/>
    <w:rsid w:val="00C832D9"/>
  </w:style>
  <w:style w:type="paragraph" w:customStyle="1" w:styleId="01A236B4365F486BA1F004A210B0EAEB">
    <w:name w:val="01A236B4365F486BA1F004A210B0EAEB"/>
    <w:rsid w:val="00C832D9"/>
  </w:style>
  <w:style w:type="paragraph" w:customStyle="1" w:styleId="4B09FA099E5B4AC0BEA1506F0273D354">
    <w:name w:val="4B09FA099E5B4AC0BEA1506F0273D354"/>
    <w:rsid w:val="00C832D9"/>
  </w:style>
  <w:style w:type="paragraph" w:customStyle="1" w:styleId="C7ACD2FC24044E48A47450C1533699ED">
    <w:name w:val="C7ACD2FC24044E48A47450C1533699ED"/>
    <w:rsid w:val="00C832D9"/>
  </w:style>
  <w:style w:type="paragraph" w:customStyle="1" w:styleId="806EA751EAA24262BB409489F03CC34F">
    <w:name w:val="806EA751EAA24262BB409489F03CC34F"/>
    <w:rsid w:val="00873161"/>
  </w:style>
  <w:style w:type="paragraph" w:customStyle="1" w:styleId="17B9D28161AB4401A84B106DD88B985F">
    <w:name w:val="17B9D28161AB4401A84B106DD88B985F"/>
    <w:rsid w:val="00873161"/>
  </w:style>
  <w:style w:type="paragraph" w:customStyle="1" w:styleId="DA219C22CCC14A1D85C2A925AEB2CDA0">
    <w:name w:val="DA219C22CCC14A1D85C2A925AEB2CDA0"/>
    <w:rsid w:val="00873161"/>
  </w:style>
  <w:style w:type="paragraph" w:customStyle="1" w:styleId="D8515C56F289452BBD7828B3C3755781">
    <w:name w:val="D8515C56F289452BBD7828B3C3755781"/>
    <w:rsid w:val="00873161"/>
  </w:style>
  <w:style w:type="paragraph" w:customStyle="1" w:styleId="E9862D7BE1844EDDAC6FF887D17F9CAB">
    <w:name w:val="E9862D7BE1844EDDAC6FF887D17F9CAB"/>
    <w:rsid w:val="00530A8B"/>
  </w:style>
  <w:style w:type="paragraph" w:customStyle="1" w:styleId="8C2758E806664DD0B7AEED05B42C718D">
    <w:name w:val="8C2758E806664DD0B7AEED05B42C718D"/>
    <w:rsid w:val="00530A8B"/>
  </w:style>
  <w:style w:type="paragraph" w:customStyle="1" w:styleId="D98A39DED8054960B72728FDAA3C5F5E">
    <w:name w:val="D98A39DED8054960B72728FDAA3C5F5E"/>
    <w:rsid w:val="00530A8B"/>
  </w:style>
  <w:style w:type="paragraph" w:customStyle="1" w:styleId="CB3B91348A7943BAAB846BED51025300">
    <w:name w:val="CB3B91348A7943BAAB846BED51025300"/>
    <w:rsid w:val="00530A8B"/>
  </w:style>
  <w:style w:type="paragraph" w:customStyle="1" w:styleId="FDCA4DA5E05D4DACB2616D815A815829">
    <w:name w:val="FDCA4DA5E05D4DACB2616D815A815829"/>
    <w:rsid w:val="00530A8B"/>
  </w:style>
  <w:style w:type="paragraph" w:customStyle="1" w:styleId="55B7FFE095AF443B948C47C4CF5F3DFB">
    <w:name w:val="55B7FFE095AF443B948C47C4CF5F3DFB"/>
    <w:rsid w:val="00530A8B"/>
  </w:style>
  <w:style w:type="paragraph" w:customStyle="1" w:styleId="3259A203C79F40F5A662B1D0135506F5">
    <w:name w:val="3259A203C79F40F5A662B1D0135506F5"/>
    <w:rsid w:val="00F9363F"/>
  </w:style>
  <w:style w:type="paragraph" w:customStyle="1" w:styleId="1BC44FA201894011881F6CCF32956F94">
    <w:name w:val="1BC44FA201894011881F6CCF32956F94"/>
    <w:rsid w:val="00F9363F"/>
  </w:style>
  <w:style w:type="paragraph" w:customStyle="1" w:styleId="65BBFB58EF204033AEFB20153405A8D7">
    <w:name w:val="65BBFB58EF204033AEFB20153405A8D7"/>
    <w:rsid w:val="00F9363F"/>
  </w:style>
  <w:style w:type="paragraph" w:customStyle="1" w:styleId="F9B4E5BE8ADA480D94CF78388A5D95E6">
    <w:name w:val="F9B4E5BE8ADA480D94CF78388A5D95E6"/>
    <w:rsid w:val="00F93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9A4C-2264-49FD-B00A-B6E32FF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36</Pages>
  <Words>10394</Words>
  <Characters>59247</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69502</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Bond</dc:creator>
  <cp:lastModifiedBy>Heather Cook</cp:lastModifiedBy>
  <cp:revision>80</cp:revision>
  <cp:lastPrinted>2019-04-28T23:30:00Z</cp:lastPrinted>
  <dcterms:created xsi:type="dcterms:W3CDTF">2018-10-16T03:17:00Z</dcterms:created>
  <dcterms:modified xsi:type="dcterms:W3CDTF">2019-04-29T00:03:00Z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