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C4F8" w14:textId="77777777" w:rsidR="002E2411" w:rsidRDefault="00815CAD" w:rsidP="002F62EC">
      <w:pPr>
        <w:pStyle w:val="BodyAR"/>
        <w:spacing w:after="2500"/>
        <w:jc w:val="right"/>
      </w:pPr>
      <w:bookmarkStart w:id="0" w:name="_Toc58149986"/>
      <w:bookmarkStart w:id="1" w:name="_Toc41659991"/>
      <w:r>
        <w:pict w14:anchorId="5021C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75.5pt">
            <v:imagedata r:id="rId8" o:title="CAV_Logo_CMYK_Grey"/>
          </v:shape>
        </w:pict>
      </w:r>
    </w:p>
    <w:p w14:paraId="5021C4F9" w14:textId="77777777" w:rsidR="00367E1D" w:rsidRPr="00193FB7" w:rsidRDefault="00367E1D" w:rsidP="00193FB7">
      <w:pPr>
        <w:pStyle w:val="Heading1"/>
      </w:pPr>
      <w:r w:rsidRPr="00193FB7">
        <w:t>Consumer Affairs Victoria</w:t>
      </w:r>
    </w:p>
    <w:p w14:paraId="5021C4FA" w14:textId="77777777" w:rsidR="00A34045" w:rsidRDefault="00286A3B" w:rsidP="00193FB7">
      <w:pPr>
        <w:pStyle w:val="Heading1"/>
      </w:pPr>
      <w:r>
        <w:t>Report on Operations</w:t>
      </w:r>
      <w:r w:rsidR="000714E5" w:rsidRPr="00193FB7">
        <w:t xml:space="preserve"> 2014-15</w:t>
      </w:r>
    </w:p>
    <w:p w14:paraId="5021C4FB" w14:textId="77777777" w:rsidR="00286A3B" w:rsidRPr="00286A3B" w:rsidRDefault="00286A3B" w:rsidP="00286A3B">
      <w:pPr>
        <w:pStyle w:val="Heading1"/>
        <w:rPr>
          <w:rStyle w:val="Emphasis"/>
        </w:rPr>
      </w:pPr>
      <w:r w:rsidRPr="00286A3B">
        <w:rPr>
          <w:rStyle w:val="Emphasis"/>
        </w:rPr>
        <w:t>Making markets fair</w:t>
      </w:r>
    </w:p>
    <w:p w14:paraId="5021C4FC" w14:textId="77777777" w:rsidR="006A321B" w:rsidRPr="006A321B" w:rsidRDefault="00815CAD" w:rsidP="00E7343A">
      <w:pPr>
        <w:pStyle w:val="BodyAR"/>
        <w:spacing w:before="7000"/>
        <w:jc w:val="right"/>
        <w:rPr>
          <w:rFonts w:eastAsia="MS Mincho"/>
          <w:lang w:val="en-US"/>
        </w:rPr>
      </w:pPr>
      <w:r>
        <w:pict w14:anchorId="5021CA25">
          <v:shape id="_x0000_i1026" type="#_x0000_t75" alt="Logo: Victoria State Government" style="width:65pt;height:37pt">
            <v:imagedata r:id="rId9" o:title="VIC_GOV_LOGO_FA_BLACK 13mm high for A4"/>
          </v:shape>
        </w:pict>
      </w:r>
    </w:p>
    <w:p w14:paraId="5021C4FD" w14:textId="77777777" w:rsidR="003E5059" w:rsidRPr="00F72367" w:rsidRDefault="00E7343A" w:rsidP="003E5059">
      <w:pPr>
        <w:pStyle w:val="BodyAR"/>
      </w:pPr>
      <w:bookmarkStart w:id="2" w:name="_Toc428733252"/>
      <w:bookmarkEnd w:id="0"/>
      <w:bookmarkEnd w:id="1"/>
      <w:r>
        <w:br w:type="page"/>
      </w:r>
      <w:r w:rsidR="003E5059" w:rsidRPr="00F72367">
        <w:lastRenderedPageBreak/>
        <w:t>Dear Minister</w:t>
      </w:r>
    </w:p>
    <w:p w14:paraId="5021C4FE" w14:textId="77777777" w:rsidR="003E5059" w:rsidRPr="00F72367" w:rsidRDefault="003E5059" w:rsidP="003E5059">
      <w:pPr>
        <w:pStyle w:val="BodyAR"/>
      </w:pPr>
      <w:r w:rsidRPr="00F72367">
        <w:t xml:space="preserve">In accordance with the </w:t>
      </w:r>
      <w:r w:rsidRPr="00F72367">
        <w:rPr>
          <w:rStyle w:val="Emphasis"/>
        </w:rPr>
        <w:t>Australian Consumer Law and Fair Trading Act 2012</w:t>
      </w:r>
      <w:r w:rsidRPr="00F72367">
        <w:t xml:space="preserve">, the </w:t>
      </w:r>
      <w:r w:rsidRPr="00F72367">
        <w:rPr>
          <w:rStyle w:val="Emphasis"/>
        </w:rPr>
        <w:t>Credit (Administration) Act 1984</w:t>
      </w:r>
      <w:r w:rsidRPr="00F72367">
        <w:t xml:space="preserve"> and the </w:t>
      </w:r>
      <w:r w:rsidRPr="00F72367">
        <w:rPr>
          <w:rStyle w:val="Emphasis"/>
        </w:rPr>
        <w:t>Veterans Act 2005</w:t>
      </w:r>
      <w:r w:rsidRPr="00F72367">
        <w:t>, I have pleasure in submitting the Consumer Affairs Victoria Report on Operations for the year ended 30 June 2015, for you to present to the Houses of Parliament.</w:t>
      </w:r>
    </w:p>
    <w:p w14:paraId="5021C4FF" w14:textId="77777777" w:rsidR="003E5059" w:rsidRPr="00F72367" w:rsidRDefault="003E5059" w:rsidP="003E5059">
      <w:pPr>
        <w:pStyle w:val="BodyAR"/>
      </w:pPr>
      <w:r w:rsidRPr="00F72367">
        <w:t>Yours sincerely</w:t>
      </w:r>
    </w:p>
    <w:p w14:paraId="5021C500" w14:textId="77777777" w:rsidR="003E5059" w:rsidRPr="00F72367" w:rsidRDefault="00815CAD" w:rsidP="003E5059">
      <w:pPr>
        <w:pStyle w:val="BodyAR"/>
      </w:pPr>
      <w:r>
        <w:rPr>
          <w:noProof/>
        </w:rPr>
        <w:pict w14:anchorId="5021CA26">
          <v:shape id="Picture 14" o:spid="_x0000_i1027" type="#_x0000_t75" alt="Simon Cohen signature" style="width:71pt;height:41.5pt;visibility:visible">
            <v:imagedata r:id="rId10" o:title="Simon Cohen signature"/>
          </v:shape>
        </w:pict>
      </w:r>
    </w:p>
    <w:p w14:paraId="5021C501" w14:textId="77777777" w:rsidR="003E5059" w:rsidRPr="00F72367" w:rsidRDefault="003E5059" w:rsidP="003E5059">
      <w:pPr>
        <w:pStyle w:val="BodyAR"/>
      </w:pPr>
      <w:r w:rsidRPr="00F72367">
        <w:rPr>
          <w:rStyle w:val="Strong"/>
        </w:rPr>
        <w:t>Simon Cohen</w:t>
      </w:r>
      <w:r w:rsidRPr="00F72367">
        <w:br/>
        <w:t>Director</w:t>
      </w:r>
      <w:r w:rsidRPr="00F72367">
        <w:br/>
        <w:t>Consumer Affairs Victoria</w:t>
      </w:r>
    </w:p>
    <w:p w14:paraId="5021C502" w14:textId="77777777" w:rsidR="003E5059" w:rsidRPr="00F72367" w:rsidRDefault="00815CAD" w:rsidP="003E5059">
      <w:pPr>
        <w:pStyle w:val="BodyImage"/>
        <w:spacing w:before="600"/>
      </w:pPr>
      <w:r>
        <w:rPr>
          <w:noProof/>
        </w:rPr>
        <w:pict w14:anchorId="5021CA27">
          <v:shape id="Picture 13" o:spid="_x0000_i1028" type="#_x0000_t75" alt="The Hon Jane Garrett MP" style="width:227.5pt;height:207pt;visibility:visible">
            <v:imagedata r:id="rId11" o:title="The Hon Jane Garrett MP"/>
          </v:shape>
        </w:pict>
      </w:r>
    </w:p>
    <w:p w14:paraId="5021C503" w14:textId="77777777" w:rsidR="003E5059" w:rsidRPr="00F72367" w:rsidRDefault="003E5059" w:rsidP="003E5059">
      <w:pPr>
        <w:pStyle w:val="BodyAR"/>
      </w:pPr>
      <w:r w:rsidRPr="00F72367">
        <w:rPr>
          <w:b/>
        </w:rPr>
        <w:t>The Hon. Jane Garrett MP</w:t>
      </w:r>
      <w:r w:rsidRPr="00F72367">
        <w:br/>
        <w:t>Minister for Consumer Affairs, Gaming and Liquor Regulation</w:t>
      </w:r>
    </w:p>
    <w:p w14:paraId="5021C504" w14:textId="77777777" w:rsidR="003E5059" w:rsidRPr="00F72367" w:rsidRDefault="003E5059" w:rsidP="004063AE">
      <w:pPr>
        <w:pStyle w:val="Heading2"/>
      </w:pPr>
      <w:bookmarkStart w:id="3" w:name="_Toc432081448"/>
      <w:r w:rsidRPr="00F72367">
        <w:lastRenderedPageBreak/>
        <w:t>Director’s Foreword</w:t>
      </w:r>
      <w:bookmarkEnd w:id="3"/>
    </w:p>
    <w:p w14:paraId="5021C505" w14:textId="77777777" w:rsidR="003E5059" w:rsidRPr="00F72367" w:rsidRDefault="00815CAD" w:rsidP="003E5059">
      <w:pPr>
        <w:pStyle w:val="BodyAR"/>
      </w:pPr>
      <w:bookmarkStart w:id="4" w:name="_Toc58149987"/>
      <w:r>
        <w:rPr>
          <w:noProof/>
        </w:rPr>
        <w:pict w14:anchorId="5021CA28">
          <v:shape id="Picture 12" o:spid="_x0000_i1029" type="#_x0000_t75" alt="Simon Cohen, Director, Consumer Affairs Victoria" style="width:226pt;height:223pt;visibility:visible">
            <v:imagedata r:id="rId12" o:title="Simon Cohen, Director, Consumer Affairs Victoria"/>
          </v:shape>
        </w:pict>
      </w:r>
    </w:p>
    <w:p w14:paraId="5021C506" w14:textId="77777777" w:rsidR="003E5059" w:rsidRPr="00F72367" w:rsidRDefault="003E5059" w:rsidP="003E5059">
      <w:pPr>
        <w:pStyle w:val="BodyAR"/>
      </w:pPr>
      <w:r w:rsidRPr="00F72367">
        <w:t xml:space="preserve">I am pleased to present the Consumer Affairs Victoria (CAV) </w:t>
      </w:r>
      <w:r w:rsidRPr="00F72367">
        <w:rPr>
          <w:rStyle w:val="Emphasis"/>
        </w:rPr>
        <w:t xml:space="preserve">Report on Operations </w:t>
      </w:r>
      <w:r w:rsidRPr="00F72367">
        <w:t>2014-15, demonstrating another year of achievement in ensuring a fair and competitive marketplace in Victoria.</w:t>
      </w:r>
    </w:p>
    <w:p w14:paraId="5021C507" w14:textId="77777777" w:rsidR="003E5059" w:rsidRPr="00F72367" w:rsidRDefault="003E5059" w:rsidP="003E5059">
      <w:pPr>
        <w:pStyle w:val="BodyAR"/>
      </w:pPr>
      <w:r w:rsidRPr="00F72367">
        <w:t>The report provides information about the advice and services we have provided to hundreds of thousands of Victorian consumers, businesses, tenants and landlords. We also report on the significant compliance and enforcement actions taken to promote business conformance with consumer protection laws. In addition, we record the registration and licensing transactions that enable the effective operations of businesses and associations. In all, we have provided close to one million discrete services to the Victorian community.</w:t>
      </w:r>
    </w:p>
    <w:p w14:paraId="5021C508" w14:textId="77777777" w:rsidR="003E5059" w:rsidRPr="00F72367" w:rsidRDefault="003E5059" w:rsidP="003E5059">
      <w:pPr>
        <w:pStyle w:val="BodyAR"/>
      </w:pPr>
      <w:r w:rsidRPr="00F72367">
        <w:t xml:space="preserve">The </w:t>
      </w:r>
      <w:r w:rsidRPr="00F72367">
        <w:rPr>
          <w:rStyle w:val="Emphasis"/>
        </w:rPr>
        <w:t>Report on Operations</w:t>
      </w:r>
      <w:r w:rsidRPr="00F72367">
        <w:t xml:space="preserve"> reflects our focus in providing digital services. Almost three million visits to our website, and thousands of downloads of our apps demonstrate the demand for effective online regulation services. These complement our increasing use of social media to inform consumers, businesses, tenants and landlords of their rights and responsibilities. We continue to maintain a digital first approach to all our communications.</w:t>
      </w:r>
    </w:p>
    <w:p w14:paraId="5021C509" w14:textId="77777777" w:rsidR="003E5059" w:rsidRPr="00F72367" w:rsidRDefault="003E5059" w:rsidP="003E5059">
      <w:pPr>
        <w:pStyle w:val="BodyAR"/>
      </w:pPr>
      <w:r w:rsidRPr="00F72367">
        <w:t>And at the pointy end, we have focused on using the full range of regulatory tools, including undertakings and court actions, to address serious wrong conduct by businesses and significant breaches of consumer protection laws.</w:t>
      </w:r>
    </w:p>
    <w:p w14:paraId="5021C50A" w14:textId="77777777" w:rsidR="003E5059" w:rsidRPr="00F72367" w:rsidRDefault="003E5059" w:rsidP="003E5059">
      <w:pPr>
        <w:pStyle w:val="BodyAR"/>
      </w:pPr>
      <w:r w:rsidRPr="00F72367">
        <w:t>In addition to these activities, we have taken a lead in ensuring an effective consumer protection framework, through activities such as our Better Business Initiative</w:t>
      </w:r>
      <w:r w:rsidRPr="00F72367">
        <w:rPr>
          <w:rStyle w:val="Emphasis"/>
        </w:rPr>
        <w:t xml:space="preserve"> </w:t>
      </w:r>
      <w:r w:rsidRPr="00F72367">
        <w:t>and by leading a national credit card chargebacks project.</w:t>
      </w:r>
    </w:p>
    <w:p w14:paraId="5021C50B" w14:textId="77777777" w:rsidR="003E5059" w:rsidRPr="00F72367" w:rsidRDefault="003E5059" w:rsidP="003E5059">
      <w:pPr>
        <w:pStyle w:val="BodyAR"/>
      </w:pPr>
      <w:r w:rsidRPr="00F72367">
        <w:t xml:space="preserve">In June 2015, Consumer Affairs Minister Jane Garrett launched </w:t>
      </w:r>
      <w:r w:rsidRPr="00F72367">
        <w:rPr>
          <w:rStyle w:val="Emphasis"/>
        </w:rPr>
        <w:t>Fairer, Safer Housing</w:t>
      </w:r>
      <w:r w:rsidRPr="00F72367">
        <w:t xml:space="preserve">, an initiative which centres on a review of the </w:t>
      </w:r>
      <w:r w:rsidRPr="00F72367">
        <w:rPr>
          <w:rStyle w:val="Emphasis"/>
        </w:rPr>
        <w:t>Residential Tenancies Act 1997</w:t>
      </w:r>
      <w:r w:rsidRPr="00F72367">
        <w:t xml:space="preserve">, the primary consumer protection law for Victorians living in rental housing. We are extremely pleased to lead this review, and the response to our initial consultation paper, </w:t>
      </w:r>
      <w:r w:rsidRPr="00F72367">
        <w:rPr>
          <w:rStyle w:val="Emphasis"/>
        </w:rPr>
        <w:t>Laying the Groundwork</w:t>
      </w:r>
      <w:r w:rsidRPr="00F72367">
        <w:t>, has demonstrated the strong interest of the Victorian community in this important work.</w:t>
      </w:r>
    </w:p>
    <w:p w14:paraId="5021C50C" w14:textId="77777777" w:rsidR="003E5059" w:rsidRPr="00F72367" w:rsidRDefault="003E5059" w:rsidP="003E5059">
      <w:pPr>
        <w:pStyle w:val="BodyAR"/>
      </w:pPr>
      <w:r w:rsidRPr="00F72367">
        <w:t xml:space="preserve">The </w:t>
      </w:r>
      <w:r w:rsidRPr="00F72367">
        <w:rPr>
          <w:rStyle w:val="Emphasis"/>
        </w:rPr>
        <w:t>Report on Operations</w:t>
      </w:r>
      <w:r w:rsidRPr="00F72367">
        <w:t xml:space="preserve"> provides data to the community about our services. The Report is complemented by our first </w:t>
      </w:r>
      <w:r w:rsidRPr="00F72367">
        <w:rPr>
          <w:rStyle w:val="Emphasis"/>
        </w:rPr>
        <w:t>Year in Review</w:t>
      </w:r>
      <w:r w:rsidRPr="00F72367">
        <w:t xml:space="preserve">, available on the CAV website. The </w:t>
      </w:r>
      <w:r w:rsidRPr="00F72367">
        <w:rPr>
          <w:rStyle w:val="Emphasis"/>
        </w:rPr>
        <w:t>Year in Review</w:t>
      </w:r>
      <w:r w:rsidRPr="00F72367">
        <w:t xml:space="preserve"> has more detailed information about individual cases and activities in a digital format, to provide Victorians a full and accessible picture of </w:t>
      </w:r>
      <w:r w:rsidRPr="00F72367">
        <w:lastRenderedPageBreak/>
        <w:t xml:space="preserve">CAV and our role. The </w:t>
      </w:r>
      <w:r w:rsidRPr="00F72367">
        <w:rPr>
          <w:rStyle w:val="Emphasis"/>
        </w:rPr>
        <w:t>Year in Review</w:t>
      </w:r>
      <w:r w:rsidRPr="00F72367">
        <w:t xml:space="preserve"> can be viewed at</w:t>
      </w:r>
      <w:r w:rsidR="0067228A" w:rsidRPr="0067228A">
        <w:t xml:space="preserve"> </w:t>
      </w:r>
      <w:r w:rsidR="0067228A">
        <w:t xml:space="preserve">the </w:t>
      </w:r>
      <w:hyperlink r:id="rId13" w:history="1">
        <w:r w:rsidR="0067228A" w:rsidRPr="00400E97">
          <w:rPr>
            <w:rStyle w:val="Hyperlink"/>
          </w:rPr>
          <w:t>Annual report page on the Consumer Affairs Victoria website</w:t>
        </w:r>
      </w:hyperlink>
      <w:r w:rsidR="0067228A" w:rsidRPr="00F72367">
        <w:t xml:space="preserve"> </w:t>
      </w:r>
      <w:r w:rsidR="0067228A">
        <w:t>&lt;</w:t>
      </w:r>
      <w:r w:rsidR="0067228A" w:rsidRPr="00F72367">
        <w:t>www.consumer.vic.gov.au/annualreport</w:t>
      </w:r>
      <w:r w:rsidR="0067228A">
        <w:t>&gt;</w:t>
      </w:r>
      <w:r w:rsidRPr="00F72367">
        <w:t>.</w:t>
      </w:r>
    </w:p>
    <w:p w14:paraId="5021C50D" w14:textId="77777777" w:rsidR="003E5059" w:rsidRPr="00F72367" w:rsidRDefault="003E5059" w:rsidP="003E5059">
      <w:pPr>
        <w:pStyle w:val="BodyAR"/>
      </w:pPr>
      <w:r w:rsidRPr="00F72367">
        <w:t xml:space="preserve">March 2015 marked the departure of CAV’s longest-serving Director, Dr Claire Noone. Claire’s expertise in regulation and unwavering passion for supporting a fair marketplace in Victoria has left an indelible mark on our organisation. The achievements detailed in the </w:t>
      </w:r>
      <w:r w:rsidRPr="00F72367">
        <w:rPr>
          <w:rStyle w:val="Emphasis"/>
        </w:rPr>
        <w:t>Report on Operations</w:t>
      </w:r>
      <w:r w:rsidRPr="00F72367">
        <w:t xml:space="preserve"> and in our </w:t>
      </w:r>
      <w:r w:rsidRPr="00F72367">
        <w:rPr>
          <w:rStyle w:val="Emphasis"/>
        </w:rPr>
        <w:t>Year in Review</w:t>
      </w:r>
      <w:r w:rsidRPr="00F72367">
        <w:t xml:space="preserve"> are a testament to Claire’s commitment and success. It is also important that I acknowledge the great leadership of Phil D’Adamo and Elizabeth Lanyon, who acted in the Director role following Claire’s departure until I commenced on 31 August 2015.</w:t>
      </w:r>
    </w:p>
    <w:p w14:paraId="5021C50E" w14:textId="77777777" w:rsidR="003E5059" w:rsidRPr="00F72367" w:rsidRDefault="003E5059" w:rsidP="003E5059">
      <w:pPr>
        <w:pStyle w:val="BodyAR"/>
      </w:pPr>
      <w:r w:rsidRPr="00F72367">
        <w:t xml:space="preserve">The </w:t>
      </w:r>
      <w:r w:rsidRPr="00F72367">
        <w:rPr>
          <w:rStyle w:val="Emphasis"/>
        </w:rPr>
        <w:t>Report on Operations</w:t>
      </w:r>
      <w:r w:rsidRPr="00F72367">
        <w:t xml:space="preserve"> also reflects the commitment and passion of our staff across Victoria in ensuring businesses, consumers, tenants and landlords know about and play by the rules.</w:t>
      </w:r>
    </w:p>
    <w:p w14:paraId="5021C50F" w14:textId="77777777" w:rsidR="003E5059" w:rsidRPr="00F72367" w:rsidRDefault="003E5059" w:rsidP="003E5059">
      <w:pPr>
        <w:pStyle w:val="BodyAR"/>
      </w:pPr>
      <w:r w:rsidRPr="00F72367">
        <w:t>Our team has provided an outstanding service to the community in the past year.</w:t>
      </w:r>
    </w:p>
    <w:p w14:paraId="5021C510" w14:textId="77777777" w:rsidR="003E5059" w:rsidRPr="00F72367" w:rsidRDefault="00815CAD" w:rsidP="003E5059">
      <w:pPr>
        <w:pStyle w:val="BodyAR"/>
      </w:pPr>
      <w:r>
        <w:rPr>
          <w:noProof/>
        </w:rPr>
        <w:pict w14:anchorId="5021CA29">
          <v:shape id="Picture 11" o:spid="_x0000_i1030" type="#_x0000_t75" alt="Simon Cohen signature" style="width:71pt;height:41.5pt;visibility:visible">
            <v:imagedata r:id="rId10" o:title="Simon Cohen signature"/>
          </v:shape>
        </w:pict>
      </w:r>
    </w:p>
    <w:p w14:paraId="5021C511" w14:textId="77777777" w:rsidR="003E5059" w:rsidRPr="00F72367" w:rsidRDefault="003E5059" w:rsidP="003E5059">
      <w:pPr>
        <w:pStyle w:val="BodyAR"/>
      </w:pPr>
      <w:r w:rsidRPr="00395175">
        <w:rPr>
          <w:rStyle w:val="Strong"/>
        </w:rPr>
        <w:t>Simon Cohen</w:t>
      </w:r>
      <w:r>
        <w:br/>
      </w:r>
      <w:r w:rsidRPr="00F72367">
        <w:t>Director</w:t>
      </w:r>
      <w:r>
        <w:br/>
      </w:r>
      <w:r w:rsidRPr="00F72367">
        <w:t>Consumer Affairs Victoria</w:t>
      </w:r>
      <w:bookmarkEnd w:id="4"/>
    </w:p>
    <w:p w14:paraId="5021C512" w14:textId="77777777" w:rsidR="00A34045" w:rsidRPr="00D005F4" w:rsidRDefault="00A34045" w:rsidP="004063AE">
      <w:pPr>
        <w:pStyle w:val="TOCHeading1"/>
      </w:pPr>
      <w:r w:rsidRPr="00D005F4">
        <w:lastRenderedPageBreak/>
        <w:t>Contents</w:t>
      </w:r>
    </w:p>
    <w:p w14:paraId="5021C513" w14:textId="77777777" w:rsidR="00AD2738" w:rsidRPr="007F198F" w:rsidRDefault="002B5135">
      <w:pPr>
        <w:pStyle w:val="TOC1"/>
        <w:rPr>
          <w:b w:val="0"/>
          <w:noProof/>
          <w:szCs w:val="22"/>
          <w:lang w:eastAsia="en-AU"/>
        </w:rPr>
      </w:pPr>
      <w:r>
        <w:fldChar w:fldCharType="begin"/>
      </w:r>
      <w:r>
        <w:instrText xml:space="preserve"> TOC \h \z \t "Heading 2,1,Heading 3,2" </w:instrText>
      </w:r>
      <w:r>
        <w:fldChar w:fldCharType="separate"/>
      </w:r>
      <w:hyperlink w:anchor="_Toc432081448" w:history="1">
        <w:r w:rsidR="00AD2738" w:rsidRPr="001C5C0E">
          <w:rPr>
            <w:rStyle w:val="Hyperlink"/>
            <w:noProof/>
          </w:rPr>
          <w:t>Director’s Foreword</w:t>
        </w:r>
        <w:r w:rsidR="00AD2738">
          <w:rPr>
            <w:noProof/>
            <w:webHidden/>
          </w:rPr>
          <w:tab/>
        </w:r>
        <w:r w:rsidR="00AD2738">
          <w:rPr>
            <w:noProof/>
            <w:webHidden/>
          </w:rPr>
          <w:fldChar w:fldCharType="begin"/>
        </w:r>
        <w:r w:rsidR="00AD2738">
          <w:rPr>
            <w:noProof/>
            <w:webHidden/>
          </w:rPr>
          <w:instrText xml:space="preserve"> PAGEREF _Toc432081448 \h </w:instrText>
        </w:r>
        <w:r w:rsidR="00AD2738">
          <w:rPr>
            <w:noProof/>
            <w:webHidden/>
          </w:rPr>
        </w:r>
        <w:r w:rsidR="00AD2738">
          <w:rPr>
            <w:noProof/>
            <w:webHidden/>
          </w:rPr>
          <w:fldChar w:fldCharType="separate"/>
        </w:r>
        <w:r w:rsidR="00AD2738">
          <w:rPr>
            <w:noProof/>
            <w:webHidden/>
          </w:rPr>
          <w:t>3</w:t>
        </w:r>
        <w:r w:rsidR="00AD2738">
          <w:rPr>
            <w:noProof/>
            <w:webHidden/>
          </w:rPr>
          <w:fldChar w:fldCharType="end"/>
        </w:r>
      </w:hyperlink>
    </w:p>
    <w:p w14:paraId="5021C514" w14:textId="77777777" w:rsidR="00AD2738" w:rsidRPr="007F198F" w:rsidRDefault="00AD2738">
      <w:pPr>
        <w:pStyle w:val="TOC1"/>
        <w:rPr>
          <w:b w:val="0"/>
          <w:noProof/>
          <w:szCs w:val="22"/>
          <w:lang w:eastAsia="en-AU"/>
        </w:rPr>
      </w:pPr>
      <w:hyperlink w:anchor="_Toc432081449" w:history="1">
        <w:r w:rsidRPr="001C5C0E">
          <w:rPr>
            <w:rStyle w:val="Hyperlink"/>
            <w:noProof/>
          </w:rPr>
          <w:t>About us</w:t>
        </w:r>
        <w:r>
          <w:rPr>
            <w:noProof/>
            <w:webHidden/>
          </w:rPr>
          <w:tab/>
        </w:r>
        <w:r>
          <w:rPr>
            <w:noProof/>
            <w:webHidden/>
          </w:rPr>
          <w:fldChar w:fldCharType="begin"/>
        </w:r>
        <w:r>
          <w:rPr>
            <w:noProof/>
            <w:webHidden/>
          </w:rPr>
          <w:instrText xml:space="preserve"> PAGEREF _Toc432081449 \h </w:instrText>
        </w:r>
        <w:r>
          <w:rPr>
            <w:noProof/>
            <w:webHidden/>
          </w:rPr>
        </w:r>
        <w:r>
          <w:rPr>
            <w:noProof/>
            <w:webHidden/>
          </w:rPr>
          <w:fldChar w:fldCharType="separate"/>
        </w:r>
        <w:r>
          <w:rPr>
            <w:noProof/>
            <w:webHidden/>
          </w:rPr>
          <w:t>6</w:t>
        </w:r>
        <w:r>
          <w:rPr>
            <w:noProof/>
            <w:webHidden/>
          </w:rPr>
          <w:fldChar w:fldCharType="end"/>
        </w:r>
      </w:hyperlink>
    </w:p>
    <w:p w14:paraId="5021C515" w14:textId="77777777" w:rsidR="00AD2738" w:rsidRPr="007F198F" w:rsidRDefault="00AD2738">
      <w:pPr>
        <w:pStyle w:val="TOC2"/>
        <w:rPr>
          <w:szCs w:val="22"/>
          <w:lang w:eastAsia="en-AU"/>
        </w:rPr>
      </w:pPr>
      <w:hyperlink w:anchor="_Toc432081450" w:history="1">
        <w:r w:rsidRPr="001C5C0E">
          <w:rPr>
            <w:rStyle w:val="Hyperlink"/>
          </w:rPr>
          <w:t>Our vision</w:t>
        </w:r>
        <w:r>
          <w:rPr>
            <w:webHidden/>
          </w:rPr>
          <w:tab/>
        </w:r>
        <w:r>
          <w:rPr>
            <w:webHidden/>
          </w:rPr>
          <w:fldChar w:fldCharType="begin"/>
        </w:r>
        <w:r>
          <w:rPr>
            <w:webHidden/>
          </w:rPr>
          <w:instrText xml:space="preserve"> PAGEREF _Toc432081450 \h </w:instrText>
        </w:r>
        <w:r>
          <w:rPr>
            <w:webHidden/>
          </w:rPr>
        </w:r>
        <w:r>
          <w:rPr>
            <w:webHidden/>
          </w:rPr>
          <w:fldChar w:fldCharType="separate"/>
        </w:r>
        <w:r>
          <w:rPr>
            <w:webHidden/>
          </w:rPr>
          <w:t>6</w:t>
        </w:r>
        <w:r>
          <w:rPr>
            <w:webHidden/>
          </w:rPr>
          <w:fldChar w:fldCharType="end"/>
        </w:r>
      </w:hyperlink>
    </w:p>
    <w:p w14:paraId="5021C516" w14:textId="77777777" w:rsidR="00AD2738" w:rsidRPr="007F198F" w:rsidRDefault="00AD2738">
      <w:pPr>
        <w:pStyle w:val="TOC2"/>
        <w:rPr>
          <w:szCs w:val="22"/>
          <w:lang w:eastAsia="en-AU"/>
        </w:rPr>
      </w:pPr>
      <w:hyperlink w:anchor="_Toc432081451" w:history="1">
        <w:r w:rsidRPr="001C5C0E">
          <w:rPr>
            <w:rStyle w:val="Hyperlink"/>
          </w:rPr>
          <w:t>Our goals</w:t>
        </w:r>
        <w:r>
          <w:rPr>
            <w:webHidden/>
          </w:rPr>
          <w:tab/>
        </w:r>
        <w:r>
          <w:rPr>
            <w:webHidden/>
          </w:rPr>
          <w:fldChar w:fldCharType="begin"/>
        </w:r>
        <w:r>
          <w:rPr>
            <w:webHidden/>
          </w:rPr>
          <w:instrText xml:space="preserve"> PAGEREF _Toc432081451 \h </w:instrText>
        </w:r>
        <w:r>
          <w:rPr>
            <w:webHidden/>
          </w:rPr>
        </w:r>
        <w:r>
          <w:rPr>
            <w:webHidden/>
          </w:rPr>
          <w:fldChar w:fldCharType="separate"/>
        </w:r>
        <w:r>
          <w:rPr>
            <w:webHidden/>
          </w:rPr>
          <w:t>6</w:t>
        </w:r>
        <w:r>
          <w:rPr>
            <w:webHidden/>
          </w:rPr>
          <w:fldChar w:fldCharType="end"/>
        </w:r>
      </w:hyperlink>
    </w:p>
    <w:p w14:paraId="5021C517" w14:textId="77777777" w:rsidR="00AD2738" w:rsidRPr="007F198F" w:rsidRDefault="00AD2738">
      <w:pPr>
        <w:pStyle w:val="TOC2"/>
        <w:rPr>
          <w:szCs w:val="22"/>
          <w:lang w:eastAsia="en-AU"/>
        </w:rPr>
      </w:pPr>
      <w:hyperlink w:anchor="_Toc432081452" w:history="1">
        <w:r w:rsidRPr="001C5C0E">
          <w:rPr>
            <w:rStyle w:val="Hyperlink"/>
          </w:rPr>
          <w:t>Our functions</w:t>
        </w:r>
        <w:r>
          <w:rPr>
            <w:webHidden/>
          </w:rPr>
          <w:tab/>
        </w:r>
        <w:r>
          <w:rPr>
            <w:webHidden/>
          </w:rPr>
          <w:fldChar w:fldCharType="begin"/>
        </w:r>
        <w:r>
          <w:rPr>
            <w:webHidden/>
          </w:rPr>
          <w:instrText xml:space="preserve"> PAGEREF _Toc432081452 \h </w:instrText>
        </w:r>
        <w:r>
          <w:rPr>
            <w:webHidden/>
          </w:rPr>
        </w:r>
        <w:r>
          <w:rPr>
            <w:webHidden/>
          </w:rPr>
          <w:fldChar w:fldCharType="separate"/>
        </w:r>
        <w:r>
          <w:rPr>
            <w:webHidden/>
          </w:rPr>
          <w:t>6</w:t>
        </w:r>
        <w:r>
          <w:rPr>
            <w:webHidden/>
          </w:rPr>
          <w:fldChar w:fldCharType="end"/>
        </w:r>
      </w:hyperlink>
    </w:p>
    <w:p w14:paraId="5021C518" w14:textId="77777777" w:rsidR="00AD2738" w:rsidRPr="007F198F" w:rsidRDefault="00AD2738">
      <w:pPr>
        <w:pStyle w:val="TOC2"/>
        <w:rPr>
          <w:szCs w:val="22"/>
          <w:lang w:eastAsia="en-AU"/>
        </w:rPr>
      </w:pPr>
      <w:hyperlink w:anchor="_Toc432081453" w:history="1">
        <w:r w:rsidRPr="001C5C0E">
          <w:rPr>
            <w:rStyle w:val="Hyperlink"/>
          </w:rPr>
          <w:t>Our regulatory approach</w:t>
        </w:r>
        <w:r>
          <w:rPr>
            <w:webHidden/>
          </w:rPr>
          <w:tab/>
        </w:r>
        <w:r>
          <w:rPr>
            <w:webHidden/>
          </w:rPr>
          <w:fldChar w:fldCharType="begin"/>
        </w:r>
        <w:r>
          <w:rPr>
            <w:webHidden/>
          </w:rPr>
          <w:instrText xml:space="preserve"> PAGEREF _Toc432081453 \h </w:instrText>
        </w:r>
        <w:r>
          <w:rPr>
            <w:webHidden/>
          </w:rPr>
        </w:r>
        <w:r>
          <w:rPr>
            <w:webHidden/>
          </w:rPr>
          <w:fldChar w:fldCharType="separate"/>
        </w:r>
        <w:r>
          <w:rPr>
            <w:webHidden/>
          </w:rPr>
          <w:t>6</w:t>
        </w:r>
        <w:r>
          <w:rPr>
            <w:webHidden/>
          </w:rPr>
          <w:fldChar w:fldCharType="end"/>
        </w:r>
      </w:hyperlink>
    </w:p>
    <w:p w14:paraId="5021C519" w14:textId="77777777" w:rsidR="00AD2738" w:rsidRPr="007F198F" w:rsidRDefault="00AD2738">
      <w:pPr>
        <w:pStyle w:val="TOC1"/>
        <w:rPr>
          <w:b w:val="0"/>
          <w:noProof/>
          <w:szCs w:val="22"/>
          <w:lang w:eastAsia="en-AU"/>
        </w:rPr>
      </w:pPr>
      <w:hyperlink w:anchor="_Toc432081454" w:history="1">
        <w:r w:rsidRPr="001C5C0E">
          <w:rPr>
            <w:rStyle w:val="Hyperlink"/>
            <w:noProof/>
          </w:rPr>
          <w:t>1</w:t>
        </w:r>
        <w:r w:rsidRPr="007F198F">
          <w:rPr>
            <w:b w:val="0"/>
            <w:noProof/>
            <w:szCs w:val="22"/>
            <w:lang w:eastAsia="en-AU"/>
          </w:rPr>
          <w:tab/>
        </w:r>
        <w:r w:rsidRPr="001C5C0E">
          <w:rPr>
            <w:rStyle w:val="Hyperlink"/>
            <w:noProof/>
          </w:rPr>
          <w:t>Our performance</w:t>
        </w:r>
        <w:r>
          <w:rPr>
            <w:noProof/>
            <w:webHidden/>
          </w:rPr>
          <w:tab/>
        </w:r>
        <w:r>
          <w:rPr>
            <w:noProof/>
            <w:webHidden/>
          </w:rPr>
          <w:fldChar w:fldCharType="begin"/>
        </w:r>
        <w:r>
          <w:rPr>
            <w:noProof/>
            <w:webHidden/>
          </w:rPr>
          <w:instrText xml:space="preserve"> PAGEREF _Toc432081454 \h </w:instrText>
        </w:r>
        <w:r>
          <w:rPr>
            <w:noProof/>
            <w:webHidden/>
          </w:rPr>
        </w:r>
        <w:r>
          <w:rPr>
            <w:noProof/>
            <w:webHidden/>
          </w:rPr>
          <w:fldChar w:fldCharType="separate"/>
        </w:r>
        <w:r>
          <w:rPr>
            <w:noProof/>
            <w:webHidden/>
          </w:rPr>
          <w:t>7</w:t>
        </w:r>
        <w:r>
          <w:rPr>
            <w:noProof/>
            <w:webHidden/>
          </w:rPr>
          <w:fldChar w:fldCharType="end"/>
        </w:r>
      </w:hyperlink>
    </w:p>
    <w:p w14:paraId="5021C51A" w14:textId="77777777" w:rsidR="00AD2738" w:rsidRPr="007F198F" w:rsidRDefault="00AD2738">
      <w:pPr>
        <w:pStyle w:val="TOC2"/>
        <w:rPr>
          <w:szCs w:val="22"/>
          <w:lang w:eastAsia="en-AU"/>
        </w:rPr>
      </w:pPr>
      <w:hyperlink w:anchor="_Toc432081455" w:history="1">
        <w:r w:rsidRPr="001C5C0E">
          <w:rPr>
            <w:rStyle w:val="Hyperlink"/>
          </w:rPr>
          <w:t>Performance against Budget Paper Number 3 (BP3 targets)</w:t>
        </w:r>
        <w:r>
          <w:rPr>
            <w:webHidden/>
          </w:rPr>
          <w:tab/>
        </w:r>
        <w:r>
          <w:rPr>
            <w:webHidden/>
          </w:rPr>
          <w:fldChar w:fldCharType="begin"/>
        </w:r>
        <w:r>
          <w:rPr>
            <w:webHidden/>
          </w:rPr>
          <w:instrText xml:space="preserve"> PAGEREF _Toc432081455 \h </w:instrText>
        </w:r>
        <w:r>
          <w:rPr>
            <w:webHidden/>
          </w:rPr>
        </w:r>
        <w:r>
          <w:rPr>
            <w:webHidden/>
          </w:rPr>
          <w:fldChar w:fldCharType="separate"/>
        </w:r>
        <w:r>
          <w:rPr>
            <w:webHidden/>
          </w:rPr>
          <w:t>7</w:t>
        </w:r>
        <w:r>
          <w:rPr>
            <w:webHidden/>
          </w:rPr>
          <w:fldChar w:fldCharType="end"/>
        </w:r>
      </w:hyperlink>
    </w:p>
    <w:p w14:paraId="5021C51B" w14:textId="77777777" w:rsidR="00AD2738" w:rsidRPr="007F198F" w:rsidRDefault="00AD2738">
      <w:pPr>
        <w:pStyle w:val="TOC1"/>
        <w:rPr>
          <w:b w:val="0"/>
          <w:noProof/>
          <w:szCs w:val="22"/>
          <w:lang w:eastAsia="en-AU"/>
        </w:rPr>
      </w:pPr>
      <w:hyperlink w:anchor="_Toc432081456" w:history="1">
        <w:r w:rsidRPr="001C5C0E">
          <w:rPr>
            <w:rStyle w:val="Hyperlink"/>
            <w:noProof/>
          </w:rPr>
          <w:t>2</w:t>
        </w:r>
        <w:r w:rsidRPr="007F198F">
          <w:rPr>
            <w:b w:val="0"/>
            <w:noProof/>
            <w:szCs w:val="22"/>
            <w:lang w:eastAsia="en-AU"/>
          </w:rPr>
          <w:tab/>
        </w:r>
        <w:r w:rsidRPr="001C5C0E">
          <w:rPr>
            <w:rStyle w:val="Hyperlink"/>
            <w:noProof/>
          </w:rPr>
          <w:t>Businesses are compliant with consumer laws</w:t>
        </w:r>
        <w:r>
          <w:rPr>
            <w:noProof/>
            <w:webHidden/>
          </w:rPr>
          <w:tab/>
        </w:r>
        <w:r>
          <w:rPr>
            <w:noProof/>
            <w:webHidden/>
          </w:rPr>
          <w:fldChar w:fldCharType="begin"/>
        </w:r>
        <w:r>
          <w:rPr>
            <w:noProof/>
            <w:webHidden/>
          </w:rPr>
          <w:instrText xml:space="preserve"> PAGEREF _Toc432081456 \h </w:instrText>
        </w:r>
        <w:r>
          <w:rPr>
            <w:noProof/>
            <w:webHidden/>
          </w:rPr>
        </w:r>
        <w:r>
          <w:rPr>
            <w:noProof/>
            <w:webHidden/>
          </w:rPr>
          <w:fldChar w:fldCharType="separate"/>
        </w:r>
        <w:r>
          <w:rPr>
            <w:noProof/>
            <w:webHidden/>
          </w:rPr>
          <w:t>10</w:t>
        </w:r>
        <w:r>
          <w:rPr>
            <w:noProof/>
            <w:webHidden/>
          </w:rPr>
          <w:fldChar w:fldCharType="end"/>
        </w:r>
      </w:hyperlink>
    </w:p>
    <w:p w14:paraId="5021C51C" w14:textId="77777777" w:rsidR="00AD2738" w:rsidRPr="007F198F" w:rsidRDefault="00AD2738">
      <w:pPr>
        <w:pStyle w:val="TOC2"/>
        <w:rPr>
          <w:szCs w:val="22"/>
          <w:lang w:eastAsia="en-AU"/>
        </w:rPr>
      </w:pPr>
      <w:hyperlink w:anchor="_Toc432081457" w:history="1">
        <w:r w:rsidRPr="001C5C0E">
          <w:rPr>
            <w:rStyle w:val="Hyperlink"/>
          </w:rPr>
          <w:t>Registers administered by Consumer Affairs Victoria</w:t>
        </w:r>
        <w:r>
          <w:rPr>
            <w:webHidden/>
          </w:rPr>
          <w:tab/>
        </w:r>
        <w:r>
          <w:rPr>
            <w:webHidden/>
          </w:rPr>
          <w:fldChar w:fldCharType="begin"/>
        </w:r>
        <w:r>
          <w:rPr>
            <w:webHidden/>
          </w:rPr>
          <w:instrText xml:space="preserve"> PAGEREF _Toc432081457 \h </w:instrText>
        </w:r>
        <w:r>
          <w:rPr>
            <w:webHidden/>
          </w:rPr>
        </w:r>
        <w:r>
          <w:rPr>
            <w:webHidden/>
          </w:rPr>
          <w:fldChar w:fldCharType="separate"/>
        </w:r>
        <w:r>
          <w:rPr>
            <w:webHidden/>
          </w:rPr>
          <w:t>11</w:t>
        </w:r>
        <w:r>
          <w:rPr>
            <w:webHidden/>
          </w:rPr>
          <w:fldChar w:fldCharType="end"/>
        </w:r>
      </w:hyperlink>
    </w:p>
    <w:p w14:paraId="5021C51D" w14:textId="77777777" w:rsidR="00AD2738" w:rsidRPr="007F198F" w:rsidRDefault="00AD2738">
      <w:pPr>
        <w:pStyle w:val="TOC2"/>
        <w:rPr>
          <w:szCs w:val="22"/>
          <w:lang w:eastAsia="en-AU"/>
        </w:rPr>
      </w:pPr>
      <w:hyperlink w:anchor="_Toc432081458" w:history="1">
        <w:r w:rsidRPr="001C5C0E">
          <w:rPr>
            <w:rStyle w:val="Hyperlink"/>
          </w:rPr>
          <w:t>Parties signed to enforceable undertakings</w:t>
        </w:r>
        <w:r>
          <w:rPr>
            <w:webHidden/>
          </w:rPr>
          <w:tab/>
        </w:r>
        <w:r>
          <w:rPr>
            <w:webHidden/>
          </w:rPr>
          <w:fldChar w:fldCharType="begin"/>
        </w:r>
        <w:r>
          <w:rPr>
            <w:webHidden/>
          </w:rPr>
          <w:instrText xml:space="preserve"> PAGEREF _Toc432081458 \h </w:instrText>
        </w:r>
        <w:r>
          <w:rPr>
            <w:webHidden/>
          </w:rPr>
        </w:r>
        <w:r>
          <w:rPr>
            <w:webHidden/>
          </w:rPr>
          <w:fldChar w:fldCharType="separate"/>
        </w:r>
        <w:r>
          <w:rPr>
            <w:webHidden/>
          </w:rPr>
          <w:t>13</w:t>
        </w:r>
        <w:r>
          <w:rPr>
            <w:webHidden/>
          </w:rPr>
          <w:fldChar w:fldCharType="end"/>
        </w:r>
      </w:hyperlink>
    </w:p>
    <w:p w14:paraId="5021C51E" w14:textId="77777777" w:rsidR="00AD2738" w:rsidRPr="007F198F" w:rsidRDefault="00AD2738">
      <w:pPr>
        <w:pStyle w:val="TOC2"/>
        <w:rPr>
          <w:szCs w:val="22"/>
          <w:lang w:eastAsia="en-AU"/>
        </w:rPr>
      </w:pPr>
      <w:hyperlink w:anchor="_Toc432081459" w:history="1">
        <w:r w:rsidRPr="001C5C0E">
          <w:rPr>
            <w:rStyle w:val="Hyperlink"/>
          </w:rPr>
          <w:t>Court and tribunal matters</w:t>
        </w:r>
        <w:r>
          <w:rPr>
            <w:webHidden/>
          </w:rPr>
          <w:tab/>
        </w:r>
        <w:r>
          <w:rPr>
            <w:webHidden/>
          </w:rPr>
          <w:fldChar w:fldCharType="begin"/>
        </w:r>
        <w:r>
          <w:rPr>
            <w:webHidden/>
          </w:rPr>
          <w:instrText xml:space="preserve"> PAGEREF _Toc432081459 \h </w:instrText>
        </w:r>
        <w:r>
          <w:rPr>
            <w:webHidden/>
          </w:rPr>
        </w:r>
        <w:r>
          <w:rPr>
            <w:webHidden/>
          </w:rPr>
          <w:fldChar w:fldCharType="separate"/>
        </w:r>
        <w:r>
          <w:rPr>
            <w:webHidden/>
          </w:rPr>
          <w:t>13</w:t>
        </w:r>
        <w:r>
          <w:rPr>
            <w:webHidden/>
          </w:rPr>
          <w:fldChar w:fldCharType="end"/>
        </w:r>
      </w:hyperlink>
    </w:p>
    <w:p w14:paraId="5021C51F" w14:textId="77777777" w:rsidR="00AD2738" w:rsidRPr="007F198F" w:rsidRDefault="00AD2738">
      <w:pPr>
        <w:pStyle w:val="TOC2"/>
        <w:rPr>
          <w:szCs w:val="22"/>
          <w:lang w:eastAsia="en-AU"/>
        </w:rPr>
      </w:pPr>
      <w:hyperlink w:anchor="_Toc432081460" w:history="1">
        <w:r w:rsidRPr="001C5C0E">
          <w:rPr>
            <w:rStyle w:val="Hyperlink"/>
          </w:rPr>
          <w:t>Ongoing court matters  as at 30 June 2015</w:t>
        </w:r>
        <w:r>
          <w:rPr>
            <w:webHidden/>
          </w:rPr>
          <w:tab/>
        </w:r>
        <w:r>
          <w:rPr>
            <w:webHidden/>
          </w:rPr>
          <w:fldChar w:fldCharType="begin"/>
        </w:r>
        <w:r>
          <w:rPr>
            <w:webHidden/>
          </w:rPr>
          <w:instrText xml:space="preserve"> PAGEREF _Toc432081460 \h </w:instrText>
        </w:r>
        <w:r>
          <w:rPr>
            <w:webHidden/>
          </w:rPr>
        </w:r>
        <w:r>
          <w:rPr>
            <w:webHidden/>
          </w:rPr>
          <w:fldChar w:fldCharType="separate"/>
        </w:r>
        <w:r>
          <w:rPr>
            <w:webHidden/>
          </w:rPr>
          <w:t>14</w:t>
        </w:r>
        <w:r>
          <w:rPr>
            <w:webHidden/>
          </w:rPr>
          <w:fldChar w:fldCharType="end"/>
        </w:r>
      </w:hyperlink>
    </w:p>
    <w:p w14:paraId="5021C520" w14:textId="77777777" w:rsidR="00AD2738" w:rsidRPr="007F198F" w:rsidRDefault="00AD2738">
      <w:pPr>
        <w:pStyle w:val="TOC1"/>
        <w:rPr>
          <w:b w:val="0"/>
          <w:noProof/>
          <w:szCs w:val="22"/>
          <w:lang w:eastAsia="en-AU"/>
        </w:rPr>
      </w:pPr>
      <w:hyperlink w:anchor="_Toc432081461" w:history="1">
        <w:r w:rsidRPr="001C5C0E">
          <w:rPr>
            <w:rStyle w:val="Hyperlink"/>
            <w:noProof/>
          </w:rPr>
          <w:t>3</w:t>
        </w:r>
        <w:r w:rsidRPr="007F198F">
          <w:rPr>
            <w:b w:val="0"/>
            <w:noProof/>
            <w:szCs w:val="22"/>
            <w:lang w:eastAsia="en-AU"/>
          </w:rPr>
          <w:tab/>
        </w:r>
        <w:r w:rsidRPr="001C5C0E">
          <w:rPr>
            <w:rStyle w:val="Hyperlink"/>
            <w:noProof/>
          </w:rPr>
          <w:t>Victorians exercise their consumer rights</w:t>
        </w:r>
        <w:r>
          <w:rPr>
            <w:noProof/>
            <w:webHidden/>
          </w:rPr>
          <w:tab/>
        </w:r>
        <w:r>
          <w:rPr>
            <w:noProof/>
            <w:webHidden/>
          </w:rPr>
          <w:fldChar w:fldCharType="begin"/>
        </w:r>
        <w:r>
          <w:rPr>
            <w:noProof/>
            <w:webHidden/>
          </w:rPr>
          <w:instrText xml:space="preserve"> PAGEREF _Toc432081461 \h </w:instrText>
        </w:r>
        <w:r>
          <w:rPr>
            <w:noProof/>
            <w:webHidden/>
          </w:rPr>
        </w:r>
        <w:r>
          <w:rPr>
            <w:noProof/>
            <w:webHidden/>
          </w:rPr>
          <w:fldChar w:fldCharType="separate"/>
        </w:r>
        <w:r>
          <w:rPr>
            <w:noProof/>
            <w:webHidden/>
          </w:rPr>
          <w:t>16</w:t>
        </w:r>
        <w:r>
          <w:rPr>
            <w:noProof/>
            <w:webHidden/>
          </w:rPr>
          <w:fldChar w:fldCharType="end"/>
        </w:r>
      </w:hyperlink>
    </w:p>
    <w:p w14:paraId="5021C521" w14:textId="77777777" w:rsidR="00AD2738" w:rsidRPr="007F198F" w:rsidRDefault="00AD2738">
      <w:pPr>
        <w:pStyle w:val="TOC1"/>
        <w:rPr>
          <w:b w:val="0"/>
          <w:noProof/>
          <w:szCs w:val="22"/>
          <w:lang w:eastAsia="en-AU"/>
        </w:rPr>
      </w:pPr>
      <w:hyperlink w:anchor="_Toc432081462" w:history="1">
        <w:r w:rsidRPr="001C5C0E">
          <w:rPr>
            <w:rStyle w:val="Hyperlink"/>
            <w:noProof/>
          </w:rPr>
          <w:t>4</w:t>
        </w:r>
        <w:r w:rsidRPr="007F198F">
          <w:rPr>
            <w:b w:val="0"/>
            <w:noProof/>
            <w:szCs w:val="22"/>
            <w:lang w:eastAsia="en-AU"/>
          </w:rPr>
          <w:tab/>
        </w:r>
        <w:r w:rsidRPr="001C5C0E">
          <w:rPr>
            <w:rStyle w:val="Hyperlink"/>
            <w:noProof/>
          </w:rPr>
          <w:t>A fair and safe rental market for Victorians</w:t>
        </w:r>
        <w:r>
          <w:rPr>
            <w:noProof/>
            <w:webHidden/>
          </w:rPr>
          <w:tab/>
        </w:r>
        <w:r>
          <w:rPr>
            <w:noProof/>
            <w:webHidden/>
          </w:rPr>
          <w:fldChar w:fldCharType="begin"/>
        </w:r>
        <w:r>
          <w:rPr>
            <w:noProof/>
            <w:webHidden/>
          </w:rPr>
          <w:instrText xml:space="preserve"> PAGEREF _Toc432081462 \h </w:instrText>
        </w:r>
        <w:r>
          <w:rPr>
            <w:noProof/>
            <w:webHidden/>
          </w:rPr>
        </w:r>
        <w:r>
          <w:rPr>
            <w:noProof/>
            <w:webHidden/>
          </w:rPr>
          <w:fldChar w:fldCharType="separate"/>
        </w:r>
        <w:r>
          <w:rPr>
            <w:noProof/>
            <w:webHidden/>
          </w:rPr>
          <w:t>17</w:t>
        </w:r>
        <w:r>
          <w:rPr>
            <w:noProof/>
            <w:webHidden/>
          </w:rPr>
          <w:fldChar w:fldCharType="end"/>
        </w:r>
      </w:hyperlink>
    </w:p>
    <w:p w14:paraId="5021C522" w14:textId="77777777" w:rsidR="00AD2738" w:rsidRPr="007F198F" w:rsidRDefault="00AD2738">
      <w:pPr>
        <w:pStyle w:val="TOC1"/>
        <w:rPr>
          <w:b w:val="0"/>
          <w:noProof/>
          <w:szCs w:val="22"/>
          <w:lang w:eastAsia="en-AU"/>
        </w:rPr>
      </w:pPr>
      <w:hyperlink w:anchor="_Toc432081463" w:history="1">
        <w:r w:rsidRPr="001C5C0E">
          <w:rPr>
            <w:rStyle w:val="Hyperlink"/>
            <w:noProof/>
          </w:rPr>
          <w:t>5</w:t>
        </w:r>
        <w:r w:rsidRPr="007F198F">
          <w:rPr>
            <w:b w:val="0"/>
            <w:noProof/>
            <w:szCs w:val="22"/>
            <w:lang w:eastAsia="en-AU"/>
          </w:rPr>
          <w:tab/>
        </w:r>
        <w:r w:rsidRPr="001C5C0E">
          <w:rPr>
            <w:rStyle w:val="Hyperlink"/>
            <w:noProof/>
          </w:rPr>
          <w:t>A modern and effective consumer law framework</w:t>
        </w:r>
        <w:r>
          <w:rPr>
            <w:noProof/>
            <w:webHidden/>
          </w:rPr>
          <w:tab/>
        </w:r>
        <w:r>
          <w:rPr>
            <w:noProof/>
            <w:webHidden/>
          </w:rPr>
          <w:fldChar w:fldCharType="begin"/>
        </w:r>
        <w:r>
          <w:rPr>
            <w:noProof/>
            <w:webHidden/>
          </w:rPr>
          <w:instrText xml:space="preserve"> PAGEREF _Toc432081463 \h </w:instrText>
        </w:r>
        <w:r>
          <w:rPr>
            <w:noProof/>
            <w:webHidden/>
          </w:rPr>
        </w:r>
        <w:r>
          <w:rPr>
            <w:noProof/>
            <w:webHidden/>
          </w:rPr>
          <w:fldChar w:fldCharType="separate"/>
        </w:r>
        <w:r>
          <w:rPr>
            <w:noProof/>
            <w:webHidden/>
          </w:rPr>
          <w:t>18</w:t>
        </w:r>
        <w:r>
          <w:rPr>
            <w:noProof/>
            <w:webHidden/>
          </w:rPr>
          <w:fldChar w:fldCharType="end"/>
        </w:r>
      </w:hyperlink>
    </w:p>
    <w:p w14:paraId="5021C523" w14:textId="77777777" w:rsidR="00AD2738" w:rsidRPr="007F198F" w:rsidRDefault="00AD2738">
      <w:pPr>
        <w:pStyle w:val="TOC2"/>
        <w:rPr>
          <w:szCs w:val="22"/>
          <w:lang w:eastAsia="en-AU"/>
        </w:rPr>
      </w:pPr>
      <w:hyperlink w:anchor="_Toc432081464" w:history="1">
        <w:r w:rsidRPr="001C5C0E">
          <w:rPr>
            <w:rStyle w:val="Hyperlink"/>
          </w:rPr>
          <w:t>Acts and regulations passed</w:t>
        </w:r>
        <w:r>
          <w:rPr>
            <w:webHidden/>
          </w:rPr>
          <w:tab/>
        </w:r>
        <w:r>
          <w:rPr>
            <w:webHidden/>
          </w:rPr>
          <w:fldChar w:fldCharType="begin"/>
        </w:r>
        <w:r>
          <w:rPr>
            <w:webHidden/>
          </w:rPr>
          <w:instrText xml:space="preserve"> PAGEREF _Toc432081464 \h </w:instrText>
        </w:r>
        <w:r>
          <w:rPr>
            <w:webHidden/>
          </w:rPr>
        </w:r>
        <w:r>
          <w:rPr>
            <w:webHidden/>
          </w:rPr>
          <w:fldChar w:fldCharType="separate"/>
        </w:r>
        <w:r>
          <w:rPr>
            <w:webHidden/>
          </w:rPr>
          <w:t>18</w:t>
        </w:r>
        <w:r>
          <w:rPr>
            <w:webHidden/>
          </w:rPr>
          <w:fldChar w:fldCharType="end"/>
        </w:r>
      </w:hyperlink>
    </w:p>
    <w:p w14:paraId="5021C524" w14:textId="77777777" w:rsidR="00AD2738" w:rsidRPr="007F198F" w:rsidRDefault="00AD2738">
      <w:pPr>
        <w:pStyle w:val="TOC2"/>
        <w:rPr>
          <w:szCs w:val="22"/>
          <w:lang w:eastAsia="en-AU"/>
        </w:rPr>
      </w:pPr>
      <w:hyperlink w:anchor="_Toc432081465" w:history="1">
        <w:r w:rsidRPr="001C5C0E">
          <w:rPr>
            <w:rStyle w:val="Hyperlink"/>
          </w:rPr>
          <w:t>Legislation administered by Consumer Affairs Victoria as at 30 June 2015</w:t>
        </w:r>
        <w:r>
          <w:rPr>
            <w:webHidden/>
          </w:rPr>
          <w:tab/>
        </w:r>
        <w:r>
          <w:rPr>
            <w:webHidden/>
          </w:rPr>
          <w:fldChar w:fldCharType="begin"/>
        </w:r>
        <w:r>
          <w:rPr>
            <w:webHidden/>
          </w:rPr>
          <w:instrText xml:space="preserve"> PAGEREF _Toc432081465 \h </w:instrText>
        </w:r>
        <w:r>
          <w:rPr>
            <w:webHidden/>
          </w:rPr>
        </w:r>
        <w:r>
          <w:rPr>
            <w:webHidden/>
          </w:rPr>
          <w:fldChar w:fldCharType="separate"/>
        </w:r>
        <w:r>
          <w:rPr>
            <w:webHidden/>
          </w:rPr>
          <w:t>19</w:t>
        </w:r>
        <w:r>
          <w:rPr>
            <w:webHidden/>
          </w:rPr>
          <w:fldChar w:fldCharType="end"/>
        </w:r>
      </w:hyperlink>
    </w:p>
    <w:p w14:paraId="5021C525" w14:textId="77777777" w:rsidR="00AD2738" w:rsidRPr="007F198F" w:rsidRDefault="00AD2738">
      <w:pPr>
        <w:pStyle w:val="TOC1"/>
        <w:rPr>
          <w:b w:val="0"/>
          <w:noProof/>
          <w:szCs w:val="22"/>
          <w:lang w:eastAsia="en-AU"/>
        </w:rPr>
      </w:pPr>
      <w:hyperlink w:anchor="_Toc432081466" w:history="1">
        <w:r w:rsidRPr="001C5C0E">
          <w:rPr>
            <w:rStyle w:val="Hyperlink"/>
            <w:noProof/>
          </w:rPr>
          <w:t>6</w:t>
        </w:r>
        <w:r w:rsidRPr="007F198F">
          <w:rPr>
            <w:b w:val="0"/>
            <w:noProof/>
            <w:szCs w:val="22"/>
            <w:lang w:eastAsia="en-AU"/>
          </w:rPr>
          <w:tab/>
        </w:r>
        <w:r w:rsidRPr="001C5C0E">
          <w:rPr>
            <w:rStyle w:val="Hyperlink"/>
            <w:noProof/>
          </w:rPr>
          <w:t>A sustainable and innovative regulator</w:t>
        </w:r>
        <w:r>
          <w:rPr>
            <w:noProof/>
            <w:webHidden/>
          </w:rPr>
          <w:tab/>
        </w:r>
        <w:r>
          <w:rPr>
            <w:noProof/>
            <w:webHidden/>
          </w:rPr>
          <w:fldChar w:fldCharType="begin"/>
        </w:r>
        <w:r>
          <w:rPr>
            <w:noProof/>
            <w:webHidden/>
          </w:rPr>
          <w:instrText xml:space="preserve"> PAGEREF _Toc432081466 \h </w:instrText>
        </w:r>
        <w:r>
          <w:rPr>
            <w:noProof/>
            <w:webHidden/>
          </w:rPr>
        </w:r>
        <w:r>
          <w:rPr>
            <w:noProof/>
            <w:webHidden/>
          </w:rPr>
          <w:fldChar w:fldCharType="separate"/>
        </w:r>
        <w:r>
          <w:rPr>
            <w:noProof/>
            <w:webHidden/>
          </w:rPr>
          <w:t>21</w:t>
        </w:r>
        <w:r>
          <w:rPr>
            <w:noProof/>
            <w:webHidden/>
          </w:rPr>
          <w:fldChar w:fldCharType="end"/>
        </w:r>
      </w:hyperlink>
    </w:p>
    <w:p w14:paraId="5021C526" w14:textId="77777777" w:rsidR="00AD2738" w:rsidRPr="007F198F" w:rsidRDefault="00AD2738">
      <w:pPr>
        <w:pStyle w:val="TOC2"/>
        <w:rPr>
          <w:szCs w:val="22"/>
          <w:lang w:eastAsia="en-AU"/>
        </w:rPr>
      </w:pPr>
      <w:hyperlink w:anchor="_Toc432081467" w:history="1">
        <w:r w:rsidRPr="001C5C0E">
          <w:rPr>
            <w:rStyle w:val="Hyperlink"/>
          </w:rPr>
          <w:t>Reducing red tape</w:t>
        </w:r>
        <w:r>
          <w:rPr>
            <w:webHidden/>
          </w:rPr>
          <w:tab/>
        </w:r>
        <w:r>
          <w:rPr>
            <w:webHidden/>
          </w:rPr>
          <w:fldChar w:fldCharType="begin"/>
        </w:r>
        <w:r>
          <w:rPr>
            <w:webHidden/>
          </w:rPr>
          <w:instrText xml:space="preserve"> PAGEREF _Toc432081467 \h </w:instrText>
        </w:r>
        <w:r>
          <w:rPr>
            <w:webHidden/>
          </w:rPr>
        </w:r>
        <w:r>
          <w:rPr>
            <w:webHidden/>
          </w:rPr>
          <w:fldChar w:fldCharType="separate"/>
        </w:r>
        <w:r>
          <w:rPr>
            <w:webHidden/>
          </w:rPr>
          <w:t>21</w:t>
        </w:r>
        <w:r>
          <w:rPr>
            <w:webHidden/>
          </w:rPr>
          <w:fldChar w:fldCharType="end"/>
        </w:r>
      </w:hyperlink>
    </w:p>
    <w:p w14:paraId="5021C527" w14:textId="77777777" w:rsidR="00AD2738" w:rsidRPr="007F198F" w:rsidRDefault="00AD2738">
      <w:pPr>
        <w:pStyle w:val="TOC2"/>
        <w:rPr>
          <w:szCs w:val="22"/>
          <w:lang w:eastAsia="en-AU"/>
        </w:rPr>
      </w:pPr>
      <w:hyperlink w:anchor="_Toc432081468" w:history="1">
        <w:r w:rsidRPr="001C5C0E">
          <w:rPr>
            <w:rStyle w:val="Hyperlink"/>
          </w:rPr>
          <w:t>Trust funds managed by Consumer Affairs Victoria</w:t>
        </w:r>
        <w:r>
          <w:rPr>
            <w:webHidden/>
          </w:rPr>
          <w:tab/>
        </w:r>
        <w:r>
          <w:rPr>
            <w:webHidden/>
          </w:rPr>
          <w:fldChar w:fldCharType="begin"/>
        </w:r>
        <w:r>
          <w:rPr>
            <w:webHidden/>
          </w:rPr>
          <w:instrText xml:space="preserve"> PAGEREF _Toc432081468 \h </w:instrText>
        </w:r>
        <w:r>
          <w:rPr>
            <w:webHidden/>
          </w:rPr>
        </w:r>
        <w:r>
          <w:rPr>
            <w:webHidden/>
          </w:rPr>
          <w:fldChar w:fldCharType="separate"/>
        </w:r>
        <w:r>
          <w:rPr>
            <w:webHidden/>
          </w:rPr>
          <w:t>21</w:t>
        </w:r>
        <w:r>
          <w:rPr>
            <w:webHidden/>
          </w:rPr>
          <w:fldChar w:fldCharType="end"/>
        </w:r>
      </w:hyperlink>
    </w:p>
    <w:p w14:paraId="5021C528" w14:textId="77777777" w:rsidR="00AD2738" w:rsidRPr="007F198F" w:rsidRDefault="00AD2738">
      <w:pPr>
        <w:pStyle w:val="TOC2"/>
        <w:rPr>
          <w:szCs w:val="22"/>
          <w:lang w:eastAsia="en-AU"/>
        </w:rPr>
      </w:pPr>
      <w:hyperlink w:anchor="_Toc432081469" w:history="1">
        <w:r w:rsidRPr="001C5C0E">
          <w:rPr>
            <w:rStyle w:val="Hyperlink"/>
          </w:rPr>
          <w:t>Grants approved</w:t>
        </w:r>
        <w:r>
          <w:rPr>
            <w:webHidden/>
          </w:rPr>
          <w:tab/>
        </w:r>
        <w:r>
          <w:rPr>
            <w:webHidden/>
          </w:rPr>
          <w:fldChar w:fldCharType="begin"/>
        </w:r>
        <w:r>
          <w:rPr>
            <w:webHidden/>
          </w:rPr>
          <w:instrText xml:space="preserve"> PAGEREF _Toc432081469 \h </w:instrText>
        </w:r>
        <w:r>
          <w:rPr>
            <w:webHidden/>
          </w:rPr>
        </w:r>
        <w:r>
          <w:rPr>
            <w:webHidden/>
          </w:rPr>
          <w:fldChar w:fldCharType="separate"/>
        </w:r>
        <w:r>
          <w:rPr>
            <w:webHidden/>
          </w:rPr>
          <w:t>22</w:t>
        </w:r>
        <w:r>
          <w:rPr>
            <w:webHidden/>
          </w:rPr>
          <w:fldChar w:fldCharType="end"/>
        </w:r>
      </w:hyperlink>
    </w:p>
    <w:p w14:paraId="5021C529" w14:textId="77777777" w:rsidR="00AD2738" w:rsidRPr="007F198F" w:rsidRDefault="00AD2738">
      <w:pPr>
        <w:pStyle w:val="TOC1"/>
        <w:rPr>
          <w:b w:val="0"/>
          <w:noProof/>
          <w:szCs w:val="22"/>
          <w:lang w:eastAsia="en-AU"/>
        </w:rPr>
      </w:pPr>
      <w:hyperlink w:anchor="_Toc432081470" w:history="1">
        <w:r w:rsidRPr="001C5C0E">
          <w:rPr>
            <w:rStyle w:val="Hyperlink"/>
            <w:noProof/>
          </w:rPr>
          <w:t>Financial information 2014-15</w:t>
        </w:r>
        <w:r>
          <w:rPr>
            <w:noProof/>
            <w:webHidden/>
          </w:rPr>
          <w:tab/>
        </w:r>
        <w:r>
          <w:rPr>
            <w:noProof/>
            <w:webHidden/>
          </w:rPr>
          <w:fldChar w:fldCharType="begin"/>
        </w:r>
        <w:r>
          <w:rPr>
            <w:noProof/>
            <w:webHidden/>
          </w:rPr>
          <w:instrText xml:space="preserve"> PAGEREF _Toc432081470 \h </w:instrText>
        </w:r>
        <w:r>
          <w:rPr>
            <w:noProof/>
            <w:webHidden/>
          </w:rPr>
        </w:r>
        <w:r>
          <w:rPr>
            <w:noProof/>
            <w:webHidden/>
          </w:rPr>
          <w:fldChar w:fldCharType="separate"/>
        </w:r>
        <w:r>
          <w:rPr>
            <w:noProof/>
            <w:webHidden/>
          </w:rPr>
          <w:t>23</w:t>
        </w:r>
        <w:r>
          <w:rPr>
            <w:noProof/>
            <w:webHidden/>
          </w:rPr>
          <w:fldChar w:fldCharType="end"/>
        </w:r>
      </w:hyperlink>
    </w:p>
    <w:p w14:paraId="5021C52A" w14:textId="77777777" w:rsidR="00AD2738" w:rsidRPr="007F198F" w:rsidRDefault="00AD2738">
      <w:pPr>
        <w:pStyle w:val="TOC1"/>
        <w:rPr>
          <w:b w:val="0"/>
          <w:noProof/>
          <w:szCs w:val="22"/>
          <w:lang w:eastAsia="en-AU"/>
        </w:rPr>
      </w:pPr>
      <w:hyperlink w:anchor="_Toc432081471" w:history="1">
        <w:r w:rsidRPr="001C5C0E">
          <w:rPr>
            <w:rStyle w:val="Hyperlink"/>
            <w:noProof/>
          </w:rPr>
          <w:t>Consumer Affairs Victoria</w:t>
        </w:r>
        <w:r>
          <w:rPr>
            <w:noProof/>
            <w:webHidden/>
          </w:rPr>
          <w:tab/>
        </w:r>
        <w:r>
          <w:rPr>
            <w:noProof/>
            <w:webHidden/>
          </w:rPr>
          <w:fldChar w:fldCharType="begin"/>
        </w:r>
        <w:r>
          <w:rPr>
            <w:noProof/>
            <w:webHidden/>
          </w:rPr>
          <w:instrText xml:space="preserve"> PAGEREF _Toc432081471 \h </w:instrText>
        </w:r>
        <w:r>
          <w:rPr>
            <w:noProof/>
            <w:webHidden/>
          </w:rPr>
        </w:r>
        <w:r>
          <w:rPr>
            <w:noProof/>
            <w:webHidden/>
          </w:rPr>
          <w:fldChar w:fldCharType="separate"/>
        </w:r>
        <w:r>
          <w:rPr>
            <w:noProof/>
            <w:webHidden/>
          </w:rPr>
          <w:t>25</w:t>
        </w:r>
        <w:r>
          <w:rPr>
            <w:noProof/>
            <w:webHidden/>
          </w:rPr>
          <w:fldChar w:fldCharType="end"/>
        </w:r>
      </w:hyperlink>
    </w:p>
    <w:p w14:paraId="5021C52B" w14:textId="77777777" w:rsidR="009A1CF3" w:rsidRPr="00F72367" w:rsidRDefault="002B5135" w:rsidP="003E5059">
      <w:pPr>
        <w:pStyle w:val="BodyARsmallspace"/>
        <w:spacing w:before="800"/>
        <w:rPr>
          <w:lang w:eastAsia="en-US"/>
        </w:rPr>
      </w:pPr>
      <w:r>
        <w:fldChar w:fldCharType="end"/>
      </w:r>
      <w:r w:rsidR="009A1CF3" w:rsidRPr="00F72367">
        <w:rPr>
          <w:lang w:eastAsia="en-US"/>
        </w:rPr>
        <w:t>Ordered to be published</w:t>
      </w:r>
    </w:p>
    <w:p w14:paraId="5021C52C" w14:textId="77777777" w:rsidR="009A1CF3" w:rsidRPr="00F72367" w:rsidRDefault="009A1CF3" w:rsidP="009A1CF3">
      <w:pPr>
        <w:pStyle w:val="BodyARsmallspace"/>
        <w:rPr>
          <w:lang w:eastAsia="en-US"/>
        </w:rPr>
      </w:pPr>
      <w:r w:rsidRPr="00F72367">
        <w:rPr>
          <w:lang w:eastAsia="en-US"/>
        </w:rPr>
        <w:t>Victorian Government Printer</w:t>
      </w:r>
    </w:p>
    <w:p w14:paraId="5021C52D" w14:textId="77777777" w:rsidR="009A1CF3" w:rsidRPr="00F72367" w:rsidRDefault="009A1CF3" w:rsidP="009A1CF3">
      <w:pPr>
        <w:pStyle w:val="BodyARsmallspace"/>
        <w:rPr>
          <w:lang w:eastAsia="en-US"/>
        </w:rPr>
      </w:pPr>
      <w:r w:rsidRPr="00F72367">
        <w:rPr>
          <w:lang w:eastAsia="en-US"/>
        </w:rPr>
        <w:t>October 2015</w:t>
      </w:r>
    </w:p>
    <w:p w14:paraId="5021C52E" w14:textId="77777777" w:rsidR="009A1CF3" w:rsidRPr="00F72367" w:rsidRDefault="009A1CF3" w:rsidP="009A1CF3">
      <w:pPr>
        <w:pStyle w:val="BodyARsmallspace"/>
        <w:rPr>
          <w:lang w:eastAsia="en-US"/>
        </w:rPr>
      </w:pPr>
      <w:r w:rsidRPr="00F72367">
        <w:rPr>
          <w:lang w:eastAsia="en-US"/>
        </w:rPr>
        <w:t>PP No 84, Session 2014-15</w:t>
      </w:r>
    </w:p>
    <w:p w14:paraId="5021C52F" w14:textId="77777777" w:rsidR="00A34045" w:rsidRPr="002A3022" w:rsidRDefault="00A34045" w:rsidP="009A1CF3">
      <w:pPr>
        <w:pStyle w:val="BodyAR"/>
      </w:pPr>
    </w:p>
    <w:p w14:paraId="5021C530" w14:textId="77777777" w:rsidR="0024589C" w:rsidRDefault="0024589C" w:rsidP="009A1CF3">
      <w:pPr>
        <w:pStyle w:val="BodyAR"/>
        <w:sectPr w:rsidR="0024589C" w:rsidSect="00B163D5">
          <w:footerReference w:type="even" r:id="rId14"/>
          <w:footerReference w:type="default" r:id="rId15"/>
          <w:footerReference w:type="first" r:id="rId16"/>
          <w:type w:val="continuous"/>
          <w:pgSz w:w="11906" w:h="16838" w:code="9"/>
          <w:pgMar w:top="1134" w:right="1134" w:bottom="1134" w:left="1134" w:header="454" w:footer="510" w:gutter="0"/>
          <w:cols w:space="708"/>
          <w:titlePg/>
          <w:docGrid w:linePitch="360"/>
        </w:sectPr>
      </w:pPr>
    </w:p>
    <w:p w14:paraId="5021C531" w14:textId="77777777" w:rsidR="00941486" w:rsidRPr="00F72367" w:rsidRDefault="00941486" w:rsidP="00AD2738">
      <w:pPr>
        <w:pStyle w:val="Heading2"/>
      </w:pPr>
      <w:bookmarkStart w:id="5" w:name="_Toc432081449"/>
      <w:bookmarkEnd w:id="2"/>
      <w:r w:rsidRPr="00F72367">
        <w:lastRenderedPageBreak/>
        <w:t>About us</w:t>
      </w:r>
      <w:bookmarkEnd w:id="5"/>
    </w:p>
    <w:p w14:paraId="5021C532" w14:textId="77777777" w:rsidR="00941486" w:rsidRPr="00F72367" w:rsidRDefault="00941486" w:rsidP="00711F83">
      <w:pPr>
        <w:pStyle w:val="Heading3"/>
      </w:pPr>
      <w:bookmarkStart w:id="6" w:name="_Toc432081450"/>
      <w:r w:rsidRPr="00F72367">
        <w:t>Our vision</w:t>
      </w:r>
      <w:bookmarkEnd w:id="6"/>
    </w:p>
    <w:p w14:paraId="5021C533" w14:textId="77777777" w:rsidR="00941486" w:rsidRPr="00F72367" w:rsidRDefault="00941486" w:rsidP="00941486">
      <w:pPr>
        <w:pStyle w:val="BodyText"/>
      </w:pPr>
      <w:r w:rsidRPr="00F72367">
        <w:t>A fair and competitive marketplace in Victoria</w:t>
      </w:r>
    </w:p>
    <w:p w14:paraId="5021C534" w14:textId="77777777" w:rsidR="00941486" w:rsidRPr="00F72367" w:rsidRDefault="00941486" w:rsidP="00711F83">
      <w:pPr>
        <w:pStyle w:val="Heading3"/>
      </w:pPr>
      <w:bookmarkStart w:id="7" w:name="_Toc432081451"/>
      <w:r w:rsidRPr="00F72367">
        <w:t>Our goals</w:t>
      </w:r>
      <w:bookmarkEnd w:id="7"/>
    </w:p>
    <w:p w14:paraId="5021C535" w14:textId="77777777" w:rsidR="00941486" w:rsidRPr="00F72367" w:rsidRDefault="00941486" w:rsidP="00941486">
      <w:pPr>
        <w:pStyle w:val="ListBullet"/>
      </w:pPr>
      <w:r w:rsidRPr="00F72367">
        <w:t>Businesses are compliant with consumer laws</w:t>
      </w:r>
    </w:p>
    <w:p w14:paraId="5021C536" w14:textId="77777777" w:rsidR="00941486" w:rsidRPr="00F72367" w:rsidRDefault="00941486" w:rsidP="00941486">
      <w:pPr>
        <w:pStyle w:val="ListBullet"/>
      </w:pPr>
      <w:r w:rsidRPr="00F72367">
        <w:t>Victorians exercise their consumer rights</w:t>
      </w:r>
    </w:p>
    <w:p w14:paraId="5021C537" w14:textId="77777777" w:rsidR="00941486" w:rsidRPr="00F72367" w:rsidRDefault="00941486" w:rsidP="00941486">
      <w:pPr>
        <w:pStyle w:val="ListBullet"/>
      </w:pPr>
      <w:r w:rsidRPr="00F72367">
        <w:t>A fair and safe rental market for Victorians</w:t>
      </w:r>
    </w:p>
    <w:p w14:paraId="5021C538" w14:textId="77777777" w:rsidR="00941486" w:rsidRPr="00F72367" w:rsidRDefault="00941486" w:rsidP="00941486">
      <w:pPr>
        <w:pStyle w:val="ListBullet"/>
      </w:pPr>
      <w:r w:rsidRPr="00F72367">
        <w:t>A modern and effective consumer law framework</w:t>
      </w:r>
    </w:p>
    <w:p w14:paraId="5021C539" w14:textId="77777777" w:rsidR="00941486" w:rsidRPr="00F72367" w:rsidRDefault="00941486" w:rsidP="00941486">
      <w:pPr>
        <w:pStyle w:val="ListBullet"/>
      </w:pPr>
      <w:r w:rsidRPr="00F72367">
        <w:t>A sustainable and innovative regulator</w:t>
      </w:r>
    </w:p>
    <w:p w14:paraId="5021C53A" w14:textId="77777777" w:rsidR="00941486" w:rsidRPr="00F72367" w:rsidRDefault="00941486" w:rsidP="00711F83">
      <w:pPr>
        <w:pStyle w:val="Heading3"/>
      </w:pPr>
      <w:bookmarkStart w:id="8" w:name="_Toc432081452"/>
      <w:r w:rsidRPr="00F72367">
        <w:t>Our functions</w:t>
      </w:r>
      <w:bookmarkEnd w:id="8"/>
    </w:p>
    <w:p w14:paraId="5021C53B" w14:textId="77777777" w:rsidR="00941486" w:rsidRPr="00F72367" w:rsidRDefault="00941486" w:rsidP="00941486">
      <w:pPr>
        <w:pStyle w:val="BodyAR"/>
      </w:pPr>
      <w:r w:rsidRPr="00F72367">
        <w:t>Consumer Affairs Victoria is the state’s consumer affairs regulator. Our role is to:</w:t>
      </w:r>
    </w:p>
    <w:p w14:paraId="5021C53C" w14:textId="77777777" w:rsidR="00941486" w:rsidRPr="00F72367" w:rsidRDefault="00941486" w:rsidP="00941486">
      <w:pPr>
        <w:pStyle w:val="ListBullet"/>
      </w:pPr>
      <w:r w:rsidRPr="00F72367">
        <w:t>review and advise the Victorian Government on the consumer protection framework</w:t>
      </w:r>
    </w:p>
    <w:p w14:paraId="5021C53D" w14:textId="77777777" w:rsidR="00941486" w:rsidRPr="00F72367" w:rsidRDefault="00941486" w:rsidP="00941486">
      <w:pPr>
        <w:pStyle w:val="ListBullet"/>
      </w:pPr>
      <w:r w:rsidRPr="00F72367">
        <w:t>provide information and advice to consumers, tenants, businesses and landlords on their rights, responsibilities and changes to relevant laws</w:t>
      </w:r>
    </w:p>
    <w:p w14:paraId="5021C53E" w14:textId="77777777" w:rsidR="00941486" w:rsidRPr="00F72367" w:rsidRDefault="00941486" w:rsidP="00941486">
      <w:pPr>
        <w:pStyle w:val="ListBullet"/>
      </w:pPr>
      <w:r w:rsidRPr="00F72367">
        <w:t>register and license businesses and occupations</w:t>
      </w:r>
    </w:p>
    <w:p w14:paraId="5021C53F" w14:textId="77777777" w:rsidR="00941486" w:rsidRPr="00F72367" w:rsidRDefault="00941486" w:rsidP="00941486">
      <w:pPr>
        <w:pStyle w:val="ListBullet"/>
      </w:pPr>
      <w:r w:rsidRPr="00F72367">
        <w:t>enforce and ensure compliance with consumer laws.</w:t>
      </w:r>
    </w:p>
    <w:p w14:paraId="5021C540" w14:textId="77777777" w:rsidR="00941486" w:rsidRPr="00F72367" w:rsidRDefault="00941486" w:rsidP="00941486">
      <w:pPr>
        <w:pStyle w:val="BodyAR"/>
      </w:pPr>
      <w:r w:rsidRPr="00F72367">
        <w:t>We provide administrative support to several statutory offices and bodies including the Business Licensing Authority, the Estate Agents Council, the Motor Car Traders Claims Committee and the Residential Tenancies Bond Authority, as well as supporting Consumer Affairs ministerial advisory roles.</w:t>
      </w:r>
    </w:p>
    <w:p w14:paraId="5021C541" w14:textId="77777777" w:rsidR="00941486" w:rsidRPr="00F72367" w:rsidRDefault="00941486" w:rsidP="00711F83">
      <w:pPr>
        <w:pStyle w:val="Heading3"/>
      </w:pPr>
      <w:bookmarkStart w:id="9" w:name="_Toc432081453"/>
      <w:r w:rsidRPr="00F72367">
        <w:t>Our regulatory approach</w:t>
      </w:r>
      <w:bookmarkEnd w:id="9"/>
    </w:p>
    <w:p w14:paraId="5021C542" w14:textId="77777777" w:rsidR="00941486" w:rsidRPr="00F72367" w:rsidRDefault="00941486" w:rsidP="00941486">
      <w:pPr>
        <w:pStyle w:val="BodyText"/>
      </w:pPr>
      <w:r w:rsidRPr="00F72367">
        <w:t>When businesses comply, consumers are protected. This knowledge guides the way we regulate. We use an integrated compliance approach to ensure businesses comply with consumer laws, and to promote a thriving Victorian economy.</w:t>
      </w:r>
    </w:p>
    <w:p w14:paraId="5021C543" w14:textId="77777777" w:rsidR="00941486" w:rsidRPr="00F72367" w:rsidRDefault="00941486" w:rsidP="00941486">
      <w:pPr>
        <w:pStyle w:val="BodyText"/>
      </w:pPr>
      <w:r w:rsidRPr="00F72367">
        <w:t>Integrated compliance is about using all our tools effectively. We:</w:t>
      </w:r>
    </w:p>
    <w:p w14:paraId="5021C544" w14:textId="77777777" w:rsidR="00941486" w:rsidRPr="00F72367" w:rsidRDefault="00941486" w:rsidP="00941486">
      <w:pPr>
        <w:pStyle w:val="ListBullet"/>
      </w:pPr>
      <w:r w:rsidRPr="00F72367">
        <w:t>provide compliance information to businesses so that they understand their obligations and the consequences of not meeting them</w:t>
      </w:r>
    </w:p>
    <w:p w14:paraId="5021C545" w14:textId="77777777" w:rsidR="00941486" w:rsidRPr="00F72367" w:rsidRDefault="00941486" w:rsidP="00941486">
      <w:pPr>
        <w:pStyle w:val="ListBullet"/>
      </w:pPr>
      <w:r w:rsidRPr="00F72367">
        <w:t>work with industry partners to achieve compliance. This means working with our colleagues in other jurisdictions, as well as organisations who are working towards similar outcomes. By doing so, we can improve the way we provide information to businesses and better target groups with specialised information needs</w:t>
      </w:r>
    </w:p>
    <w:p w14:paraId="5021C546" w14:textId="77777777" w:rsidR="00941486" w:rsidRPr="00F72367" w:rsidRDefault="00941486" w:rsidP="00941486">
      <w:pPr>
        <w:pStyle w:val="ListBullet"/>
      </w:pPr>
      <w:r w:rsidRPr="00F72367">
        <w:t>provide information to consumers and tenants to help them assert their rights in a dispute, thus holding businesses to account for compliance.</w:t>
      </w:r>
    </w:p>
    <w:p w14:paraId="5021C547" w14:textId="77777777" w:rsidR="00941486" w:rsidRPr="00F72367" w:rsidRDefault="00941486" w:rsidP="00941486">
      <w:pPr>
        <w:pStyle w:val="BodyAR"/>
      </w:pPr>
      <w:r w:rsidRPr="00F72367">
        <w:t>We use compliance tools to monitor businesses, stop misconduct and prevent future breaches. We take a risk-based approach to compliance monitoring, targeting those that pose the highest risk to Victorians.</w:t>
      </w:r>
    </w:p>
    <w:p w14:paraId="5021C548" w14:textId="77777777" w:rsidR="00941486" w:rsidRPr="00F72367" w:rsidRDefault="00941486" w:rsidP="00941486">
      <w:pPr>
        <w:pStyle w:val="BodyAR"/>
      </w:pPr>
      <w:r w:rsidRPr="00F72367">
        <w:t>For the most serious matters or systemic non-compliance, we take enforcement action to put a stop to, and deter, unlawful conduct.</w:t>
      </w:r>
    </w:p>
    <w:p w14:paraId="5021C549" w14:textId="77777777" w:rsidR="00941486" w:rsidRPr="00F72367" w:rsidRDefault="00941486" w:rsidP="004063AE">
      <w:pPr>
        <w:pStyle w:val="Heading2"/>
      </w:pPr>
      <w:bookmarkStart w:id="10" w:name="_Toc432081454"/>
      <w:r>
        <w:lastRenderedPageBreak/>
        <w:t>1</w:t>
      </w:r>
      <w:r>
        <w:tab/>
      </w:r>
      <w:r w:rsidRPr="00F72367">
        <w:t>Our performance</w:t>
      </w:r>
      <w:bookmarkEnd w:id="10"/>
    </w:p>
    <w:p w14:paraId="5021C54A" w14:textId="77777777" w:rsidR="00941486" w:rsidRPr="00F72367" w:rsidRDefault="00941486" w:rsidP="00941486">
      <w:pPr>
        <w:pStyle w:val="BodyAR"/>
      </w:pPr>
      <w:r w:rsidRPr="00F72367">
        <w:t xml:space="preserve">This report contains important statistical and factual information about our activity as required under the </w:t>
      </w:r>
      <w:r w:rsidRPr="00F72367">
        <w:rPr>
          <w:rStyle w:val="Emphasis"/>
        </w:rPr>
        <w:t>Australian Consumer Law and Fair Trading Act 2012</w:t>
      </w:r>
      <w:r w:rsidRPr="00F72367">
        <w:t xml:space="preserve">, the </w:t>
      </w:r>
      <w:r w:rsidRPr="00F72367">
        <w:rPr>
          <w:rStyle w:val="Emphasis"/>
        </w:rPr>
        <w:t>Credit (Administration) Act 1984</w:t>
      </w:r>
      <w:r w:rsidRPr="00F72367">
        <w:t xml:space="preserve"> and the </w:t>
      </w:r>
      <w:r w:rsidRPr="00F72367">
        <w:rPr>
          <w:rStyle w:val="Emphasis"/>
        </w:rPr>
        <w:t>Veterans Act 2005</w:t>
      </w:r>
      <w:r w:rsidRPr="00F72367">
        <w:t xml:space="preserve">. For a more comprehensive account of our performance against our goals, see the Year in Review </w:t>
      </w:r>
      <w:r w:rsidR="0067228A">
        <w:t>at</w:t>
      </w:r>
      <w:r w:rsidRPr="00F72367">
        <w:t xml:space="preserve"> </w:t>
      </w:r>
      <w:r w:rsidR="00400E97">
        <w:t xml:space="preserve">the </w:t>
      </w:r>
      <w:hyperlink r:id="rId17" w:history="1">
        <w:r w:rsidR="00400E97" w:rsidRPr="00400E97">
          <w:rPr>
            <w:rStyle w:val="Hyperlink"/>
          </w:rPr>
          <w:t>Annual report page on the Consumer Affairs Victoria website</w:t>
        </w:r>
      </w:hyperlink>
      <w:r w:rsidRPr="00F72367">
        <w:t xml:space="preserve"> </w:t>
      </w:r>
      <w:r w:rsidR="00400E97">
        <w:t>&lt;</w:t>
      </w:r>
      <w:r w:rsidRPr="00F72367">
        <w:t>www.consumer.vic.gov.au/annualreport</w:t>
      </w:r>
      <w:r w:rsidR="00400E97">
        <w:t>&gt;</w:t>
      </w:r>
      <w:r w:rsidRPr="00F72367">
        <w:t>.</w:t>
      </w:r>
    </w:p>
    <w:p w14:paraId="5021C54B" w14:textId="77777777" w:rsidR="00941486" w:rsidRPr="00F72367" w:rsidRDefault="00941486" w:rsidP="00711F83">
      <w:pPr>
        <w:pStyle w:val="Heading3"/>
      </w:pPr>
      <w:bookmarkStart w:id="11" w:name="_Toc432081455"/>
      <w:r w:rsidRPr="00F72367">
        <w:t>Performance against Budget Paper Number 3 (BP3 targets)</w:t>
      </w:r>
      <w:bookmarkEnd w:id="11"/>
    </w:p>
    <w:p w14:paraId="5021C54C" w14:textId="77777777" w:rsidR="00941486" w:rsidRPr="00F72367" w:rsidRDefault="00941486" w:rsidP="00941486">
      <w:pPr>
        <w:pStyle w:val="BodyAR"/>
      </w:pPr>
      <w:r w:rsidRPr="00F72367">
        <w:t>This section reports on our performance against BP3 targets specified for Consumer Affairs Victoria in the 2014-15 Victorian Budget. For budget purposes, outputs are defined as those goods and services provided to government by departments, agencies, statutory bodies and through funding provided to others, such as community agencies. The table below reports actual performance against targets for each output measure.</w:t>
      </w:r>
    </w:p>
    <w:p w14:paraId="5021C54D" w14:textId="77777777" w:rsidR="00941486" w:rsidRPr="00F72367" w:rsidRDefault="00941486" w:rsidP="00941486">
      <w:pPr>
        <w:pStyle w:val="BodyAR"/>
      </w:pPr>
      <w:r w:rsidRPr="00F72367">
        <w:t>Corresponding data for the two previous financial years is also included.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134"/>
        <w:gridCol w:w="1134"/>
        <w:gridCol w:w="1134"/>
        <w:gridCol w:w="1134"/>
      </w:tblGrid>
      <w:tr w:rsidR="00941486" w:rsidRPr="00F72367" w14:paraId="5021C554" w14:textId="77777777" w:rsidTr="007F198F">
        <w:trPr>
          <w:cantSplit/>
          <w:tblHeader/>
        </w:trPr>
        <w:tc>
          <w:tcPr>
            <w:tcW w:w="3969" w:type="dxa"/>
            <w:shd w:val="clear" w:color="auto" w:fill="595959"/>
          </w:tcPr>
          <w:p w14:paraId="5021C54E" w14:textId="77777777" w:rsidR="00941486" w:rsidRPr="009C322B" w:rsidRDefault="00941486" w:rsidP="007F198F">
            <w:pPr>
              <w:pStyle w:val="TableColumnHead"/>
              <w:jc w:val="right"/>
            </w:pPr>
          </w:p>
        </w:tc>
        <w:tc>
          <w:tcPr>
            <w:tcW w:w="1134" w:type="dxa"/>
            <w:shd w:val="clear" w:color="auto" w:fill="595959"/>
          </w:tcPr>
          <w:p w14:paraId="5021C54F" w14:textId="77777777" w:rsidR="00941486" w:rsidRPr="009C322B" w:rsidRDefault="00941486" w:rsidP="007F198F">
            <w:pPr>
              <w:pStyle w:val="TableColumnHead"/>
              <w:jc w:val="right"/>
            </w:pPr>
            <w:r w:rsidRPr="009C322B">
              <w:t>Unit of measure</w:t>
            </w:r>
          </w:p>
        </w:tc>
        <w:tc>
          <w:tcPr>
            <w:tcW w:w="1134" w:type="dxa"/>
            <w:shd w:val="clear" w:color="auto" w:fill="595959"/>
          </w:tcPr>
          <w:p w14:paraId="5021C550" w14:textId="77777777" w:rsidR="00941486" w:rsidRPr="009C322B" w:rsidRDefault="00941486" w:rsidP="007F198F">
            <w:pPr>
              <w:pStyle w:val="TableColumnHead"/>
              <w:jc w:val="right"/>
            </w:pPr>
            <w:r w:rsidRPr="009C322B">
              <w:t>2012-13 Actual</w:t>
            </w:r>
          </w:p>
        </w:tc>
        <w:tc>
          <w:tcPr>
            <w:tcW w:w="1134" w:type="dxa"/>
            <w:shd w:val="clear" w:color="auto" w:fill="595959"/>
          </w:tcPr>
          <w:p w14:paraId="5021C551" w14:textId="77777777" w:rsidR="00941486" w:rsidRPr="009C322B" w:rsidRDefault="00941486" w:rsidP="007F198F">
            <w:pPr>
              <w:pStyle w:val="TableColumnHead"/>
              <w:jc w:val="right"/>
            </w:pPr>
            <w:r w:rsidRPr="009C322B">
              <w:t>2013-14 Actual</w:t>
            </w:r>
          </w:p>
        </w:tc>
        <w:tc>
          <w:tcPr>
            <w:tcW w:w="1134" w:type="dxa"/>
            <w:shd w:val="clear" w:color="auto" w:fill="595959"/>
          </w:tcPr>
          <w:p w14:paraId="5021C552" w14:textId="77777777" w:rsidR="00941486" w:rsidRPr="009C322B" w:rsidRDefault="00941486" w:rsidP="007F198F">
            <w:pPr>
              <w:pStyle w:val="TableColumnHead"/>
              <w:jc w:val="right"/>
            </w:pPr>
            <w:r w:rsidRPr="009C322B">
              <w:t>2014-15 Target</w:t>
            </w:r>
          </w:p>
        </w:tc>
        <w:tc>
          <w:tcPr>
            <w:tcW w:w="1134" w:type="dxa"/>
            <w:shd w:val="clear" w:color="auto" w:fill="595959"/>
          </w:tcPr>
          <w:p w14:paraId="5021C553" w14:textId="77777777" w:rsidR="00941486" w:rsidRPr="009C322B" w:rsidRDefault="00941486" w:rsidP="007F198F">
            <w:pPr>
              <w:pStyle w:val="TableColumnHead"/>
              <w:jc w:val="right"/>
            </w:pPr>
            <w:r w:rsidRPr="009C322B">
              <w:t>2014-15 Actual</w:t>
            </w:r>
          </w:p>
        </w:tc>
      </w:tr>
      <w:tr w:rsidR="00941486" w:rsidRPr="00F72367" w14:paraId="5021C556" w14:textId="77777777" w:rsidTr="007F198F">
        <w:trPr>
          <w:cantSplit/>
        </w:trPr>
        <w:tc>
          <w:tcPr>
            <w:tcW w:w="3969" w:type="dxa"/>
            <w:gridSpan w:val="6"/>
            <w:shd w:val="clear" w:color="auto" w:fill="FBD4B4"/>
          </w:tcPr>
          <w:p w14:paraId="5021C555" w14:textId="77777777" w:rsidR="00941486" w:rsidRPr="007F198F" w:rsidRDefault="00941486" w:rsidP="00941486">
            <w:pPr>
              <w:pStyle w:val="TableTextAR"/>
              <w:rPr>
                <w:b/>
              </w:rPr>
            </w:pPr>
            <w:r w:rsidRPr="007F198F">
              <w:rPr>
                <w:b/>
              </w:rPr>
              <w:t>Quantity</w:t>
            </w:r>
          </w:p>
        </w:tc>
      </w:tr>
      <w:tr w:rsidR="00941486" w:rsidRPr="00F72367" w14:paraId="5021C55D" w14:textId="77777777" w:rsidTr="007F198F">
        <w:trPr>
          <w:cantSplit/>
        </w:trPr>
        <w:tc>
          <w:tcPr>
            <w:tcW w:w="3969" w:type="dxa"/>
          </w:tcPr>
          <w:p w14:paraId="5021C557" w14:textId="77777777" w:rsidR="00941486" w:rsidRPr="00F72367" w:rsidRDefault="00941486" w:rsidP="003C3EBF">
            <w:pPr>
              <w:pStyle w:val="TableTextAR"/>
            </w:pPr>
            <w:r w:rsidRPr="00F72367">
              <w:t>Information and advice provided through telephone service</w:t>
            </w:r>
            <w:r w:rsidR="003C3EBF">
              <w:t xml:space="preserve"> (1)</w:t>
            </w:r>
          </w:p>
        </w:tc>
        <w:tc>
          <w:tcPr>
            <w:tcW w:w="1134" w:type="dxa"/>
          </w:tcPr>
          <w:p w14:paraId="5021C558" w14:textId="77777777" w:rsidR="00941486" w:rsidRPr="00F72367" w:rsidRDefault="00941486" w:rsidP="007F198F">
            <w:pPr>
              <w:pStyle w:val="TableTextAR"/>
              <w:jc w:val="right"/>
            </w:pPr>
            <w:r w:rsidRPr="00F72367">
              <w:t>number</w:t>
            </w:r>
          </w:p>
        </w:tc>
        <w:tc>
          <w:tcPr>
            <w:tcW w:w="1134" w:type="dxa"/>
          </w:tcPr>
          <w:p w14:paraId="5021C559" w14:textId="77777777" w:rsidR="00941486" w:rsidRPr="00F72367" w:rsidRDefault="00941486" w:rsidP="007F198F">
            <w:pPr>
              <w:pStyle w:val="TableTextAR"/>
              <w:jc w:val="right"/>
            </w:pPr>
            <w:r w:rsidRPr="00F72367">
              <w:t>409,936</w:t>
            </w:r>
          </w:p>
        </w:tc>
        <w:tc>
          <w:tcPr>
            <w:tcW w:w="1134" w:type="dxa"/>
          </w:tcPr>
          <w:p w14:paraId="5021C55A" w14:textId="77777777" w:rsidR="00941486" w:rsidRPr="00F72367" w:rsidRDefault="00941486" w:rsidP="007F198F">
            <w:pPr>
              <w:pStyle w:val="TableTextAR"/>
              <w:jc w:val="right"/>
            </w:pPr>
            <w:r w:rsidRPr="00F72367">
              <w:t>390,349</w:t>
            </w:r>
          </w:p>
        </w:tc>
        <w:tc>
          <w:tcPr>
            <w:tcW w:w="1134" w:type="dxa"/>
          </w:tcPr>
          <w:p w14:paraId="5021C55B" w14:textId="77777777" w:rsidR="00941486" w:rsidRPr="00F72367" w:rsidRDefault="00941486" w:rsidP="007F198F">
            <w:pPr>
              <w:pStyle w:val="TableTextAR"/>
              <w:jc w:val="right"/>
            </w:pPr>
            <w:r w:rsidRPr="00F72367">
              <w:t>375,000</w:t>
            </w:r>
          </w:p>
        </w:tc>
        <w:tc>
          <w:tcPr>
            <w:tcW w:w="1134" w:type="dxa"/>
          </w:tcPr>
          <w:p w14:paraId="5021C55C" w14:textId="77777777" w:rsidR="00941486" w:rsidRPr="00F72367" w:rsidRDefault="00941486" w:rsidP="007F198F">
            <w:pPr>
              <w:pStyle w:val="TableTextAR"/>
              <w:jc w:val="right"/>
            </w:pPr>
            <w:r w:rsidRPr="00F72367">
              <w:t>352,369</w:t>
            </w:r>
          </w:p>
        </w:tc>
      </w:tr>
      <w:tr w:rsidR="00941486" w:rsidRPr="00F72367" w14:paraId="5021C564" w14:textId="77777777" w:rsidTr="007F198F">
        <w:trPr>
          <w:cantSplit/>
        </w:trPr>
        <w:tc>
          <w:tcPr>
            <w:tcW w:w="3969" w:type="dxa"/>
          </w:tcPr>
          <w:p w14:paraId="5021C55E" w14:textId="77777777" w:rsidR="00941486" w:rsidRPr="00F72367" w:rsidRDefault="00941486" w:rsidP="00941486">
            <w:pPr>
              <w:pStyle w:val="TableTextAR"/>
            </w:pPr>
            <w:r w:rsidRPr="00F72367">
              <w:t>Information and advice provided through other services including written correspondence, fac</w:t>
            </w:r>
            <w:r w:rsidR="003C3EBF">
              <w:t>e-to-face and dispute assistance (2)</w:t>
            </w:r>
          </w:p>
        </w:tc>
        <w:tc>
          <w:tcPr>
            <w:tcW w:w="1134" w:type="dxa"/>
          </w:tcPr>
          <w:p w14:paraId="5021C55F" w14:textId="77777777" w:rsidR="00941486" w:rsidRPr="00F72367" w:rsidRDefault="00941486" w:rsidP="007F198F">
            <w:pPr>
              <w:pStyle w:val="TableTextAR"/>
              <w:jc w:val="right"/>
            </w:pPr>
            <w:r w:rsidRPr="00F72367">
              <w:t>number</w:t>
            </w:r>
          </w:p>
        </w:tc>
        <w:tc>
          <w:tcPr>
            <w:tcW w:w="1134" w:type="dxa"/>
          </w:tcPr>
          <w:p w14:paraId="5021C560" w14:textId="77777777" w:rsidR="00941486" w:rsidRPr="00F72367" w:rsidRDefault="00941486" w:rsidP="007F198F">
            <w:pPr>
              <w:pStyle w:val="TableTextAR"/>
              <w:jc w:val="right"/>
            </w:pPr>
            <w:r w:rsidRPr="00F72367">
              <w:t>84,659</w:t>
            </w:r>
          </w:p>
        </w:tc>
        <w:tc>
          <w:tcPr>
            <w:tcW w:w="1134" w:type="dxa"/>
          </w:tcPr>
          <w:p w14:paraId="5021C561" w14:textId="77777777" w:rsidR="00941486" w:rsidRPr="00F72367" w:rsidRDefault="00941486" w:rsidP="007F198F">
            <w:pPr>
              <w:pStyle w:val="TableTextAR"/>
              <w:jc w:val="right"/>
            </w:pPr>
            <w:r w:rsidRPr="00F72367">
              <w:t>133,729</w:t>
            </w:r>
          </w:p>
        </w:tc>
        <w:tc>
          <w:tcPr>
            <w:tcW w:w="1134" w:type="dxa"/>
          </w:tcPr>
          <w:p w14:paraId="5021C562" w14:textId="77777777" w:rsidR="00941486" w:rsidRPr="00F72367" w:rsidRDefault="00941486" w:rsidP="007F198F">
            <w:pPr>
              <w:pStyle w:val="TableTextAR"/>
              <w:jc w:val="right"/>
            </w:pPr>
            <w:r w:rsidRPr="00F72367">
              <w:t>140,000</w:t>
            </w:r>
          </w:p>
        </w:tc>
        <w:tc>
          <w:tcPr>
            <w:tcW w:w="1134" w:type="dxa"/>
          </w:tcPr>
          <w:p w14:paraId="5021C563" w14:textId="77777777" w:rsidR="00941486" w:rsidRPr="00F72367" w:rsidRDefault="00941486" w:rsidP="007F198F">
            <w:pPr>
              <w:pStyle w:val="TableTextAR"/>
              <w:jc w:val="right"/>
            </w:pPr>
            <w:r w:rsidRPr="00F72367">
              <w:t>129,430</w:t>
            </w:r>
          </w:p>
        </w:tc>
      </w:tr>
      <w:tr w:rsidR="00941486" w:rsidRPr="00F72367" w14:paraId="5021C56B" w14:textId="77777777" w:rsidTr="007F198F">
        <w:trPr>
          <w:cantSplit/>
        </w:trPr>
        <w:tc>
          <w:tcPr>
            <w:tcW w:w="3969" w:type="dxa"/>
          </w:tcPr>
          <w:p w14:paraId="5021C565" w14:textId="77777777" w:rsidR="003C3EBF" w:rsidRPr="00F72367" w:rsidRDefault="00941486" w:rsidP="003C3EBF">
            <w:pPr>
              <w:pStyle w:val="TableTextAR"/>
            </w:pPr>
            <w:r w:rsidRPr="00F72367">
              <w:t>Inspections, compliance monitoring and enforcement activities</w:t>
            </w:r>
            <w:r w:rsidR="003C3EBF">
              <w:t>s (3)</w:t>
            </w:r>
          </w:p>
        </w:tc>
        <w:tc>
          <w:tcPr>
            <w:tcW w:w="1134" w:type="dxa"/>
          </w:tcPr>
          <w:p w14:paraId="5021C566" w14:textId="77777777" w:rsidR="00941486" w:rsidRPr="00F72367" w:rsidRDefault="00941486" w:rsidP="007F198F">
            <w:pPr>
              <w:pStyle w:val="TableTextAR"/>
              <w:jc w:val="right"/>
            </w:pPr>
            <w:r w:rsidRPr="00F72367">
              <w:t>number</w:t>
            </w:r>
          </w:p>
        </w:tc>
        <w:tc>
          <w:tcPr>
            <w:tcW w:w="1134" w:type="dxa"/>
          </w:tcPr>
          <w:p w14:paraId="5021C567" w14:textId="77777777" w:rsidR="00941486" w:rsidRPr="00F72367" w:rsidRDefault="00941486" w:rsidP="007F198F">
            <w:pPr>
              <w:pStyle w:val="TableTextAR"/>
              <w:jc w:val="right"/>
            </w:pPr>
            <w:r w:rsidRPr="00F72367">
              <w:t>9,749</w:t>
            </w:r>
          </w:p>
        </w:tc>
        <w:tc>
          <w:tcPr>
            <w:tcW w:w="1134" w:type="dxa"/>
          </w:tcPr>
          <w:p w14:paraId="5021C568" w14:textId="77777777" w:rsidR="00941486" w:rsidRPr="00F72367" w:rsidRDefault="00941486" w:rsidP="007F198F">
            <w:pPr>
              <w:pStyle w:val="TableTextAR"/>
              <w:jc w:val="right"/>
            </w:pPr>
            <w:r w:rsidRPr="00F72367">
              <w:t>10,588</w:t>
            </w:r>
          </w:p>
        </w:tc>
        <w:tc>
          <w:tcPr>
            <w:tcW w:w="1134" w:type="dxa"/>
          </w:tcPr>
          <w:p w14:paraId="5021C569" w14:textId="77777777" w:rsidR="00941486" w:rsidRPr="00F72367" w:rsidRDefault="00941486" w:rsidP="007F198F">
            <w:pPr>
              <w:pStyle w:val="TableTextAR"/>
              <w:jc w:val="right"/>
            </w:pPr>
            <w:r w:rsidRPr="00F72367">
              <w:t>12,000</w:t>
            </w:r>
          </w:p>
        </w:tc>
        <w:tc>
          <w:tcPr>
            <w:tcW w:w="1134" w:type="dxa"/>
          </w:tcPr>
          <w:p w14:paraId="5021C56A" w14:textId="77777777" w:rsidR="00941486" w:rsidRPr="00F72367" w:rsidRDefault="00941486" w:rsidP="007F198F">
            <w:pPr>
              <w:pStyle w:val="TableTextAR"/>
              <w:jc w:val="right"/>
            </w:pPr>
            <w:r w:rsidRPr="00F72367">
              <w:t>11,344</w:t>
            </w:r>
          </w:p>
        </w:tc>
      </w:tr>
      <w:tr w:rsidR="00941486" w:rsidRPr="00F72367" w14:paraId="5021C572" w14:textId="77777777" w:rsidTr="007F198F">
        <w:trPr>
          <w:cantSplit/>
        </w:trPr>
        <w:tc>
          <w:tcPr>
            <w:tcW w:w="3969" w:type="dxa"/>
          </w:tcPr>
          <w:p w14:paraId="5021C56C" w14:textId="77777777" w:rsidR="00941486" w:rsidRPr="00F72367" w:rsidRDefault="00941486" w:rsidP="00941486">
            <w:pPr>
              <w:pStyle w:val="TableTextAR"/>
            </w:pPr>
            <w:r w:rsidRPr="00F72367">
              <w:t>Transactions undertaken: registration and licensing transactions</w:t>
            </w:r>
          </w:p>
        </w:tc>
        <w:tc>
          <w:tcPr>
            <w:tcW w:w="1134" w:type="dxa"/>
          </w:tcPr>
          <w:p w14:paraId="5021C56D" w14:textId="77777777" w:rsidR="00941486" w:rsidRPr="00F72367" w:rsidRDefault="00941486" w:rsidP="007F198F">
            <w:pPr>
              <w:pStyle w:val="TableTextAR"/>
              <w:jc w:val="right"/>
            </w:pPr>
            <w:r w:rsidRPr="00F72367">
              <w:t>number</w:t>
            </w:r>
          </w:p>
        </w:tc>
        <w:tc>
          <w:tcPr>
            <w:tcW w:w="1134" w:type="dxa"/>
          </w:tcPr>
          <w:p w14:paraId="5021C56E" w14:textId="77777777" w:rsidR="00941486" w:rsidRPr="00F72367" w:rsidRDefault="00941486" w:rsidP="007F198F">
            <w:pPr>
              <w:pStyle w:val="TableTextAR"/>
              <w:jc w:val="right"/>
            </w:pPr>
            <w:r w:rsidRPr="00F72367">
              <w:t>61,378</w:t>
            </w:r>
          </w:p>
        </w:tc>
        <w:tc>
          <w:tcPr>
            <w:tcW w:w="1134" w:type="dxa"/>
          </w:tcPr>
          <w:p w14:paraId="5021C56F" w14:textId="77777777" w:rsidR="00941486" w:rsidRPr="00F72367" w:rsidRDefault="00941486" w:rsidP="007F198F">
            <w:pPr>
              <w:pStyle w:val="TableTextAR"/>
              <w:jc w:val="right"/>
            </w:pPr>
            <w:r w:rsidRPr="00F72367">
              <w:t>67,520</w:t>
            </w:r>
          </w:p>
        </w:tc>
        <w:tc>
          <w:tcPr>
            <w:tcW w:w="1134" w:type="dxa"/>
          </w:tcPr>
          <w:p w14:paraId="5021C570" w14:textId="77777777" w:rsidR="00941486" w:rsidRPr="00F72367" w:rsidRDefault="00941486" w:rsidP="007F198F">
            <w:pPr>
              <w:pStyle w:val="TableTextAR"/>
              <w:jc w:val="right"/>
            </w:pPr>
            <w:r w:rsidRPr="00F72367">
              <w:t>69,500</w:t>
            </w:r>
          </w:p>
        </w:tc>
        <w:tc>
          <w:tcPr>
            <w:tcW w:w="1134" w:type="dxa"/>
          </w:tcPr>
          <w:p w14:paraId="5021C571" w14:textId="77777777" w:rsidR="00941486" w:rsidRPr="00F72367" w:rsidRDefault="00941486" w:rsidP="007F198F">
            <w:pPr>
              <w:pStyle w:val="TableTextAR"/>
              <w:jc w:val="right"/>
            </w:pPr>
            <w:r w:rsidRPr="00F72367">
              <w:t>70,679</w:t>
            </w:r>
          </w:p>
        </w:tc>
      </w:tr>
      <w:tr w:rsidR="00941486" w:rsidRPr="00F72367" w14:paraId="5021C579" w14:textId="77777777" w:rsidTr="007F198F">
        <w:trPr>
          <w:cantSplit/>
        </w:trPr>
        <w:tc>
          <w:tcPr>
            <w:tcW w:w="3969" w:type="dxa"/>
          </w:tcPr>
          <w:p w14:paraId="5021C573" w14:textId="77777777" w:rsidR="00941486" w:rsidRPr="00F72367" w:rsidRDefault="00941486" w:rsidP="00941486">
            <w:pPr>
              <w:pStyle w:val="TableTextAR"/>
            </w:pPr>
            <w:r w:rsidRPr="00F72367">
              <w:t>Transactions undertaken: Residential Tenancies Bond Authority (RTBA)</w:t>
            </w:r>
          </w:p>
        </w:tc>
        <w:tc>
          <w:tcPr>
            <w:tcW w:w="1134" w:type="dxa"/>
          </w:tcPr>
          <w:p w14:paraId="5021C574" w14:textId="77777777" w:rsidR="00941486" w:rsidRPr="00F72367" w:rsidRDefault="00941486" w:rsidP="007F198F">
            <w:pPr>
              <w:pStyle w:val="TableTextAR"/>
              <w:jc w:val="right"/>
            </w:pPr>
            <w:r w:rsidRPr="00F72367">
              <w:t>number</w:t>
            </w:r>
          </w:p>
        </w:tc>
        <w:tc>
          <w:tcPr>
            <w:tcW w:w="1134" w:type="dxa"/>
          </w:tcPr>
          <w:p w14:paraId="5021C575" w14:textId="77777777" w:rsidR="00941486" w:rsidRPr="00F72367" w:rsidRDefault="00941486" w:rsidP="007F198F">
            <w:pPr>
              <w:pStyle w:val="TableTextAR"/>
              <w:jc w:val="right"/>
            </w:pPr>
            <w:r w:rsidRPr="00F72367">
              <w:t>406,535</w:t>
            </w:r>
          </w:p>
        </w:tc>
        <w:tc>
          <w:tcPr>
            <w:tcW w:w="1134" w:type="dxa"/>
          </w:tcPr>
          <w:p w14:paraId="5021C576" w14:textId="77777777" w:rsidR="00941486" w:rsidRPr="00F72367" w:rsidRDefault="00941486" w:rsidP="007F198F">
            <w:pPr>
              <w:pStyle w:val="TableTextAR"/>
              <w:jc w:val="right"/>
            </w:pPr>
            <w:r w:rsidRPr="00F72367">
              <w:t>419,135</w:t>
            </w:r>
          </w:p>
        </w:tc>
        <w:tc>
          <w:tcPr>
            <w:tcW w:w="1134" w:type="dxa"/>
          </w:tcPr>
          <w:p w14:paraId="5021C577" w14:textId="77777777" w:rsidR="00941486" w:rsidRPr="00F72367" w:rsidRDefault="00941486" w:rsidP="007F198F">
            <w:pPr>
              <w:pStyle w:val="TableTextAR"/>
              <w:jc w:val="right"/>
            </w:pPr>
            <w:r w:rsidRPr="00F72367">
              <w:t>448,000</w:t>
            </w:r>
          </w:p>
        </w:tc>
        <w:tc>
          <w:tcPr>
            <w:tcW w:w="1134" w:type="dxa"/>
          </w:tcPr>
          <w:p w14:paraId="5021C578" w14:textId="77777777" w:rsidR="00941486" w:rsidRPr="00F72367" w:rsidRDefault="00941486" w:rsidP="007F198F">
            <w:pPr>
              <w:pStyle w:val="TableTextAR"/>
              <w:jc w:val="right"/>
            </w:pPr>
            <w:r w:rsidRPr="00F72367">
              <w:t>432,569</w:t>
            </w:r>
          </w:p>
        </w:tc>
      </w:tr>
      <w:tr w:rsidR="00941486" w:rsidRPr="00F72367" w14:paraId="5021C57B" w14:textId="77777777" w:rsidTr="007F198F">
        <w:trPr>
          <w:cantSplit/>
        </w:trPr>
        <w:tc>
          <w:tcPr>
            <w:tcW w:w="3969" w:type="dxa"/>
            <w:gridSpan w:val="6"/>
            <w:shd w:val="clear" w:color="auto" w:fill="FBD4B4"/>
          </w:tcPr>
          <w:p w14:paraId="5021C57A" w14:textId="77777777" w:rsidR="00941486" w:rsidRPr="007F198F" w:rsidRDefault="00941486" w:rsidP="00941486">
            <w:pPr>
              <w:pStyle w:val="TableTextAR"/>
              <w:rPr>
                <w:b/>
              </w:rPr>
            </w:pPr>
            <w:r w:rsidRPr="007F198F">
              <w:rPr>
                <w:b/>
              </w:rPr>
              <w:t>Quality</w:t>
            </w:r>
          </w:p>
        </w:tc>
      </w:tr>
      <w:tr w:rsidR="00941486" w:rsidRPr="00F72367" w14:paraId="5021C582" w14:textId="77777777" w:rsidTr="007F198F">
        <w:trPr>
          <w:cantSplit/>
        </w:trPr>
        <w:tc>
          <w:tcPr>
            <w:tcW w:w="3969" w:type="dxa"/>
          </w:tcPr>
          <w:p w14:paraId="5021C57C" w14:textId="77777777" w:rsidR="00941486" w:rsidRPr="00F72367" w:rsidRDefault="00941486" w:rsidP="00941486">
            <w:pPr>
              <w:pStyle w:val="TableTextAR"/>
            </w:pPr>
            <w:r w:rsidRPr="00F72367">
              <w:t>Customer sat</w:t>
            </w:r>
            <w:r w:rsidR="003C3EBF">
              <w:t>isfaction with services provided (4)</w:t>
            </w:r>
          </w:p>
        </w:tc>
        <w:tc>
          <w:tcPr>
            <w:tcW w:w="1134" w:type="dxa"/>
          </w:tcPr>
          <w:p w14:paraId="5021C57D" w14:textId="77777777" w:rsidR="00941486" w:rsidRPr="00F72367" w:rsidRDefault="00941486" w:rsidP="007F198F">
            <w:pPr>
              <w:pStyle w:val="TableTextAR"/>
              <w:jc w:val="right"/>
            </w:pPr>
            <w:r w:rsidRPr="00F72367">
              <w:t>per cent</w:t>
            </w:r>
          </w:p>
        </w:tc>
        <w:tc>
          <w:tcPr>
            <w:tcW w:w="1134" w:type="dxa"/>
          </w:tcPr>
          <w:p w14:paraId="5021C57E" w14:textId="77777777" w:rsidR="00941486" w:rsidRPr="00F72367" w:rsidRDefault="00941486" w:rsidP="007F198F">
            <w:pPr>
              <w:pStyle w:val="TableTextAR"/>
              <w:jc w:val="right"/>
            </w:pPr>
            <w:r w:rsidRPr="00F72367">
              <w:t>94.0</w:t>
            </w:r>
          </w:p>
        </w:tc>
        <w:tc>
          <w:tcPr>
            <w:tcW w:w="1134" w:type="dxa"/>
          </w:tcPr>
          <w:p w14:paraId="5021C57F" w14:textId="77777777" w:rsidR="00941486" w:rsidRPr="00F72367" w:rsidRDefault="00941486" w:rsidP="007F198F">
            <w:pPr>
              <w:pStyle w:val="TableTextAR"/>
              <w:jc w:val="right"/>
            </w:pPr>
            <w:r w:rsidRPr="00F72367">
              <w:t>93.2</w:t>
            </w:r>
          </w:p>
        </w:tc>
        <w:tc>
          <w:tcPr>
            <w:tcW w:w="1134" w:type="dxa"/>
          </w:tcPr>
          <w:p w14:paraId="5021C580" w14:textId="77777777" w:rsidR="00941486" w:rsidRPr="00F72367" w:rsidRDefault="00941486" w:rsidP="007F198F">
            <w:pPr>
              <w:pStyle w:val="TableTextAR"/>
              <w:jc w:val="right"/>
            </w:pPr>
            <w:r w:rsidRPr="00F72367">
              <w:t>90.0</w:t>
            </w:r>
          </w:p>
        </w:tc>
        <w:tc>
          <w:tcPr>
            <w:tcW w:w="1134" w:type="dxa"/>
          </w:tcPr>
          <w:p w14:paraId="5021C581" w14:textId="77777777" w:rsidR="00941486" w:rsidRPr="00F72367" w:rsidRDefault="00941486" w:rsidP="007F198F">
            <w:pPr>
              <w:pStyle w:val="TableTextAR"/>
              <w:jc w:val="right"/>
            </w:pPr>
            <w:r w:rsidRPr="00F72367">
              <w:t>95.6</w:t>
            </w:r>
          </w:p>
        </w:tc>
      </w:tr>
      <w:tr w:rsidR="00941486" w:rsidRPr="00F72367" w14:paraId="5021C584" w14:textId="77777777" w:rsidTr="007F198F">
        <w:trPr>
          <w:cantSplit/>
        </w:trPr>
        <w:tc>
          <w:tcPr>
            <w:tcW w:w="3969" w:type="dxa"/>
            <w:gridSpan w:val="6"/>
            <w:shd w:val="clear" w:color="auto" w:fill="FBD4B4"/>
          </w:tcPr>
          <w:p w14:paraId="5021C583" w14:textId="77777777" w:rsidR="00941486" w:rsidRPr="007F198F" w:rsidRDefault="00941486" w:rsidP="00941486">
            <w:pPr>
              <w:pStyle w:val="TableTextAR"/>
              <w:rPr>
                <w:b/>
              </w:rPr>
            </w:pPr>
            <w:r w:rsidRPr="007F198F">
              <w:rPr>
                <w:b/>
              </w:rPr>
              <w:t>Timeliness</w:t>
            </w:r>
          </w:p>
        </w:tc>
      </w:tr>
      <w:tr w:rsidR="00941486" w:rsidRPr="00F72367" w14:paraId="5021C58B" w14:textId="77777777" w:rsidTr="007F198F">
        <w:trPr>
          <w:cantSplit/>
        </w:trPr>
        <w:tc>
          <w:tcPr>
            <w:tcW w:w="3969" w:type="dxa"/>
          </w:tcPr>
          <w:p w14:paraId="5021C585" w14:textId="77777777" w:rsidR="00941486" w:rsidRPr="00F72367" w:rsidRDefault="00941486" w:rsidP="00941486">
            <w:pPr>
              <w:pStyle w:val="TableTextAR"/>
            </w:pPr>
            <w:r w:rsidRPr="00F72367">
              <w:t>Services provided within agreed timeframes</w:t>
            </w:r>
          </w:p>
        </w:tc>
        <w:tc>
          <w:tcPr>
            <w:tcW w:w="1134" w:type="dxa"/>
          </w:tcPr>
          <w:p w14:paraId="5021C586" w14:textId="77777777" w:rsidR="00941486" w:rsidRPr="00F72367" w:rsidRDefault="00941486" w:rsidP="007F198F">
            <w:pPr>
              <w:pStyle w:val="TableTextAR"/>
              <w:jc w:val="right"/>
            </w:pPr>
            <w:r w:rsidRPr="00F72367">
              <w:t>per cent</w:t>
            </w:r>
          </w:p>
        </w:tc>
        <w:tc>
          <w:tcPr>
            <w:tcW w:w="1134" w:type="dxa"/>
          </w:tcPr>
          <w:p w14:paraId="5021C587" w14:textId="77777777" w:rsidR="00941486" w:rsidRPr="00F72367" w:rsidRDefault="00941486" w:rsidP="007F198F">
            <w:pPr>
              <w:pStyle w:val="TableTextAR"/>
              <w:jc w:val="right"/>
            </w:pPr>
            <w:r w:rsidRPr="00F72367">
              <w:t>90.1</w:t>
            </w:r>
          </w:p>
        </w:tc>
        <w:tc>
          <w:tcPr>
            <w:tcW w:w="1134" w:type="dxa"/>
          </w:tcPr>
          <w:p w14:paraId="5021C588" w14:textId="77777777" w:rsidR="00941486" w:rsidRPr="00F72367" w:rsidRDefault="00941486" w:rsidP="007F198F">
            <w:pPr>
              <w:pStyle w:val="TableTextAR"/>
              <w:jc w:val="right"/>
            </w:pPr>
            <w:r w:rsidRPr="00F72367">
              <w:t>86.2</w:t>
            </w:r>
          </w:p>
        </w:tc>
        <w:tc>
          <w:tcPr>
            <w:tcW w:w="1134" w:type="dxa"/>
          </w:tcPr>
          <w:p w14:paraId="5021C589" w14:textId="77777777" w:rsidR="00941486" w:rsidRPr="00F72367" w:rsidRDefault="00941486" w:rsidP="007F198F">
            <w:pPr>
              <w:pStyle w:val="TableTextAR"/>
              <w:jc w:val="right"/>
            </w:pPr>
            <w:r w:rsidRPr="00F72367">
              <w:t>90.0</w:t>
            </w:r>
          </w:p>
        </w:tc>
        <w:tc>
          <w:tcPr>
            <w:tcW w:w="1134" w:type="dxa"/>
          </w:tcPr>
          <w:p w14:paraId="5021C58A" w14:textId="77777777" w:rsidR="00941486" w:rsidRPr="00F72367" w:rsidRDefault="00941486" w:rsidP="007F198F">
            <w:pPr>
              <w:pStyle w:val="TableTextAR"/>
              <w:jc w:val="right"/>
            </w:pPr>
            <w:r w:rsidRPr="00F72367">
              <w:t>90.5</w:t>
            </w:r>
          </w:p>
        </w:tc>
      </w:tr>
      <w:tr w:rsidR="00941486" w:rsidRPr="00F72367" w14:paraId="5021C58D" w14:textId="77777777" w:rsidTr="007F198F">
        <w:trPr>
          <w:cantSplit/>
        </w:trPr>
        <w:tc>
          <w:tcPr>
            <w:tcW w:w="3969" w:type="dxa"/>
            <w:gridSpan w:val="6"/>
            <w:shd w:val="clear" w:color="auto" w:fill="FBD4B4"/>
          </w:tcPr>
          <w:p w14:paraId="5021C58C" w14:textId="77777777" w:rsidR="00941486" w:rsidRPr="007F198F" w:rsidRDefault="00941486" w:rsidP="00941486">
            <w:pPr>
              <w:pStyle w:val="TableTextAR"/>
              <w:rPr>
                <w:b/>
              </w:rPr>
            </w:pPr>
            <w:r w:rsidRPr="007F198F">
              <w:rPr>
                <w:b/>
              </w:rPr>
              <w:t>Cost</w:t>
            </w:r>
          </w:p>
        </w:tc>
      </w:tr>
      <w:tr w:rsidR="00941486" w:rsidRPr="00F72367" w14:paraId="5021C594" w14:textId="77777777" w:rsidTr="007F198F">
        <w:trPr>
          <w:cantSplit/>
        </w:trPr>
        <w:tc>
          <w:tcPr>
            <w:tcW w:w="3969" w:type="dxa"/>
          </w:tcPr>
          <w:p w14:paraId="5021C58E" w14:textId="77777777" w:rsidR="00941486" w:rsidRPr="00F72367" w:rsidRDefault="003C3EBF" w:rsidP="00941486">
            <w:pPr>
              <w:pStyle w:val="TableTextAR"/>
            </w:pPr>
            <w:r>
              <w:t>Total output cost (5)</w:t>
            </w:r>
          </w:p>
        </w:tc>
        <w:tc>
          <w:tcPr>
            <w:tcW w:w="1134" w:type="dxa"/>
          </w:tcPr>
          <w:p w14:paraId="5021C58F" w14:textId="77777777" w:rsidR="00941486" w:rsidRPr="00F72367" w:rsidRDefault="00941486" w:rsidP="007F198F">
            <w:pPr>
              <w:pStyle w:val="TableTextAR"/>
              <w:jc w:val="right"/>
            </w:pPr>
            <w:r w:rsidRPr="00F72367">
              <w:t>$ million</w:t>
            </w:r>
          </w:p>
        </w:tc>
        <w:tc>
          <w:tcPr>
            <w:tcW w:w="1134" w:type="dxa"/>
          </w:tcPr>
          <w:p w14:paraId="5021C590" w14:textId="77777777" w:rsidR="00941486" w:rsidRPr="00F72367" w:rsidRDefault="00941486" w:rsidP="007F198F">
            <w:pPr>
              <w:pStyle w:val="TableTextAR"/>
              <w:jc w:val="right"/>
            </w:pPr>
            <w:r w:rsidRPr="00F72367">
              <w:t>90.4</w:t>
            </w:r>
          </w:p>
        </w:tc>
        <w:tc>
          <w:tcPr>
            <w:tcW w:w="1134" w:type="dxa"/>
          </w:tcPr>
          <w:p w14:paraId="5021C591" w14:textId="77777777" w:rsidR="00941486" w:rsidRPr="00F72367" w:rsidRDefault="00941486" w:rsidP="007F198F">
            <w:pPr>
              <w:pStyle w:val="TableTextAR"/>
              <w:jc w:val="right"/>
            </w:pPr>
            <w:r w:rsidRPr="00F72367">
              <w:t>80.8</w:t>
            </w:r>
          </w:p>
        </w:tc>
        <w:tc>
          <w:tcPr>
            <w:tcW w:w="1134" w:type="dxa"/>
          </w:tcPr>
          <w:p w14:paraId="5021C592" w14:textId="77777777" w:rsidR="00941486" w:rsidRPr="00F72367" w:rsidRDefault="00941486" w:rsidP="007F198F">
            <w:pPr>
              <w:pStyle w:val="TableTextAR"/>
              <w:jc w:val="right"/>
            </w:pPr>
            <w:r w:rsidRPr="00F72367">
              <w:t>123.4</w:t>
            </w:r>
          </w:p>
        </w:tc>
        <w:tc>
          <w:tcPr>
            <w:tcW w:w="1134" w:type="dxa"/>
          </w:tcPr>
          <w:p w14:paraId="5021C593" w14:textId="77777777" w:rsidR="00941486" w:rsidRPr="00F72367" w:rsidRDefault="00941486" w:rsidP="007F198F">
            <w:pPr>
              <w:pStyle w:val="TableTextAR"/>
              <w:jc w:val="right"/>
            </w:pPr>
            <w:r w:rsidRPr="00F72367">
              <w:t>119.1</w:t>
            </w:r>
          </w:p>
        </w:tc>
      </w:tr>
    </w:tbl>
    <w:p w14:paraId="5021C595" w14:textId="77777777" w:rsidR="00941486" w:rsidRPr="00845C4F" w:rsidRDefault="00941486" w:rsidP="00AA71A9">
      <w:pPr>
        <w:pStyle w:val="BodyAR"/>
        <w:keepNext/>
        <w:rPr>
          <w:rStyle w:val="Strong"/>
        </w:rPr>
      </w:pPr>
      <w:r w:rsidRPr="00845C4F">
        <w:rPr>
          <w:rStyle w:val="Strong"/>
        </w:rPr>
        <w:lastRenderedPageBreak/>
        <w:t>Commentary on performance</w:t>
      </w:r>
    </w:p>
    <w:p w14:paraId="5021C596" w14:textId="77777777" w:rsidR="00941486" w:rsidRPr="00F72367" w:rsidRDefault="00941486" w:rsidP="00941486">
      <w:pPr>
        <w:pStyle w:val="ListNumber"/>
      </w:pPr>
      <w:r w:rsidRPr="00F72367">
        <w:t>The actual is below the target due to an increased focus on directing contacts to the CAV website rather than the telephone service.</w:t>
      </w:r>
    </w:p>
    <w:p w14:paraId="5021C597" w14:textId="77777777" w:rsidR="00941486" w:rsidRPr="00F72367" w:rsidRDefault="00941486" w:rsidP="00941486">
      <w:pPr>
        <w:pStyle w:val="ListNumber"/>
      </w:pPr>
      <w:r w:rsidRPr="00F72367">
        <w:t>The actual is below the target due to a reduction in the number of conciliations as consumers increasingly resolve their own disputes by using information available on the CAV website.</w:t>
      </w:r>
    </w:p>
    <w:p w14:paraId="5021C598" w14:textId="77777777" w:rsidR="00941486" w:rsidRPr="00F72367" w:rsidRDefault="00941486" w:rsidP="00941486">
      <w:pPr>
        <w:pStyle w:val="ListNumber"/>
      </w:pPr>
      <w:r w:rsidRPr="00F72367">
        <w:t>The actual is below the target due to a lower than anticipated increase in market monitoring activity. This was offset by increases in inspections conducted and infringement notices issued.</w:t>
      </w:r>
    </w:p>
    <w:p w14:paraId="5021C599" w14:textId="77777777" w:rsidR="00941486" w:rsidRPr="00F72367" w:rsidRDefault="00941486" w:rsidP="00941486">
      <w:pPr>
        <w:pStyle w:val="ListNumber"/>
      </w:pPr>
      <w:r w:rsidRPr="00F72367">
        <w:t>The actual is above the target and is reflective of the high satisfaction levels of people served by CAV through the Information and Dispute Services Centre (IDSC) and Regulatory Transactions Centre (RTC) according to a customer satisfaction survey.</w:t>
      </w:r>
    </w:p>
    <w:p w14:paraId="5021C59A" w14:textId="77777777" w:rsidR="00941486" w:rsidRDefault="00941486" w:rsidP="00941486">
      <w:pPr>
        <w:pStyle w:val="ListNumber"/>
      </w:pPr>
      <w:r w:rsidRPr="00F72367">
        <w:t>The Total output cost is higher in 2014-15 largely due to the inclusion of payments for the Victorian Civil and Administrative Tribunal in relation to the Residential Tenancies List, Domestic Building List, and the Owners Corporations List from Consumer Affairs Victoria managed trust funds ($16.5 million). These costs were included as part of the Courts budget output prior to the establishment of Court Services Victoria. In addition, there was a $19 million increase in 2014-15 of grant payments from the Victorian Property Fund to support affordable housing.</w:t>
      </w:r>
    </w:p>
    <w:p w14:paraId="5021C59B" w14:textId="77777777" w:rsidR="00941486" w:rsidRDefault="00941486" w:rsidP="00941486">
      <w:pPr>
        <w:pStyle w:val="BodyAR"/>
        <w:sectPr w:rsidR="00941486" w:rsidSect="00B163D5">
          <w:headerReference w:type="default" r:id="rId18"/>
          <w:pgSz w:w="11906" w:h="16838" w:code="9"/>
          <w:pgMar w:top="1134" w:right="1134" w:bottom="1134" w:left="1134" w:header="454" w:footer="510" w:gutter="0"/>
          <w:cols w:space="708"/>
          <w:docGrid w:linePitch="360"/>
        </w:sectPr>
      </w:pPr>
    </w:p>
    <w:p w14:paraId="5021C59C" w14:textId="77777777" w:rsidR="00941486" w:rsidRPr="00455ED7" w:rsidRDefault="00815CAD" w:rsidP="00941486">
      <w:pPr>
        <w:pStyle w:val="BodyAR"/>
      </w:pPr>
      <w:r>
        <w:rPr>
          <w:noProof/>
        </w:rPr>
        <w:lastRenderedPageBreak/>
        <w:pict w14:anchorId="5021CA2A">
          <v:shape id="Picture 10" o:spid="_x0000_i1031" type="#_x0000_t75" alt="Infographic: 16,951 downloads of our RentRight app" style="width:198.5pt;height:100.5pt;visibility:visible">
            <v:imagedata r:id="rId19" o:title=" 16,951 downloads of our RentRight app"/>
          </v:shape>
        </w:pict>
      </w:r>
    </w:p>
    <w:p w14:paraId="5021C59D" w14:textId="77777777" w:rsidR="00941486" w:rsidRPr="00455ED7" w:rsidRDefault="00815CAD" w:rsidP="00941486">
      <w:pPr>
        <w:pStyle w:val="BodyAR"/>
      </w:pPr>
      <w:r>
        <w:rPr>
          <w:noProof/>
        </w:rPr>
        <w:pict w14:anchorId="5021CA2B">
          <v:shape id="Picture 9" o:spid="_x0000_i1032" type="#_x0000_t75" alt="Infographic: 70,679 registration and licensing transactions" style="width:198.5pt;height:100.5pt;visibility:visible">
            <v:imagedata r:id="rId20" o:title=" 70,679 registration and licensing transactions"/>
          </v:shape>
        </w:pict>
      </w:r>
    </w:p>
    <w:p w14:paraId="5021C59E" w14:textId="77777777" w:rsidR="00941486" w:rsidRPr="00455ED7" w:rsidRDefault="00815CAD" w:rsidP="00941486">
      <w:pPr>
        <w:pStyle w:val="BodyAR"/>
      </w:pPr>
      <w:r>
        <w:rPr>
          <w:noProof/>
        </w:rPr>
        <w:pict w14:anchorId="5021CA2C">
          <v:shape id="Picture 8" o:spid="_x0000_i1033" type="#_x0000_t75" alt="Infographic: Launched a review of Victoria’s rental laws" style="width:198.5pt;height:101pt;visibility:visible">
            <v:imagedata r:id="rId21" o:title=" Launched a review of Victoria’s rental laws"/>
          </v:shape>
        </w:pict>
      </w:r>
    </w:p>
    <w:p w14:paraId="5021C59F" w14:textId="77777777" w:rsidR="00941486" w:rsidRPr="00455ED7" w:rsidRDefault="00815CAD" w:rsidP="00941486">
      <w:pPr>
        <w:pStyle w:val="BodyAR"/>
      </w:pPr>
      <w:r>
        <w:rPr>
          <w:noProof/>
        </w:rPr>
        <w:pict w14:anchorId="5021CA2D">
          <v:shape id="Picture 7" o:spid="_x0000_i1034" type="#_x0000_t75" alt="Infographic: 95.6% customer satisfaction with services provided" style="width:198.5pt;height:96.5pt;visibility:visible">
            <v:imagedata r:id="rId22" o:title=" 95"/>
          </v:shape>
        </w:pict>
      </w:r>
    </w:p>
    <w:p w14:paraId="5021C5A0" w14:textId="77777777" w:rsidR="00941486" w:rsidRPr="00455ED7" w:rsidRDefault="00815CAD" w:rsidP="00941486">
      <w:pPr>
        <w:pStyle w:val="BodyAR"/>
      </w:pPr>
      <w:r>
        <w:rPr>
          <w:noProof/>
        </w:rPr>
        <w:pict w14:anchorId="5021CA2E">
          <v:shape id="Picture 6" o:spid="_x0000_i1035" type="#_x0000_t75" alt="Infographic: 23, 628 likes on Facebook" style="width:198.5pt;height:114pt;visibility:visible">
            <v:imagedata r:id="rId23" o:title=" 23, 628 likes on Facebook"/>
          </v:shape>
        </w:pict>
      </w:r>
    </w:p>
    <w:p w14:paraId="5021C5A1" w14:textId="77777777" w:rsidR="00941486" w:rsidRPr="00455ED7" w:rsidRDefault="00941486" w:rsidP="00941486">
      <w:pPr>
        <w:pStyle w:val="BodyAR"/>
      </w:pPr>
      <w:r w:rsidRPr="00455ED7">
        <w:br w:type="column"/>
      </w:r>
      <w:r w:rsidR="00815CAD">
        <w:rPr>
          <w:noProof/>
        </w:rPr>
        <w:pict w14:anchorId="5021CA2F">
          <v:shape id="Picture 5" o:spid="_x0000_i1036" type="#_x0000_t75" alt="Infographic: 2.9 million website visits to consumer.vic.gov.au" style="width:198.5pt;height:100.5pt;visibility:visible">
            <v:imagedata r:id="rId24" o:title=" 2"/>
          </v:shape>
        </w:pict>
      </w:r>
    </w:p>
    <w:p w14:paraId="5021C5A2" w14:textId="77777777" w:rsidR="00941486" w:rsidRPr="00455ED7" w:rsidRDefault="00815CAD" w:rsidP="00941486">
      <w:pPr>
        <w:pStyle w:val="BodyAR"/>
      </w:pPr>
      <w:r>
        <w:rPr>
          <w:noProof/>
        </w:rPr>
        <w:pict w14:anchorId="5021CA30">
          <v:shape id="Picture 4" o:spid="_x0000_i1037" type="#_x0000_t75" alt="Infographic: 6,534 successful myCAV transactions" style="width:198.5pt;height:101pt;visibility:visible">
            <v:imagedata r:id="rId25" o:title=" 6,534 successful myCAV transactions"/>
          </v:shape>
        </w:pict>
      </w:r>
    </w:p>
    <w:p w14:paraId="5021C5A3" w14:textId="77777777" w:rsidR="00941486" w:rsidRPr="00455ED7" w:rsidRDefault="00815CAD" w:rsidP="00941486">
      <w:pPr>
        <w:pStyle w:val="BodyAR"/>
      </w:pPr>
      <w:r>
        <w:rPr>
          <w:noProof/>
        </w:rPr>
        <w:pict w14:anchorId="5021CA31">
          <v:shape id="Picture 3" o:spid="_x0000_i1038" type="#_x0000_t75" alt="Infographic: 11,344 inspections compliance &amp; enforcement activities" style="width:198.5pt;height:100.5pt;visibility:visible">
            <v:imagedata r:id="rId26" o:title=" 11,344 inspections compliance &amp; enforcement activities"/>
          </v:shape>
        </w:pict>
      </w:r>
    </w:p>
    <w:p w14:paraId="5021C5A4" w14:textId="77777777" w:rsidR="00941486" w:rsidRPr="00455ED7" w:rsidRDefault="00815CAD" w:rsidP="00941486">
      <w:pPr>
        <w:pStyle w:val="BodyAR"/>
      </w:pPr>
      <w:r>
        <w:rPr>
          <w:noProof/>
        </w:rPr>
        <w:pict w14:anchorId="5021CA32">
          <v:shape id="Picture 2" o:spid="_x0000_i1039" type="#_x0000_t75" alt="Infographic: 90.5% services provided within agreed timeframes" style="width:198.5pt;height:96.5pt;visibility:visible">
            <v:imagedata r:id="rId27" o:title=" 90"/>
          </v:shape>
        </w:pict>
      </w:r>
    </w:p>
    <w:p w14:paraId="5021C5A5" w14:textId="77777777" w:rsidR="00941486" w:rsidRPr="00455ED7" w:rsidRDefault="00815CAD" w:rsidP="00941486">
      <w:pPr>
        <w:pStyle w:val="BodyAR"/>
      </w:pPr>
      <w:r>
        <w:rPr>
          <w:noProof/>
        </w:rPr>
        <w:pict w14:anchorId="5021CA33">
          <v:shape id="Picture 1" o:spid="_x0000_i1040" type="#_x0000_t75" alt="Infographic: Nine initiatives underway to reduce red tape" style="width:198.5pt;height:115pt;visibility:visible">
            <v:imagedata r:id="rId28" o:title=" Nine initiatives underway to reduce red tape"/>
          </v:shape>
        </w:pict>
      </w:r>
    </w:p>
    <w:p w14:paraId="5021C5A6" w14:textId="77777777" w:rsidR="00941486" w:rsidRDefault="00941486" w:rsidP="00941486">
      <w:pPr>
        <w:pStyle w:val="BodyAR"/>
      </w:pPr>
      <w:bookmarkStart w:id="12" w:name="_Toc428733261"/>
    </w:p>
    <w:p w14:paraId="5021C5A7" w14:textId="77777777" w:rsidR="00941486" w:rsidRPr="00455ED7" w:rsidRDefault="00941486" w:rsidP="00941486">
      <w:pPr>
        <w:pStyle w:val="BodyAR"/>
        <w:rPr>
          <w:highlight w:val="yellow"/>
        </w:rPr>
        <w:sectPr w:rsidR="00941486" w:rsidRPr="00455ED7" w:rsidSect="00B163D5">
          <w:pgSz w:w="11906" w:h="16838" w:code="9"/>
          <w:pgMar w:top="1134" w:right="1134" w:bottom="1134" w:left="1134" w:header="454" w:footer="510" w:gutter="0"/>
          <w:cols w:num="2" w:space="340"/>
          <w:docGrid w:linePitch="360"/>
        </w:sectPr>
      </w:pPr>
    </w:p>
    <w:p w14:paraId="5021C5A8" w14:textId="77777777" w:rsidR="00941486" w:rsidRPr="00F72367" w:rsidRDefault="00941486" w:rsidP="004063AE">
      <w:pPr>
        <w:pStyle w:val="Heading2"/>
      </w:pPr>
      <w:bookmarkStart w:id="13" w:name="_Toc432081456"/>
      <w:bookmarkEnd w:id="12"/>
      <w:r>
        <w:lastRenderedPageBreak/>
        <w:t>2</w:t>
      </w:r>
      <w:r>
        <w:tab/>
      </w:r>
      <w:r w:rsidRPr="00F72367">
        <w:t>Businesses are compliant with consumer laws</w:t>
      </w:r>
      <w:bookmarkEnd w:id="13"/>
    </w:p>
    <w:p w14:paraId="5021C5A9" w14:textId="77777777" w:rsidR="00453603" w:rsidRDefault="00941486" w:rsidP="00941486">
      <w:pPr>
        <w:pStyle w:val="BodyAR"/>
        <w:rPr>
          <w:rFonts w:cs="Calibri"/>
        </w:rPr>
      </w:pPr>
      <w:r w:rsidRPr="00F72367">
        <w:rPr>
          <w:rFonts w:cs="Calibri"/>
        </w:rPr>
        <w:t>The key to achieving a fair and competitive marketplace is ensuring that busine</w:t>
      </w:r>
      <w:r w:rsidR="00453603">
        <w:rPr>
          <w:rFonts w:cs="Calibri"/>
        </w:rPr>
        <w:t>sses comply with consumer laws.</w:t>
      </w:r>
    </w:p>
    <w:p w14:paraId="5021C5AA" w14:textId="77777777" w:rsidR="00453603" w:rsidRDefault="00941486" w:rsidP="00941486">
      <w:pPr>
        <w:pStyle w:val="BodyAR"/>
        <w:rPr>
          <w:rFonts w:cs="Calibri"/>
        </w:rPr>
      </w:pPr>
      <w:r w:rsidRPr="00F72367">
        <w:rPr>
          <w:rFonts w:cs="Calibri"/>
        </w:rPr>
        <w:t xml:space="preserve">We focus on achieving high levels of business compliance by working with industry and partner organisations, and with consumers so that they effectively assert their consumer rights. We continue to support businesses by providing them with tools that help </w:t>
      </w:r>
      <w:r w:rsidR="00453603">
        <w:rPr>
          <w:rFonts w:cs="Calibri"/>
        </w:rPr>
        <w:t>them to meet their obligations.</w:t>
      </w:r>
    </w:p>
    <w:p w14:paraId="5021C5AB" w14:textId="77777777" w:rsidR="00941486" w:rsidRPr="00F72367" w:rsidRDefault="00941486" w:rsidP="00941486">
      <w:pPr>
        <w:pStyle w:val="BodyAR"/>
      </w:pPr>
      <w:r w:rsidRPr="00F72367">
        <w:rPr>
          <w:rFonts w:cs="Calibri"/>
        </w:rPr>
        <w:t>Our risk-based approach to compliance means that we act quickly against those causing most harm, protecting consumers earlier, more efficiently and more effectively.</w:t>
      </w:r>
    </w:p>
    <w:p w14:paraId="5021C5AC" w14:textId="77777777" w:rsidR="00941486" w:rsidRPr="00F72367" w:rsidRDefault="00941486" w:rsidP="00941486">
      <w:pPr>
        <w:pStyle w:val="BodyAR"/>
      </w:pPr>
      <w:r w:rsidRPr="00F72367">
        <w:t>The data provided in the table below varies between years based on our regulatory risk priorities, government policy, the nature of our compliance programs, and the cyclical nature of our integrated compliance approach.</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134"/>
        <w:gridCol w:w="1134"/>
        <w:gridCol w:w="1134"/>
      </w:tblGrid>
      <w:tr w:rsidR="00941486" w:rsidRPr="00F72367" w14:paraId="5021C5B1" w14:textId="77777777" w:rsidTr="0059587E">
        <w:trPr>
          <w:tblHeader/>
        </w:trPr>
        <w:tc>
          <w:tcPr>
            <w:tcW w:w="6237" w:type="dxa"/>
            <w:shd w:val="clear" w:color="auto" w:fill="595959"/>
          </w:tcPr>
          <w:p w14:paraId="5021C5AD" w14:textId="77777777" w:rsidR="00941486" w:rsidRPr="00F72367" w:rsidRDefault="00941486" w:rsidP="00014F0C">
            <w:pPr>
              <w:pStyle w:val="TableColumnHead"/>
            </w:pPr>
          </w:p>
        </w:tc>
        <w:tc>
          <w:tcPr>
            <w:tcW w:w="1134" w:type="dxa"/>
            <w:shd w:val="clear" w:color="auto" w:fill="595959"/>
          </w:tcPr>
          <w:p w14:paraId="5021C5AE" w14:textId="77777777" w:rsidR="00941486" w:rsidRPr="002E1605" w:rsidRDefault="00941486" w:rsidP="007F198F">
            <w:pPr>
              <w:pStyle w:val="TableColumnHead"/>
              <w:jc w:val="right"/>
            </w:pPr>
            <w:r w:rsidRPr="002E1605">
              <w:t>2012-13</w:t>
            </w:r>
          </w:p>
        </w:tc>
        <w:tc>
          <w:tcPr>
            <w:tcW w:w="1134" w:type="dxa"/>
            <w:shd w:val="clear" w:color="auto" w:fill="595959"/>
          </w:tcPr>
          <w:p w14:paraId="5021C5AF" w14:textId="77777777" w:rsidR="00941486" w:rsidRPr="002E1605" w:rsidRDefault="00941486" w:rsidP="007F198F">
            <w:pPr>
              <w:pStyle w:val="TableColumnHead"/>
              <w:jc w:val="right"/>
            </w:pPr>
            <w:r w:rsidRPr="002E1605">
              <w:t>2013-14</w:t>
            </w:r>
          </w:p>
        </w:tc>
        <w:tc>
          <w:tcPr>
            <w:tcW w:w="1134" w:type="dxa"/>
            <w:shd w:val="clear" w:color="auto" w:fill="595959"/>
          </w:tcPr>
          <w:p w14:paraId="5021C5B0" w14:textId="77777777" w:rsidR="00941486" w:rsidRPr="002E1605" w:rsidRDefault="00941486" w:rsidP="007F198F">
            <w:pPr>
              <w:pStyle w:val="TableColumnHead"/>
              <w:jc w:val="right"/>
            </w:pPr>
            <w:r w:rsidRPr="002E1605">
              <w:t>2014-15</w:t>
            </w:r>
          </w:p>
        </w:tc>
      </w:tr>
      <w:tr w:rsidR="00941486" w:rsidRPr="00F72367" w14:paraId="5021C5B3" w14:textId="77777777" w:rsidTr="007F198F">
        <w:tc>
          <w:tcPr>
            <w:tcW w:w="9639" w:type="dxa"/>
            <w:gridSpan w:val="4"/>
            <w:shd w:val="clear" w:color="auto" w:fill="FBD4B4"/>
          </w:tcPr>
          <w:p w14:paraId="5021C5B2" w14:textId="77777777" w:rsidR="00941486" w:rsidRPr="007F198F" w:rsidRDefault="00941486" w:rsidP="00941486">
            <w:pPr>
              <w:pStyle w:val="TableTextAR"/>
              <w:rPr>
                <w:b/>
              </w:rPr>
            </w:pPr>
            <w:r w:rsidRPr="007F198F">
              <w:rPr>
                <w:b/>
              </w:rPr>
              <w:t>Compliance</w:t>
            </w:r>
          </w:p>
        </w:tc>
      </w:tr>
      <w:tr w:rsidR="00941486" w:rsidRPr="00F72367" w14:paraId="5021C5B8" w14:textId="77777777" w:rsidTr="007F198F">
        <w:tc>
          <w:tcPr>
            <w:tcW w:w="6237" w:type="dxa"/>
          </w:tcPr>
          <w:p w14:paraId="5021C5B4" w14:textId="77777777" w:rsidR="00941486" w:rsidRPr="00F72367" w:rsidRDefault="00941486" w:rsidP="00941486">
            <w:pPr>
              <w:pStyle w:val="TableTextAR"/>
            </w:pPr>
            <w:r w:rsidRPr="00F72367">
              <w:t>Compliance assistance site visits</w:t>
            </w:r>
          </w:p>
        </w:tc>
        <w:tc>
          <w:tcPr>
            <w:tcW w:w="1134" w:type="dxa"/>
          </w:tcPr>
          <w:p w14:paraId="5021C5B5" w14:textId="77777777" w:rsidR="00941486" w:rsidRPr="00F72367" w:rsidRDefault="00941486" w:rsidP="007F198F">
            <w:pPr>
              <w:pStyle w:val="TableTextAR"/>
              <w:jc w:val="right"/>
            </w:pPr>
            <w:r w:rsidRPr="00F72367">
              <w:t>4,434</w:t>
            </w:r>
          </w:p>
        </w:tc>
        <w:tc>
          <w:tcPr>
            <w:tcW w:w="1134" w:type="dxa"/>
          </w:tcPr>
          <w:p w14:paraId="5021C5B6" w14:textId="77777777" w:rsidR="00941486" w:rsidRPr="00F72367" w:rsidRDefault="00941486" w:rsidP="007F198F">
            <w:pPr>
              <w:pStyle w:val="TableTextAR"/>
              <w:jc w:val="right"/>
            </w:pPr>
            <w:r w:rsidRPr="00F72367">
              <w:t>4,671</w:t>
            </w:r>
          </w:p>
        </w:tc>
        <w:tc>
          <w:tcPr>
            <w:tcW w:w="1134" w:type="dxa"/>
          </w:tcPr>
          <w:p w14:paraId="5021C5B7" w14:textId="77777777" w:rsidR="00941486" w:rsidRPr="00F72367" w:rsidRDefault="00941486" w:rsidP="007F198F">
            <w:pPr>
              <w:pStyle w:val="TableTextAR"/>
              <w:jc w:val="right"/>
            </w:pPr>
            <w:r w:rsidRPr="00F72367">
              <w:t>4,433</w:t>
            </w:r>
          </w:p>
        </w:tc>
      </w:tr>
      <w:tr w:rsidR="00941486" w:rsidRPr="00F72367" w14:paraId="5021C5BD" w14:textId="77777777" w:rsidTr="007F198F">
        <w:tc>
          <w:tcPr>
            <w:tcW w:w="6237" w:type="dxa"/>
          </w:tcPr>
          <w:p w14:paraId="5021C5B9" w14:textId="77777777" w:rsidR="00941486" w:rsidRPr="00F72367" w:rsidRDefault="00941486" w:rsidP="00941486">
            <w:pPr>
              <w:pStyle w:val="TableTextAR"/>
            </w:pPr>
            <w:r w:rsidRPr="00F72367">
              <w:t>Inspections</w:t>
            </w:r>
          </w:p>
        </w:tc>
        <w:tc>
          <w:tcPr>
            <w:tcW w:w="1134" w:type="dxa"/>
          </w:tcPr>
          <w:p w14:paraId="5021C5BA" w14:textId="77777777" w:rsidR="00941486" w:rsidRPr="00F72367" w:rsidRDefault="00941486" w:rsidP="007F198F">
            <w:pPr>
              <w:pStyle w:val="TableTextAR"/>
              <w:jc w:val="right"/>
            </w:pPr>
            <w:r w:rsidRPr="00F72367">
              <w:t>2,702</w:t>
            </w:r>
          </w:p>
        </w:tc>
        <w:tc>
          <w:tcPr>
            <w:tcW w:w="1134" w:type="dxa"/>
          </w:tcPr>
          <w:p w14:paraId="5021C5BB" w14:textId="77777777" w:rsidR="00941486" w:rsidRPr="00F72367" w:rsidRDefault="00941486" w:rsidP="007F198F">
            <w:pPr>
              <w:pStyle w:val="TableTextAR"/>
              <w:jc w:val="right"/>
            </w:pPr>
            <w:r w:rsidRPr="00F72367">
              <w:t>2,713</w:t>
            </w:r>
          </w:p>
        </w:tc>
        <w:tc>
          <w:tcPr>
            <w:tcW w:w="1134" w:type="dxa"/>
          </w:tcPr>
          <w:p w14:paraId="5021C5BC" w14:textId="77777777" w:rsidR="00941486" w:rsidRPr="00F72367" w:rsidRDefault="00941486" w:rsidP="007F198F">
            <w:pPr>
              <w:pStyle w:val="TableTextAR"/>
              <w:jc w:val="right"/>
            </w:pPr>
            <w:r w:rsidRPr="00F72367">
              <w:t>3,470</w:t>
            </w:r>
          </w:p>
        </w:tc>
      </w:tr>
      <w:tr w:rsidR="00941486" w:rsidRPr="00F72367" w14:paraId="5021C5C2" w14:textId="77777777" w:rsidTr="007F198F">
        <w:tc>
          <w:tcPr>
            <w:tcW w:w="6237" w:type="dxa"/>
          </w:tcPr>
          <w:p w14:paraId="5021C5BE" w14:textId="77777777" w:rsidR="00941486" w:rsidRPr="00F72367" w:rsidRDefault="00453603" w:rsidP="00941486">
            <w:pPr>
              <w:pStyle w:val="TableTextAR"/>
            </w:pPr>
            <w:r>
              <w:t>Investigations (1)</w:t>
            </w:r>
          </w:p>
        </w:tc>
        <w:tc>
          <w:tcPr>
            <w:tcW w:w="1134" w:type="dxa"/>
          </w:tcPr>
          <w:p w14:paraId="5021C5BF" w14:textId="77777777" w:rsidR="00941486" w:rsidRPr="00F72367" w:rsidRDefault="00941486" w:rsidP="007F198F">
            <w:pPr>
              <w:pStyle w:val="TableTextAR"/>
              <w:jc w:val="right"/>
            </w:pPr>
            <w:r w:rsidRPr="00F72367">
              <w:t>573</w:t>
            </w:r>
          </w:p>
        </w:tc>
        <w:tc>
          <w:tcPr>
            <w:tcW w:w="1134" w:type="dxa"/>
          </w:tcPr>
          <w:p w14:paraId="5021C5C0" w14:textId="77777777" w:rsidR="00941486" w:rsidRPr="00F72367" w:rsidRDefault="00941486" w:rsidP="007F198F">
            <w:pPr>
              <w:pStyle w:val="TableTextAR"/>
              <w:jc w:val="right"/>
            </w:pPr>
            <w:r w:rsidRPr="00F72367">
              <w:t>610</w:t>
            </w:r>
          </w:p>
        </w:tc>
        <w:tc>
          <w:tcPr>
            <w:tcW w:w="1134" w:type="dxa"/>
          </w:tcPr>
          <w:p w14:paraId="5021C5C1" w14:textId="77777777" w:rsidR="00941486" w:rsidRPr="00F72367" w:rsidRDefault="00941486" w:rsidP="007F198F">
            <w:pPr>
              <w:pStyle w:val="TableTextAR"/>
              <w:jc w:val="right"/>
            </w:pPr>
            <w:r w:rsidRPr="00F72367">
              <w:t>161</w:t>
            </w:r>
          </w:p>
        </w:tc>
      </w:tr>
      <w:tr w:rsidR="00941486" w:rsidRPr="00F72367" w14:paraId="5021C5C7" w14:textId="77777777" w:rsidTr="007F198F">
        <w:tc>
          <w:tcPr>
            <w:tcW w:w="6237" w:type="dxa"/>
          </w:tcPr>
          <w:p w14:paraId="5021C5C3" w14:textId="77777777" w:rsidR="00941486" w:rsidRPr="00F72367" w:rsidRDefault="00941486" w:rsidP="00941486">
            <w:pPr>
              <w:pStyle w:val="TableTextAR"/>
            </w:pPr>
            <w:r w:rsidRPr="00F72367">
              <w:t>Market monitoring activity</w:t>
            </w:r>
          </w:p>
        </w:tc>
        <w:tc>
          <w:tcPr>
            <w:tcW w:w="1134" w:type="dxa"/>
          </w:tcPr>
          <w:p w14:paraId="5021C5C4" w14:textId="77777777" w:rsidR="00941486" w:rsidRPr="00F72367" w:rsidRDefault="00941486" w:rsidP="007F198F">
            <w:pPr>
              <w:pStyle w:val="TableTextAR"/>
              <w:jc w:val="right"/>
            </w:pPr>
            <w:r w:rsidRPr="00F72367">
              <w:t>N/A</w:t>
            </w:r>
          </w:p>
        </w:tc>
        <w:tc>
          <w:tcPr>
            <w:tcW w:w="1134" w:type="dxa"/>
          </w:tcPr>
          <w:p w14:paraId="5021C5C5" w14:textId="77777777" w:rsidR="00941486" w:rsidRPr="00F72367" w:rsidRDefault="00941486" w:rsidP="007F198F">
            <w:pPr>
              <w:pStyle w:val="TableTextAR"/>
              <w:jc w:val="right"/>
            </w:pPr>
            <w:r w:rsidRPr="00F72367">
              <w:t>895</w:t>
            </w:r>
          </w:p>
        </w:tc>
        <w:tc>
          <w:tcPr>
            <w:tcW w:w="1134" w:type="dxa"/>
          </w:tcPr>
          <w:p w14:paraId="5021C5C6" w14:textId="77777777" w:rsidR="00941486" w:rsidRPr="00F72367" w:rsidRDefault="00941486" w:rsidP="007F198F">
            <w:pPr>
              <w:pStyle w:val="TableTextAR"/>
              <w:jc w:val="right"/>
            </w:pPr>
            <w:r w:rsidRPr="00F72367">
              <w:t>802</w:t>
            </w:r>
          </w:p>
        </w:tc>
      </w:tr>
      <w:tr w:rsidR="00941486" w:rsidRPr="00F72367" w14:paraId="5021C5CC" w14:textId="77777777" w:rsidTr="007F198F">
        <w:tc>
          <w:tcPr>
            <w:tcW w:w="6237" w:type="dxa"/>
          </w:tcPr>
          <w:p w14:paraId="5021C5C8" w14:textId="77777777" w:rsidR="00941486" w:rsidRPr="00F72367" w:rsidRDefault="00941486" w:rsidP="00941486">
            <w:pPr>
              <w:pStyle w:val="TableTextAR"/>
            </w:pPr>
            <w:r w:rsidRPr="00F72367">
              <w:t>Businesses engaged through the Better Business Initiative</w:t>
            </w:r>
          </w:p>
        </w:tc>
        <w:tc>
          <w:tcPr>
            <w:tcW w:w="1134" w:type="dxa"/>
          </w:tcPr>
          <w:p w14:paraId="5021C5C9" w14:textId="77777777" w:rsidR="00941486" w:rsidRPr="00F72367" w:rsidRDefault="00941486" w:rsidP="007F198F">
            <w:pPr>
              <w:pStyle w:val="TableTextAR"/>
              <w:jc w:val="right"/>
            </w:pPr>
            <w:r w:rsidRPr="00F72367">
              <w:t>N/A</w:t>
            </w:r>
          </w:p>
        </w:tc>
        <w:tc>
          <w:tcPr>
            <w:tcW w:w="1134" w:type="dxa"/>
          </w:tcPr>
          <w:p w14:paraId="5021C5CA" w14:textId="77777777" w:rsidR="00941486" w:rsidRPr="007F198F" w:rsidRDefault="00941486" w:rsidP="007F198F">
            <w:pPr>
              <w:pStyle w:val="TableTextAR"/>
              <w:jc w:val="right"/>
              <w:rPr>
                <w:highlight w:val="yellow"/>
              </w:rPr>
            </w:pPr>
            <w:r w:rsidRPr="00F72367">
              <w:t>51</w:t>
            </w:r>
          </w:p>
        </w:tc>
        <w:tc>
          <w:tcPr>
            <w:tcW w:w="1134" w:type="dxa"/>
          </w:tcPr>
          <w:p w14:paraId="5021C5CB" w14:textId="77777777" w:rsidR="00941486" w:rsidRPr="007F198F" w:rsidRDefault="00941486" w:rsidP="007F198F">
            <w:pPr>
              <w:pStyle w:val="TableTextAR"/>
              <w:jc w:val="right"/>
              <w:rPr>
                <w:highlight w:val="yellow"/>
              </w:rPr>
            </w:pPr>
            <w:r w:rsidRPr="00F72367">
              <w:t>80</w:t>
            </w:r>
          </w:p>
        </w:tc>
      </w:tr>
      <w:tr w:rsidR="00941486" w:rsidRPr="00F72367" w14:paraId="5021C5CE" w14:textId="77777777" w:rsidTr="007F198F">
        <w:tc>
          <w:tcPr>
            <w:tcW w:w="9639" w:type="dxa"/>
            <w:gridSpan w:val="4"/>
            <w:shd w:val="clear" w:color="auto" w:fill="FBD4B4"/>
          </w:tcPr>
          <w:p w14:paraId="5021C5CD" w14:textId="77777777" w:rsidR="00941486" w:rsidRPr="007F198F" w:rsidRDefault="00941486" w:rsidP="00941486">
            <w:pPr>
              <w:pStyle w:val="TableTextAR"/>
              <w:rPr>
                <w:b/>
              </w:rPr>
            </w:pPr>
            <w:r w:rsidRPr="007F198F">
              <w:rPr>
                <w:b/>
              </w:rPr>
              <w:t>Enforcement</w:t>
            </w:r>
          </w:p>
        </w:tc>
      </w:tr>
      <w:tr w:rsidR="00941486" w:rsidRPr="00F72367" w14:paraId="5021C5D3" w14:textId="77777777" w:rsidTr="007F198F">
        <w:tc>
          <w:tcPr>
            <w:tcW w:w="6237" w:type="dxa"/>
          </w:tcPr>
          <w:p w14:paraId="5021C5CF" w14:textId="77777777" w:rsidR="00941486" w:rsidRPr="00F72367" w:rsidRDefault="00941486" w:rsidP="00941486">
            <w:pPr>
              <w:pStyle w:val="TableTextAR"/>
            </w:pPr>
            <w:r w:rsidRPr="00F72367">
              <w:t>Prosecutions finalised</w:t>
            </w:r>
          </w:p>
        </w:tc>
        <w:tc>
          <w:tcPr>
            <w:tcW w:w="1134" w:type="dxa"/>
          </w:tcPr>
          <w:p w14:paraId="5021C5D0" w14:textId="77777777" w:rsidR="00941486" w:rsidRPr="00F72367" w:rsidRDefault="00941486" w:rsidP="007F198F">
            <w:pPr>
              <w:pStyle w:val="TableTextAR"/>
              <w:jc w:val="right"/>
            </w:pPr>
            <w:r w:rsidRPr="00F72367">
              <w:t>33</w:t>
            </w:r>
          </w:p>
        </w:tc>
        <w:tc>
          <w:tcPr>
            <w:tcW w:w="1134" w:type="dxa"/>
          </w:tcPr>
          <w:p w14:paraId="5021C5D1" w14:textId="77777777" w:rsidR="00941486" w:rsidRPr="00F72367" w:rsidRDefault="00941486" w:rsidP="007F198F">
            <w:pPr>
              <w:pStyle w:val="TableTextAR"/>
              <w:jc w:val="right"/>
            </w:pPr>
            <w:r w:rsidRPr="00F72367">
              <w:t>24</w:t>
            </w:r>
          </w:p>
        </w:tc>
        <w:tc>
          <w:tcPr>
            <w:tcW w:w="1134" w:type="dxa"/>
          </w:tcPr>
          <w:p w14:paraId="5021C5D2" w14:textId="77777777" w:rsidR="00941486" w:rsidRPr="00F72367" w:rsidRDefault="00941486" w:rsidP="007F198F">
            <w:pPr>
              <w:pStyle w:val="TableTextAR"/>
              <w:jc w:val="right"/>
            </w:pPr>
            <w:r w:rsidRPr="00F72367">
              <w:t>21</w:t>
            </w:r>
          </w:p>
        </w:tc>
      </w:tr>
      <w:tr w:rsidR="00941486" w:rsidRPr="00F72367" w14:paraId="5021C5D8" w14:textId="77777777" w:rsidTr="007F198F">
        <w:tc>
          <w:tcPr>
            <w:tcW w:w="6237" w:type="dxa"/>
          </w:tcPr>
          <w:p w14:paraId="5021C5D4" w14:textId="77777777" w:rsidR="00941486" w:rsidRPr="00F72367" w:rsidRDefault="00941486" w:rsidP="00941486">
            <w:pPr>
              <w:pStyle w:val="TableTextAR"/>
            </w:pPr>
            <w:r w:rsidRPr="00F72367">
              <w:t>Civil actions finalised</w:t>
            </w:r>
          </w:p>
        </w:tc>
        <w:tc>
          <w:tcPr>
            <w:tcW w:w="1134" w:type="dxa"/>
          </w:tcPr>
          <w:p w14:paraId="5021C5D5" w14:textId="77777777" w:rsidR="00941486" w:rsidRPr="00F72367" w:rsidRDefault="00941486" w:rsidP="007F198F">
            <w:pPr>
              <w:pStyle w:val="TableTextAR"/>
              <w:jc w:val="right"/>
            </w:pPr>
            <w:r w:rsidRPr="00F72367">
              <w:t>61</w:t>
            </w:r>
          </w:p>
        </w:tc>
        <w:tc>
          <w:tcPr>
            <w:tcW w:w="1134" w:type="dxa"/>
          </w:tcPr>
          <w:p w14:paraId="5021C5D6" w14:textId="77777777" w:rsidR="00941486" w:rsidRPr="00F72367" w:rsidRDefault="00941486" w:rsidP="007F198F">
            <w:pPr>
              <w:pStyle w:val="TableTextAR"/>
              <w:jc w:val="right"/>
            </w:pPr>
            <w:r w:rsidRPr="00F72367">
              <w:t>64</w:t>
            </w:r>
          </w:p>
        </w:tc>
        <w:tc>
          <w:tcPr>
            <w:tcW w:w="1134" w:type="dxa"/>
          </w:tcPr>
          <w:p w14:paraId="5021C5D7" w14:textId="77777777" w:rsidR="00941486" w:rsidRPr="00F72367" w:rsidRDefault="00941486" w:rsidP="007F198F">
            <w:pPr>
              <w:pStyle w:val="TableTextAR"/>
              <w:jc w:val="right"/>
            </w:pPr>
            <w:r w:rsidRPr="00F72367">
              <w:t>66</w:t>
            </w:r>
          </w:p>
        </w:tc>
      </w:tr>
      <w:tr w:rsidR="00941486" w:rsidRPr="00F72367" w14:paraId="5021C5DD" w14:textId="77777777" w:rsidTr="007F198F">
        <w:tc>
          <w:tcPr>
            <w:tcW w:w="6237" w:type="dxa"/>
          </w:tcPr>
          <w:p w14:paraId="5021C5D9" w14:textId="77777777" w:rsidR="00941486" w:rsidRPr="00F72367" w:rsidRDefault="00941486" w:rsidP="00941486">
            <w:pPr>
              <w:pStyle w:val="TableTextAR"/>
            </w:pPr>
            <w:r w:rsidRPr="00F72367">
              <w:t>Parties signed to enforceable undertakings</w:t>
            </w:r>
          </w:p>
        </w:tc>
        <w:tc>
          <w:tcPr>
            <w:tcW w:w="1134" w:type="dxa"/>
          </w:tcPr>
          <w:p w14:paraId="5021C5DA" w14:textId="77777777" w:rsidR="00941486" w:rsidRPr="00F72367" w:rsidRDefault="00941486" w:rsidP="007F198F">
            <w:pPr>
              <w:pStyle w:val="TableTextAR"/>
              <w:jc w:val="right"/>
            </w:pPr>
            <w:r w:rsidRPr="00F72367">
              <w:t>30</w:t>
            </w:r>
          </w:p>
        </w:tc>
        <w:tc>
          <w:tcPr>
            <w:tcW w:w="1134" w:type="dxa"/>
          </w:tcPr>
          <w:p w14:paraId="5021C5DB" w14:textId="77777777" w:rsidR="00941486" w:rsidRPr="00F72367" w:rsidRDefault="00941486" w:rsidP="007F198F">
            <w:pPr>
              <w:pStyle w:val="TableTextAR"/>
              <w:jc w:val="right"/>
            </w:pPr>
            <w:r w:rsidRPr="00F72367">
              <w:t>15</w:t>
            </w:r>
          </w:p>
        </w:tc>
        <w:tc>
          <w:tcPr>
            <w:tcW w:w="1134" w:type="dxa"/>
          </w:tcPr>
          <w:p w14:paraId="5021C5DC" w14:textId="77777777" w:rsidR="00941486" w:rsidRPr="00F72367" w:rsidRDefault="00941486" w:rsidP="007F198F">
            <w:pPr>
              <w:pStyle w:val="TableTextAR"/>
              <w:jc w:val="right"/>
            </w:pPr>
            <w:r w:rsidRPr="00F72367">
              <w:t>17</w:t>
            </w:r>
          </w:p>
        </w:tc>
      </w:tr>
      <w:tr w:rsidR="00941486" w:rsidRPr="00F72367" w14:paraId="5021C5DF" w14:textId="77777777" w:rsidTr="007F198F">
        <w:tc>
          <w:tcPr>
            <w:tcW w:w="9639" w:type="dxa"/>
            <w:gridSpan w:val="4"/>
            <w:shd w:val="clear" w:color="auto" w:fill="FBD4B4"/>
          </w:tcPr>
          <w:p w14:paraId="5021C5DE" w14:textId="77777777" w:rsidR="00941486" w:rsidRPr="007F198F" w:rsidRDefault="00941486" w:rsidP="00941486">
            <w:pPr>
              <w:pStyle w:val="TableTextAR"/>
              <w:rPr>
                <w:b/>
              </w:rPr>
            </w:pPr>
            <w:r w:rsidRPr="007F198F">
              <w:rPr>
                <w:b/>
              </w:rPr>
              <w:t>Registrations and licensing</w:t>
            </w:r>
          </w:p>
        </w:tc>
      </w:tr>
      <w:tr w:rsidR="00941486" w:rsidRPr="00F72367" w14:paraId="5021C5E4" w14:textId="77777777" w:rsidTr="007F198F">
        <w:tc>
          <w:tcPr>
            <w:tcW w:w="6237" w:type="dxa"/>
          </w:tcPr>
          <w:p w14:paraId="5021C5E0" w14:textId="77777777" w:rsidR="00941486" w:rsidRPr="00F72367" w:rsidRDefault="00941486" w:rsidP="00941486">
            <w:pPr>
              <w:pStyle w:val="TableTextAR"/>
            </w:pPr>
            <w:r w:rsidRPr="00F72367">
              <w:t>Annual returns, updates or cancellations processed for incorporated associations, fundraisers and co-operatives</w:t>
            </w:r>
          </w:p>
        </w:tc>
        <w:tc>
          <w:tcPr>
            <w:tcW w:w="1134" w:type="dxa"/>
          </w:tcPr>
          <w:p w14:paraId="5021C5E1" w14:textId="77777777" w:rsidR="00941486" w:rsidRPr="00F72367" w:rsidRDefault="00941486" w:rsidP="007F198F">
            <w:pPr>
              <w:pStyle w:val="TableTextAR"/>
              <w:jc w:val="right"/>
            </w:pPr>
            <w:r w:rsidRPr="00F72367">
              <w:t>33,679</w:t>
            </w:r>
          </w:p>
        </w:tc>
        <w:tc>
          <w:tcPr>
            <w:tcW w:w="1134" w:type="dxa"/>
          </w:tcPr>
          <w:p w14:paraId="5021C5E2" w14:textId="77777777" w:rsidR="00941486" w:rsidRPr="00F72367" w:rsidRDefault="00941486" w:rsidP="007F198F">
            <w:pPr>
              <w:pStyle w:val="TableTextAR"/>
              <w:jc w:val="right"/>
            </w:pPr>
            <w:r w:rsidRPr="00F72367">
              <w:t>39,014</w:t>
            </w:r>
          </w:p>
        </w:tc>
        <w:tc>
          <w:tcPr>
            <w:tcW w:w="1134" w:type="dxa"/>
          </w:tcPr>
          <w:p w14:paraId="5021C5E3" w14:textId="77777777" w:rsidR="00941486" w:rsidRPr="00F72367" w:rsidRDefault="00941486" w:rsidP="007F198F">
            <w:pPr>
              <w:pStyle w:val="TableTextAR"/>
              <w:jc w:val="right"/>
            </w:pPr>
            <w:r w:rsidRPr="00F72367">
              <w:t>36,243</w:t>
            </w:r>
          </w:p>
        </w:tc>
      </w:tr>
      <w:tr w:rsidR="00941486" w:rsidRPr="00F72367" w14:paraId="5021C5E9" w14:textId="77777777" w:rsidTr="007F198F">
        <w:tc>
          <w:tcPr>
            <w:tcW w:w="6237" w:type="dxa"/>
          </w:tcPr>
          <w:p w14:paraId="5021C5E5" w14:textId="77777777" w:rsidR="00941486" w:rsidRPr="007F198F" w:rsidRDefault="00941486" w:rsidP="00941486">
            <w:pPr>
              <w:pStyle w:val="TableTextAR"/>
              <w:rPr>
                <w:b/>
              </w:rPr>
            </w:pPr>
            <w:r w:rsidRPr="007F198F">
              <w:rPr>
                <w:b/>
              </w:rPr>
              <w:t>Total registration and licensing transactions</w:t>
            </w:r>
          </w:p>
        </w:tc>
        <w:tc>
          <w:tcPr>
            <w:tcW w:w="1134" w:type="dxa"/>
          </w:tcPr>
          <w:p w14:paraId="5021C5E6" w14:textId="77777777" w:rsidR="00941486" w:rsidRPr="00F72367" w:rsidRDefault="00941486" w:rsidP="007F198F">
            <w:pPr>
              <w:pStyle w:val="TableTextAR"/>
              <w:jc w:val="right"/>
            </w:pPr>
            <w:r w:rsidRPr="00F72367">
              <w:t>61,378</w:t>
            </w:r>
          </w:p>
        </w:tc>
        <w:tc>
          <w:tcPr>
            <w:tcW w:w="1134" w:type="dxa"/>
          </w:tcPr>
          <w:p w14:paraId="5021C5E7" w14:textId="77777777" w:rsidR="00941486" w:rsidRPr="00F72367" w:rsidRDefault="00941486" w:rsidP="007F198F">
            <w:pPr>
              <w:pStyle w:val="TableTextAR"/>
              <w:jc w:val="right"/>
            </w:pPr>
            <w:r w:rsidRPr="00F72367">
              <w:t>67,520</w:t>
            </w:r>
          </w:p>
        </w:tc>
        <w:tc>
          <w:tcPr>
            <w:tcW w:w="1134" w:type="dxa"/>
          </w:tcPr>
          <w:p w14:paraId="5021C5E8" w14:textId="77777777" w:rsidR="00941486" w:rsidRPr="00F72367" w:rsidRDefault="00941486" w:rsidP="007F198F">
            <w:pPr>
              <w:pStyle w:val="TableTextAR"/>
              <w:jc w:val="right"/>
            </w:pPr>
            <w:r w:rsidRPr="00F72367">
              <w:t>70,679</w:t>
            </w:r>
          </w:p>
        </w:tc>
      </w:tr>
    </w:tbl>
    <w:p w14:paraId="5021C5EA" w14:textId="77777777" w:rsidR="00941486" w:rsidRPr="00F72367" w:rsidRDefault="00941486" w:rsidP="00941486">
      <w:pPr>
        <w:pStyle w:val="ListNumber"/>
        <w:numPr>
          <w:ilvl w:val="0"/>
          <w:numId w:val="43"/>
        </w:numPr>
      </w:pPr>
      <w:r w:rsidRPr="00F72367">
        <w:t>Investigations are lower in 2014-15 due to revised investigations procedures aimed at capturing evidence and information (for example, use of statutory notices).</w:t>
      </w:r>
    </w:p>
    <w:p w14:paraId="5021C5EB" w14:textId="77777777" w:rsidR="00941486" w:rsidRPr="00F72367" w:rsidRDefault="00941486" w:rsidP="00711F83">
      <w:pPr>
        <w:pStyle w:val="Heading3"/>
      </w:pPr>
      <w:r>
        <w:br w:type="page"/>
      </w:r>
      <w:bookmarkStart w:id="14" w:name="_Toc432081457"/>
      <w:r w:rsidRPr="00F72367">
        <w:lastRenderedPageBreak/>
        <w:t>Registers administered by Consumer Affairs Victoria</w:t>
      </w:r>
      <w:bookmarkEnd w:id="14"/>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1843"/>
        <w:gridCol w:w="1828"/>
        <w:gridCol w:w="14"/>
        <w:gridCol w:w="1701"/>
      </w:tblGrid>
      <w:tr w:rsidR="00941486" w:rsidRPr="00F72367" w14:paraId="5021C5F0" w14:textId="77777777" w:rsidTr="007F198F">
        <w:trPr>
          <w:trHeight w:val="331"/>
          <w:tblHeader/>
        </w:trPr>
        <w:tc>
          <w:tcPr>
            <w:tcW w:w="4253" w:type="dxa"/>
            <w:shd w:val="clear" w:color="auto" w:fill="595959"/>
          </w:tcPr>
          <w:p w14:paraId="5021C5EC" w14:textId="77777777" w:rsidR="00941486" w:rsidRPr="00F72367" w:rsidRDefault="00941486" w:rsidP="00941486">
            <w:pPr>
              <w:pStyle w:val="TableTextAR"/>
            </w:pPr>
          </w:p>
        </w:tc>
        <w:tc>
          <w:tcPr>
            <w:tcW w:w="1843" w:type="dxa"/>
            <w:shd w:val="clear" w:color="auto" w:fill="595959"/>
          </w:tcPr>
          <w:p w14:paraId="5021C5ED" w14:textId="77777777" w:rsidR="00941486" w:rsidRPr="00352ADC" w:rsidRDefault="00941486" w:rsidP="00453603">
            <w:pPr>
              <w:pStyle w:val="TableColumnHead"/>
              <w:jc w:val="right"/>
            </w:pPr>
            <w:r w:rsidRPr="00352ADC">
              <w:t>2012-13</w:t>
            </w:r>
          </w:p>
        </w:tc>
        <w:tc>
          <w:tcPr>
            <w:tcW w:w="1828" w:type="dxa"/>
            <w:shd w:val="clear" w:color="auto" w:fill="595959"/>
          </w:tcPr>
          <w:p w14:paraId="5021C5EE" w14:textId="77777777" w:rsidR="00941486" w:rsidRPr="00352ADC" w:rsidRDefault="00941486" w:rsidP="00453603">
            <w:pPr>
              <w:pStyle w:val="TableColumnHead"/>
              <w:jc w:val="right"/>
            </w:pPr>
            <w:r w:rsidRPr="00352ADC">
              <w:t>2013-14</w:t>
            </w:r>
          </w:p>
        </w:tc>
        <w:tc>
          <w:tcPr>
            <w:tcW w:w="1715" w:type="dxa"/>
            <w:gridSpan w:val="2"/>
            <w:shd w:val="clear" w:color="auto" w:fill="595959"/>
          </w:tcPr>
          <w:p w14:paraId="5021C5EF" w14:textId="77777777" w:rsidR="00941486" w:rsidRPr="00352ADC" w:rsidRDefault="00941486" w:rsidP="00453603">
            <w:pPr>
              <w:pStyle w:val="TableColumnHead"/>
              <w:jc w:val="right"/>
            </w:pPr>
            <w:r w:rsidRPr="00352ADC">
              <w:t>2014-15</w:t>
            </w:r>
          </w:p>
        </w:tc>
      </w:tr>
      <w:tr w:rsidR="00941486" w:rsidRPr="00F72367" w14:paraId="5021C5F2" w14:textId="77777777" w:rsidTr="007F198F">
        <w:trPr>
          <w:trHeight w:val="298"/>
        </w:trPr>
        <w:tc>
          <w:tcPr>
            <w:tcW w:w="9639" w:type="dxa"/>
            <w:gridSpan w:val="5"/>
            <w:shd w:val="clear" w:color="auto" w:fill="FBD4B4"/>
          </w:tcPr>
          <w:p w14:paraId="5021C5F1" w14:textId="77777777" w:rsidR="00941486" w:rsidRPr="00383A88" w:rsidRDefault="00941486" w:rsidP="00941486">
            <w:pPr>
              <w:pStyle w:val="TableTextAR"/>
              <w:rPr>
                <w:b/>
              </w:rPr>
            </w:pPr>
            <w:r w:rsidRPr="00383A88">
              <w:rPr>
                <w:b/>
              </w:rPr>
              <w:t>Estate agents</w:t>
            </w:r>
          </w:p>
        </w:tc>
      </w:tr>
      <w:tr w:rsidR="00941486" w:rsidRPr="00F72367" w14:paraId="5021C5F7" w14:textId="77777777" w:rsidTr="00941486">
        <w:trPr>
          <w:trHeight w:val="293"/>
        </w:trPr>
        <w:tc>
          <w:tcPr>
            <w:tcW w:w="4253" w:type="dxa"/>
            <w:shd w:val="clear" w:color="auto" w:fill="FFFFFF"/>
          </w:tcPr>
          <w:p w14:paraId="5021C5F3" w14:textId="77777777" w:rsidR="00941486" w:rsidRPr="00F72367" w:rsidRDefault="00941486" w:rsidP="00941486">
            <w:pPr>
              <w:pStyle w:val="TableTextAR"/>
            </w:pPr>
            <w:r w:rsidRPr="00F72367">
              <w:t>New applications lodged</w:t>
            </w:r>
          </w:p>
        </w:tc>
        <w:tc>
          <w:tcPr>
            <w:tcW w:w="1843" w:type="dxa"/>
            <w:shd w:val="clear" w:color="auto" w:fill="FFFFFF"/>
          </w:tcPr>
          <w:p w14:paraId="5021C5F4" w14:textId="77777777" w:rsidR="00941486" w:rsidRPr="00F72367" w:rsidRDefault="00941486" w:rsidP="00941486">
            <w:pPr>
              <w:pStyle w:val="TableTextAR"/>
              <w:jc w:val="right"/>
            </w:pPr>
            <w:r w:rsidRPr="00F72367">
              <w:t>1,079</w:t>
            </w:r>
          </w:p>
        </w:tc>
        <w:tc>
          <w:tcPr>
            <w:tcW w:w="1828" w:type="dxa"/>
            <w:shd w:val="clear" w:color="auto" w:fill="FFFFFF"/>
          </w:tcPr>
          <w:p w14:paraId="5021C5F5" w14:textId="77777777" w:rsidR="00941486" w:rsidRPr="00F72367" w:rsidRDefault="00941486" w:rsidP="00941486">
            <w:pPr>
              <w:pStyle w:val="TableTextAR"/>
              <w:jc w:val="right"/>
            </w:pPr>
            <w:r w:rsidRPr="00F72367">
              <w:t>1,219</w:t>
            </w:r>
          </w:p>
        </w:tc>
        <w:tc>
          <w:tcPr>
            <w:tcW w:w="1715" w:type="dxa"/>
            <w:gridSpan w:val="2"/>
            <w:shd w:val="clear" w:color="auto" w:fill="FFFFFF"/>
          </w:tcPr>
          <w:p w14:paraId="5021C5F6" w14:textId="77777777" w:rsidR="00941486" w:rsidRPr="00F72367" w:rsidRDefault="00941486" w:rsidP="00941486">
            <w:pPr>
              <w:pStyle w:val="TableTextAR"/>
              <w:jc w:val="right"/>
            </w:pPr>
            <w:r w:rsidRPr="00F72367">
              <w:t>1,216</w:t>
            </w:r>
          </w:p>
        </w:tc>
      </w:tr>
      <w:tr w:rsidR="00941486" w:rsidRPr="00B94D00" w14:paraId="5021C5FC" w14:textId="77777777" w:rsidTr="00941486">
        <w:trPr>
          <w:trHeight w:val="278"/>
        </w:trPr>
        <w:tc>
          <w:tcPr>
            <w:tcW w:w="4253" w:type="dxa"/>
            <w:shd w:val="clear" w:color="auto" w:fill="FFFFFF"/>
          </w:tcPr>
          <w:p w14:paraId="5021C5F8"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5F9" w14:textId="77777777" w:rsidR="00941486" w:rsidRPr="00B94D00" w:rsidRDefault="00941486" w:rsidP="00941486">
            <w:pPr>
              <w:pStyle w:val="TableTextAR"/>
              <w:jc w:val="right"/>
              <w:rPr>
                <w:b/>
              </w:rPr>
            </w:pPr>
            <w:r w:rsidRPr="00B94D00">
              <w:rPr>
                <w:b/>
              </w:rPr>
              <w:t>10,565</w:t>
            </w:r>
          </w:p>
        </w:tc>
        <w:tc>
          <w:tcPr>
            <w:tcW w:w="1828" w:type="dxa"/>
            <w:shd w:val="clear" w:color="auto" w:fill="FFFFFF"/>
          </w:tcPr>
          <w:p w14:paraId="5021C5FA" w14:textId="77777777" w:rsidR="00941486" w:rsidRPr="00B94D00" w:rsidRDefault="00941486" w:rsidP="00941486">
            <w:pPr>
              <w:pStyle w:val="TableTextAR"/>
              <w:jc w:val="right"/>
              <w:rPr>
                <w:b/>
              </w:rPr>
            </w:pPr>
            <w:r w:rsidRPr="00B94D00">
              <w:rPr>
                <w:b/>
              </w:rPr>
              <w:t>11,171</w:t>
            </w:r>
          </w:p>
        </w:tc>
        <w:tc>
          <w:tcPr>
            <w:tcW w:w="1715" w:type="dxa"/>
            <w:gridSpan w:val="2"/>
            <w:shd w:val="clear" w:color="auto" w:fill="FFFFFF"/>
          </w:tcPr>
          <w:p w14:paraId="5021C5FB" w14:textId="77777777" w:rsidR="00941486" w:rsidRPr="00B94D00" w:rsidRDefault="00941486" w:rsidP="00941486">
            <w:pPr>
              <w:pStyle w:val="TableTextAR"/>
              <w:jc w:val="right"/>
              <w:rPr>
                <w:b/>
              </w:rPr>
            </w:pPr>
            <w:r w:rsidRPr="00B94D00">
              <w:rPr>
                <w:b/>
              </w:rPr>
              <w:t>11,679</w:t>
            </w:r>
          </w:p>
        </w:tc>
      </w:tr>
      <w:tr w:rsidR="00941486" w:rsidRPr="00F72367" w14:paraId="5021C5FE" w14:textId="77777777" w:rsidTr="007F198F">
        <w:trPr>
          <w:trHeight w:val="288"/>
        </w:trPr>
        <w:tc>
          <w:tcPr>
            <w:tcW w:w="9639" w:type="dxa"/>
            <w:gridSpan w:val="5"/>
            <w:shd w:val="clear" w:color="auto" w:fill="FBD4B4"/>
          </w:tcPr>
          <w:p w14:paraId="5021C5FD" w14:textId="77777777" w:rsidR="00941486" w:rsidRPr="00383A88" w:rsidRDefault="00941486" w:rsidP="00941486">
            <w:pPr>
              <w:pStyle w:val="TableTextAR"/>
              <w:rPr>
                <w:b/>
              </w:rPr>
            </w:pPr>
            <w:r w:rsidRPr="00383A88">
              <w:rPr>
                <w:b/>
              </w:rPr>
              <w:t>Motor car traders</w:t>
            </w:r>
          </w:p>
        </w:tc>
      </w:tr>
      <w:tr w:rsidR="00941486" w:rsidRPr="00F72367" w14:paraId="5021C603" w14:textId="77777777" w:rsidTr="00941486">
        <w:trPr>
          <w:trHeight w:val="293"/>
        </w:trPr>
        <w:tc>
          <w:tcPr>
            <w:tcW w:w="4253" w:type="dxa"/>
            <w:shd w:val="clear" w:color="auto" w:fill="FFFFFF"/>
          </w:tcPr>
          <w:p w14:paraId="5021C5FF" w14:textId="77777777" w:rsidR="00941486" w:rsidRPr="00F72367" w:rsidRDefault="00941486" w:rsidP="00941486">
            <w:pPr>
              <w:pStyle w:val="TableTextAR"/>
            </w:pPr>
            <w:r w:rsidRPr="00F72367">
              <w:t>New applications lodged</w:t>
            </w:r>
          </w:p>
        </w:tc>
        <w:tc>
          <w:tcPr>
            <w:tcW w:w="1843" w:type="dxa"/>
            <w:shd w:val="clear" w:color="auto" w:fill="FFFFFF"/>
          </w:tcPr>
          <w:p w14:paraId="5021C600" w14:textId="77777777" w:rsidR="00941486" w:rsidRPr="00F72367" w:rsidRDefault="00941486" w:rsidP="00941486">
            <w:pPr>
              <w:pStyle w:val="TableTextAR"/>
              <w:jc w:val="right"/>
            </w:pPr>
            <w:r w:rsidRPr="00F72367">
              <w:t>173</w:t>
            </w:r>
          </w:p>
        </w:tc>
        <w:tc>
          <w:tcPr>
            <w:tcW w:w="1828" w:type="dxa"/>
            <w:shd w:val="clear" w:color="auto" w:fill="FFFFFF"/>
          </w:tcPr>
          <w:p w14:paraId="5021C601" w14:textId="77777777" w:rsidR="00941486" w:rsidRPr="00F72367" w:rsidRDefault="00941486" w:rsidP="00941486">
            <w:pPr>
              <w:pStyle w:val="TableTextAR"/>
              <w:jc w:val="right"/>
            </w:pPr>
            <w:r w:rsidRPr="00F72367">
              <w:t>177</w:t>
            </w:r>
          </w:p>
        </w:tc>
        <w:tc>
          <w:tcPr>
            <w:tcW w:w="1715" w:type="dxa"/>
            <w:gridSpan w:val="2"/>
            <w:shd w:val="clear" w:color="auto" w:fill="FFFFFF"/>
          </w:tcPr>
          <w:p w14:paraId="5021C602" w14:textId="77777777" w:rsidR="00941486" w:rsidRPr="00F72367" w:rsidRDefault="00941486" w:rsidP="00941486">
            <w:pPr>
              <w:pStyle w:val="TableTextAR"/>
              <w:jc w:val="right"/>
            </w:pPr>
            <w:r w:rsidRPr="00F72367">
              <w:t>149</w:t>
            </w:r>
          </w:p>
        </w:tc>
      </w:tr>
      <w:tr w:rsidR="00941486" w:rsidRPr="00B94D00" w14:paraId="5021C608" w14:textId="77777777" w:rsidTr="00941486">
        <w:trPr>
          <w:trHeight w:val="283"/>
        </w:trPr>
        <w:tc>
          <w:tcPr>
            <w:tcW w:w="4253" w:type="dxa"/>
            <w:shd w:val="clear" w:color="auto" w:fill="FFFFFF"/>
          </w:tcPr>
          <w:p w14:paraId="5021C604"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05" w14:textId="77777777" w:rsidR="00941486" w:rsidRPr="00B94D00" w:rsidRDefault="00941486" w:rsidP="00941486">
            <w:pPr>
              <w:pStyle w:val="TableTextAR"/>
              <w:jc w:val="right"/>
              <w:rPr>
                <w:b/>
              </w:rPr>
            </w:pPr>
            <w:r w:rsidRPr="00B94D00">
              <w:rPr>
                <w:b/>
              </w:rPr>
              <w:t>2,243</w:t>
            </w:r>
          </w:p>
        </w:tc>
        <w:tc>
          <w:tcPr>
            <w:tcW w:w="1828" w:type="dxa"/>
            <w:shd w:val="clear" w:color="auto" w:fill="FFFFFF"/>
          </w:tcPr>
          <w:p w14:paraId="5021C606" w14:textId="77777777" w:rsidR="00941486" w:rsidRPr="00B94D00" w:rsidRDefault="00941486" w:rsidP="00941486">
            <w:pPr>
              <w:pStyle w:val="TableTextAR"/>
              <w:jc w:val="right"/>
              <w:rPr>
                <w:b/>
              </w:rPr>
            </w:pPr>
            <w:r w:rsidRPr="00B94D00">
              <w:rPr>
                <w:b/>
              </w:rPr>
              <w:t>2,188</w:t>
            </w:r>
          </w:p>
        </w:tc>
        <w:tc>
          <w:tcPr>
            <w:tcW w:w="1715" w:type="dxa"/>
            <w:gridSpan w:val="2"/>
            <w:shd w:val="clear" w:color="auto" w:fill="FFFFFF"/>
          </w:tcPr>
          <w:p w14:paraId="5021C607" w14:textId="77777777" w:rsidR="00941486" w:rsidRPr="00B94D00" w:rsidRDefault="00941486" w:rsidP="00941486">
            <w:pPr>
              <w:pStyle w:val="TableTextAR"/>
              <w:jc w:val="right"/>
              <w:rPr>
                <w:b/>
              </w:rPr>
            </w:pPr>
            <w:r w:rsidRPr="00B94D00">
              <w:rPr>
                <w:b/>
              </w:rPr>
              <w:t>2,127</w:t>
            </w:r>
          </w:p>
        </w:tc>
      </w:tr>
      <w:tr w:rsidR="00941486" w:rsidRPr="00F72367" w14:paraId="5021C60A" w14:textId="77777777" w:rsidTr="007F198F">
        <w:trPr>
          <w:trHeight w:val="288"/>
        </w:trPr>
        <w:tc>
          <w:tcPr>
            <w:tcW w:w="9639" w:type="dxa"/>
            <w:gridSpan w:val="5"/>
            <w:shd w:val="clear" w:color="auto" w:fill="FBD4B4"/>
          </w:tcPr>
          <w:p w14:paraId="5021C609" w14:textId="77777777" w:rsidR="00941486" w:rsidRPr="00B94D00" w:rsidRDefault="00941486" w:rsidP="00941486">
            <w:pPr>
              <w:pStyle w:val="TableTextAR"/>
              <w:rPr>
                <w:b/>
              </w:rPr>
            </w:pPr>
            <w:r w:rsidRPr="00B94D00">
              <w:rPr>
                <w:b/>
              </w:rPr>
              <w:t>Incorporated associations</w:t>
            </w:r>
          </w:p>
        </w:tc>
      </w:tr>
      <w:tr w:rsidR="00941486" w:rsidRPr="00F72367" w14:paraId="5021C60F" w14:textId="77777777" w:rsidTr="00941486">
        <w:trPr>
          <w:trHeight w:val="293"/>
        </w:trPr>
        <w:tc>
          <w:tcPr>
            <w:tcW w:w="4253" w:type="dxa"/>
            <w:shd w:val="clear" w:color="auto" w:fill="FFFFFF"/>
          </w:tcPr>
          <w:p w14:paraId="5021C60B" w14:textId="77777777" w:rsidR="00941486" w:rsidRPr="00F72367" w:rsidRDefault="00941486" w:rsidP="00941486">
            <w:pPr>
              <w:pStyle w:val="TableTextAR"/>
            </w:pPr>
            <w:r w:rsidRPr="00F72367">
              <w:t>New applications lodged</w:t>
            </w:r>
          </w:p>
        </w:tc>
        <w:tc>
          <w:tcPr>
            <w:tcW w:w="1843" w:type="dxa"/>
            <w:shd w:val="clear" w:color="auto" w:fill="FFFFFF"/>
          </w:tcPr>
          <w:p w14:paraId="5021C60C" w14:textId="77777777" w:rsidR="00941486" w:rsidRPr="00F72367" w:rsidRDefault="00941486" w:rsidP="00941486">
            <w:pPr>
              <w:pStyle w:val="TableTextAR"/>
              <w:jc w:val="right"/>
            </w:pPr>
            <w:r w:rsidRPr="00F72367">
              <w:t>1,599</w:t>
            </w:r>
          </w:p>
        </w:tc>
        <w:tc>
          <w:tcPr>
            <w:tcW w:w="1828" w:type="dxa"/>
            <w:shd w:val="clear" w:color="auto" w:fill="FFFFFF"/>
          </w:tcPr>
          <w:p w14:paraId="5021C60D" w14:textId="77777777" w:rsidR="00941486" w:rsidRPr="00F72367" w:rsidRDefault="00941486" w:rsidP="00941486">
            <w:pPr>
              <w:pStyle w:val="TableTextAR"/>
              <w:jc w:val="right"/>
            </w:pPr>
            <w:r w:rsidRPr="00F72367">
              <w:t>1,695</w:t>
            </w:r>
          </w:p>
        </w:tc>
        <w:tc>
          <w:tcPr>
            <w:tcW w:w="1715" w:type="dxa"/>
            <w:gridSpan w:val="2"/>
            <w:shd w:val="clear" w:color="auto" w:fill="FFFFFF"/>
          </w:tcPr>
          <w:p w14:paraId="5021C60E" w14:textId="77777777" w:rsidR="00941486" w:rsidRPr="00F72367" w:rsidRDefault="00941486" w:rsidP="00941486">
            <w:pPr>
              <w:pStyle w:val="TableTextAR"/>
              <w:jc w:val="right"/>
            </w:pPr>
            <w:r w:rsidRPr="00F72367">
              <w:t>1,980</w:t>
            </w:r>
          </w:p>
        </w:tc>
      </w:tr>
      <w:tr w:rsidR="00941486" w:rsidRPr="00B94D00" w14:paraId="5021C614" w14:textId="77777777" w:rsidTr="00941486">
        <w:trPr>
          <w:trHeight w:val="283"/>
        </w:trPr>
        <w:tc>
          <w:tcPr>
            <w:tcW w:w="4253" w:type="dxa"/>
            <w:shd w:val="clear" w:color="auto" w:fill="FFFFFF"/>
          </w:tcPr>
          <w:p w14:paraId="5021C610"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11" w14:textId="77777777" w:rsidR="00941486" w:rsidRPr="00B94D00" w:rsidRDefault="00941486" w:rsidP="00941486">
            <w:pPr>
              <w:pStyle w:val="TableTextAR"/>
              <w:jc w:val="right"/>
              <w:rPr>
                <w:b/>
              </w:rPr>
            </w:pPr>
            <w:r w:rsidRPr="00B94D00">
              <w:rPr>
                <w:b/>
              </w:rPr>
              <w:t>38,751</w:t>
            </w:r>
          </w:p>
        </w:tc>
        <w:tc>
          <w:tcPr>
            <w:tcW w:w="1828" w:type="dxa"/>
            <w:shd w:val="clear" w:color="auto" w:fill="FFFFFF"/>
          </w:tcPr>
          <w:p w14:paraId="5021C612" w14:textId="77777777" w:rsidR="00941486" w:rsidRPr="00B94D00" w:rsidRDefault="00941486" w:rsidP="00941486">
            <w:pPr>
              <w:pStyle w:val="TableTextAR"/>
              <w:jc w:val="right"/>
              <w:rPr>
                <w:b/>
              </w:rPr>
            </w:pPr>
            <w:r w:rsidRPr="00B94D00">
              <w:rPr>
                <w:b/>
              </w:rPr>
              <w:t>39,883</w:t>
            </w:r>
          </w:p>
        </w:tc>
        <w:tc>
          <w:tcPr>
            <w:tcW w:w="1715" w:type="dxa"/>
            <w:gridSpan w:val="2"/>
            <w:shd w:val="clear" w:color="auto" w:fill="FFFFFF"/>
          </w:tcPr>
          <w:p w14:paraId="5021C613" w14:textId="77777777" w:rsidR="00941486" w:rsidRPr="00B94D00" w:rsidRDefault="00941486" w:rsidP="00941486">
            <w:pPr>
              <w:pStyle w:val="TableTextAR"/>
              <w:jc w:val="right"/>
              <w:rPr>
                <w:b/>
              </w:rPr>
            </w:pPr>
            <w:r w:rsidRPr="00B94D00">
              <w:rPr>
                <w:b/>
              </w:rPr>
              <w:t>39,665</w:t>
            </w:r>
          </w:p>
        </w:tc>
      </w:tr>
      <w:tr w:rsidR="00941486" w:rsidRPr="00F72367" w14:paraId="5021C616" w14:textId="77777777" w:rsidTr="007F198F">
        <w:trPr>
          <w:trHeight w:val="288"/>
        </w:trPr>
        <w:tc>
          <w:tcPr>
            <w:tcW w:w="9639" w:type="dxa"/>
            <w:gridSpan w:val="5"/>
            <w:shd w:val="clear" w:color="auto" w:fill="FBD4B4"/>
          </w:tcPr>
          <w:p w14:paraId="5021C615" w14:textId="77777777" w:rsidR="00941486" w:rsidRPr="00383A88" w:rsidRDefault="00941486" w:rsidP="00941486">
            <w:pPr>
              <w:pStyle w:val="TableTextAR"/>
              <w:rPr>
                <w:b/>
              </w:rPr>
            </w:pPr>
            <w:r w:rsidRPr="00383A88">
              <w:rPr>
                <w:b/>
              </w:rPr>
              <w:t>Co-operatives</w:t>
            </w:r>
          </w:p>
        </w:tc>
      </w:tr>
      <w:tr w:rsidR="00941486" w:rsidRPr="00F72367" w14:paraId="5021C61B" w14:textId="77777777" w:rsidTr="00941486">
        <w:trPr>
          <w:trHeight w:val="293"/>
        </w:trPr>
        <w:tc>
          <w:tcPr>
            <w:tcW w:w="4253" w:type="dxa"/>
            <w:shd w:val="clear" w:color="auto" w:fill="FFFFFF"/>
          </w:tcPr>
          <w:p w14:paraId="5021C617" w14:textId="77777777" w:rsidR="00941486" w:rsidRPr="00F72367" w:rsidRDefault="00941486" w:rsidP="00941486">
            <w:pPr>
              <w:pStyle w:val="TableTextAR"/>
            </w:pPr>
            <w:r w:rsidRPr="00F72367">
              <w:t>New applications lodged</w:t>
            </w:r>
          </w:p>
        </w:tc>
        <w:tc>
          <w:tcPr>
            <w:tcW w:w="1843" w:type="dxa"/>
            <w:shd w:val="clear" w:color="auto" w:fill="FFFFFF"/>
          </w:tcPr>
          <w:p w14:paraId="5021C618" w14:textId="77777777" w:rsidR="00941486" w:rsidRPr="00F72367" w:rsidRDefault="00941486" w:rsidP="00941486">
            <w:pPr>
              <w:pStyle w:val="TableTextAR"/>
              <w:jc w:val="right"/>
            </w:pPr>
            <w:r w:rsidRPr="00F72367">
              <w:t>5</w:t>
            </w:r>
          </w:p>
        </w:tc>
        <w:tc>
          <w:tcPr>
            <w:tcW w:w="1828" w:type="dxa"/>
            <w:shd w:val="clear" w:color="auto" w:fill="FFFFFF"/>
          </w:tcPr>
          <w:p w14:paraId="5021C619" w14:textId="77777777" w:rsidR="00941486" w:rsidRPr="00F72367" w:rsidRDefault="00941486" w:rsidP="00941486">
            <w:pPr>
              <w:pStyle w:val="TableTextAR"/>
              <w:jc w:val="right"/>
            </w:pPr>
            <w:r w:rsidRPr="00F72367">
              <w:t>10</w:t>
            </w:r>
          </w:p>
        </w:tc>
        <w:tc>
          <w:tcPr>
            <w:tcW w:w="1715" w:type="dxa"/>
            <w:gridSpan w:val="2"/>
            <w:shd w:val="clear" w:color="auto" w:fill="FFFFFF"/>
          </w:tcPr>
          <w:p w14:paraId="5021C61A" w14:textId="77777777" w:rsidR="00941486" w:rsidRPr="00F72367" w:rsidRDefault="00941486" w:rsidP="00941486">
            <w:pPr>
              <w:pStyle w:val="TableTextAR"/>
              <w:jc w:val="right"/>
            </w:pPr>
            <w:r w:rsidRPr="00F72367">
              <w:t>25</w:t>
            </w:r>
          </w:p>
        </w:tc>
      </w:tr>
      <w:tr w:rsidR="00941486" w:rsidRPr="00B94D00" w14:paraId="5021C620" w14:textId="77777777" w:rsidTr="00941486">
        <w:trPr>
          <w:trHeight w:val="283"/>
        </w:trPr>
        <w:tc>
          <w:tcPr>
            <w:tcW w:w="4253" w:type="dxa"/>
            <w:shd w:val="clear" w:color="auto" w:fill="FFFFFF"/>
          </w:tcPr>
          <w:p w14:paraId="5021C61C"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1D" w14:textId="77777777" w:rsidR="00941486" w:rsidRPr="00B94D00" w:rsidRDefault="00941486" w:rsidP="00941486">
            <w:pPr>
              <w:pStyle w:val="TableTextAR"/>
              <w:jc w:val="right"/>
              <w:rPr>
                <w:b/>
              </w:rPr>
            </w:pPr>
            <w:r w:rsidRPr="00B94D00">
              <w:rPr>
                <w:b/>
              </w:rPr>
              <w:t>655</w:t>
            </w:r>
          </w:p>
        </w:tc>
        <w:tc>
          <w:tcPr>
            <w:tcW w:w="1828" w:type="dxa"/>
            <w:shd w:val="clear" w:color="auto" w:fill="FFFFFF"/>
          </w:tcPr>
          <w:p w14:paraId="5021C61E" w14:textId="77777777" w:rsidR="00941486" w:rsidRPr="00B94D00" w:rsidRDefault="00941486" w:rsidP="00941486">
            <w:pPr>
              <w:pStyle w:val="TableTextAR"/>
              <w:jc w:val="right"/>
              <w:rPr>
                <w:b/>
              </w:rPr>
            </w:pPr>
            <w:r w:rsidRPr="00B94D00">
              <w:rPr>
                <w:b/>
              </w:rPr>
              <w:t>630</w:t>
            </w:r>
          </w:p>
        </w:tc>
        <w:tc>
          <w:tcPr>
            <w:tcW w:w="1715" w:type="dxa"/>
            <w:gridSpan w:val="2"/>
            <w:shd w:val="clear" w:color="auto" w:fill="FFFFFF"/>
          </w:tcPr>
          <w:p w14:paraId="5021C61F" w14:textId="77777777" w:rsidR="00941486" w:rsidRPr="00B94D00" w:rsidRDefault="00941486" w:rsidP="00941486">
            <w:pPr>
              <w:pStyle w:val="TableTextAR"/>
              <w:jc w:val="right"/>
              <w:rPr>
                <w:b/>
              </w:rPr>
            </w:pPr>
            <w:r w:rsidRPr="00B94D00">
              <w:rPr>
                <w:b/>
              </w:rPr>
              <w:t>602</w:t>
            </w:r>
          </w:p>
        </w:tc>
      </w:tr>
      <w:tr w:rsidR="00941486" w:rsidRPr="00F72367" w14:paraId="5021C622" w14:textId="77777777" w:rsidTr="007F198F">
        <w:trPr>
          <w:trHeight w:val="288"/>
        </w:trPr>
        <w:tc>
          <w:tcPr>
            <w:tcW w:w="9639" w:type="dxa"/>
            <w:gridSpan w:val="5"/>
            <w:shd w:val="clear" w:color="auto" w:fill="FBD4B4"/>
          </w:tcPr>
          <w:p w14:paraId="5021C621" w14:textId="77777777" w:rsidR="00941486" w:rsidRPr="00383A88" w:rsidRDefault="00941486" w:rsidP="00941486">
            <w:pPr>
              <w:pStyle w:val="TableTextAR"/>
              <w:rPr>
                <w:b/>
              </w:rPr>
            </w:pPr>
            <w:r w:rsidRPr="00383A88">
              <w:rPr>
                <w:b/>
              </w:rPr>
              <w:t>Fundraisers</w:t>
            </w:r>
          </w:p>
        </w:tc>
      </w:tr>
      <w:tr w:rsidR="00941486" w:rsidRPr="00F72367" w14:paraId="5021C627" w14:textId="77777777" w:rsidTr="00941486">
        <w:trPr>
          <w:trHeight w:val="462"/>
        </w:trPr>
        <w:tc>
          <w:tcPr>
            <w:tcW w:w="4253" w:type="dxa"/>
            <w:shd w:val="clear" w:color="auto" w:fill="FFFFFF"/>
          </w:tcPr>
          <w:p w14:paraId="5021C623" w14:textId="77777777" w:rsidR="00941486" w:rsidRPr="00F72367" w:rsidRDefault="00941486" w:rsidP="00941486">
            <w:pPr>
              <w:pStyle w:val="TableTextAR"/>
            </w:pPr>
            <w:r w:rsidRPr="00F72367">
              <w:t xml:space="preserve">New registrants </w:t>
            </w:r>
          </w:p>
        </w:tc>
        <w:tc>
          <w:tcPr>
            <w:tcW w:w="1843" w:type="dxa"/>
            <w:shd w:val="clear" w:color="auto" w:fill="FFFFFF"/>
          </w:tcPr>
          <w:p w14:paraId="5021C624" w14:textId="77777777" w:rsidR="00941486" w:rsidRPr="00F72367" w:rsidRDefault="00941486" w:rsidP="00941486">
            <w:pPr>
              <w:pStyle w:val="TableTextAR"/>
              <w:jc w:val="right"/>
            </w:pPr>
            <w:r w:rsidRPr="00F72367">
              <w:t>507</w:t>
            </w:r>
          </w:p>
        </w:tc>
        <w:tc>
          <w:tcPr>
            <w:tcW w:w="1828" w:type="dxa"/>
            <w:shd w:val="clear" w:color="auto" w:fill="FFFFFF"/>
          </w:tcPr>
          <w:p w14:paraId="5021C625" w14:textId="77777777" w:rsidR="00941486" w:rsidRPr="00F72367" w:rsidRDefault="00941486" w:rsidP="00941486">
            <w:pPr>
              <w:pStyle w:val="TableTextAR"/>
              <w:jc w:val="right"/>
            </w:pPr>
            <w:r w:rsidRPr="00F72367">
              <w:t>771</w:t>
            </w:r>
          </w:p>
        </w:tc>
        <w:tc>
          <w:tcPr>
            <w:tcW w:w="1715" w:type="dxa"/>
            <w:gridSpan w:val="2"/>
            <w:shd w:val="clear" w:color="auto" w:fill="FFFFFF"/>
          </w:tcPr>
          <w:p w14:paraId="5021C626" w14:textId="77777777" w:rsidR="00941486" w:rsidRPr="00F72367" w:rsidRDefault="00941486" w:rsidP="00941486">
            <w:pPr>
              <w:pStyle w:val="TableTextAR"/>
              <w:jc w:val="right"/>
            </w:pPr>
            <w:r w:rsidRPr="00F72367">
              <w:t>657</w:t>
            </w:r>
          </w:p>
        </w:tc>
      </w:tr>
      <w:tr w:rsidR="00941486" w:rsidRPr="00F72367" w14:paraId="5021C62C" w14:textId="77777777" w:rsidTr="00941486">
        <w:trPr>
          <w:trHeight w:val="283"/>
        </w:trPr>
        <w:tc>
          <w:tcPr>
            <w:tcW w:w="4253" w:type="dxa"/>
            <w:shd w:val="clear" w:color="auto" w:fill="FFFFFF"/>
          </w:tcPr>
          <w:p w14:paraId="5021C628" w14:textId="77777777" w:rsidR="00941486" w:rsidRPr="00F72367" w:rsidRDefault="00941486" w:rsidP="00941486">
            <w:pPr>
              <w:pStyle w:val="TableTextAR"/>
            </w:pPr>
            <w:r w:rsidRPr="00F72367">
              <w:t>Renewals</w:t>
            </w:r>
          </w:p>
        </w:tc>
        <w:tc>
          <w:tcPr>
            <w:tcW w:w="1843" w:type="dxa"/>
            <w:shd w:val="clear" w:color="auto" w:fill="FFFFFF"/>
          </w:tcPr>
          <w:p w14:paraId="5021C629" w14:textId="77777777" w:rsidR="00941486" w:rsidRPr="00F72367" w:rsidRDefault="00941486" w:rsidP="00941486">
            <w:pPr>
              <w:pStyle w:val="TableTextAR"/>
              <w:jc w:val="right"/>
            </w:pPr>
            <w:r w:rsidRPr="00F72367">
              <w:t>491</w:t>
            </w:r>
          </w:p>
        </w:tc>
        <w:tc>
          <w:tcPr>
            <w:tcW w:w="1828" w:type="dxa"/>
            <w:shd w:val="clear" w:color="auto" w:fill="FFFFFF"/>
          </w:tcPr>
          <w:p w14:paraId="5021C62A" w14:textId="77777777" w:rsidR="00941486" w:rsidRPr="00F72367" w:rsidRDefault="00941486" w:rsidP="00941486">
            <w:pPr>
              <w:pStyle w:val="TableTextAR"/>
              <w:jc w:val="right"/>
            </w:pPr>
            <w:r w:rsidRPr="00F72367">
              <w:t>168</w:t>
            </w:r>
          </w:p>
        </w:tc>
        <w:tc>
          <w:tcPr>
            <w:tcW w:w="1715" w:type="dxa"/>
            <w:gridSpan w:val="2"/>
            <w:shd w:val="clear" w:color="auto" w:fill="FFFFFF"/>
          </w:tcPr>
          <w:p w14:paraId="5021C62B" w14:textId="77777777" w:rsidR="00941486" w:rsidRPr="00F72367" w:rsidRDefault="00941486" w:rsidP="00941486">
            <w:pPr>
              <w:pStyle w:val="TableTextAR"/>
              <w:jc w:val="right"/>
            </w:pPr>
            <w:r w:rsidRPr="00F72367">
              <w:t>281</w:t>
            </w:r>
          </w:p>
        </w:tc>
      </w:tr>
      <w:tr w:rsidR="00941486" w:rsidRPr="00B94D00" w14:paraId="5021C631" w14:textId="77777777" w:rsidTr="00941486">
        <w:trPr>
          <w:trHeight w:val="283"/>
        </w:trPr>
        <w:tc>
          <w:tcPr>
            <w:tcW w:w="4253" w:type="dxa"/>
            <w:shd w:val="clear" w:color="auto" w:fill="FFFFFF"/>
          </w:tcPr>
          <w:p w14:paraId="5021C62D"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2E" w14:textId="77777777" w:rsidR="00941486" w:rsidRPr="00B94D00" w:rsidRDefault="00941486" w:rsidP="00941486">
            <w:pPr>
              <w:pStyle w:val="TableTextAR"/>
              <w:jc w:val="right"/>
              <w:rPr>
                <w:b/>
              </w:rPr>
            </w:pPr>
            <w:r w:rsidRPr="00B94D00">
              <w:rPr>
                <w:b/>
              </w:rPr>
              <w:t>1,961</w:t>
            </w:r>
          </w:p>
        </w:tc>
        <w:tc>
          <w:tcPr>
            <w:tcW w:w="1828" w:type="dxa"/>
            <w:shd w:val="clear" w:color="auto" w:fill="FFFFFF"/>
          </w:tcPr>
          <w:p w14:paraId="5021C62F" w14:textId="77777777" w:rsidR="00941486" w:rsidRPr="00B94D00" w:rsidRDefault="00941486" w:rsidP="00941486">
            <w:pPr>
              <w:pStyle w:val="TableTextAR"/>
              <w:jc w:val="right"/>
              <w:rPr>
                <w:b/>
              </w:rPr>
            </w:pPr>
            <w:r w:rsidRPr="00B94D00">
              <w:rPr>
                <w:b/>
              </w:rPr>
              <w:t>2,191</w:t>
            </w:r>
          </w:p>
        </w:tc>
        <w:tc>
          <w:tcPr>
            <w:tcW w:w="1715" w:type="dxa"/>
            <w:gridSpan w:val="2"/>
            <w:shd w:val="clear" w:color="auto" w:fill="FFFFFF"/>
          </w:tcPr>
          <w:p w14:paraId="5021C630" w14:textId="77777777" w:rsidR="00941486" w:rsidRPr="00B94D00" w:rsidRDefault="00941486" w:rsidP="00941486">
            <w:pPr>
              <w:pStyle w:val="TableTextAR"/>
              <w:jc w:val="right"/>
              <w:rPr>
                <w:b/>
              </w:rPr>
            </w:pPr>
            <w:r w:rsidRPr="00B94D00">
              <w:rPr>
                <w:b/>
              </w:rPr>
              <w:t>2,265</w:t>
            </w:r>
          </w:p>
        </w:tc>
      </w:tr>
      <w:tr w:rsidR="00941486" w:rsidRPr="00F72367" w14:paraId="5021C633" w14:textId="77777777" w:rsidTr="007F198F">
        <w:trPr>
          <w:trHeight w:val="288"/>
        </w:trPr>
        <w:tc>
          <w:tcPr>
            <w:tcW w:w="9639" w:type="dxa"/>
            <w:gridSpan w:val="5"/>
            <w:shd w:val="clear" w:color="auto" w:fill="FBD4B4"/>
          </w:tcPr>
          <w:p w14:paraId="5021C632" w14:textId="77777777" w:rsidR="00941486" w:rsidRPr="00383A88" w:rsidRDefault="00941486" w:rsidP="00941486">
            <w:pPr>
              <w:pStyle w:val="TableTextAR"/>
              <w:rPr>
                <w:b/>
              </w:rPr>
            </w:pPr>
            <w:r w:rsidRPr="00383A88">
              <w:rPr>
                <w:b/>
              </w:rPr>
              <w:t>Second-hand dealers and pawnbrokers</w:t>
            </w:r>
          </w:p>
        </w:tc>
      </w:tr>
      <w:tr w:rsidR="00941486" w:rsidRPr="00F72367" w14:paraId="5021C638" w14:textId="77777777" w:rsidTr="00941486">
        <w:trPr>
          <w:trHeight w:val="293"/>
        </w:trPr>
        <w:tc>
          <w:tcPr>
            <w:tcW w:w="4253" w:type="dxa"/>
            <w:shd w:val="clear" w:color="auto" w:fill="FFFFFF"/>
          </w:tcPr>
          <w:p w14:paraId="5021C634" w14:textId="77777777" w:rsidR="00941486" w:rsidRPr="00F72367" w:rsidRDefault="00941486" w:rsidP="00941486">
            <w:pPr>
              <w:pStyle w:val="TableTextAR"/>
            </w:pPr>
            <w:r w:rsidRPr="00F72367">
              <w:t>New applications lodged</w:t>
            </w:r>
          </w:p>
        </w:tc>
        <w:tc>
          <w:tcPr>
            <w:tcW w:w="1843" w:type="dxa"/>
            <w:shd w:val="clear" w:color="auto" w:fill="FFFFFF"/>
          </w:tcPr>
          <w:p w14:paraId="5021C635" w14:textId="77777777" w:rsidR="00941486" w:rsidRPr="00F72367" w:rsidRDefault="00941486" w:rsidP="00941486">
            <w:pPr>
              <w:pStyle w:val="TableTextAR"/>
              <w:jc w:val="right"/>
            </w:pPr>
            <w:r w:rsidRPr="00F72367">
              <w:t>345</w:t>
            </w:r>
          </w:p>
        </w:tc>
        <w:tc>
          <w:tcPr>
            <w:tcW w:w="1828" w:type="dxa"/>
            <w:shd w:val="clear" w:color="auto" w:fill="FFFFFF"/>
          </w:tcPr>
          <w:p w14:paraId="5021C636" w14:textId="77777777" w:rsidR="00941486" w:rsidRPr="00F72367" w:rsidRDefault="00941486" w:rsidP="00941486">
            <w:pPr>
              <w:pStyle w:val="TableTextAR"/>
              <w:jc w:val="right"/>
            </w:pPr>
            <w:r w:rsidRPr="00F72367">
              <w:t>436</w:t>
            </w:r>
          </w:p>
        </w:tc>
        <w:tc>
          <w:tcPr>
            <w:tcW w:w="1715" w:type="dxa"/>
            <w:gridSpan w:val="2"/>
            <w:shd w:val="clear" w:color="auto" w:fill="FFFFFF"/>
          </w:tcPr>
          <w:p w14:paraId="5021C637" w14:textId="77777777" w:rsidR="00941486" w:rsidRPr="00F72367" w:rsidRDefault="00941486" w:rsidP="00941486">
            <w:pPr>
              <w:pStyle w:val="TableTextAR"/>
              <w:jc w:val="right"/>
            </w:pPr>
            <w:r w:rsidRPr="00F72367">
              <w:t>350</w:t>
            </w:r>
          </w:p>
        </w:tc>
      </w:tr>
      <w:tr w:rsidR="00941486" w:rsidRPr="00B94D00" w14:paraId="5021C63D" w14:textId="77777777" w:rsidTr="00941486">
        <w:trPr>
          <w:trHeight w:val="288"/>
        </w:trPr>
        <w:tc>
          <w:tcPr>
            <w:tcW w:w="4253" w:type="dxa"/>
            <w:shd w:val="clear" w:color="auto" w:fill="FFFFFF"/>
          </w:tcPr>
          <w:p w14:paraId="5021C639"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3A" w14:textId="77777777" w:rsidR="00941486" w:rsidRPr="00B94D00" w:rsidRDefault="00941486" w:rsidP="00941486">
            <w:pPr>
              <w:pStyle w:val="TableTextAR"/>
              <w:jc w:val="right"/>
              <w:rPr>
                <w:b/>
              </w:rPr>
            </w:pPr>
            <w:r w:rsidRPr="00B94D00">
              <w:rPr>
                <w:b/>
              </w:rPr>
              <w:t>4,526</w:t>
            </w:r>
          </w:p>
        </w:tc>
        <w:tc>
          <w:tcPr>
            <w:tcW w:w="1828" w:type="dxa"/>
            <w:shd w:val="clear" w:color="auto" w:fill="FFFFFF"/>
          </w:tcPr>
          <w:p w14:paraId="5021C63B" w14:textId="77777777" w:rsidR="00941486" w:rsidRPr="00B94D00" w:rsidRDefault="00941486" w:rsidP="00941486">
            <w:pPr>
              <w:pStyle w:val="TableTextAR"/>
              <w:jc w:val="right"/>
              <w:rPr>
                <w:b/>
              </w:rPr>
            </w:pPr>
            <w:r w:rsidRPr="00B94D00">
              <w:rPr>
                <w:b/>
              </w:rPr>
              <w:t>4,385</w:t>
            </w:r>
          </w:p>
        </w:tc>
        <w:tc>
          <w:tcPr>
            <w:tcW w:w="1715" w:type="dxa"/>
            <w:gridSpan w:val="2"/>
            <w:shd w:val="clear" w:color="auto" w:fill="FFFFFF"/>
          </w:tcPr>
          <w:p w14:paraId="5021C63C" w14:textId="77777777" w:rsidR="00941486" w:rsidRPr="00B94D00" w:rsidRDefault="00941486" w:rsidP="00941486">
            <w:pPr>
              <w:pStyle w:val="TableTextAR"/>
              <w:jc w:val="right"/>
              <w:rPr>
                <w:b/>
              </w:rPr>
            </w:pPr>
            <w:r w:rsidRPr="00B94D00">
              <w:rPr>
                <w:b/>
              </w:rPr>
              <w:t>4,120</w:t>
            </w:r>
          </w:p>
        </w:tc>
      </w:tr>
      <w:tr w:rsidR="00941486" w:rsidRPr="00F72367" w14:paraId="5021C63F" w14:textId="77777777" w:rsidTr="007F198F">
        <w:trPr>
          <w:trHeight w:val="298"/>
        </w:trPr>
        <w:tc>
          <w:tcPr>
            <w:tcW w:w="9639" w:type="dxa"/>
            <w:gridSpan w:val="5"/>
            <w:shd w:val="clear" w:color="auto" w:fill="FBD4B4"/>
          </w:tcPr>
          <w:p w14:paraId="5021C63E" w14:textId="77777777" w:rsidR="00941486" w:rsidRPr="00383A88" w:rsidRDefault="00941486" w:rsidP="00941486">
            <w:pPr>
              <w:pStyle w:val="TableTextAR"/>
              <w:rPr>
                <w:b/>
              </w:rPr>
            </w:pPr>
            <w:r w:rsidRPr="00383A88">
              <w:rPr>
                <w:b/>
              </w:rPr>
              <w:t>Patriotic funds</w:t>
            </w:r>
          </w:p>
        </w:tc>
      </w:tr>
      <w:tr w:rsidR="00941486" w:rsidRPr="00F72367" w14:paraId="5021C644" w14:textId="77777777" w:rsidTr="00941486">
        <w:trPr>
          <w:trHeight w:val="293"/>
        </w:trPr>
        <w:tc>
          <w:tcPr>
            <w:tcW w:w="4253" w:type="dxa"/>
            <w:shd w:val="clear" w:color="auto" w:fill="FFFFFF"/>
          </w:tcPr>
          <w:p w14:paraId="5021C640" w14:textId="77777777" w:rsidR="00941486" w:rsidRPr="00F72367" w:rsidRDefault="00941486" w:rsidP="00941486">
            <w:pPr>
              <w:pStyle w:val="TableTextAR"/>
            </w:pPr>
            <w:r w:rsidRPr="00F72367">
              <w:t>New applications lodged</w:t>
            </w:r>
          </w:p>
        </w:tc>
        <w:tc>
          <w:tcPr>
            <w:tcW w:w="1843" w:type="dxa"/>
            <w:shd w:val="clear" w:color="auto" w:fill="FFFFFF"/>
          </w:tcPr>
          <w:p w14:paraId="5021C641" w14:textId="77777777" w:rsidR="00941486" w:rsidRPr="00F72367" w:rsidRDefault="00941486" w:rsidP="00941486">
            <w:pPr>
              <w:pStyle w:val="TableTextAR"/>
              <w:jc w:val="right"/>
            </w:pPr>
            <w:r w:rsidRPr="00F72367">
              <w:t>2</w:t>
            </w:r>
          </w:p>
        </w:tc>
        <w:tc>
          <w:tcPr>
            <w:tcW w:w="1842" w:type="dxa"/>
            <w:gridSpan w:val="2"/>
            <w:shd w:val="clear" w:color="auto" w:fill="FFFFFF"/>
          </w:tcPr>
          <w:p w14:paraId="5021C642" w14:textId="77777777" w:rsidR="00941486" w:rsidRPr="00F72367" w:rsidRDefault="00941486" w:rsidP="00941486">
            <w:pPr>
              <w:pStyle w:val="TableTextAR"/>
              <w:jc w:val="right"/>
            </w:pPr>
            <w:r w:rsidRPr="00F72367">
              <w:t>5</w:t>
            </w:r>
          </w:p>
        </w:tc>
        <w:tc>
          <w:tcPr>
            <w:tcW w:w="1701" w:type="dxa"/>
            <w:shd w:val="clear" w:color="auto" w:fill="FFFFFF"/>
          </w:tcPr>
          <w:p w14:paraId="5021C643" w14:textId="77777777" w:rsidR="00941486" w:rsidRPr="00F72367" w:rsidRDefault="00941486" w:rsidP="00941486">
            <w:pPr>
              <w:pStyle w:val="TableTextAR"/>
              <w:jc w:val="right"/>
            </w:pPr>
            <w:r w:rsidRPr="00F72367">
              <w:t>6</w:t>
            </w:r>
          </w:p>
        </w:tc>
      </w:tr>
      <w:tr w:rsidR="00941486" w:rsidRPr="00B94D00" w14:paraId="5021C649" w14:textId="77777777" w:rsidTr="00941486">
        <w:trPr>
          <w:trHeight w:val="278"/>
        </w:trPr>
        <w:tc>
          <w:tcPr>
            <w:tcW w:w="4253" w:type="dxa"/>
            <w:shd w:val="clear" w:color="auto" w:fill="FFFFFF"/>
          </w:tcPr>
          <w:p w14:paraId="5021C645"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46" w14:textId="77777777" w:rsidR="00941486" w:rsidRPr="00B94D00" w:rsidRDefault="00941486" w:rsidP="00941486">
            <w:pPr>
              <w:pStyle w:val="TableTextAR"/>
              <w:jc w:val="right"/>
              <w:rPr>
                <w:b/>
              </w:rPr>
            </w:pPr>
            <w:r w:rsidRPr="00B94D00">
              <w:rPr>
                <w:b/>
              </w:rPr>
              <w:t>604</w:t>
            </w:r>
          </w:p>
        </w:tc>
        <w:tc>
          <w:tcPr>
            <w:tcW w:w="1842" w:type="dxa"/>
            <w:gridSpan w:val="2"/>
            <w:shd w:val="clear" w:color="auto" w:fill="FFFFFF"/>
          </w:tcPr>
          <w:p w14:paraId="5021C647" w14:textId="77777777" w:rsidR="00941486" w:rsidRPr="00B94D00" w:rsidRDefault="00941486" w:rsidP="00941486">
            <w:pPr>
              <w:pStyle w:val="TableTextAR"/>
              <w:jc w:val="right"/>
              <w:rPr>
                <w:b/>
              </w:rPr>
            </w:pPr>
            <w:r w:rsidRPr="00B94D00">
              <w:rPr>
                <w:b/>
              </w:rPr>
              <w:t>602</w:t>
            </w:r>
          </w:p>
        </w:tc>
        <w:tc>
          <w:tcPr>
            <w:tcW w:w="1701" w:type="dxa"/>
            <w:shd w:val="clear" w:color="auto" w:fill="FFFFFF"/>
          </w:tcPr>
          <w:p w14:paraId="5021C648" w14:textId="77777777" w:rsidR="00941486" w:rsidRPr="00B94D00" w:rsidRDefault="00941486" w:rsidP="00941486">
            <w:pPr>
              <w:pStyle w:val="TableTextAR"/>
              <w:jc w:val="right"/>
              <w:rPr>
                <w:b/>
              </w:rPr>
            </w:pPr>
            <w:r w:rsidRPr="00B94D00">
              <w:rPr>
                <w:b/>
              </w:rPr>
              <w:t>600</w:t>
            </w:r>
          </w:p>
        </w:tc>
      </w:tr>
      <w:tr w:rsidR="00941486" w:rsidRPr="00F72367" w14:paraId="5021C64B" w14:textId="77777777" w:rsidTr="007F198F">
        <w:trPr>
          <w:trHeight w:val="288"/>
        </w:trPr>
        <w:tc>
          <w:tcPr>
            <w:tcW w:w="9639" w:type="dxa"/>
            <w:gridSpan w:val="5"/>
            <w:shd w:val="clear" w:color="auto" w:fill="FBD4B4"/>
          </w:tcPr>
          <w:p w14:paraId="5021C64A" w14:textId="77777777" w:rsidR="00941486" w:rsidRPr="00383A88" w:rsidRDefault="00941486" w:rsidP="00941486">
            <w:pPr>
              <w:pStyle w:val="TableTextAR"/>
              <w:rPr>
                <w:b/>
              </w:rPr>
            </w:pPr>
            <w:r w:rsidRPr="00383A88">
              <w:rPr>
                <w:b/>
              </w:rPr>
              <w:t>Limited partnerships</w:t>
            </w:r>
          </w:p>
        </w:tc>
      </w:tr>
      <w:tr w:rsidR="00941486" w:rsidRPr="00F72367" w14:paraId="5021C650" w14:textId="77777777" w:rsidTr="00941486">
        <w:trPr>
          <w:trHeight w:val="293"/>
        </w:trPr>
        <w:tc>
          <w:tcPr>
            <w:tcW w:w="4253" w:type="dxa"/>
            <w:shd w:val="clear" w:color="auto" w:fill="FFFFFF"/>
          </w:tcPr>
          <w:p w14:paraId="5021C64C" w14:textId="77777777" w:rsidR="00941486" w:rsidRPr="00F72367" w:rsidRDefault="00941486" w:rsidP="00941486">
            <w:pPr>
              <w:pStyle w:val="TableTextAR"/>
            </w:pPr>
            <w:r w:rsidRPr="00F72367">
              <w:t>New applications lodged</w:t>
            </w:r>
          </w:p>
        </w:tc>
        <w:tc>
          <w:tcPr>
            <w:tcW w:w="1843" w:type="dxa"/>
            <w:shd w:val="clear" w:color="auto" w:fill="FFFFFF"/>
          </w:tcPr>
          <w:p w14:paraId="5021C64D" w14:textId="77777777" w:rsidR="00941486" w:rsidRPr="00F72367" w:rsidRDefault="00941486" w:rsidP="00941486">
            <w:pPr>
              <w:pStyle w:val="TableTextAR"/>
              <w:jc w:val="right"/>
            </w:pPr>
            <w:r w:rsidRPr="00F72367">
              <w:t>63</w:t>
            </w:r>
          </w:p>
        </w:tc>
        <w:tc>
          <w:tcPr>
            <w:tcW w:w="1842" w:type="dxa"/>
            <w:gridSpan w:val="2"/>
            <w:shd w:val="clear" w:color="auto" w:fill="FFFFFF"/>
          </w:tcPr>
          <w:p w14:paraId="5021C64E" w14:textId="77777777" w:rsidR="00941486" w:rsidRPr="00F72367" w:rsidRDefault="00941486" w:rsidP="00941486">
            <w:pPr>
              <w:pStyle w:val="TableTextAR"/>
              <w:jc w:val="right"/>
            </w:pPr>
            <w:r w:rsidRPr="00F72367">
              <w:t>29</w:t>
            </w:r>
          </w:p>
        </w:tc>
        <w:tc>
          <w:tcPr>
            <w:tcW w:w="1701" w:type="dxa"/>
            <w:shd w:val="clear" w:color="auto" w:fill="FFFFFF"/>
          </w:tcPr>
          <w:p w14:paraId="5021C64F" w14:textId="77777777" w:rsidR="00941486" w:rsidRPr="00F72367" w:rsidRDefault="00941486" w:rsidP="00941486">
            <w:pPr>
              <w:pStyle w:val="TableTextAR"/>
              <w:jc w:val="right"/>
            </w:pPr>
            <w:r w:rsidRPr="00F72367">
              <w:t>16</w:t>
            </w:r>
          </w:p>
        </w:tc>
      </w:tr>
      <w:tr w:rsidR="00941486" w:rsidRPr="00B94D00" w14:paraId="5021C655" w14:textId="77777777" w:rsidTr="00941486">
        <w:trPr>
          <w:trHeight w:val="283"/>
        </w:trPr>
        <w:tc>
          <w:tcPr>
            <w:tcW w:w="4253" w:type="dxa"/>
            <w:shd w:val="clear" w:color="auto" w:fill="FFFFFF"/>
          </w:tcPr>
          <w:p w14:paraId="5021C651"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52" w14:textId="77777777" w:rsidR="00941486" w:rsidRPr="00B94D00" w:rsidRDefault="00941486" w:rsidP="00941486">
            <w:pPr>
              <w:pStyle w:val="TableTextAR"/>
              <w:jc w:val="right"/>
              <w:rPr>
                <w:b/>
              </w:rPr>
            </w:pPr>
            <w:r w:rsidRPr="00B94D00">
              <w:rPr>
                <w:b/>
              </w:rPr>
              <w:t>256</w:t>
            </w:r>
          </w:p>
        </w:tc>
        <w:tc>
          <w:tcPr>
            <w:tcW w:w="1842" w:type="dxa"/>
            <w:gridSpan w:val="2"/>
            <w:shd w:val="clear" w:color="auto" w:fill="FFFFFF"/>
          </w:tcPr>
          <w:p w14:paraId="5021C653" w14:textId="77777777" w:rsidR="00941486" w:rsidRPr="00B94D00" w:rsidRDefault="00941486" w:rsidP="00941486">
            <w:pPr>
              <w:pStyle w:val="TableTextAR"/>
              <w:jc w:val="right"/>
              <w:rPr>
                <w:b/>
              </w:rPr>
            </w:pPr>
            <w:r w:rsidRPr="00B94D00">
              <w:rPr>
                <w:b/>
              </w:rPr>
              <w:t>271</w:t>
            </w:r>
          </w:p>
        </w:tc>
        <w:tc>
          <w:tcPr>
            <w:tcW w:w="1701" w:type="dxa"/>
            <w:shd w:val="clear" w:color="auto" w:fill="FFFFFF"/>
          </w:tcPr>
          <w:p w14:paraId="5021C654" w14:textId="77777777" w:rsidR="00941486" w:rsidRPr="00B94D00" w:rsidRDefault="00941486" w:rsidP="00941486">
            <w:pPr>
              <w:pStyle w:val="TableTextAR"/>
              <w:jc w:val="right"/>
              <w:rPr>
                <w:b/>
              </w:rPr>
            </w:pPr>
            <w:r w:rsidRPr="00B94D00">
              <w:rPr>
                <w:b/>
              </w:rPr>
              <w:t>286</w:t>
            </w:r>
          </w:p>
        </w:tc>
      </w:tr>
      <w:tr w:rsidR="00941486" w:rsidRPr="00F72367" w14:paraId="5021C657" w14:textId="77777777" w:rsidTr="007F198F">
        <w:trPr>
          <w:trHeight w:val="288"/>
        </w:trPr>
        <w:tc>
          <w:tcPr>
            <w:tcW w:w="9639" w:type="dxa"/>
            <w:gridSpan w:val="5"/>
            <w:shd w:val="clear" w:color="auto" w:fill="FBD4B4"/>
          </w:tcPr>
          <w:p w14:paraId="5021C656" w14:textId="77777777" w:rsidR="00941486" w:rsidRPr="00383A88" w:rsidRDefault="00941486" w:rsidP="00941486">
            <w:pPr>
              <w:pStyle w:val="TableTextAR"/>
              <w:rPr>
                <w:b/>
              </w:rPr>
            </w:pPr>
            <w:r w:rsidRPr="00383A88">
              <w:rPr>
                <w:b/>
              </w:rPr>
              <w:t>Conveyancers</w:t>
            </w:r>
          </w:p>
        </w:tc>
      </w:tr>
      <w:tr w:rsidR="00941486" w:rsidRPr="00F72367" w14:paraId="5021C65C" w14:textId="77777777" w:rsidTr="00941486">
        <w:trPr>
          <w:trHeight w:val="293"/>
        </w:trPr>
        <w:tc>
          <w:tcPr>
            <w:tcW w:w="4253" w:type="dxa"/>
            <w:shd w:val="clear" w:color="auto" w:fill="FFFFFF"/>
          </w:tcPr>
          <w:p w14:paraId="5021C658" w14:textId="77777777" w:rsidR="00941486" w:rsidRPr="00F72367" w:rsidRDefault="00941486" w:rsidP="00941486">
            <w:pPr>
              <w:pStyle w:val="TableTextAR"/>
            </w:pPr>
            <w:r w:rsidRPr="00F72367">
              <w:t>New applications lodged</w:t>
            </w:r>
          </w:p>
        </w:tc>
        <w:tc>
          <w:tcPr>
            <w:tcW w:w="1843" w:type="dxa"/>
            <w:shd w:val="clear" w:color="auto" w:fill="FFFFFF"/>
          </w:tcPr>
          <w:p w14:paraId="5021C659" w14:textId="77777777" w:rsidR="00941486" w:rsidRPr="00F72367" w:rsidRDefault="00941486" w:rsidP="00941486">
            <w:pPr>
              <w:pStyle w:val="TableTextAR"/>
              <w:jc w:val="right"/>
            </w:pPr>
            <w:r w:rsidRPr="00F72367">
              <w:t>80</w:t>
            </w:r>
          </w:p>
        </w:tc>
        <w:tc>
          <w:tcPr>
            <w:tcW w:w="1842" w:type="dxa"/>
            <w:gridSpan w:val="2"/>
            <w:shd w:val="clear" w:color="auto" w:fill="FFFFFF"/>
          </w:tcPr>
          <w:p w14:paraId="5021C65A" w14:textId="77777777" w:rsidR="00941486" w:rsidRPr="00F72367" w:rsidRDefault="00941486" w:rsidP="00941486">
            <w:pPr>
              <w:pStyle w:val="TableTextAR"/>
              <w:jc w:val="right"/>
            </w:pPr>
            <w:r w:rsidRPr="00F72367">
              <w:t>80</w:t>
            </w:r>
          </w:p>
        </w:tc>
        <w:tc>
          <w:tcPr>
            <w:tcW w:w="1701" w:type="dxa"/>
            <w:shd w:val="clear" w:color="auto" w:fill="FFFFFF"/>
          </w:tcPr>
          <w:p w14:paraId="5021C65B" w14:textId="77777777" w:rsidR="00941486" w:rsidRPr="00F72367" w:rsidRDefault="00941486" w:rsidP="00941486">
            <w:pPr>
              <w:pStyle w:val="TableTextAR"/>
              <w:jc w:val="right"/>
            </w:pPr>
            <w:r w:rsidRPr="00F72367">
              <w:t>92</w:t>
            </w:r>
          </w:p>
        </w:tc>
      </w:tr>
      <w:tr w:rsidR="00941486" w:rsidRPr="00B94D00" w14:paraId="5021C661" w14:textId="77777777" w:rsidTr="00941486">
        <w:trPr>
          <w:trHeight w:val="283"/>
        </w:trPr>
        <w:tc>
          <w:tcPr>
            <w:tcW w:w="4253" w:type="dxa"/>
            <w:shd w:val="clear" w:color="auto" w:fill="FFFFFF"/>
          </w:tcPr>
          <w:p w14:paraId="5021C65D"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5E" w14:textId="77777777" w:rsidR="00941486" w:rsidRPr="00B94D00" w:rsidRDefault="00941486" w:rsidP="00941486">
            <w:pPr>
              <w:pStyle w:val="TableTextAR"/>
              <w:jc w:val="right"/>
              <w:rPr>
                <w:b/>
              </w:rPr>
            </w:pPr>
            <w:r w:rsidRPr="00B94D00">
              <w:rPr>
                <w:b/>
              </w:rPr>
              <w:t>730</w:t>
            </w:r>
          </w:p>
        </w:tc>
        <w:tc>
          <w:tcPr>
            <w:tcW w:w="1842" w:type="dxa"/>
            <w:gridSpan w:val="2"/>
            <w:shd w:val="clear" w:color="auto" w:fill="FFFFFF"/>
          </w:tcPr>
          <w:p w14:paraId="5021C65F" w14:textId="77777777" w:rsidR="00941486" w:rsidRPr="00B94D00" w:rsidRDefault="00941486" w:rsidP="00941486">
            <w:pPr>
              <w:pStyle w:val="TableTextAR"/>
              <w:jc w:val="right"/>
              <w:rPr>
                <w:b/>
              </w:rPr>
            </w:pPr>
            <w:r w:rsidRPr="00B94D00">
              <w:rPr>
                <w:b/>
              </w:rPr>
              <w:t>712</w:t>
            </w:r>
          </w:p>
        </w:tc>
        <w:tc>
          <w:tcPr>
            <w:tcW w:w="1701" w:type="dxa"/>
            <w:shd w:val="clear" w:color="auto" w:fill="FFFFFF"/>
          </w:tcPr>
          <w:p w14:paraId="5021C660" w14:textId="77777777" w:rsidR="00941486" w:rsidRPr="00B94D00" w:rsidRDefault="00941486" w:rsidP="00941486">
            <w:pPr>
              <w:pStyle w:val="TableTextAR"/>
              <w:jc w:val="right"/>
              <w:rPr>
                <w:b/>
              </w:rPr>
            </w:pPr>
            <w:r w:rsidRPr="00B94D00">
              <w:rPr>
                <w:b/>
              </w:rPr>
              <w:t>768</w:t>
            </w:r>
          </w:p>
        </w:tc>
      </w:tr>
      <w:tr w:rsidR="00941486" w:rsidRPr="00F72367" w14:paraId="5021C663" w14:textId="77777777" w:rsidTr="007F198F">
        <w:trPr>
          <w:trHeight w:val="288"/>
        </w:trPr>
        <w:tc>
          <w:tcPr>
            <w:tcW w:w="9639" w:type="dxa"/>
            <w:gridSpan w:val="5"/>
            <w:shd w:val="clear" w:color="auto" w:fill="FBD4B4"/>
          </w:tcPr>
          <w:p w14:paraId="5021C662" w14:textId="77777777" w:rsidR="00941486" w:rsidRPr="00383A88" w:rsidRDefault="00941486" w:rsidP="00453603">
            <w:pPr>
              <w:pStyle w:val="TableTextAR"/>
              <w:keepNext/>
              <w:rPr>
                <w:b/>
              </w:rPr>
            </w:pPr>
            <w:r w:rsidRPr="00383A88">
              <w:rPr>
                <w:b/>
              </w:rPr>
              <w:lastRenderedPageBreak/>
              <w:t>Owners corporation managers</w:t>
            </w:r>
          </w:p>
        </w:tc>
      </w:tr>
      <w:tr w:rsidR="00941486" w:rsidRPr="00F72367" w14:paraId="5021C668" w14:textId="77777777" w:rsidTr="00941486">
        <w:trPr>
          <w:trHeight w:val="293"/>
        </w:trPr>
        <w:tc>
          <w:tcPr>
            <w:tcW w:w="4253" w:type="dxa"/>
            <w:shd w:val="clear" w:color="auto" w:fill="FFFFFF"/>
          </w:tcPr>
          <w:p w14:paraId="5021C664" w14:textId="77777777" w:rsidR="00941486" w:rsidRPr="00F72367" w:rsidRDefault="00941486" w:rsidP="00453603">
            <w:pPr>
              <w:pStyle w:val="TableTextAR"/>
              <w:keepNext/>
            </w:pPr>
            <w:r w:rsidRPr="00F72367">
              <w:t>New applications lodged</w:t>
            </w:r>
          </w:p>
        </w:tc>
        <w:tc>
          <w:tcPr>
            <w:tcW w:w="1843" w:type="dxa"/>
            <w:shd w:val="clear" w:color="auto" w:fill="FFFFFF"/>
          </w:tcPr>
          <w:p w14:paraId="5021C665" w14:textId="77777777" w:rsidR="00941486" w:rsidRPr="00F72367" w:rsidRDefault="00941486" w:rsidP="00941486">
            <w:pPr>
              <w:pStyle w:val="TableTextAR"/>
              <w:jc w:val="right"/>
            </w:pPr>
            <w:r w:rsidRPr="00F72367">
              <w:t>78</w:t>
            </w:r>
          </w:p>
        </w:tc>
        <w:tc>
          <w:tcPr>
            <w:tcW w:w="1842" w:type="dxa"/>
            <w:gridSpan w:val="2"/>
            <w:shd w:val="clear" w:color="auto" w:fill="FFFFFF"/>
          </w:tcPr>
          <w:p w14:paraId="5021C666" w14:textId="77777777" w:rsidR="00941486" w:rsidRPr="00F72367" w:rsidRDefault="00941486" w:rsidP="00941486">
            <w:pPr>
              <w:pStyle w:val="TableTextAR"/>
              <w:jc w:val="right"/>
            </w:pPr>
            <w:r w:rsidRPr="00F72367">
              <w:t>88</w:t>
            </w:r>
          </w:p>
        </w:tc>
        <w:tc>
          <w:tcPr>
            <w:tcW w:w="1701" w:type="dxa"/>
            <w:shd w:val="clear" w:color="auto" w:fill="FFFFFF"/>
          </w:tcPr>
          <w:p w14:paraId="5021C667" w14:textId="77777777" w:rsidR="00941486" w:rsidRPr="00F72367" w:rsidRDefault="00941486" w:rsidP="00941486">
            <w:pPr>
              <w:pStyle w:val="TableTextAR"/>
              <w:jc w:val="right"/>
            </w:pPr>
            <w:r w:rsidRPr="00F72367">
              <w:t>74</w:t>
            </w:r>
          </w:p>
        </w:tc>
      </w:tr>
      <w:tr w:rsidR="00941486" w:rsidRPr="00B94D00" w14:paraId="5021C66D" w14:textId="77777777" w:rsidTr="00941486">
        <w:trPr>
          <w:trHeight w:val="283"/>
        </w:trPr>
        <w:tc>
          <w:tcPr>
            <w:tcW w:w="4253" w:type="dxa"/>
            <w:shd w:val="clear" w:color="auto" w:fill="FFFFFF"/>
          </w:tcPr>
          <w:p w14:paraId="5021C669"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6A" w14:textId="77777777" w:rsidR="00941486" w:rsidRPr="00B94D00" w:rsidRDefault="00941486" w:rsidP="00941486">
            <w:pPr>
              <w:pStyle w:val="TableTextAR"/>
              <w:jc w:val="right"/>
              <w:rPr>
                <w:b/>
              </w:rPr>
            </w:pPr>
            <w:r w:rsidRPr="00B94D00">
              <w:rPr>
                <w:b/>
              </w:rPr>
              <w:t>570</w:t>
            </w:r>
          </w:p>
        </w:tc>
        <w:tc>
          <w:tcPr>
            <w:tcW w:w="1842" w:type="dxa"/>
            <w:gridSpan w:val="2"/>
            <w:shd w:val="clear" w:color="auto" w:fill="FFFFFF"/>
          </w:tcPr>
          <w:p w14:paraId="5021C66B" w14:textId="77777777" w:rsidR="00941486" w:rsidRPr="00B94D00" w:rsidRDefault="00941486" w:rsidP="00941486">
            <w:pPr>
              <w:pStyle w:val="TableTextAR"/>
              <w:jc w:val="right"/>
              <w:rPr>
                <w:b/>
              </w:rPr>
            </w:pPr>
            <w:r w:rsidRPr="00B94D00">
              <w:rPr>
                <w:b/>
              </w:rPr>
              <w:t>602</w:t>
            </w:r>
          </w:p>
        </w:tc>
        <w:tc>
          <w:tcPr>
            <w:tcW w:w="1701" w:type="dxa"/>
            <w:shd w:val="clear" w:color="auto" w:fill="FFFFFF"/>
          </w:tcPr>
          <w:p w14:paraId="5021C66C" w14:textId="77777777" w:rsidR="00941486" w:rsidRPr="00B94D00" w:rsidRDefault="00941486" w:rsidP="00941486">
            <w:pPr>
              <w:pStyle w:val="TableTextAR"/>
              <w:jc w:val="right"/>
              <w:rPr>
                <w:b/>
              </w:rPr>
            </w:pPr>
            <w:r w:rsidRPr="00B94D00">
              <w:rPr>
                <w:b/>
              </w:rPr>
              <w:t>621</w:t>
            </w:r>
          </w:p>
        </w:tc>
      </w:tr>
      <w:tr w:rsidR="00941486" w:rsidRPr="00F72367" w14:paraId="5021C66F" w14:textId="77777777" w:rsidTr="007F198F">
        <w:trPr>
          <w:trHeight w:val="283"/>
        </w:trPr>
        <w:tc>
          <w:tcPr>
            <w:tcW w:w="9639" w:type="dxa"/>
            <w:gridSpan w:val="5"/>
            <w:shd w:val="clear" w:color="auto" w:fill="FBD4B4"/>
          </w:tcPr>
          <w:p w14:paraId="5021C66E" w14:textId="77777777" w:rsidR="00941486" w:rsidRPr="00383A88" w:rsidRDefault="00941486" w:rsidP="00941486">
            <w:pPr>
              <w:pStyle w:val="TableTextAR"/>
              <w:rPr>
                <w:b/>
              </w:rPr>
            </w:pPr>
            <w:r w:rsidRPr="00383A88">
              <w:rPr>
                <w:b/>
              </w:rPr>
              <w:t>Retirement villages</w:t>
            </w:r>
          </w:p>
        </w:tc>
      </w:tr>
      <w:tr w:rsidR="00941486" w:rsidRPr="00F72367" w14:paraId="5021C674" w14:textId="77777777" w:rsidTr="00941486">
        <w:trPr>
          <w:trHeight w:val="293"/>
        </w:trPr>
        <w:tc>
          <w:tcPr>
            <w:tcW w:w="4253" w:type="dxa"/>
            <w:shd w:val="clear" w:color="auto" w:fill="FFFFFF"/>
          </w:tcPr>
          <w:p w14:paraId="5021C670" w14:textId="77777777" w:rsidR="00941486" w:rsidRPr="00F72367" w:rsidRDefault="00941486" w:rsidP="00941486">
            <w:pPr>
              <w:pStyle w:val="TableTextAR"/>
            </w:pPr>
            <w:r w:rsidRPr="00F72367">
              <w:t>New applications lodged</w:t>
            </w:r>
          </w:p>
        </w:tc>
        <w:tc>
          <w:tcPr>
            <w:tcW w:w="1843" w:type="dxa"/>
            <w:shd w:val="clear" w:color="auto" w:fill="FFFFFF"/>
          </w:tcPr>
          <w:p w14:paraId="5021C671" w14:textId="77777777" w:rsidR="00941486" w:rsidRPr="00F72367" w:rsidRDefault="00941486" w:rsidP="00941486">
            <w:pPr>
              <w:pStyle w:val="TableTextAR"/>
              <w:jc w:val="right"/>
            </w:pPr>
            <w:r w:rsidRPr="00F72367">
              <w:t>6</w:t>
            </w:r>
          </w:p>
        </w:tc>
        <w:tc>
          <w:tcPr>
            <w:tcW w:w="1842" w:type="dxa"/>
            <w:gridSpan w:val="2"/>
            <w:shd w:val="clear" w:color="auto" w:fill="FFFFFF"/>
          </w:tcPr>
          <w:p w14:paraId="5021C672" w14:textId="77777777" w:rsidR="00941486" w:rsidRPr="00F72367" w:rsidRDefault="00941486" w:rsidP="00941486">
            <w:pPr>
              <w:pStyle w:val="TableTextAR"/>
              <w:jc w:val="right"/>
            </w:pPr>
            <w:r w:rsidRPr="00F72367">
              <w:t>6</w:t>
            </w:r>
          </w:p>
        </w:tc>
        <w:tc>
          <w:tcPr>
            <w:tcW w:w="1701" w:type="dxa"/>
            <w:shd w:val="clear" w:color="auto" w:fill="FFFFFF"/>
          </w:tcPr>
          <w:p w14:paraId="5021C673" w14:textId="77777777" w:rsidR="00941486" w:rsidRPr="00F72367" w:rsidRDefault="00941486" w:rsidP="00941486">
            <w:pPr>
              <w:pStyle w:val="TableTextAR"/>
              <w:jc w:val="right"/>
            </w:pPr>
            <w:r w:rsidRPr="00F72367">
              <w:t>12</w:t>
            </w:r>
          </w:p>
        </w:tc>
      </w:tr>
      <w:tr w:rsidR="00941486" w:rsidRPr="00B94D00" w14:paraId="5021C679" w14:textId="77777777" w:rsidTr="00941486">
        <w:trPr>
          <w:trHeight w:val="283"/>
        </w:trPr>
        <w:tc>
          <w:tcPr>
            <w:tcW w:w="4253" w:type="dxa"/>
            <w:shd w:val="clear" w:color="auto" w:fill="FFFFFF"/>
          </w:tcPr>
          <w:p w14:paraId="5021C675"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76" w14:textId="77777777" w:rsidR="00941486" w:rsidRPr="00B94D00" w:rsidRDefault="00941486" w:rsidP="00941486">
            <w:pPr>
              <w:pStyle w:val="TableTextAR"/>
              <w:jc w:val="right"/>
              <w:rPr>
                <w:b/>
              </w:rPr>
            </w:pPr>
            <w:r w:rsidRPr="00B94D00">
              <w:rPr>
                <w:b/>
              </w:rPr>
              <w:t>409</w:t>
            </w:r>
          </w:p>
        </w:tc>
        <w:tc>
          <w:tcPr>
            <w:tcW w:w="1842" w:type="dxa"/>
            <w:gridSpan w:val="2"/>
            <w:shd w:val="clear" w:color="auto" w:fill="FFFFFF"/>
          </w:tcPr>
          <w:p w14:paraId="5021C677" w14:textId="77777777" w:rsidR="00941486" w:rsidRPr="00B94D00" w:rsidRDefault="00941486" w:rsidP="00941486">
            <w:pPr>
              <w:pStyle w:val="TableTextAR"/>
              <w:jc w:val="right"/>
              <w:rPr>
                <w:b/>
              </w:rPr>
            </w:pPr>
            <w:r w:rsidRPr="00B94D00">
              <w:rPr>
                <w:b/>
              </w:rPr>
              <w:t>415</w:t>
            </w:r>
          </w:p>
        </w:tc>
        <w:tc>
          <w:tcPr>
            <w:tcW w:w="1701" w:type="dxa"/>
            <w:shd w:val="clear" w:color="auto" w:fill="FFFFFF"/>
          </w:tcPr>
          <w:p w14:paraId="5021C678" w14:textId="77777777" w:rsidR="00941486" w:rsidRPr="00B94D00" w:rsidRDefault="00941486" w:rsidP="00941486">
            <w:pPr>
              <w:pStyle w:val="TableTextAR"/>
              <w:jc w:val="right"/>
              <w:rPr>
                <w:b/>
              </w:rPr>
            </w:pPr>
            <w:r w:rsidRPr="00B94D00">
              <w:rPr>
                <w:b/>
              </w:rPr>
              <w:t>426</w:t>
            </w:r>
          </w:p>
        </w:tc>
      </w:tr>
      <w:tr w:rsidR="00941486" w:rsidRPr="00F72367" w14:paraId="5021C67B" w14:textId="77777777" w:rsidTr="007F198F">
        <w:trPr>
          <w:trHeight w:val="288"/>
        </w:trPr>
        <w:tc>
          <w:tcPr>
            <w:tcW w:w="9639" w:type="dxa"/>
            <w:gridSpan w:val="5"/>
            <w:shd w:val="clear" w:color="auto" w:fill="FBD4B4"/>
          </w:tcPr>
          <w:p w14:paraId="5021C67A" w14:textId="77777777" w:rsidR="00941486" w:rsidRPr="00383A88" w:rsidRDefault="00941486" w:rsidP="00941486">
            <w:pPr>
              <w:pStyle w:val="TableTextAR"/>
              <w:rPr>
                <w:b/>
              </w:rPr>
            </w:pPr>
            <w:r w:rsidRPr="00383A88">
              <w:rPr>
                <w:b/>
              </w:rPr>
              <w:t>Funeral service providers</w:t>
            </w:r>
          </w:p>
        </w:tc>
      </w:tr>
      <w:tr w:rsidR="00941486" w:rsidRPr="00F72367" w14:paraId="5021C680" w14:textId="77777777" w:rsidTr="00941486">
        <w:trPr>
          <w:trHeight w:val="293"/>
        </w:trPr>
        <w:tc>
          <w:tcPr>
            <w:tcW w:w="4253" w:type="dxa"/>
            <w:shd w:val="clear" w:color="auto" w:fill="FFFFFF"/>
          </w:tcPr>
          <w:p w14:paraId="5021C67C" w14:textId="77777777" w:rsidR="00941486" w:rsidRPr="00F72367" w:rsidRDefault="00941486" w:rsidP="00941486">
            <w:pPr>
              <w:pStyle w:val="TableTextAR"/>
            </w:pPr>
            <w:r w:rsidRPr="00F72367">
              <w:t>New applications lodged</w:t>
            </w:r>
          </w:p>
        </w:tc>
        <w:tc>
          <w:tcPr>
            <w:tcW w:w="1843" w:type="dxa"/>
            <w:shd w:val="clear" w:color="auto" w:fill="FFFFFF"/>
          </w:tcPr>
          <w:p w14:paraId="5021C67D" w14:textId="77777777" w:rsidR="00941486" w:rsidRPr="00F72367" w:rsidRDefault="00941486" w:rsidP="00941486">
            <w:pPr>
              <w:pStyle w:val="TableTextAR"/>
              <w:jc w:val="right"/>
            </w:pPr>
            <w:r w:rsidRPr="00F72367">
              <w:t>24</w:t>
            </w:r>
          </w:p>
        </w:tc>
        <w:tc>
          <w:tcPr>
            <w:tcW w:w="1842" w:type="dxa"/>
            <w:gridSpan w:val="2"/>
            <w:shd w:val="clear" w:color="auto" w:fill="FFFFFF"/>
          </w:tcPr>
          <w:p w14:paraId="5021C67E" w14:textId="77777777" w:rsidR="00941486" w:rsidRPr="00F72367" w:rsidRDefault="00941486" w:rsidP="00941486">
            <w:pPr>
              <w:pStyle w:val="TableTextAR"/>
              <w:jc w:val="right"/>
            </w:pPr>
            <w:r w:rsidRPr="00F72367">
              <w:t>12</w:t>
            </w:r>
          </w:p>
        </w:tc>
        <w:tc>
          <w:tcPr>
            <w:tcW w:w="1701" w:type="dxa"/>
            <w:shd w:val="clear" w:color="auto" w:fill="FFFFFF"/>
          </w:tcPr>
          <w:p w14:paraId="5021C67F" w14:textId="77777777" w:rsidR="00941486" w:rsidRPr="00F72367" w:rsidRDefault="00941486" w:rsidP="00941486">
            <w:pPr>
              <w:pStyle w:val="TableTextAR"/>
              <w:jc w:val="right"/>
            </w:pPr>
            <w:r w:rsidRPr="00F72367">
              <w:t>10</w:t>
            </w:r>
          </w:p>
        </w:tc>
      </w:tr>
      <w:tr w:rsidR="00941486" w:rsidRPr="00B94D00" w14:paraId="5021C685" w14:textId="77777777" w:rsidTr="00941486">
        <w:trPr>
          <w:trHeight w:val="283"/>
        </w:trPr>
        <w:tc>
          <w:tcPr>
            <w:tcW w:w="4253" w:type="dxa"/>
            <w:shd w:val="clear" w:color="auto" w:fill="FFFFFF"/>
          </w:tcPr>
          <w:p w14:paraId="5021C681"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82" w14:textId="77777777" w:rsidR="00941486" w:rsidRPr="00B94D00" w:rsidRDefault="00941486" w:rsidP="00941486">
            <w:pPr>
              <w:pStyle w:val="TableTextAR"/>
              <w:jc w:val="right"/>
              <w:rPr>
                <w:b/>
              </w:rPr>
            </w:pPr>
            <w:r w:rsidRPr="00B94D00">
              <w:rPr>
                <w:b/>
              </w:rPr>
              <w:t>407</w:t>
            </w:r>
          </w:p>
        </w:tc>
        <w:tc>
          <w:tcPr>
            <w:tcW w:w="1842" w:type="dxa"/>
            <w:gridSpan w:val="2"/>
            <w:shd w:val="clear" w:color="auto" w:fill="FFFFFF"/>
          </w:tcPr>
          <w:p w14:paraId="5021C683" w14:textId="77777777" w:rsidR="00941486" w:rsidRPr="00B94D00" w:rsidRDefault="00941486" w:rsidP="00941486">
            <w:pPr>
              <w:pStyle w:val="TableTextAR"/>
              <w:jc w:val="right"/>
              <w:rPr>
                <w:b/>
              </w:rPr>
            </w:pPr>
            <w:r w:rsidRPr="00B94D00">
              <w:rPr>
                <w:b/>
              </w:rPr>
              <w:t>415</w:t>
            </w:r>
          </w:p>
        </w:tc>
        <w:tc>
          <w:tcPr>
            <w:tcW w:w="1701" w:type="dxa"/>
            <w:shd w:val="clear" w:color="auto" w:fill="FFFFFF"/>
          </w:tcPr>
          <w:p w14:paraId="5021C684" w14:textId="77777777" w:rsidR="00941486" w:rsidRPr="00B94D00" w:rsidRDefault="00941486" w:rsidP="00941486">
            <w:pPr>
              <w:pStyle w:val="TableTextAR"/>
              <w:jc w:val="right"/>
              <w:rPr>
                <w:b/>
              </w:rPr>
            </w:pPr>
            <w:r w:rsidRPr="00B94D00">
              <w:rPr>
                <w:b/>
              </w:rPr>
              <w:t>424</w:t>
            </w:r>
          </w:p>
        </w:tc>
      </w:tr>
      <w:tr w:rsidR="00941486" w:rsidRPr="00F72367" w14:paraId="5021C687" w14:textId="77777777" w:rsidTr="007F198F">
        <w:trPr>
          <w:trHeight w:val="288"/>
        </w:trPr>
        <w:tc>
          <w:tcPr>
            <w:tcW w:w="9639" w:type="dxa"/>
            <w:gridSpan w:val="5"/>
            <w:shd w:val="clear" w:color="auto" w:fill="FBD4B4"/>
          </w:tcPr>
          <w:p w14:paraId="5021C686" w14:textId="77777777" w:rsidR="00941486" w:rsidRPr="00383A88" w:rsidRDefault="00941486" w:rsidP="00941486">
            <w:pPr>
              <w:pStyle w:val="TableTextAR"/>
              <w:rPr>
                <w:b/>
              </w:rPr>
            </w:pPr>
            <w:r w:rsidRPr="00383A88">
              <w:rPr>
                <w:b/>
              </w:rPr>
              <w:t>Sex work service providers (licensees)</w:t>
            </w:r>
          </w:p>
        </w:tc>
      </w:tr>
      <w:tr w:rsidR="00941486" w:rsidRPr="00F72367" w14:paraId="5021C68C" w14:textId="77777777" w:rsidTr="00941486">
        <w:trPr>
          <w:trHeight w:val="293"/>
        </w:trPr>
        <w:tc>
          <w:tcPr>
            <w:tcW w:w="4253" w:type="dxa"/>
            <w:shd w:val="clear" w:color="auto" w:fill="FFFFFF"/>
          </w:tcPr>
          <w:p w14:paraId="5021C688" w14:textId="77777777" w:rsidR="00941486" w:rsidRPr="00F72367" w:rsidRDefault="00941486" w:rsidP="00941486">
            <w:pPr>
              <w:pStyle w:val="TableTextAR"/>
            </w:pPr>
            <w:r w:rsidRPr="00F72367">
              <w:t>New applications lodged</w:t>
            </w:r>
          </w:p>
        </w:tc>
        <w:tc>
          <w:tcPr>
            <w:tcW w:w="1843" w:type="dxa"/>
            <w:shd w:val="clear" w:color="auto" w:fill="FFFFFF"/>
          </w:tcPr>
          <w:p w14:paraId="5021C689" w14:textId="77777777" w:rsidR="00941486" w:rsidRPr="00F72367" w:rsidRDefault="00941486" w:rsidP="00941486">
            <w:pPr>
              <w:pStyle w:val="TableTextAR"/>
              <w:jc w:val="right"/>
            </w:pPr>
            <w:r w:rsidRPr="00F72367">
              <w:t>13</w:t>
            </w:r>
          </w:p>
        </w:tc>
        <w:tc>
          <w:tcPr>
            <w:tcW w:w="1842" w:type="dxa"/>
            <w:gridSpan w:val="2"/>
            <w:shd w:val="clear" w:color="auto" w:fill="FFFFFF"/>
          </w:tcPr>
          <w:p w14:paraId="5021C68A" w14:textId="77777777" w:rsidR="00941486" w:rsidRPr="00F72367" w:rsidRDefault="00941486" w:rsidP="00941486">
            <w:pPr>
              <w:pStyle w:val="TableTextAR"/>
              <w:jc w:val="right"/>
            </w:pPr>
            <w:r w:rsidRPr="00F72367">
              <w:t>21</w:t>
            </w:r>
          </w:p>
        </w:tc>
        <w:tc>
          <w:tcPr>
            <w:tcW w:w="1701" w:type="dxa"/>
            <w:shd w:val="clear" w:color="auto" w:fill="FFFFFF"/>
          </w:tcPr>
          <w:p w14:paraId="5021C68B" w14:textId="77777777" w:rsidR="00941486" w:rsidRPr="00F72367" w:rsidRDefault="00941486" w:rsidP="00941486">
            <w:pPr>
              <w:pStyle w:val="TableTextAR"/>
              <w:jc w:val="right"/>
            </w:pPr>
            <w:r w:rsidRPr="00F72367">
              <w:t>10</w:t>
            </w:r>
          </w:p>
        </w:tc>
      </w:tr>
      <w:tr w:rsidR="00941486" w:rsidRPr="00B94D00" w14:paraId="5021C691" w14:textId="77777777" w:rsidTr="00941486">
        <w:trPr>
          <w:trHeight w:val="283"/>
        </w:trPr>
        <w:tc>
          <w:tcPr>
            <w:tcW w:w="4253" w:type="dxa"/>
            <w:shd w:val="clear" w:color="auto" w:fill="FFFFFF"/>
          </w:tcPr>
          <w:p w14:paraId="5021C68D"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8E" w14:textId="77777777" w:rsidR="00941486" w:rsidRPr="00B94D00" w:rsidRDefault="00941486" w:rsidP="00941486">
            <w:pPr>
              <w:pStyle w:val="TableTextAR"/>
              <w:jc w:val="right"/>
              <w:rPr>
                <w:b/>
              </w:rPr>
            </w:pPr>
            <w:r w:rsidRPr="00B94D00">
              <w:rPr>
                <w:b/>
              </w:rPr>
              <w:t>139</w:t>
            </w:r>
          </w:p>
        </w:tc>
        <w:tc>
          <w:tcPr>
            <w:tcW w:w="1842" w:type="dxa"/>
            <w:gridSpan w:val="2"/>
            <w:shd w:val="clear" w:color="auto" w:fill="FFFFFF"/>
          </w:tcPr>
          <w:p w14:paraId="5021C68F" w14:textId="77777777" w:rsidR="00941486" w:rsidRPr="00B94D00" w:rsidRDefault="00941486" w:rsidP="00941486">
            <w:pPr>
              <w:pStyle w:val="TableTextAR"/>
              <w:jc w:val="right"/>
              <w:rPr>
                <w:b/>
              </w:rPr>
            </w:pPr>
            <w:r w:rsidRPr="00B94D00">
              <w:rPr>
                <w:b/>
              </w:rPr>
              <w:t>130</w:t>
            </w:r>
          </w:p>
        </w:tc>
        <w:tc>
          <w:tcPr>
            <w:tcW w:w="1701" w:type="dxa"/>
            <w:shd w:val="clear" w:color="auto" w:fill="FFFFFF"/>
          </w:tcPr>
          <w:p w14:paraId="5021C690" w14:textId="77777777" w:rsidR="00941486" w:rsidRPr="00B94D00" w:rsidRDefault="00941486" w:rsidP="00941486">
            <w:pPr>
              <w:pStyle w:val="TableTextAR"/>
              <w:jc w:val="right"/>
              <w:rPr>
                <w:b/>
              </w:rPr>
            </w:pPr>
            <w:r w:rsidRPr="00B94D00">
              <w:rPr>
                <w:b/>
              </w:rPr>
              <w:t>133</w:t>
            </w:r>
          </w:p>
        </w:tc>
      </w:tr>
      <w:tr w:rsidR="00941486" w:rsidRPr="00F72367" w14:paraId="5021C693" w14:textId="77777777" w:rsidTr="007F198F">
        <w:trPr>
          <w:trHeight w:val="288"/>
        </w:trPr>
        <w:tc>
          <w:tcPr>
            <w:tcW w:w="9639" w:type="dxa"/>
            <w:gridSpan w:val="5"/>
            <w:shd w:val="clear" w:color="auto" w:fill="FBD4B4"/>
          </w:tcPr>
          <w:p w14:paraId="5021C692" w14:textId="77777777" w:rsidR="00941486" w:rsidRPr="00383A88" w:rsidRDefault="00941486" w:rsidP="00941486">
            <w:pPr>
              <w:pStyle w:val="TableTextAR"/>
              <w:rPr>
                <w:b/>
              </w:rPr>
            </w:pPr>
            <w:r w:rsidRPr="00383A88">
              <w:rPr>
                <w:b/>
              </w:rPr>
              <w:t>Sex work brothel managers</w:t>
            </w:r>
          </w:p>
        </w:tc>
      </w:tr>
      <w:tr w:rsidR="00941486" w:rsidRPr="00F72367" w14:paraId="5021C698" w14:textId="77777777" w:rsidTr="00941486">
        <w:trPr>
          <w:trHeight w:val="288"/>
        </w:trPr>
        <w:tc>
          <w:tcPr>
            <w:tcW w:w="4253" w:type="dxa"/>
            <w:shd w:val="clear" w:color="auto" w:fill="FFFFFF"/>
          </w:tcPr>
          <w:p w14:paraId="5021C694" w14:textId="77777777" w:rsidR="00941486" w:rsidRPr="00F72367" w:rsidRDefault="00941486" w:rsidP="00941486">
            <w:pPr>
              <w:pStyle w:val="TableTextAR"/>
            </w:pPr>
            <w:r w:rsidRPr="00F72367">
              <w:t>New applications lodged</w:t>
            </w:r>
          </w:p>
        </w:tc>
        <w:tc>
          <w:tcPr>
            <w:tcW w:w="1843" w:type="dxa"/>
            <w:shd w:val="clear" w:color="auto" w:fill="FFFFFF"/>
          </w:tcPr>
          <w:p w14:paraId="5021C695" w14:textId="77777777" w:rsidR="00941486" w:rsidRPr="00F72367" w:rsidRDefault="00941486" w:rsidP="00941486">
            <w:pPr>
              <w:pStyle w:val="TableTextAR"/>
              <w:jc w:val="right"/>
            </w:pPr>
            <w:r w:rsidRPr="00F72367">
              <w:t>187</w:t>
            </w:r>
          </w:p>
        </w:tc>
        <w:tc>
          <w:tcPr>
            <w:tcW w:w="1842" w:type="dxa"/>
            <w:gridSpan w:val="2"/>
            <w:shd w:val="clear" w:color="auto" w:fill="FFFFFF"/>
          </w:tcPr>
          <w:p w14:paraId="5021C696" w14:textId="77777777" w:rsidR="00941486" w:rsidRPr="00F72367" w:rsidRDefault="00941486" w:rsidP="00941486">
            <w:pPr>
              <w:pStyle w:val="TableTextAR"/>
              <w:jc w:val="right"/>
            </w:pPr>
            <w:r w:rsidRPr="00F72367">
              <w:t>195</w:t>
            </w:r>
          </w:p>
        </w:tc>
        <w:tc>
          <w:tcPr>
            <w:tcW w:w="1701" w:type="dxa"/>
            <w:shd w:val="clear" w:color="auto" w:fill="FFFFFF"/>
          </w:tcPr>
          <w:p w14:paraId="5021C697" w14:textId="77777777" w:rsidR="00941486" w:rsidRPr="00F72367" w:rsidRDefault="00941486" w:rsidP="00941486">
            <w:pPr>
              <w:pStyle w:val="TableTextAR"/>
              <w:jc w:val="right"/>
            </w:pPr>
            <w:r w:rsidRPr="00F72367">
              <w:t>178</w:t>
            </w:r>
          </w:p>
        </w:tc>
      </w:tr>
      <w:tr w:rsidR="00941486" w:rsidRPr="00B94D00" w14:paraId="5021C69D" w14:textId="77777777" w:rsidTr="00941486">
        <w:trPr>
          <w:trHeight w:val="293"/>
        </w:trPr>
        <w:tc>
          <w:tcPr>
            <w:tcW w:w="4253" w:type="dxa"/>
            <w:shd w:val="clear" w:color="auto" w:fill="FFFFFF"/>
          </w:tcPr>
          <w:p w14:paraId="5021C699"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9A" w14:textId="77777777" w:rsidR="00941486" w:rsidRPr="00B94D00" w:rsidRDefault="00941486" w:rsidP="00941486">
            <w:pPr>
              <w:pStyle w:val="TableTextAR"/>
              <w:jc w:val="right"/>
              <w:rPr>
                <w:b/>
              </w:rPr>
            </w:pPr>
            <w:r w:rsidRPr="00B94D00">
              <w:rPr>
                <w:b/>
              </w:rPr>
              <w:t>746</w:t>
            </w:r>
          </w:p>
        </w:tc>
        <w:tc>
          <w:tcPr>
            <w:tcW w:w="1842" w:type="dxa"/>
            <w:gridSpan w:val="2"/>
            <w:shd w:val="clear" w:color="auto" w:fill="FFFFFF"/>
          </w:tcPr>
          <w:p w14:paraId="5021C69B" w14:textId="77777777" w:rsidR="00941486" w:rsidRPr="00B94D00" w:rsidRDefault="00941486" w:rsidP="00941486">
            <w:pPr>
              <w:pStyle w:val="TableTextAR"/>
              <w:jc w:val="right"/>
              <w:rPr>
                <w:b/>
              </w:rPr>
            </w:pPr>
            <w:r w:rsidRPr="00B94D00">
              <w:rPr>
                <w:b/>
              </w:rPr>
              <w:t>756</w:t>
            </w:r>
          </w:p>
        </w:tc>
        <w:tc>
          <w:tcPr>
            <w:tcW w:w="1701" w:type="dxa"/>
            <w:shd w:val="clear" w:color="auto" w:fill="FFFFFF"/>
          </w:tcPr>
          <w:p w14:paraId="5021C69C" w14:textId="77777777" w:rsidR="00941486" w:rsidRPr="00B94D00" w:rsidRDefault="00941486" w:rsidP="00941486">
            <w:pPr>
              <w:pStyle w:val="TableTextAR"/>
              <w:jc w:val="right"/>
              <w:rPr>
                <w:b/>
              </w:rPr>
            </w:pPr>
            <w:r w:rsidRPr="00B94D00">
              <w:rPr>
                <w:b/>
              </w:rPr>
              <w:t>710</w:t>
            </w:r>
          </w:p>
        </w:tc>
      </w:tr>
      <w:tr w:rsidR="00941486" w:rsidRPr="00F72367" w14:paraId="5021C69F" w14:textId="77777777" w:rsidTr="007F198F">
        <w:trPr>
          <w:trHeight w:val="293"/>
        </w:trPr>
        <w:tc>
          <w:tcPr>
            <w:tcW w:w="9639" w:type="dxa"/>
            <w:gridSpan w:val="5"/>
            <w:shd w:val="clear" w:color="auto" w:fill="FBD4B4"/>
          </w:tcPr>
          <w:p w14:paraId="5021C69E" w14:textId="77777777" w:rsidR="00941486" w:rsidRPr="00383A88" w:rsidRDefault="00941486" w:rsidP="00941486">
            <w:pPr>
              <w:pStyle w:val="TableTextAR"/>
              <w:rPr>
                <w:b/>
              </w:rPr>
            </w:pPr>
            <w:r w:rsidRPr="00383A88">
              <w:rPr>
                <w:b/>
              </w:rPr>
              <w:t>Sex work providers (exempt)</w:t>
            </w:r>
          </w:p>
        </w:tc>
      </w:tr>
      <w:tr w:rsidR="00941486" w:rsidRPr="00F72367" w14:paraId="5021C6A4" w14:textId="77777777" w:rsidTr="00941486">
        <w:trPr>
          <w:trHeight w:val="293"/>
        </w:trPr>
        <w:tc>
          <w:tcPr>
            <w:tcW w:w="4253" w:type="dxa"/>
            <w:shd w:val="clear" w:color="auto" w:fill="FFFFFF"/>
          </w:tcPr>
          <w:p w14:paraId="5021C6A0" w14:textId="77777777" w:rsidR="00941486" w:rsidRPr="00F72367" w:rsidRDefault="00941486" w:rsidP="00941486">
            <w:pPr>
              <w:pStyle w:val="TableTextAR"/>
            </w:pPr>
            <w:r w:rsidRPr="00F72367">
              <w:t>New applications lodged</w:t>
            </w:r>
          </w:p>
        </w:tc>
        <w:tc>
          <w:tcPr>
            <w:tcW w:w="1843" w:type="dxa"/>
            <w:shd w:val="clear" w:color="auto" w:fill="FFFFFF"/>
          </w:tcPr>
          <w:p w14:paraId="5021C6A1" w14:textId="77777777" w:rsidR="00941486" w:rsidRPr="00F72367" w:rsidRDefault="00941486" w:rsidP="00941486">
            <w:pPr>
              <w:pStyle w:val="TableTextAR"/>
              <w:jc w:val="right"/>
            </w:pPr>
            <w:r w:rsidRPr="00F72367">
              <w:t>232</w:t>
            </w:r>
          </w:p>
        </w:tc>
        <w:tc>
          <w:tcPr>
            <w:tcW w:w="1842" w:type="dxa"/>
            <w:gridSpan w:val="2"/>
            <w:shd w:val="clear" w:color="auto" w:fill="FFFFFF"/>
          </w:tcPr>
          <w:p w14:paraId="5021C6A2" w14:textId="77777777" w:rsidR="00941486" w:rsidRPr="00F72367" w:rsidRDefault="00941486" w:rsidP="00941486">
            <w:pPr>
              <w:pStyle w:val="TableTextAR"/>
              <w:jc w:val="right"/>
            </w:pPr>
            <w:r w:rsidRPr="00F72367">
              <w:t>327</w:t>
            </w:r>
          </w:p>
        </w:tc>
        <w:tc>
          <w:tcPr>
            <w:tcW w:w="1701" w:type="dxa"/>
            <w:shd w:val="clear" w:color="auto" w:fill="FFFFFF"/>
          </w:tcPr>
          <w:p w14:paraId="5021C6A3" w14:textId="77777777" w:rsidR="00941486" w:rsidRPr="00F72367" w:rsidRDefault="00941486" w:rsidP="00941486">
            <w:pPr>
              <w:pStyle w:val="TableTextAR"/>
              <w:jc w:val="right"/>
            </w:pPr>
            <w:r w:rsidRPr="00F72367">
              <w:t>326</w:t>
            </w:r>
          </w:p>
        </w:tc>
      </w:tr>
      <w:tr w:rsidR="00941486" w:rsidRPr="00B94D00" w14:paraId="5021C6A9" w14:textId="77777777" w:rsidTr="00941486">
        <w:trPr>
          <w:trHeight w:val="293"/>
        </w:trPr>
        <w:tc>
          <w:tcPr>
            <w:tcW w:w="4253" w:type="dxa"/>
            <w:shd w:val="clear" w:color="auto" w:fill="FFFFFF"/>
          </w:tcPr>
          <w:p w14:paraId="5021C6A5" w14:textId="77777777" w:rsidR="00941486" w:rsidRPr="00B94D00" w:rsidRDefault="00941486" w:rsidP="00941486">
            <w:pPr>
              <w:pStyle w:val="TableTextAR"/>
              <w:rPr>
                <w:b/>
              </w:rPr>
            </w:pPr>
            <w:r w:rsidRPr="00B94D00">
              <w:rPr>
                <w:b/>
              </w:rPr>
              <w:t>Total on register</w:t>
            </w:r>
          </w:p>
        </w:tc>
        <w:tc>
          <w:tcPr>
            <w:tcW w:w="1843" w:type="dxa"/>
            <w:shd w:val="clear" w:color="auto" w:fill="FFFFFF"/>
          </w:tcPr>
          <w:p w14:paraId="5021C6A6" w14:textId="77777777" w:rsidR="00941486" w:rsidRPr="00B94D00" w:rsidRDefault="00941486" w:rsidP="00941486">
            <w:pPr>
              <w:pStyle w:val="TableTextAR"/>
              <w:jc w:val="right"/>
              <w:rPr>
                <w:b/>
              </w:rPr>
            </w:pPr>
            <w:r w:rsidRPr="00B94D00">
              <w:rPr>
                <w:b/>
              </w:rPr>
              <w:t>600</w:t>
            </w:r>
          </w:p>
        </w:tc>
        <w:tc>
          <w:tcPr>
            <w:tcW w:w="1842" w:type="dxa"/>
            <w:gridSpan w:val="2"/>
            <w:shd w:val="clear" w:color="auto" w:fill="FFFFFF"/>
          </w:tcPr>
          <w:p w14:paraId="5021C6A7" w14:textId="77777777" w:rsidR="00941486" w:rsidRPr="00B94D00" w:rsidRDefault="00941486" w:rsidP="00941486">
            <w:pPr>
              <w:pStyle w:val="TableTextAR"/>
              <w:jc w:val="right"/>
              <w:rPr>
                <w:b/>
              </w:rPr>
            </w:pPr>
            <w:r w:rsidRPr="00B94D00">
              <w:rPr>
                <w:b/>
              </w:rPr>
              <w:t>609</w:t>
            </w:r>
          </w:p>
        </w:tc>
        <w:tc>
          <w:tcPr>
            <w:tcW w:w="1701" w:type="dxa"/>
            <w:shd w:val="clear" w:color="auto" w:fill="FFFFFF"/>
          </w:tcPr>
          <w:p w14:paraId="5021C6A8" w14:textId="77777777" w:rsidR="00941486" w:rsidRPr="00B94D00" w:rsidRDefault="00941486" w:rsidP="00941486">
            <w:pPr>
              <w:pStyle w:val="TableTextAR"/>
              <w:jc w:val="right"/>
              <w:rPr>
                <w:b/>
              </w:rPr>
            </w:pPr>
            <w:r w:rsidRPr="00B94D00">
              <w:rPr>
                <w:b/>
              </w:rPr>
              <w:t>651</w:t>
            </w:r>
          </w:p>
        </w:tc>
      </w:tr>
    </w:tbl>
    <w:p w14:paraId="5021C6AA" w14:textId="77777777" w:rsidR="00941486" w:rsidRDefault="00941486" w:rsidP="00103874">
      <w:pPr>
        <w:pStyle w:val="Heading3"/>
        <w:spacing w:after="400"/>
      </w:pPr>
      <w:r>
        <w:br w:type="page"/>
      </w:r>
      <w:bookmarkStart w:id="15" w:name="_Toc432081458"/>
      <w:r w:rsidRPr="00F72367">
        <w:lastRenderedPageBreak/>
        <w:t>Parties signed to enforceable undertakings</w:t>
      </w:r>
      <w:bookmarkEnd w:id="15"/>
    </w:p>
    <w:p w14:paraId="5021C6AB" w14:textId="77777777" w:rsidR="00941486" w:rsidRPr="005E2030" w:rsidRDefault="00941486" w:rsidP="00941486">
      <w:pPr>
        <w:pStyle w:val="BodyText"/>
        <w:sectPr w:rsidR="00941486" w:rsidRPr="005E2030" w:rsidSect="00B163D5">
          <w:pgSz w:w="11906" w:h="16838" w:code="9"/>
          <w:pgMar w:top="1134" w:right="1134" w:bottom="1134" w:left="1134" w:header="454" w:footer="510" w:gutter="0"/>
          <w:cols w:space="708"/>
          <w:docGrid w:linePitch="360"/>
        </w:sectPr>
      </w:pPr>
    </w:p>
    <w:p w14:paraId="5021C6AC" w14:textId="77777777" w:rsidR="00941486" w:rsidRPr="00F72367" w:rsidRDefault="00941486" w:rsidP="00E9076D">
      <w:pPr>
        <w:pStyle w:val="Heading4"/>
      </w:pPr>
      <w:r w:rsidRPr="00F72367">
        <w:t>Australian Consumer Law (Victoria)</w:t>
      </w:r>
    </w:p>
    <w:p w14:paraId="5021C6AD" w14:textId="77777777" w:rsidR="00941486" w:rsidRPr="00F72367" w:rsidRDefault="00941486" w:rsidP="00941486">
      <w:pPr>
        <w:pStyle w:val="BodyARsmallspace"/>
      </w:pPr>
      <w:r w:rsidRPr="00F72367">
        <w:t>Freeway Fitness Pty Ltd</w:t>
      </w:r>
    </w:p>
    <w:p w14:paraId="5021C6AE" w14:textId="77777777" w:rsidR="00941486" w:rsidRPr="00F72367" w:rsidRDefault="00941486" w:rsidP="00941486">
      <w:pPr>
        <w:pStyle w:val="BodyARsmallspace"/>
      </w:pPr>
      <w:r w:rsidRPr="00F72367">
        <w:t>Kristian Nathan Woods</w:t>
      </w:r>
    </w:p>
    <w:p w14:paraId="5021C6AF" w14:textId="77777777" w:rsidR="00941486" w:rsidRPr="00F72367" w:rsidRDefault="00941486" w:rsidP="00941486">
      <w:pPr>
        <w:pStyle w:val="BodyARsmallspace"/>
      </w:pPr>
      <w:r w:rsidRPr="00F72367">
        <w:t>Real Wealth Australia Pty Ltd</w:t>
      </w:r>
    </w:p>
    <w:p w14:paraId="5021C6B0" w14:textId="77777777" w:rsidR="00941486" w:rsidRPr="00F72367" w:rsidRDefault="00941486" w:rsidP="00941486">
      <w:pPr>
        <w:pStyle w:val="BodyARsmallspace"/>
      </w:pPr>
      <w:r w:rsidRPr="00F72367">
        <w:t>Helen Connie Collier-Kogtevs</w:t>
      </w:r>
    </w:p>
    <w:p w14:paraId="5021C6B1" w14:textId="77777777" w:rsidR="00941486" w:rsidRPr="00F72367" w:rsidRDefault="00941486" w:rsidP="00941486">
      <w:pPr>
        <w:pStyle w:val="BodyARsmallspace"/>
      </w:pPr>
      <w:r w:rsidRPr="00F72367">
        <w:t>Get off Drugs Naturally Foundation Inc</w:t>
      </w:r>
    </w:p>
    <w:p w14:paraId="5021C6B2" w14:textId="77777777" w:rsidR="00941486" w:rsidRPr="00F72367" w:rsidRDefault="00941486" w:rsidP="00941486">
      <w:pPr>
        <w:pStyle w:val="BodyARsmallspace"/>
      </w:pPr>
      <w:r w:rsidRPr="00F72367">
        <w:t>Dr Nerida James</w:t>
      </w:r>
    </w:p>
    <w:p w14:paraId="5021C6B3" w14:textId="77777777" w:rsidR="00941486" w:rsidRPr="00F72367" w:rsidRDefault="00941486" w:rsidP="00941486">
      <w:pPr>
        <w:pStyle w:val="BodyARsmallspace"/>
      </w:pPr>
      <w:r w:rsidRPr="00F72367">
        <w:t>H2Coco Pty Ltd</w:t>
      </w:r>
    </w:p>
    <w:p w14:paraId="5021C6B4" w14:textId="77777777" w:rsidR="00941486" w:rsidRPr="00F72367" w:rsidRDefault="00941486" w:rsidP="00941486">
      <w:pPr>
        <w:pStyle w:val="BodyARsmallspace"/>
      </w:pPr>
      <w:r w:rsidRPr="00F72367">
        <w:t>David Freeman</w:t>
      </w:r>
    </w:p>
    <w:p w14:paraId="5021C6B5" w14:textId="77777777" w:rsidR="00941486" w:rsidRPr="00F72367" w:rsidRDefault="00941486" w:rsidP="00941486">
      <w:pPr>
        <w:pStyle w:val="BodyARsmallspace"/>
      </w:pPr>
      <w:r w:rsidRPr="00F72367">
        <w:t>Solarex Australia Pty Ltd</w:t>
      </w:r>
    </w:p>
    <w:p w14:paraId="5021C6B6" w14:textId="77777777" w:rsidR="00941486" w:rsidRPr="00F72367" w:rsidRDefault="00941486" w:rsidP="00941486">
      <w:pPr>
        <w:pStyle w:val="BodyARsmallspace"/>
      </w:pPr>
      <w:r w:rsidRPr="00F72367">
        <w:t>Ali Syed</w:t>
      </w:r>
    </w:p>
    <w:p w14:paraId="5021C6B7" w14:textId="77777777" w:rsidR="00941486" w:rsidRPr="00F72367" w:rsidRDefault="00941486" w:rsidP="00941486">
      <w:pPr>
        <w:pStyle w:val="BodyARsmallspace"/>
      </w:pPr>
      <w:r w:rsidRPr="00F72367">
        <w:t>Mohammed Syed</w:t>
      </w:r>
    </w:p>
    <w:p w14:paraId="5021C6B8" w14:textId="77777777" w:rsidR="00941486" w:rsidRPr="00F72367" w:rsidRDefault="00941486" w:rsidP="00941486">
      <w:pPr>
        <w:pStyle w:val="BodyARsmallspace"/>
      </w:pPr>
      <w:r w:rsidRPr="00F72367">
        <w:t>Standby Savers Pty Ltd</w:t>
      </w:r>
    </w:p>
    <w:p w14:paraId="5021C6B9" w14:textId="77777777" w:rsidR="00941486" w:rsidRPr="00F72367" w:rsidRDefault="00941486" w:rsidP="00941486">
      <w:pPr>
        <w:pStyle w:val="BodyARsmallspace"/>
      </w:pPr>
      <w:r w:rsidRPr="00F72367">
        <w:t>Marcus Munro Hickey</w:t>
      </w:r>
    </w:p>
    <w:p w14:paraId="5021C6BA" w14:textId="77777777" w:rsidR="00941486" w:rsidRPr="00F72367" w:rsidRDefault="00941486" w:rsidP="00941486">
      <w:pPr>
        <w:pStyle w:val="BodyARsmallspace"/>
      </w:pPr>
      <w:r w:rsidRPr="00F72367">
        <w:t>Accrue Property Pty Ltd</w:t>
      </w:r>
    </w:p>
    <w:p w14:paraId="5021C6BB" w14:textId="77777777" w:rsidR="00941486" w:rsidRPr="00F72367" w:rsidRDefault="00941486" w:rsidP="00941486">
      <w:pPr>
        <w:pStyle w:val="BodyARsmallspace"/>
      </w:pPr>
      <w:r w:rsidRPr="00F72367">
        <w:t>James Allan Monaghan</w:t>
      </w:r>
    </w:p>
    <w:p w14:paraId="5021C6BC" w14:textId="77777777" w:rsidR="00941486" w:rsidRPr="00736C4E" w:rsidRDefault="00941486" w:rsidP="00E9076D">
      <w:pPr>
        <w:pStyle w:val="Heading4"/>
        <w:rPr>
          <w:rStyle w:val="Emphasis"/>
          <w:rFonts w:ascii="Segoe UI Symbol" w:hAnsi="Segoe UI Symbol"/>
        </w:rPr>
      </w:pPr>
      <w:r w:rsidRPr="00736C4E">
        <w:rPr>
          <w:rStyle w:val="Emphasis"/>
        </w:rPr>
        <w:t>Estate Agents Act 1980</w:t>
      </w:r>
    </w:p>
    <w:p w14:paraId="5021C6BD" w14:textId="77777777" w:rsidR="00941486" w:rsidRPr="00F72367" w:rsidRDefault="00941486" w:rsidP="00941486">
      <w:pPr>
        <w:pStyle w:val="BodyARsmallspace"/>
      </w:pPr>
      <w:r w:rsidRPr="00F72367">
        <w:t>Taylors Real Estate Agents Pty Ltd</w:t>
      </w:r>
    </w:p>
    <w:p w14:paraId="5021C6BE" w14:textId="77777777" w:rsidR="00941486" w:rsidRPr="00F72367" w:rsidRDefault="00941486" w:rsidP="00941486">
      <w:pPr>
        <w:pStyle w:val="BodyARsmallspace"/>
      </w:pPr>
      <w:r w:rsidRPr="00F72367">
        <w:t>Enzo Bufano</w:t>
      </w:r>
    </w:p>
    <w:p w14:paraId="5021C6BF" w14:textId="77777777" w:rsidR="00941486" w:rsidRPr="00F72367" w:rsidRDefault="00941486" w:rsidP="00711F83">
      <w:pPr>
        <w:pStyle w:val="Heading3"/>
      </w:pPr>
      <w:bookmarkStart w:id="16" w:name="_Toc432081459"/>
      <w:r w:rsidRPr="00F72367">
        <w:t>Court and tribunal matters</w:t>
      </w:r>
      <w:bookmarkEnd w:id="16"/>
    </w:p>
    <w:p w14:paraId="5021C6C0" w14:textId="77777777" w:rsidR="00941486" w:rsidRPr="00F72367" w:rsidRDefault="00941486" w:rsidP="00E9076D">
      <w:pPr>
        <w:pStyle w:val="Heading4"/>
      </w:pPr>
      <w:r w:rsidRPr="00F72367">
        <w:t>Prosecutions finalised</w:t>
      </w:r>
    </w:p>
    <w:p w14:paraId="5021C6C1" w14:textId="77777777" w:rsidR="00941486" w:rsidRPr="00F72367" w:rsidRDefault="00941486" w:rsidP="00561305">
      <w:pPr>
        <w:pStyle w:val="Heading5"/>
      </w:pPr>
      <w:r w:rsidRPr="00F72367">
        <w:t>Australian Consumer Law (Victoria)</w:t>
      </w:r>
    </w:p>
    <w:p w14:paraId="5021C6C2" w14:textId="77777777" w:rsidR="00941486" w:rsidRPr="00F72367" w:rsidRDefault="00941486" w:rsidP="00941486">
      <w:pPr>
        <w:pStyle w:val="BodyARsmallspace"/>
      </w:pPr>
      <w:r w:rsidRPr="00F72367">
        <w:t>Yuting Wang</w:t>
      </w:r>
    </w:p>
    <w:p w14:paraId="5021C6C3" w14:textId="77777777" w:rsidR="00941486" w:rsidRPr="00F72367" w:rsidRDefault="00941486" w:rsidP="00941486">
      <w:pPr>
        <w:pStyle w:val="BodyARsmallspace"/>
      </w:pPr>
      <w:r w:rsidRPr="00F72367">
        <w:t>Keat Enterprises Pty Ltd</w:t>
      </w:r>
    </w:p>
    <w:p w14:paraId="5021C6C4" w14:textId="77777777" w:rsidR="00941486" w:rsidRPr="00F72367" w:rsidRDefault="00941486" w:rsidP="00941486">
      <w:pPr>
        <w:pStyle w:val="BodyARsmallspace"/>
      </w:pPr>
      <w:r w:rsidRPr="00F72367">
        <w:t>Yuting Wang (appeal against sentence)</w:t>
      </w:r>
    </w:p>
    <w:p w14:paraId="5021C6C5" w14:textId="77777777" w:rsidR="00941486" w:rsidRPr="00F72367" w:rsidRDefault="00941486" w:rsidP="00561305">
      <w:pPr>
        <w:pStyle w:val="Heading5"/>
        <w:rPr>
          <w:rStyle w:val="Emphasis"/>
        </w:rPr>
      </w:pPr>
      <w:r w:rsidRPr="00F72367">
        <w:rPr>
          <w:rStyle w:val="Emphasis"/>
        </w:rPr>
        <w:t>Domestic Building Contracts Act 1995</w:t>
      </w:r>
    </w:p>
    <w:p w14:paraId="5021C6C6" w14:textId="77777777" w:rsidR="00941486" w:rsidRPr="00F72367" w:rsidRDefault="00941486" w:rsidP="00941486">
      <w:pPr>
        <w:pStyle w:val="BodyARsmallspace"/>
      </w:pPr>
      <w:r w:rsidRPr="00F72367">
        <w:t>Anthony Jakupi</w:t>
      </w:r>
    </w:p>
    <w:p w14:paraId="5021C6C7" w14:textId="77777777" w:rsidR="00941486" w:rsidRPr="00F72367" w:rsidRDefault="00941486" w:rsidP="00941486">
      <w:pPr>
        <w:pStyle w:val="BodyARsmallspace"/>
      </w:pPr>
      <w:r w:rsidRPr="00F72367">
        <w:t>Jakupi Excavations Pty Ltd</w:t>
      </w:r>
    </w:p>
    <w:p w14:paraId="5021C6C8" w14:textId="77777777" w:rsidR="00941486" w:rsidRPr="00F72367" w:rsidRDefault="00941486" w:rsidP="00561305">
      <w:pPr>
        <w:pStyle w:val="Heading5"/>
        <w:rPr>
          <w:rStyle w:val="Emphasis"/>
        </w:rPr>
      </w:pPr>
      <w:r w:rsidRPr="00F72367">
        <w:rPr>
          <w:rStyle w:val="Emphasis"/>
        </w:rPr>
        <w:t>Motor Car Traders Act 1986</w:t>
      </w:r>
    </w:p>
    <w:p w14:paraId="5021C6C9" w14:textId="77777777" w:rsidR="00941486" w:rsidRPr="00F72367" w:rsidRDefault="00941486" w:rsidP="00941486">
      <w:pPr>
        <w:pStyle w:val="BodyARsmallspace"/>
      </w:pPr>
      <w:r w:rsidRPr="00F72367">
        <w:t>Emrah Sen</w:t>
      </w:r>
    </w:p>
    <w:p w14:paraId="5021C6CA" w14:textId="77777777" w:rsidR="00941486" w:rsidRPr="00F72367" w:rsidRDefault="00941486" w:rsidP="00941486">
      <w:pPr>
        <w:pStyle w:val="BodyARsmallspace"/>
      </w:pPr>
      <w:r w:rsidRPr="00F72367">
        <w:t>Mustapha Ali Ali</w:t>
      </w:r>
    </w:p>
    <w:p w14:paraId="5021C6CB" w14:textId="77777777" w:rsidR="00941486" w:rsidRPr="00F72367" w:rsidRDefault="00941486" w:rsidP="00941486">
      <w:pPr>
        <w:pStyle w:val="BodyARsmallspace"/>
      </w:pPr>
      <w:r w:rsidRPr="00F72367">
        <w:t>Shefket Idrizi</w:t>
      </w:r>
    </w:p>
    <w:p w14:paraId="5021C6CC" w14:textId="77777777" w:rsidR="00941486" w:rsidRPr="00F72367" w:rsidRDefault="00941486" w:rsidP="00941486">
      <w:pPr>
        <w:pStyle w:val="BodyARsmallspace"/>
      </w:pPr>
      <w:r w:rsidRPr="00F72367">
        <w:t>Cars National Pty Ltd</w:t>
      </w:r>
    </w:p>
    <w:p w14:paraId="5021C6CD" w14:textId="77777777" w:rsidR="00941486" w:rsidRPr="00F72367" w:rsidRDefault="00941486" w:rsidP="00941486">
      <w:pPr>
        <w:pStyle w:val="BodyARsmallspace"/>
      </w:pPr>
      <w:r w:rsidRPr="00F72367">
        <w:t>Melbourne Autohaus Pty Ltd</w:t>
      </w:r>
    </w:p>
    <w:p w14:paraId="5021C6CE" w14:textId="77777777" w:rsidR="00941486" w:rsidRPr="00F72367" w:rsidRDefault="00941486" w:rsidP="00941486">
      <w:pPr>
        <w:pStyle w:val="BodyARsmallspace"/>
      </w:pPr>
      <w:r w:rsidRPr="00F72367">
        <w:t>Alexsandar Jovanovski</w:t>
      </w:r>
    </w:p>
    <w:p w14:paraId="5021C6CF" w14:textId="77777777" w:rsidR="00941486" w:rsidRPr="00F72367" w:rsidRDefault="00941486" w:rsidP="00941486">
      <w:pPr>
        <w:pStyle w:val="BodyARsmallspace"/>
      </w:pPr>
      <w:r w:rsidRPr="00F72367">
        <w:t>Eray Sahin</w:t>
      </w:r>
    </w:p>
    <w:p w14:paraId="5021C6D0" w14:textId="77777777" w:rsidR="00941486" w:rsidRPr="00F72367" w:rsidRDefault="00941486" w:rsidP="00941486">
      <w:pPr>
        <w:pStyle w:val="BodyARsmallspace"/>
      </w:pPr>
      <w:r w:rsidRPr="00F72367">
        <w:t>Maurizio Duchini</w:t>
      </w:r>
    </w:p>
    <w:p w14:paraId="5021C6D1" w14:textId="77777777" w:rsidR="00941486" w:rsidRPr="00F72367" w:rsidRDefault="00941486" w:rsidP="00941486">
      <w:pPr>
        <w:pStyle w:val="BodyARsmallspace"/>
      </w:pPr>
      <w:r w:rsidRPr="00F72367">
        <w:t>Khaled El Mohamed</w:t>
      </w:r>
    </w:p>
    <w:p w14:paraId="5021C6D2" w14:textId="77777777" w:rsidR="00941486" w:rsidRPr="00F72367" w:rsidRDefault="00941486" w:rsidP="00561305">
      <w:pPr>
        <w:pStyle w:val="Heading5"/>
        <w:rPr>
          <w:rStyle w:val="Emphasis"/>
        </w:rPr>
      </w:pPr>
      <w:r w:rsidRPr="00F72367">
        <w:rPr>
          <w:rStyle w:val="Emphasis"/>
        </w:rPr>
        <w:t>Estate Agents Act 1980</w:t>
      </w:r>
    </w:p>
    <w:p w14:paraId="5021C6D3" w14:textId="77777777" w:rsidR="00941486" w:rsidRPr="00F72367" w:rsidRDefault="00941486" w:rsidP="00941486">
      <w:pPr>
        <w:pStyle w:val="BodyARsmallspace"/>
      </w:pPr>
      <w:r w:rsidRPr="00F72367">
        <w:t>Kian Meng (Dennis) Ong</w:t>
      </w:r>
    </w:p>
    <w:p w14:paraId="5021C6D4" w14:textId="77777777" w:rsidR="00941486" w:rsidRPr="00F72367" w:rsidRDefault="00941486" w:rsidP="00941486">
      <w:pPr>
        <w:pStyle w:val="BodyARsmallspace"/>
      </w:pPr>
      <w:r w:rsidRPr="00F72367">
        <w:t>Colin Rounds</w:t>
      </w:r>
    </w:p>
    <w:p w14:paraId="5021C6D5" w14:textId="77777777" w:rsidR="00941486" w:rsidRPr="00F72367" w:rsidRDefault="00941486" w:rsidP="00941486">
      <w:pPr>
        <w:pStyle w:val="BodyARsmallspace"/>
      </w:pPr>
      <w:r w:rsidRPr="00F72367">
        <w:t>Suzanne Zvizdalo</w:t>
      </w:r>
    </w:p>
    <w:p w14:paraId="5021C6D6" w14:textId="77777777" w:rsidR="00941486" w:rsidRPr="00F72367" w:rsidRDefault="00941486" w:rsidP="00941486">
      <w:pPr>
        <w:pStyle w:val="BodyARsmallspace"/>
      </w:pPr>
      <w:r w:rsidRPr="00F72367">
        <w:t>Boris Real Estate Pty Ltd</w:t>
      </w:r>
    </w:p>
    <w:p w14:paraId="5021C6D7" w14:textId="77777777" w:rsidR="00941486" w:rsidRPr="00F72367" w:rsidRDefault="00941486" w:rsidP="00941486">
      <w:pPr>
        <w:pStyle w:val="BodyARsmallspace"/>
      </w:pPr>
      <w:r w:rsidRPr="00F72367">
        <w:t>Konstantinos Balasis (appeal against sentence)</w:t>
      </w:r>
    </w:p>
    <w:p w14:paraId="5021C6D8" w14:textId="77777777" w:rsidR="00941486" w:rsidRPr="00F72367" w:rsidRDefault="00941486" w:rsidP="00561305">
      <w:pPr>
        <w:pStyle w:val="Heading5"/>
        <w:rPr>
          <w:rStyle w:val="Emphasis"/>
        </w:rPr>
      </w:pPr>
      <w:r w:rsidRPr="00F72367">
        <w:rPr>
          <w:rStyle w:val="Emphasis"/>
        </w:rPr>
        <w:t>Residential Tenancies Act 1997</w:t>
      </w:r>
    </w:p>
    <w:p w14:paraId="5021C6D9" w14:textId="77777777" w:rsidR="00941486" w:rsidRPr="00F72367" w:rsidRDefault="00941486" w:rsidP="00941486">
      <w:pPr>
        <w:pStyle w:val="BodyARsmallspace"/>
      </w:pPr>
      <w:r w:rsidRPr="00F72367">
        <w:t>City Hostels Pty Ltd</w:t>
      </w:r>
    </w:p>
    <w:p w14:paraId="5021C6DA" w14:textId="77777777" w:rsidR="00941486" w:rsidRPr="00F72367" w:rsidRDefault="00941486" w:rsidP="00941486">
      <w:pPr>
        <w:pStyle w:val="BodyARsmallspace"/>
      </w:pPr>
      <w:r w:rsidRPr="00F72367">
        <w:t>Mandy Le</w:t>
      </w:r>
    </w:p>
    <w:p w14:paraId="5021C6DB" w14:textId="77777777" w:rsidR="00941486" w:rsidRPr="00F72367" w:rsidRDefault="00941486" w:rsidP="00E9076D">
      <w:pPr>
        <w:pStyle w:val="Heading4"/>
      </w:pPr>
      <w:r>
        <w:t>Civil proceedings (including disciplinary i</w:t>
      </w:r>
      <w:r w:rsidRPr="00F72367">
        <w:t>nquiry)</w:t>
      </w:r>
    </w:p>
    <w:p w14:paraId="5021C6DC" w14:textId="77777777" w:rsidR="00941486" w:rsidRPr="00F72367" w:rsidRDefault="00941486" w:rsidP="00561305">
      <w:pPr>
        <w:pStyle w:val="Heading5"/>
        <w:rPr>
          <w:rStyle w:val="Emphasis"/>
        </w:rPr>
      </w:pPr>
      <w:r w:rsidRPr="00F72367">
        <w:rPr>
          <w:rStyle w:val="Emphasis"/>
        </w:rPr>
        <w:t>Estate Agents Act 1980</w:t>
      </w:r>
    </w:p>
    <w:p w14:paraId="5021C6DD" w14:textId="77777777" w:rsidR="00941486" w:rsidRPr="00F72367" w:rsidRDefault="00941486" w:rsidP="00941486">
      <w:pPr>
        <w:pStyle w:val="BodyARsmallspace"/>
      </w:pPr>
      <w:r w:rsidRPr="00F72367">
        <w:t>Afif Shaba</w:t>
      </w:r>
    </w:p>
    <w:p w14:paraId="5021C6DE" w14:textId="77777777" w:rsidR="00941486" w:rsidRPr="00F72367" w:rsidRDefault="00941486" w:rsidP="00941486">
      <w:pPr>
        <w:pStyle w:val="BodyARsmallspace"/>
      </w:pPr>
      <w:r w:rsidRPr="00F72367">
        <w:t>Christine Parsons</w:t>
      </w:r>
    </w:p>
    <w:p w14:paraId="5021C6DF" w14:textId="77777777" w:rsidR="00941486" w:rsidRPr="00F72367" w:rsidRDefault="00941486" w:rsidP="00941486">
      <w:pPr>
        <w:pStyle w:val="BodyARsmallspace"/>
      </w:pPr>
      <w:r w:rsidRPr="00F72367">
        <w:t>Quoc Hung Ly</w:t>
      </w:r>
    </w:p>
    <w:p w14:paraId="5021C6E0" w14:textId="77777777" w:rsidR="00941486" w:rsidRPr="00F72367" w:rsidRDefault="00941486" w:rsidP="00941486">
      <w:pPr>
        <w:pStyle w:val="BodyARsmallspace"/>
      </w:pPr>
      <w:r w:rsidRPr="00F72367">
        <w:t>G L Lee Real Estate Pty Ltd</w:t>
      </w:r>
    </w:p>
    <w:p w14:paraId="5021C6E1" w14:textId="77777777" w:rsidR="00941486" w:rsidRPr="00F72367" w:rsidRDefault="00941486" w:rsidP="00941486">
      <w:pPr>
        <w:pStyle w:val="BodyARsmallspace"/>
      </w:pPr>
      <w:r w:rsidRPr="00F72367">
        <w:t>Baycrown Management Pty Ltd</w:t>
      </w:r>
    </w:p>
    <w:p w14:paraId="5021C6E2" w14:textId="77777777" w:rsidR="00941486" w:rsidRPr="00F72367" w:rsidRDefault="00941486" w:rsidP="00941486">
      <w:pPr>
        <w:pStyle w:val="BodyARsmallspace"/>
      </w:pPr>
      <w:r w:rsidRPr="00F72367">
        <w:t>Terry Pak Kwai Choe</w:t>
      </w:r>
    </w:p>
    <w:p w14:paraId="5021C6E3" w14:textId="77777777" w:rsidR="00941486" w:rsidRPr="00F72367" w:rsidRDefault="00941486" w:rsidP="00941486">
      <w:pPr>
        <w:pStyle w:val="BodyARsmallspace"/>
      </w:pPr>
      <w:r w:rsidRPr="00F72367">
        <w:t>Matthew White</w:t>
      </w:r>
    </w:p>
    <w:p w14:paraId="5021C6E4" w14:textId="77777777" w:rsidR="00941486" w:rsidRPr="00F72367" w:rsidRDefault="00941486" w:rsidP="00941486">
      <w:pPr>
        <w:pStyle w:val="BodyARsmallspace"/>
      </w:pPr>
      <w:r w:rsidRPr="00F72367">
        <w:t>Frank Flanagan</w:t>
      </w:r>
    </w:p>
    <w:p w14:paraId="5021C6E5" w14:textId="77777777" w:rsidR="00941486" w:rsidRPr="00F72367" w:rsidRDefault="00941486" w:rsidP="00941486">
      <w:pPr>
        <w:pStyle w:val="BodyARsmallspace"/>
      </w:pPr>
      <w:r w:rsidRPr="00F72367">
        <w:t>Sunnymac Pty Ltd</w:t>
      </w:r>
    </w:p>
    <w:p w14:paraId="5021C6E6" w14:textId="77777777" w:rsidR="00941486" w:rsidRPr="00F72367" w:rsidRDefault="00941486" w:rsidP="00941486">
      <w:pPr>
        <w:pStyle w:val="BodyARsmallspace"/>
      </w:pPr>
      <w:r w:rsidRPr="00F72367">
        <w:t>Craig Alan McIntosh</w:t>
      </w:r>
    </w:p>
    <w:p w14:paraId="5021C6E7" w14:textId="77777777" w:rsidR="00941486" w:rsidRPr="00F72367" w:rsidRDefault="00941486" w:rsidP="00941486">
      <w:pPr>
        <w:pStyle w:val="BodyARsmallspace"/>
      </w:pPr>
      <w:r w:rsidRPr="00F72367">
        <w:t>Anthony Vito Brancatella</w:t>
      </w:r>
    </w:p>
    <w:p w14:paraId="5021C6E8" w14:textId="77777777" w:rsidR="00941486" w:rsidRPr="00F72367" w:rsidRDefault="00941486" w:rsidP="00941486">
      <w:pPr>
        <w:pStyle w:val="BodyARsmallspace"/>
      </w:pPr>
      <w:r w:rsidRPr="00F72367">
        <w:t>Benjamin David Chislett</w:t>
      </w:r>
    </w:p>
    <w:p w14:paraId="5021C6E9" w14:textId="77777777" w:rsidR="00941486" w:rsidRPr="00F72367" w:rsidRDefault="00941486" w:rsidP="00941486">
      <w:pPr>
        <w:pStyle w:val="BodyARsmallspace"/>
      </w:pPr>
      <w:r w:rsidRPr="00F72367">
        <w:t>Benny Bull Pty Ltd</w:t>
      </w:r>
    </w:p>
    <w:p w14:paraId="5021C6EA" w14:textId="77777777" w:rsidR="00941486" w:rsidRPr="00F72367" w:rsidRDefault="00941486" w:rsidP="00941486">
      <w:pPr>
        <w:pStyle w:val="BodyARsmallspace"/>
      </w:pPr>
      <w:r w:rsidRPr="00F72367">
        <w:t>Creative Property Australia Pty Ltd</w:t>
      </w:r>
    </w:p>
    <w:p w14:paraId="5021C6EB" w14:textId="77777777" w:rsidR="00941486" w:rsidRPr="00F72367" w:rsidRDefault="00941486" w:rsidP="00941486">
      <w:pPr>
        <w:pStyle w:val="BodyARsmallspace"/>
      </w:pPr>
      <w:r w:rsidRPr="00F72367">
        <w:t>L J Investment Group Pty Ltd</w:t>
      </w:r>
    </w:p>
    <w:p w14:paraId="5021C6EC" w14:textId="77777777" w:rsidR="00941486" w:rsidRPr="0087484D" w:rsidRDefault="00941486" w:rsidP="00561305">
      <w:pPr>
        <w:pStyle w:val="Heading5"/>
      </w:pPr>
      <w:r w:rsidRPr="0087484D">
        <w:t>Australian Consumer Law (Victoria)</w:t>
      </w:r>
    </w:p>
    <w:p w14:paraId="5021C6ED" w14:textId="77777777" w:rsidR="00941486" w:rsidRPr="00F72367" w:rsidRDefault="00941486" w:rsidP="00941486">
      <w:pPr>
        <w:pStyle w:val="BodyARsmallspace"/>
      </w:pPr>
      <w:r w:rsidRPr="00F72367">
        <w:t>CK Import &amp; Wholesale Pty Ltd</w:t>
      </w:r>
    </w:p>
    <w:p w14:paraId="5021C6EE" w14:textId="77777777" w:rsidR="00941486" w:rsidRPr="00F72367" w:rsidRDefault="00941486" w:rsidP="00941486">
      <w:pPr>
        <w:pStyle w:val="BodyARsmallspace"/>
      </w:pPr>
      <w:r w:rsidRPr="00F72367">
        <w:t>William Yang</w:t>
      </w:r>
    </w:p>
    <w:p w14:paraId="5021C6EF" w14:textId="77777777" w:rsidR="00941486" w:rsidRPr="00F72367" w:rsidRDefault="00941486" w:rsidP="00941486">
      <w:pPr>
        <w:pStyle w:val="BodyARsmallspace"/>
      </w:pPr>
      <w:r w:rsidRPr="00F72367">
        <w:t>D W International Trading Pty Ltd</w:t>
      </w:r>
    </w:p>
    <w:p w14:paraId="5021C6F0" w14:textId="77777777" w:rsidR="00941486" w:rsidRPr="00F72367" w:rsidRDefault="00941486" w:rsidP="00941486">
      <w:pPr>
        <w:pStyle w:val="BodyARsmallspace"/>
      </w:pPr>
      <w:r w:rsidRPr="00F72367">
        <w:t>Bo Hui Dong</w:t>
      </w:r>
    </w:p>
    <w:p w14:paraId="5021C6F1" w14:textId="77777777" w:rsidR="00941486" w:rsidRPr="00F72367" w:rsidRDefault="00941486" w:rsidP="00941486">
      <w:pPr>
        <w:pStyle w:val="BodyARsmallspace"/>
      </w:pPr>
      <w:r w:rsidRPr="00F72367">
        <w:lastRenderedPageBreak/>
        <w:t>Andrew Withall</w:t>
      </w:r>
    </w:p>
    <w:p w14:paraId="5021C6F2" w14:textId="77777777" w:rsidR="00941486" w:rsidRPr="00F72367" w:rsidRDefault="00941486" w:rsidP="00941486">
      <w:pPr>
        <w:pStyle w:val="BodyARsmallspace"/>
      </w:pPr>
      <w:r w:rsidRPr="00F72367">
        <w:t>Burlesque Interiors Pty Ltd</w:t>
      </w:r>
    </w:p>
    <w:p w14:paraId="5021C6F3" w14:textId="77777777" w:rsidR="00941486" w:rsidRPr="00F72367" w:rsidRDefault="00941486" w:rsidP="00941486">
      <w:pPr>
        <w:pStyle w:val="BodyARsmallspace"/>
      </w:pPr>
      <w:r w:rsidRPr="00F72367">
        <w:t>Olivia Eckford</w:t>
      </w:r>
    </w:p>
    <w:p w14:paraId="5021C6F4" w14:textId="77777777" w:rsidR="00941486" w:rsidRPr="00F72367" w:rsidRDefault="00941486" w:rsidP="00941486">
      <w:pPr>
        <w:pStyle w:val="BodyARsmallspace"/>
      </w:pPr>
      <w:r w:rsidRPr="00F72367">
        <w:t>Alpha Flight Services Pty Ltd</w:t>
      </w:r>
    </w:p>
    <w:p w14:paraId="5021C6F5" w14:textId="77777777" w:rsidR="00941486" w:rsidRPr="00F72367" w:rsidRDefault="00941486" w:rsidP="00941486">
      <w:pPr>
        <w:pStyle w:val="BodyARsmallspace"/>
      </w:pPr>
      <w:r w:rsidRPr="00F72367">
        <w:t>Qantas Airways Limited</w:t>
      </w:r>
    </w:p>
    <w:p w14:paraId="5021C6F6" w14:textId="77777777" w:rsidR="00941486" w:rsidRPr="00F72367" w:rsidRDefault="00941486" w:rsidP="00941486">
      <w:pPr>
        <w:pStyle w:val="BodyARsmallspace"/>
      </w:pPr>
      <w:r w:rsidRPr="00F72367">
        <w:t>1 House Group Pty Ltd</w:t>
      </w:r>
    </w:p>
    <w:p w14:paraId="5021C6F7" w14:textId="77777777" w:rsidR="00941486" w:rsidRPr="00F72367" w:rsidRDefault="00941486" w:rsidP="00941486">
      <w:pPr>
        <w:pStyle w:val="BodyARsmallspace"/>
      </w:pPr>
      <w:r w:rsidRPr="00F72367">
        <w:t>Nicole Papadopoulos</w:t>
      </w:r>
    </w:p>
    <w:p w14:paraId="5021C6F8" w14:textId="77777777" w:rsidR="00941486" w:rsidRPr="00F72367" w:rsidRDefault="00941486" w:rsidP="00941486">
      <w:pPr>
        <w:pStyle w:val="BodyARsmallspace"/>
      </w:pPr>
      <w:r w:rsidRPr="00F72367">
        <w:t>Mark Smith</w:t>
      </w:r>
    </w:p>
    <w:p w14:paraId="5021C6F9" w14:textId="77777777" w:rsidR="00941486" w:rsidRPr="00F72367" w:rsidRDefault="00941486" w:rsidP="00941486">
      <w:pPr>
        <w:pStyle w:val="BodyARsmallspace"/>
      </w:pPr>
      <w:r w:rsidRPr="00F72367">
        <w:t>Agrison Pty Ltd</w:t>
      </w:r>
    </w:p>
    <w:p w14:paraId="5021C6FA" w14:textId="77777777" w:rsidR="00941486" w:rsidRPr="00F72367" w:rsidRDefault="00941486" w:rsidP="00941486">
      <w:pPr>
        <w:pStyle w:val="BodyARsmallspace"/>
      </w:pPr>
      <w:r w:rsidRPr="00F72367">
        <w:t>Volkan Yokus</w:t>
      </w:r>
    </w:p>
    <w:p w14:paraId="5021C6FB" w14:textId="77777777" w:rsidR="00941486" w:rsidRPr="00F72367" w:rsidRDefault="00941486" w:rsidP="00561305">
      <w:pPr>
        <w:pStyle w:val="Heading5"/>
        <w:rPr>
          <w:rStyle w:val="Emphasis"/>
        </w:rPr>
      </w:pPr>
      <w:r w:rsidRPr="00F72367">
        <w:rPr>
          <w:rStyle w:val="Emphasis"/>
        </w:rPr>
        <w:t>Conveyancers Act 2006</w:t>
      </w:r>
    </w:p>
    <w:p w14:paraId="5021C6FC" w14:textId="77777777" w:rsidR="00941486" w:rsidRPr="00F72367" w:rsidRDefault="00941486" w:rsidP="00941486">
      <w:pPr>
        <w:pStyle w:val="BodyARsmallspace"/>
      </w:pPr>
      <w:r w:rsidRPr="00F72367">
        <w:t>Bluebell Conveyancing Australia Pty Ltd</w:t>
      </w:r>
    </w:p>
    <w:p w14:paraId="5021C6FD" w14:textId="77777777" w:rsidR="00941486" w:rsidRPr="00F72367" w:rsidRDefault="00941486" w:rsidP="00941486">
      <w:pPr>
        <w:pStyle w:val="BodyARsmallspace"/>
      </w:pPr>
      <w:r w:rsidRPr="00F72367">
        <w:t>Elaine Daher</w:t>
      </w:r>
    </w:p>
    <w:p w14:paraId="5021C6FE" w14:textId="77777777" w:rsidR="00941486" w:rsidRPr="00F72367" w:rsidRDefault="00941486" w:rsidP="00941486">
      <w:pPr>
        <w:pStyle w:val="BodyARsmallspace"/>
      </w:pPr>
      <w:r w:rsidRPr="00F72367">
        <w:t>Han Yan</w:t>
      </w:r>
    </w:p>
    <w:p w14:paraId="5021C6FF" w14:textId="77777777" w:rsidR="00941486" w:rsidRPr="00F72367" w:rsidRDefault="00941486" w:rsidP="00941486">
      <w:pPr>
        <w:pStyle w:val="BodyARsmallspace"/>
      </w:pPr>
      <w:r w:rsidRPr="00F72367">
        <w:t>Jing Xu</w:t>
      </w:r>
    </w:p>
    <w:p w14:paraId="5021C700" w14:textId="77777777" w:rsidR="00941486" w:rsidRPr="00F72367" w:rsidRDefault="00941486" w:rsidP="00941486">
      <w:pPr>
        <w:pStyle w:val="BodyARsmallspace"/>
      </w:pPr>
      <w:r w:rsidRPr="00F72367">
        <w:t>Cornell Conveyancing Pty Ltd</w:t>
      </w:r>
    </w:p>
    <w:p w14:paraId="5021C701" w14:textId="77777777" w:rsidR="00941486" w:rsidRPr="00F72367" w:rsidRDefault="00941486" w:rsidP="00941486">
      <w:pPr>
        <w:pStyle w:val="BodyARsmallspace"/>
      </w:pPr>
      <w:r w:rsidRPr="00F72367">
        <w:t>Low Co$t Pty Ltd</w:t>
      </w:r>
    </w:p>
    <w:p w14:paraId="5021C702" w14:textId="77777777" w:rsidR="00941486" w:rsidRPr="00F72367" w:rsidRDefault="00941486" w:rsidP="00941486">
      <w:pPr>
        <w:pStyle w:val="BodyARsmallspace"/>
      </w:pPr>
      <w:r w:rsidRPr="00F72367">
        <w:t>Ashley Clarke</w:t>
      </w:r>
    </w:p>
    <w:p w14:paraId="5021C703" w14:textId="77777777" w:rsidR="00941486" w:rsidRPr="00F72367" w:rsidRDefault="00941486" w:rsidP="00941486">
      <w:pPr>
        <w:pStyle w:val="BodyARsmallspace"/>
      </w:pPr>
      <w:r w:rsidRPr="00F72367">
        <w:t>Pamela Redford</w:t>
      </w:r>
    </w:p>
    <w:p w14:paraId="5021C704" w14:textId="77777777" w:rsidR="00941486" w:rsidRPr="00F72367" w:rsidRDefault="00941486" w:rsidP="00941486">
      <w:pPr>
        <w:pStyle w:val="BodyARsmallspace"/>
      </w:pPr>
      <w:r w:rsidRPr="00F72367">
        <w:t>Michael Joseph Goujan</w:t>
      </w:r>
    </w:p>
    <w:p w14:paraId="5021C705" w14:textId="77777777" w:rsidR="00941486" w:rsidRPr="00F72367" w:rsidRDefault="00941486" w:rsidP="00941486">
      <w:pPr>
        <w:pStyle w:val="BodyARsmallspace"/>
      </w:pPr>
      <w:r w:rsidRPr="00F72367">
        <w:t>Virginia Sivasamy</w:t>
      </w:r>
    </w:p>
    <w:p w14:paraId="5021C706" w14:textId="77777777" w:rsidR="00941486" w:rsidRPr="00F72367" w:rsidRDefault="00941486" w:rsidP="00561305">
      <w:pPr>
        <w:pStyle w:val="Heading5"/>
        <w:rPr>
          <w:rStyle w:val="Emphasis"/>
        </w:rPr>
      </w:pPr>
      <w:r w:rsidRPr="00F72367">
        <w:rPr>
          <w:rStyle w:val="Emphasis"/>
        </w:rPr>
        <w:t>Motor Car Traders Act 1986</w:t>
      </w:r>
    </w:p>
    <w:p w14:paraId="5021C707" w14:textId="77777777" w:rsidR="00941486" w:rsidRPr="00F72367" w:rsidRDefault="00941486" w:rsidP="00941486">
      <w:pPr>
        <w:pStyle w:val="BodyARsmallspace"/>
      </w:pPr>
      <w:r w:rsidRPr="00F72367">
        <w:t>Yuze Cao</w:t>
      </w:r>
    </w:p>
    <w:p w14:paraId="5021C708" w14:textId="77777777" w:rsidR="00941486" w:rsidRPr="00F72367" w:rsidRDefault="00941486" w:rsidP="00941486">
      <w:pPr>
        <w:pStyle w:val="BodyARsmallspace"/>
      </w:pPr>
      <w:r w:rsidRPr="00F72367">
        <w:t>AusCarClub Pty Ltd</w:t>
      </w:r>
    </w:p>
    <w:p w14:paraId="5021C709" w14:textId="77777777" w:rsidR="00941486" w:rsidRPr="00F72367" w:rsidRDefault="00941486" w:rsidP="00561305">
      <w:pPr>
        <w:pStyle w:val="Heading5"/>
        <w:rPr>
          <w:rStyle w:val="Emphasis"/>
        </w:rPr>
      </w:pPr>
      <w:r w:rsidRPr="00F72367">
        <w:rPr>
          <w:rStyle w:val="Emphasis"/>
        </w:rPr>
        <w:t>Fundraising Act 1998</w:t>
      </w:r>
    </w:p>
    <w:p w14:paraId="5021C70A" w14:textId="77777777" w:rsidR="00941486" w:rsidRPr="00F72367" w:rsidRDefault="00941486" w:rsidP="00941486">
      <w:pPr>
        <w:pStyle w:val="BodyARsmallspace"/>
      </w:pPr>
      <w:r w:rsidRPr="00F72367">
        <w:t>Co.As.It Italian Assistance Association (order to disburse appeal proceeds)</w:t>
      </w:r>
    </w:p>
    <w:p w14:paraId="5021C70B" w14:textId="77777777" w:rsidR="00941486" w:rsidRPr="00F72367" w:rsidRDefault="00941486" w:rsidP="00E9076D">
      <w:pPr>
        <w:pStyle w:val="Heading4"/>
      </w:pPr>
      <w:r>
        <w:t>Administrative review – o</w:t>
      </w:r>
      <w:r w:rsidRPr="00F72367">
        <w:t>n behalf of the Business Licensing Authority (BLA)</w:t>
      </w:r>
    </w:p>
    <w:p w14:paraId="5021C70C" w14:textId="77777777" w:rsidR="00941486" w:rsidRPr="00F72367" w:rsidRDefault="00941486" w:rsidP="00561305">
      <w:pPr>
        <w:pStyle w:val="Heading5"/>
        <w:rPr>
          <w:rStyle w:val="Emphasis"/>
        </w:rPr>
      </w:pPr>
      <w:r w:rsidRPr="00F72367">
        <w:rPr>
          <w:rStyle w:val="Emphasis"/>
        </w:rPr>
        <w:t>Estate Agents Act 1980</w:t>
      </w:r>
    </w:p>
    <w:p w14:paraId="5021C70D" w14:textId="77777777" w:rsidR="00941486" w:rsidRPr="00F72367" w:rsidRDefault="00941486" w:rsidP="00941486">
      <w:pPr>
        <w:pStyle w:val="BodyARsmallspace"/>
      </w:pPr>
      <w:r w:rsidRPr="00F72367">
        <w:t>Danielle Anderson</w:t>
      </w:r>
    </w:p>
    <w:p w14:paraId="5021C70E" w14:textId="77777777" w:rsidR="00941486" w:rsidRPr="00F72367" w:rsidRDefault="00941486" w:rsidP="00561305">
      <w:pPr>
        <w:pStyle w:val="Heading5"/>
        <w:rPr>
          <w:rStyle w:val="Emphasis"/>
        </w:rPr>
      </w:pPr>
      <w:r w:rsidRPr="00F72367">
        <w:rPr>
          <w:rStyle w:val="Emphasis"/>
        </w:rPr>
        <w:t>Motor Car Traders Act 1986</w:t>
      </w:r>
    </w:p>
    <w:p w14:paraId="5021C70F" w14:textId="77777777" w:rsidR="00941486" w:rsidRPr="00F72367" w:rsidRDefault="00941486" w:rsidP="00941486">
      <w:pPr>
        <w:pStyle w:val="BodyARsmallspace"/>
      </w:pPr>
      <w:r w:rsidRPr="00F72367">
        <w:t>Siong Ha Yu</w:t>
      </w:r>
    </w:p>
    <w:p w14:paraId="5021C710" w14:textId="77777777" w:rsidR="00941486" w:rsidRPr="00F72367" w:rsidRDefault="00941486" w:rsidP="00E9076D">
      <w:pPr>
        <w:pStyle w:val="Heading4"/>
      </w:pPr>
      <w:r>
        <w:t>Administrative review – o</w:t>
      </w:r>
      <w:r w:rsidRPr="00F72367">
        <w:t>n behalf of the Motor Car Traders Claims Committee (MCTCC)</w:t>
      </w:r>
    </w:p>
    <w:p w14:paraId="5021C711" w14:textId="77777777" w:rsidR="00941486" w:rsidRPr="00F72367" w:rsidRDefault="00941486" w:rsidP="00561305">
      <w:pPr>
        <w:pStyle w:val="Heading5"/>
        <w:rPr>
          <w:rStyle w:val="Emphasis"/>
        </w:rPr>
      </w:pPr>
      <w:r w:rsidRPr="00F72367">
        <w:rPr>
          <w:rStyle w:val="Emphasis"/>
        </w:rPr>
        <w:t>Motor Car Traders Act 1986</w:t>
      </w:r>
    </w:p>
    <w:p w14:paraId="5021C712" w14:textId="77777777" w:rsidR="00941486" w:rsidRPr="00F72367" w:rsidRDefault="00941486" w:rsidP="00941486">
      <w:pPr>
        <w:pStyle w:val="BodyARsmallspace"/>
      </w:pPr>
      <w:r w:rsidRPr="00F72367">
        <w:t>David Crowe</w:t>
      </w:r>
    </w:p>
    <w:p w14:paraId="5021C713" w14:textId="77777777" w:rsidR="00941486" w:rsidRPr="00F72367" w:rsidRDefault="00941486" w:rsidP="00941486">
      <w:pPr>
        <w:pStyle w:val="BodyARsmallspace"/>
      </w:pPr>
      <w:r w:rsidRPr="00F72367">
        <w:t>Luke Higney</w:t>
      </w:r>
    </w:p>
    <w:p w14:paraId="5021C714" w14:textId="77777777" w:rsidR="00941486" w:rsidRPr="00F72367" w:rsidRDefault="00941486" w:rsidP="00941486">
      <w:pPr>
        <w:pStyle w:val="BodyARsmallspace"/>
      </w:pPr>
      <w:r w:rsidRPr="00F72367">
        <w:t>Kristina Barac</w:t>
      </w:r>
    </w:p>
    <w:p w14:paraId="5021C715" w14:textId="77777777" w:rsidR="00941486" w:rsidRPr="00F72367" w:rsidRDefault="00941486" w:rsidP="00E9076D">
      <w:pPr>
        <w:pStyle w:val="Heading4"/>
      </w:pPr>
      <w:r w:rsidRPr="00F72367">
        <w:t>Admin</w:t>
      </w:r>
      <w:r w:rsidR="00FD0461">
        <w:t>istrative r</w:t>
      </w:r>
      <w:r w:rsidRPr="00F72367">
        <w:t xml:space="preserve">eview – </w:t>
      </w:r>
      <w:r>
        <w:t xml:space="preserve">Victorian Property Fund (VPF) </w:t>
      </w:r>
      <w:r w:rsidRPr="00F72367">
        <w:t>on behalf of Secretary to the Department of Justice &amp; Regula</w:t>
      </w:r>
      <w:r>
        <w:t>tion</w:t>
      </w:r>
    </w:p>
    <w:p w14:paraId="5021C716" w14:textId="77777777" w:rsidR="00941486" w:rsidRPr="00F72367" w:rsidRDefault="00941486" w:rsidP="00561305">
      <w:pPr>
        <w:pStyle w:val="Heading5"/>
        <w:rPr>
          <w:rStyle w:val="Emphasis"/>
        </w:rPr>
      </w:pPr>
      <w:r w:rsidRPr="00F72367">
        <w:rPr>
          <w:rStyle w:val="Emphasis"/>
        </w:rPr>
        <w:t>Estate Agents Act 1980</w:t>
      </w:r>
    </w:p>
    <w:p w14:paraId="5021C717" w14:textId="77777777" w:rsidR="00941486" w:rsidRPr="00F72367" w:rsidRDefault="00941486" w:rsidP="00941486">
      <w:pPr>
        <w:pStyle w:val="BodyARsmallspace"/>
      </w:pPr>
      <w:r w:rsidRPr="00F72367">
        <w:t>Mr Asoka De Silva</w:t>
      </w:r>
    </w:p>
    <w:p w14:paraId="5021C718" w14:textId="77777777" w:rsidR="00941486" w:rsidRPr="00F72367" w:rsidRDefault="00941486" w:rsidP="00941486">
      <w:pPr>
        <w:pStyle w:val="BodyARsmallspace"/>
      </w:pPr>
      <w:r w:rsidRPr="00F72367">
        <w:t>Ms Rozanne De Silva</w:t>
      </w:r>
    </w:p>
    <w:p w14:paraId="5021C719" w14:textId="77777777" w:rsidR="00941486" w:rsidRPr="00F72367" w:rsidRDefault="00941486" w:rsidP="00711F83">
      <w:pPr>
        <w:pStyle w:val="Heading3"/>
      </w:pPr>
      <w:bookmarkStart w:id="17" w:name="_Toc432081460"/>
      <w:r>
        <w:t>Ongoing court m</w:t>
      </w:r>
      <w:r w:rsidRPr="00F72367">
        <w:t xml:space="preserve">atters </w:t>
      </w:r>
      <w:r w:rsidR="00FD0461">
        <w:br/>
      </w:r>
      <w:r w:rsidRPr="00F72367">
        <w:t>as at 30 June 2015</w:t>
      </w:r>
      <w:bookmarkEnd w:id="17"/>
    </w:p>
    <w:p w14:paraId="5021C71A" w14:textId="77777777" w:rsidR="00941486" w:rsidRPr="00F72367" w:rsidRDefault="00941486" w:rsidP="00E9076D">
      <w:pPr>
        <w:pStyle w:val="Heading4"/>
      </w:pPr>
      <w:r>
        <w:t>Criminal p</w:t>
      </w:r>
      <w:r w:rsidRPr="00F72367">
        <w:t>rosecution</w:t>
      </w:r>
    </w:p>
    <w:p w14:paraId="5021C71B" w14:textId="77777777" w:rsidR="00941486" w:rsidRPr="00F72367" w:rsidRDefault="00941486" w:rsidP="00561305">
      <w:pPr>
        <w:pStyle w:val="Heading5"/>
        <w:rPr>
          <w:rStyle w:val="Emphasis"/>
        </w:rPr>
      </w:pPr>
      <w:r w:rsidRPr="00F72367">
        <w:rPr>
          <w:rStyle w:val="Emphasis"/>
        </w:rPr>
        <w:t>Domestic Building Contracts Act 1995</w:t>
      </w:r>
    </w:p>
    <w:p w14:paraId="5021C71C" w14:textId="77777777" w:rsidR="00941486" w:rsidRPr="00F72367" w:rsidRDefault="00941486" w:rsidP="00941486">
      <w:pPr>
        <w:pStyle w:val="BodyARsmallspace"/>
      </w:pPr>
      <w:r w:rsidRPr="00F72367">
        <w:t>Daniel Wayne Auld</w:t>
      </w:r>
    </w:p>
    <w:p w14:paraId="5021C71D" w14:textId="77777777" w:rsidR="00941486" w:rsidRPr="00F72367" w:rsidRDefault="00941486" w:rsidP="00561305">
      <w:pPr>
        <w:pStyle w:val="Heading5"/>
        <w:rPr>
          <w:rStyle w:val="Emphasis"/>
        </w:rPr>
      </w:pPr>
      <w:r w:rsidRPr="00F72367">
        <w:rPr>
          <w:rStyle w:val="Emphasis"/>
        </w:rPr>
        <w:t>Motor Car Traders Act 1986</w:t>
      </w:r>
    </w:p>
    <w:p w14:paraId="5021C71E" w14:textId="77777777" w:rsidR="00941486" w:rsidRPr="00F72367" w:rsidRDefault="00941486" w:rsidP="00941486">
      <w:pPr>
        <w:pStyle w:val="BodyARsmallspace"/>
      </w:pPr>
      <w:r w:rsidRPr="00F72367">
        <w:t>Saleh Ibrahim</w:t>
      </w:r>
    </w:p>
    <w:p w14:paraId="5021C71F" w14:textId="77777777" w:rsidR="00941486" w:rsidRPr="00F72367" w:rsidRDefault="00941486" w:rsidP="00941486">
      <w:pPr>
        <w:pStyle w:val="BodyARsmallspace"/>
      </w:pPr>
      <w:r w:rsidRPr="00F72367">
        <w:t>Melbourne Prestige Cars Pty Ltd</w:t>
      </w:r>
    </w:p>
    <w:p w14:paraId="5021C720" w14:textId="77777777" w:rsidR="00941486" w:rsidRPr="00F72367" w:rsidRDefault="00941486" w:rsidP="00561305">
      <w:pPr>
        <w:pStyle w:val="Heading5"/>
        <w:rPr>
          <w:rStyle w:val="Emphasis"/>
        </w:rPr>
      </w:pPr>
      <w:r w:rsidRPr="00F72367">
        <w:rPr>
          <w:rStyle w:val="Emphasis"/>
        </w:rPr>
        <w:t>Estate Agents Act 1980</w:t>
      </w:r>
    </w:p>
    <w:p w14:paraId="5021C721" w14:textId="77777777" w:rsidR="00941486" w:rsidRPr="00F72367" w:rsidRDefault="00941486" w:rsidP="00941486">
      <w:pPr>
        <w:pStyle w:val="BodyARsmallspace"/>
      </w:pPr>
      <w:r w:rsidRPr="00F72367">
        <w:t>Anthony Vito Brancatella</w:t>
      </w:r>
    </w:p>
    <w:p w14:paraId="5021C722" w14:textId="77777777" w:rsidR="00941486" w:rsidRPr="00F72367" w:rsidRDefault="00941486" w:rsidP="00E9076D">
      <w:pPr>
        <w:pStyle w:val="Heading4"/>
      </w:pPr>
      <w:r>
        <w:t xml:space="preserve">Civil proceedings </w:t>
      </w:r>
      <w:r w:rsidR="00FD0461">
        <w:br/>
      </w:r>
      <w:r>
        <w:t>(including disciplinary i</w:t>
      </w:r>
      <w:r w:rsidRPr="00F72367">
        <w:t>nquiry)</w:t>
      </w:r>
    </w:p>
    <w:p w14:paraId="5021C723" w14:textId="77777777" w:rsidR="00941486" w:rsidRPr="00F72367" w:rsidRDefault="00941486" w:rsidP="00561305">
      <w:pPr>
        <w:pStyle w:val="Heading5"/>
        <w:rPr>
          <w:rStyle w:val="Emphasis"/>
        </w:rPr>
      </w:pPr>
      <w:r w:rsidRPr="00F72367">
        <w:rPr>
          <w:rStyle w:val="Emphasis"/>
        </w:rPr>
        <w:t>Estate Agents Act 1980</w:t>
      </w:r>
    </w:p>
    <w:p w14:paraId="5021C724" w14:textId="77777777" w:rsidR="00941486" w:rsidRPr="00F72367" w:rsidRDefault="00941486" w:rsidP="00941486">
      <w:pPr>
        <w:pStyle w:val="BodyARsmallspace"/>
      </w:pPr>
      <w:r w:rsidRPr="00F72367">
        <w:t>Benjamin David Chislett</w:t>
      </w:r>
    </w:p>
    <w:p w14:paraId="5021C725" w14:textId="77777777" w:rsidR="00941486" w:rsidRPr="00F72367" w:rsidRDefault="00941486" w:rsidP="00941486">
      <w:pPr>
        <w:pStyle w:val="BodyARsmallspace"/>
      </w:pPr>
      <w:r w:rsidRPr="00F72367">
        <w:t>Benny Bull Pty Ltd</w:t>
      </w:r>
    </w:p>
    <w:p w14:paraId="5021C726" w14:textId="77777777" w:rsidR="00941486" w:rsidRPr="00F72367" w:rsidRDefault="00941486" w:rsidP="00941486">
      <w:pPr>
        <w:pStyle w:val="BodyARsmallspace"/>
      </w:pPr>
      <w:r w:rsidRPr="00F72367">
        <w:t>Creative Property Australia Pty Ltd</w:t>
      </w:r>
    </w:p>
    <w:p w14:paraId="5021C727" w14:textId="77777777" w:rsidR="00941486" w:rsidRPr="00F72367" w:rsidRDefault="00941486" w:rsidP="00941486">
      <w:pPr>
        <w:pStyle w:val="BodyARsmallspace"/>
      </w:pPr>
      <w:r w:rsidRPr="00F72367">
        <w:t>Scott Hoare</w:t>
      </w:r>
    </w:p>
    <w:p w14:paraId="5021C728" w14:textId="77777777" w:rsidR="00941486" w:rsidRPr="00F72367" w:rsidRDefault="00941486" w:rsidP="00941486">
      <w:pPr>
        <w:pStyle w:val="BodyARsmallspace"/>
      </w:pPr>
      <w:r w:rsidRPr="00F72367">
        <w:t>Aaron James McDonald</w:t>
      </w:r>
    </w:p>
    <w:p w14:paraId="5021C729" w14:textId="77777777" w:rsidR="00941486" w:rsidRPr="00F72367" w:rsidRDefault="00941486" w:rsidP="00941486">
      <w:pPr>
        <w:pStyle w:val="BodyARsmallspace"/>
      </w:pPr>
      <w:r w:rsidRPr="00F72367">
        <w:t>Michael Knight</w:t>
      </w:r>
    </w:p>
    <w:p w14:paraId="5021C72A" w14:textId="77777777" w:rsidR="00941486" w:rsidRPr="00F72367" w:rsidRDefault="00941486" w:rsidP="00941486">
      <w:pPr>
        <w:pStyle w:val="BodyARsmallspace"/>
      </w:pPr>
      <w:r w:rsidRPr="00F72367">
        <w:t>Century 21 Australia Pty Ltd</w:t>
      </w:r>
    </w:p>
    <w:p w14:paraId="5021C72B" w14:textId="77777777" w:rsidR="00941486" w:rsidRPr="00F72367" w:rsidRDefault="00941486" w:rsidP="00941486">
      <w:pPr>
        <w:pStyle w:val="BodyARsmallspace"/>
      </w:pPr>
      <w:r w:rsidRPr="00F72367">
        <w:lastRenderedPageBreak/>
        <w:t>George Fakhri</w:t>
      </w:r>
    </w:p>
    <w:p w14:paraId="5021C72C" w14:textId="77777777" w:rsidR="00941486" w:rsidRPr="00F72367" w:rsidRDefault="00941486" w:rsidP="00941486">
      <w:pPr>
        <w:pStyle w:val="BodyARsmallspace"/>
      </w:pPr>
      <w:r w:rsidRPr="00F72367">
        <w:t>Clynton Mark Roberts</w:t>
      </w:r>
    </w:p>
    <w:p w14:paraId="5021C72D" w14:textId="77777777" w:rsidR="00941486" w:rsidRPr="00F72367" w:rsidRDefault="00941486" w:rsidP="00941486">
      <w:pPr>
        <w:pStyle w:val="BodyARsmallspace"/>
      </w:pPr>
      <w:r w:rsidRPr="00F72367">
        <w:t>Frank Valentic</w:t>
      </w:r>
    </w:p>
    <w:p w14:paraId="5021C72E" w14:textId="77777777" w:rsidR="00941486" w:rsidRPr="00F72367" w:rsidRDefault="00941486" w:rsidP="00941486">
      <w:pPr>
        <w:pStyle w:val="BodyARsmallspace"/>
      </w:pPr>
      <w:r w:rsidRPr="00F72367">
        <w:t>Advantage Property Consulting Pty Ltd</w:t>
      </w:r>
    </w:p>
    <w:p w14:paraId="5021C72F" w14:textId="77777777" w:rsidR="00941486" w:rsidRPr="004D6631" w:rsidRDefault="00941486" w:rsidP="00561305">
      <w:pPr>
        <w:pStyle w:val="Heading5"/>
      </w:pPr>
      <w:r w:rsidRPr="004D6631">
        <w:t>Australian Consumer Law (Victoria)</w:t>
      </w:r>
    </w:p>
    <w:p w14:paraId="5021C730" w14:textId="77777777" w:rsidR="00941486" w:rsidRPr="00F72367" w:rsidRDefault="00941486" w:rsidP="00941486">
      <w:pPr>
        <w:pStyle w:val="BodyARsmallspace"/>
      </w:pPr>
      <w:r w:rsidRPr="00F72367">
        <w:t>Tom Bull</w:t>
      </w:r>
    </w:p>
    <w:p w14:paraId="5021C731" w14:textId="77777777" w:rsidR="00941486" w:rsidRPr="00F72367" w:rsidRDefault="00941486" w:rsidP="00941486">
      <w:pPr>
        <w:pStyle w:val="BodyARsmallspace"/>
      </w:pPr>
      <w:r w:rsidRPr="00F72367">
        <w:t>BigAussie Deals Pty Ltd</w:t>
      </w:r>
    </w:p>
    <w:p w14:paraId="5021C732" w14:textId="77777777" w:rsidR="00941486" w:rsidRPr="00F72367" w:rsidRDefault="00941486" w:rsidP="00941486">
      <w:pPr>
        <w:pStyle w:val="BodyARsmallspace"/>
      </w:pPr>
      <w:r w:rsidRPr="00F72367">
        <w:t>Steven Petkovski</w:t>
      </w:r>
    </w:p>
    <w:p w14:paraId="5021C733" w14:textId="77777777" w:rsidR="00941486" w:rsidRPr="00F72367" w:rsidRDefault="00941486" w:rsidP="00941486">
      <w:pPr>
        <w:pStyle w:val="BodyARsmallspace"/>
      </w:pPr>
      <w:r w:rsidRPr="00F72367">
        <w:t>Belle Gibson Pty Ltd (enforcement of statutory notice)</w:t>
      </w:r>
    </w:p>
    <w:p w14:paraId="5021C734" w14:textId="77777777" w:rsidR="00941486" w:rsidRPr="00F72367" w:rsidRDefault="00941486" w:rsidP="00941486">
      <w:pPr>
        <w:pStyle w:val="BodyARsmallspace"/>
      </w:pPr>
      <w:r w:rsidRPr="00F72367">
        <w:t>Nightingale Electrics Pty Ltd</w:t>
      </w:r>
    </w:p>
    <w:p w14:paraId="5021C735" w14:textId="77777777" w:rsidR="00941486" w:rsidRPr="00F72367" w:rsidRDefault="00941486" w:rsidP="00941486">
      <w:pPr>
        <w:pStyle w:val="BodyARsmallspace"/>
      </w:pPr>
      <w:r w:rsidRPr="00F72367">
        <w:t>George Anderson</w:t>
      </w:r>
    </w:p>
    <w:p w14:paraId="5021C736" w14:textId="77777777" w:rsidR="00941486" w:rsidRPr="00F72367" w:rsidRDefault="00941486" w:rsidP="00941486">
      <w:pPr>
        <w:pStyle w:val="BodyARsmallspace"/>
      </w:pPr>
      <w:r w:rsidRPr="00F72367">
        <w:t>Marlo Woods (Australia) Pty Ltd</w:t>
      </w:r>
    </w:p>
    <w:p w14:paraId="5021C737" w14:textId="77777777" w:rsidR="00941486" w:rsidRPr="00F72367" w:rsidRDefault="00941486" w:rsidP="00941486">
      <w:pPr>
        <w:pStyle w:val="BodyARsmallspace"/>
      </w:pPr>
      <w:r w:rsidRPr="00F72367">
        <w:t>Domain Register Pty Ltd</w:t>
      </w:r>
    </w:p>
    <w:p w14:paraId="5021C738" w14:textId="77777777" w:rsidR="00941486" w:rsidRPr="00F72367" w:rsidRDefault="00941486" w:rsidP="00941486">
      <w:pPr>
        <w:pStyle w:val="BodyARsmallspace"/>
      </w:pPr>
      <w:r w:rsidRPr="00F72367">
        <w:t>The Good Guys Discount Warehouse (Australia) Pty Ltd</w:t>
      </w:r>
    </w:p>
    <w:p w14:paraId="5021C739" w14:textId="77777777" w:rsidR="00941486" w:rsidRPr="00F72367" w:rsidRDefault="00941486" w:rsidP="00941486">
      <w:pPr>
        <w:pStyle w:val="BodyARsmallspace"/>
      </w:pPr>
      <w:r w:rsidRPr="00F72367">
        <w:t>Parke Muirs Pty Ltd</w:t>
      </w:r>
    </w:p>
    <w:p w14:paraId="5021C73A" w14:textId="77777777" w:rsidR="00941486" w:rsidRPr="00F72367" w:rsidRDefault="00941486" w:rsidP="00941486">
      <w:pPr>
        <w:pStyle w:val="BodyARsmallspace"/>
      </w:pPr>
      <w:r w:rsidRPr="00F72367">
        <w:t>Alpha Flight Services Pty Ltd (appeal)</w:t>
      </w:r>
    </w:p>
    <w:p w14:paraId="5021C73B" w14:textId="77777777" w:rsidR="00941486" w:rsidRPr="00F72367" w:rsidRDefault="00941486" w:rsidP="00941486">
      <w:pPr>
        <w:pStyle w:val="BodyARsmallspace"/>
      </w:pPr>
      <w:r w:rsidRPr="00F72367">
        <w:t>Qantas Airways Limited (appeal)</w:t>
      </w:r>
    </w:p>
    <w:p w14:paraId="5021C73C" w14:textId="77777777" w:rsidR="00941486" w:rsidRPr="00F72367" w:rsidRDefault="00941486" w:rsidP="00561305">
      <w:pPr>
        <w:pStyle w:val="Heading5"/>
        <w:rPr>
          <w:rStyle w:val="Emphasis"/>
        </w:rPr>
      </w:pPr>
      <w:r w:rsidRPr="00F72367">
        <w:rPr>
          <w:rStyle w:val="Emphasis"/>
        </w:rPr>
        <w:t>Conveyancers Act 2006</w:t>
      </w:r>
    </w:p>
    <w:p w14:paraId="5021C73D" w14:textId="77777777" w:rsidR="00941486" w:rsidRPr="00F72367" w:rsidRDefault="00941486" w:rsidP="00941486">
      <w:pPr>
        <w:pStyle w:val="BodyARsmallspace"/>
      </w:pPr>
      <w:r w:rsidRPr="00F72367">
        <w:t>Bluebell Conveyancing Australia Pty Ltd</w:t>
      </w:r>
    </w:p>
    <w:p w14:paraId="5021C73E" w14:textId="77777777" w:rsidR="00941486" w:rsidRPr="00F72367" w:rsidRDefault="00941486" w:rsidP="00941486">
      <w:pPr>
        <w:pStyle w:val="BodyARsmallspace"/>
      </w:pPr>
      <w:r w:rsidRPr="00F72367">
        <w:t>Anthony Lee</w:t>
      </w:r>
    </w:p>
    <w:p w14:paraId="5021C73F" w14:textId="77777777" w:rsidR="00941486" w:rsidRPr="00F72367" w:rsidRDefault="00941486" w:rsidP="00941486">
      <w:pPr>
        <w:pStyle w:val="BodyARsmallspace"/>
      </w:pPr>
      <w:r w:rsidRPr="00F72367">
        <w:t>Mandeep Johal</w:t>
      </w:r>
    </w:p>
    <w:p w14:paraId="5021C740" w14:textId="77777777" w:rsidR="00941486" w:rsidRPr="00F72367" w:rsidRDefault="00941486" w:rsidP="00561305">
      <w:pPr>
        <w:pStyle w:val="Heading5"/>
        <w:rPr>
          <w:rStyle w:val="Emphasis"/>
        </w:rPr>
      </w:pPr>
      <w:r w:rsidRPr="00F72367">
        <w:rPr>
          <w:rStyle w:val="Emphasis"/>
        </w:rPr>
        <w:t>Motor Car Traders Act 1986</w:t>
      </w:r>
    </w:p>
    <w:p w14:paraId="5021C741" w14:textId="77777777" w:rsidR="00941486" w:rsidRPr="00F72367" w:rsidRDefault="00941486" w:rsidP="00941486">
      <w:pPr>
        <w:pStyle w:val="BodyARsmallspace"/>
      </w:pPr>
      <w:r w:rsidRPr="00F72367">
        <w:t>Yuze Cao</w:t>
      </w:r>
    </w:p>
    <w:p w14:paraId="5021C742" w14:textId="77777777" w:rsidR="00941486" w:rsidRPr="00F72367" w:rsidRDefault="00941486" w:rsidP="00941486">
      <w:pPr>
        <w:pStyle w:val="BodyARsmallspace"/>
      </w:pPr>
      <w:r w:rsidRPr="00F72367">
        <w:t>AusCarClub Pty Ltd</w:t>
      </w:r>
    </w:p>
    <w:p w14:paraId="5021C743" w14:textId="77777777" w:rsidR="00941486" w:rsidRPr="00F72367" w:rsidRDefault="00941486" w:rsidP="00561305">
      <w:pPr>
        <w:pStyle w:val="Heading5"/>
        <w:rPr>
          <w:rStyle w:val="Emphasis"/>
        </w:rPr>
      </w:pPr>
      <w:r w:rsidRPr="00F72367">
        <w:rPr>
          <w:rStyle w:val="Emphasis"/>
        </w:rPr>
        <w:t>Sex Work Act 1994</w:t>
      </w:r>
    </w:p>
    <w:p w14:paraId="5021C744" w14:textId="77777777" w:rsidR="00941486" w:rsidRPr="00F72367" w:rsidRDefault="00941486" w:rsidP="00941486">
      <w:pPr>
        <w:pStyle w:val="BodyARsmallspace"/>
      </w:pPr>
      <w:r>
        <w:t>Xian Yang Meng</w:t>
      </w:r>
    </w:p>
    <w:p w14:paraId="5021C745" w14:textId="77777777" w:rsidR="00941486" w:rsidRPr="00F72367" w:rsidRDefault="00941486" w:rsidP="00941486">
      <w:pPr>
        <w:pStyle w:val="BodyARsmallspace"/>
      </w:pPr>
      <w:r w:rsidRPr="00F72367">
        <w:t>Jian Qing Xu</w:t>
      </w:r>
    </w:p>
    <w:p w14:paraId="5021C746" w14:textId="77777777" w:rsidR="00941486" w:rsidRPr="00F72367" w:rsidRDefault="00941486" w:rsidP="00941486">
      <w:pPr>
        <w:pStyle w:val="BodyARsmallspace"/>
      </w:pPr>
      <w:r w:rsidRPr="00F72367">
        <w:t>Lynette Farrar</w:t>
      </w:r>
    </w:p>
    <w:p w14:paraId="5021C747" w14:textId="77777777" w:rsidR="00941486" w:rsidRPr="00F72367" w:rsidRDefault="00941486" w:rsidP="00941486">
      <w:pPr>
        <w:pStyle w:val="BodyARsmallspace"/>
      </w:pPr>
      <w:r w:rsidRPr="00F72367">
        <w:t>Zhao Pan</w:t>
      </w:r>
    </w:p>
    <w:p w14:paraId="5021C748" w14:textId="77777777" w:rsidR="00941486" w:rsidRPr="00F72367" w:rsidRDefault="00941486" w:rsidP="00941486">
      <w:pPr>
        <w:pStyle w:val="BodyARsmallspace"/>
      </w:pPr>
      <w:r w:rsidRPr="00F72367">
        <w:t>Josef Rutten</w:t>
      </w:r>
    </w:p>
    <w:p w14:paraId="5021C749" w14:textId="77777777" w:rsidR="00941486" w:rsidRPr="00F72367" w:rsidRDefault="00941486" w:rsidP="00941486">
      <w:pPr>
        <w:pStyle w:val="BodyARsmallspace"/>
      </w:pPr>
      <w:r w:rsidRPr="00F72367">
        <w:t>Joe Paul Molinari</w:t>
      </w:r>
    </w:p>
    <w:p w14:paraId="5021C74A" w14:textId="77777777" w:rsidR="00941486" w:rsidRPr="00F72367" w:rsidRDefault="00941486" w:rsidP="00941486">
      <w:pPr>
        <w:pStyle w:val="BodyARsmallspace"/>
      </w:pPr>
      <w:r w:rsidRPr="00F72367">
        <w:t>Lin Gao</w:t>
      </w:r>
    </w:p>
    <w:p w14:paraId="5021C74B" w14:textId="77777777" w:rsidR="00941486" w:rsidRPr="00F72367" w:rsidRDefault="00941486" w:rsidP="00561305">
      <w:pPr>
        <w:pStyle w:val="Heading5"/>
        <w:rPr>
          <w:rStyle w:val="Emphasis"/>
        </w:rPr>
      </w:pPr>
      <w:r w:rsidRPr="00F72367">
        <w:rPr>
          <w:rStyle w:val="Emphasis"/>
        </w:rPr>
        <w:t>Fire Services Levy Monitor (Director of Consumer Affairs is the legal successor)</w:t>
      </w:r>
    </w:p>
    <w:p w14:paraId="5021C74C" w14:textId="77777777" w:rsidR="00941486" w:rsidRPr="00F72367" w:rsidRDefault="00941486" w:rsidP="00941486">
      <w:pPr>
        <w:pStyle w:val="BodyARsmallspace"/>
      </w:pPr>
      <w:r w:rsidRPr="00F72367">
        <w:t>Mecon Insurance Pty Ltd</w:t>
      </w:r>
    </w:p>
    <w:p w14:paraId="5021C74D" w14:textId="77777777" w:rsidR="00941486" w:rsidRPr="00F72367" w:rsidRDefault="00941486" w:rsidP="00941486">
      <w:pPr>
        <w:pStyle w:val="BodyARsmallspace"/>
      </w:pPr>
      <w:r w:rsidRPr="00F72367">
        <w:t>Mechanical and Construction Insurance Pty Ltd</w:t>
      </w:r>
    </w:p>
    <w:p w14:paraId="5021C74E" w14:textId="77777777" w:rsidR="00941486" w:rsidRPr="00F72367" w:rsidRDefault="00FD0461" w:rsidP="00E9076D">
      <w:pPr>
        <w:pStyle w:val="Heading4"/>
      </w:pPr>
      <w:r>
        <w:t>Administrative r</w:t>
      </w:r>
      <w:r w:rsidR="00941486">
        <w:t xml:space="preserve">eview </w:t>
      </w:r>
      <w:r>
        <w:br/>
      </w:r>
      <w:r w:rsidR="00941486">
        <w:t>– o</w:t>
      </w:r>
      <w:r w:rsidR="00941486" w:rsidRPr="00F72367">
        <w:t xml:space="preserve">n behalf of </w:t>
      </w:r>
      <w:r w:rsidR="00941486">
        <w:t xml:space="preserve">the </w:t>
      </w:r>
      <w:r w:rsidR="00941486" w:rsidRPr="00F72367">
        <w:t>BLA</w:t>
      </w:r>
    </w:p>
    <w:p w14:paraId="5021C74F" w14:textId="77777777" w:rsidR="00941486" w:rsidRPr="00F72367" w:rsidRDefault="00941486" w:rsidP="00561305">
      <w:pPr>
        <w:pStyle w:val="Heading5"/>
        <w:rPr>
          <w:rStyle w:val="Emphasis"/>
        </w:rPr>
      </w:pPr>
      <w:r w:rsidRPr="00F72367">
        <w:rPr>
          <w:rStyle w:val="Emphasis"/>
        </w:rPr>
        <w:t>Estate Agents Act 1980</w:t>
      </w:r>
    </w:p>
    <w:p w14:paraId="5021C750" w14:textId="77777777" w:rsidR="00941486" w:rsidRPr="00F72367" w:rsidRDefault="00941486" w:rsidP="00941486">
      <w:pPr>
        <w:pStyle w:val="BodyARsmallspace"/>
      </w:pPr>
      <w:r w:rsidRPr="00F72367">
        <w:t>Gregory Flessas</w:t>
      </w:r>
    </w:p>
    <w:p w14:paraId="5021C751" w14:textId="77777777" w:rsidR="00941486" w:rsidRPr="00F72367" w:rsidRDefault="00941486" w:rsidP="00941486">
      <w:pPr>
        <w:pStyle w:val="BodyARsmallspace"/>
      </w:pPr>
      <w:r w:rsidRPr="00F72367">
        <w:t>Scott Darragh</w:t>
      </w:r>
    </w:p>
    <w:p w14:paraId="5021C752" w14:textId="77777777" w:rsidR="00941486" w:rsidRPr="00F72367" w:rsidRDefault="00941486" w:rsidP="00941486">
      <w:pPr>
        <w:pStyle w:val="BodyARsmallspace"/>
      </w:pPr>
      <w:r w:rsidRPr="00F72367">
        <w:t>Daniel Taylor</w:t>
      </w:r>
    </w:p>
    <w:p w14:paraId="5021C753" w14:textId="77777777" w:rsidR="00941486" w:rsidRPr="00F72367" w:rsidRDefault="00941486" w:rsidP="00941486">
      <w:pPr>
        <w:pStyle w:val="BodyARsmallspace"/>
      </w:pPr>
      <w:r w:rsidRPr="00F72367">
        <w:t>Zole Elali</w:t>
      </w:r>
    </w:p>
    <w:p w14:paraId="5021C754" w14:textId="77777777" w:rsidR="00941486" w:rsidRPr="00F72367" w:rsidRDefault="00941486" w:rsidP="00561305">
      <w:pPr>
        <w:pStyle w:val="Heading5"/>
        <w:rPr>
          <w:rStyle w:val="Emphasis"/>
        </w:rPr>
      </w:pPr>
      <w:r w:rsidRPr="00F72367">
        <w:rPr>
          <w:rStyle w:val="Emphasis"/>
        </w:rPr>
        <w:t>Motor Car Traders Act 1986</w:t>
      </w:r>
    </w:p>
    <w:p w14:paraId="5021C755" w14:textId="77777777" w:rsidR="00941486" w:rsidRPr="00F72367" w:rsidRDefault="00941486" w:rsidP="00941486">
      <w:pPr>
        <w:pStyle w:val="BodyARsmallspace"/>
      </w:pPr>
      <w:r w:rsidRPr="00F72367">
        <w:t>Beniamin Bratoiu</w:t>
      </w:r>
    </w:p>
    <w:p w14:paraId="5021C756" w14:textId="77777777" w:rsidR="00941486" w:rsidRPr="00F72367" w:rsidRDefault="00941486" w:rsidP="00941486">
      <w:pPr>
        <w:pStyle w:val="BodyARsmallspace"/>
      </w:pPr>
      <w:r w:rsidRPr="00F72367">
        <w:t>Antonio Lekkas</w:t>
      </w:r>
    </w:p>
    <w:p w14:paraId="5021C757" w14:textId="77777777" w:rsidR="00941486" w:rsidRPr="00F72367" w:rsidRDefault="00941486" w:rsidP="00E9076D">
      <w:pPr>
        <w:pStyle w:val="Heading4"/>
      </w:pPr>
      <w:r w:rsidRPr="00F72367">
        <w:t>Administrative review – on behalf of Secretary to the Department of Justice &amp; Regulation and Director of Consumer Affairs Victoria</w:t>
      </w:r>
    </w:p>
    <w:p w14:paraId="5021C758" w14:textId="77777777" w:rsidR="00941486" w:rsidRPr="00F72367" w:rsidRDefault="00941486" w:rsidP="00561305">
      <w:pPr>
        <w:pStyle w:val="Heading5"/>
        <w:rPr>
          <w:rStyle w:val="Emphasis"/>
        </w:rPr>
      </w:pPr>
      <w:r w:rsidRPr="00F72367">
        <w:rPr>
          <w:rStyle w:val="Emphasis"/>
        </w:rPr>
        <w:t>Estate Agents Act 1980</w:t>
      </w:r>
    </w:p>
    <w:p w14:paraId="5021C759" w14:textId="77777777" w:rsidR="00941486" w:rsidRPr="00F72367" w:rsidRDefault="00941486" w:rsidP="00941486">
      <w:pPr>
        <w:pStyle w:val="BodyARsmallspace"/>
      </w:pPr>
      <w:r w:rsidRPr="00F72367">
        <w:t>Julie Truong</w:t>
      </w:r>
    </w:p>
    <w:p w14:paraId="5021C75A" w14:textId="77777777" w:rsidR="00941486" w:rsidRPr="00F72367" w:rsidRDefault="00941486" w:rsidP="00561305">
      <w:pPr>
        <w:pStyle w:val="Heading5"/>
        <w:rPr>
          <w:rStyle w:val="Emphasis"/>
        </w:rPr>
      </w:pPr>
      <w:r w:rsidRPr="00F72367">
        <w:rPr>
          <w:rStyle w:val="Emphasis"/>
        </w:rPr>
        <w:t>Fundraising Act 1998</w:t>
      </w:r>
    </w:p>
    <w:p w14:paraId="5021C75B" w14:textId="77777777" w:rsidR="00941486" w:rsidRPr="00F72367" w:rsidRDefault="00941486" w:rsidP="00941486">
      <w:pPr>
        <w:pStyle w:val="BodyARsmallspace"/>
      </w:pPr>
      <w:r w:rsidRPr="00F72367">
        <w:t>AFG Group Pty Ltd</w:t>
      </w:r>
    </w:p>
    <w:p w14:paraId="5021C75C" w14:textId="77777777" w:rsidR="00941486" w:rsidRDefault="00941486" w:rsidP="004063AE">
      <w:pPr>
        <w:pStyle w:val="Heading2"/>
        <w:sectPr w:rsidR="00941486" w:rsidSect="00B163D5">
          <w:type w:val="continuous"/>
          <w:pgSz w:w="11906" w:h="16838" w:code="9"/>
          <w:pgMar w:top="1134" w:right="1134" w:bottom="1134" w:left="1134" w:header="454" w:footer="510" w:gutter="0"/>
          <w:cols w:num="2" w:space="454"/>
          <w:docGrid w:linePitch="360"/>
        </w:sectPr>
      </w:pPr>
    </w:p>
    <w:p w14:paraId="5021C75D" w14:textId="77777777" w:rsidR="00941486" w:rsidRPr="00F72367" w:rsidRDefault="00941486" w:rsidP="004063AE">
      <w:pPr>
        <w:pStyle w:val="Heading2"/>
      </w:pPr>
      <w:bookmarkStart w:id="18" w:name="_Toc432081461"/>
      <w:r>
        <w:lastRenderedPageBreak/>
        <w:t>3</w:t>
      </w:r>
      <w:r>
        <w:tab/>
      </w:r>
      <w:r w:rsidRPr="00F72367">
        <w:t>Victorians exercise their consumer rights</w:t>
      </w:r>
      <w:bookmarkEnd w:id="18"/>
    </w:p>
    <w:p w14:paraId="5021C75E" w14:textId="77777777" w:rsidR="00941486" w:rsidRPr="00F72367" w:rsidRDefault="00941486" w:rsidP="00941486">
      <w:pPr>
        <w:pStyle w:val="BodyAR"/>
        <w:rPr>
          <w:lang w:eastAsia="en-US"/>
        </w:rPr>
      </w:pPr>
      <w:r w:rsidRPr="00F72367">
        <w:rPr>
          <w:lang w:eastAsia="en-US"/>
        </w:rPr>
        <w:t>We empower Victorians to exercise their consumer rights by providing them with information and support. We continue to work with partner organisations to improve the information we provide, and to target groups who have specialised information needs.</w:t>
      </w:r>
    </w:p>
    <w:p w14:paraId="5021C75F" w14:textId="77777777" w:rsidR="00941486" w:rsidRPr="00F72367" w:rsidRDefault="00941486" w:rsidP="00941486">
      <w:pPr>
        <w:pStyle w:val="BodyAR"/>
        <w:rPr>
          <w:lang w:eastAsia="en-US"/>
        </w:rPr>
      </w:pPr>
      <w:r w:rsidRPr="00F72367">
        <w:rPr>
          <w:lang w:eastAsia="en-US"/>
        </w:rPr>
        <w:t>The details provided below relate to the information and advice we provide to all Victorians, including con</w:t>
      </w:r>
      <w:r w:rsidR="00AA41FB">
        <w:rPr>
          <w:lang w:eastAsia="en-US"/>
        </w:rPr>
        <w:t>sumers, tenants and businesses.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1948"/>
        <w:gridCol w:w="1948"/>
        <w:gridCol w:w="1948"/>
      </w:tblGrid>
      <w:tr w:rsidR="00941486" w:rsidRPr="00F72367" w14:paraId="5021C764" w14:textId="77777777" w:rsidTr="007F198F">
        <w:trPr>
          <w:tblHeader/>
        </w:trPr>
        <w:tc>
          <w:tcPr>
            <w:tcW w:w="3795" w:type="dxa"/>
            <w:shd w:val="clear" w:color="auto" w:fill="595959"/>
          </w:tcPr>
          <w:p w14:paraId="5021C760" w14:textId="77777777" w:rsidR="00941486" w:rsidRPr="00F72367" w:rsidRDefault="00941486" w:rsidP="00941486">
            <w:pPr>
              <w:pStyle w:val="TableTextAR"/>
            </w:pPr>
          </w:p>
        </w:tc>
        <w:tc>
          <w:tcPr>
            <w:tcW w:w="1948" w:type="dxa"/>
            <w:shd w:val="clear" w:color="auto" w:fill="595959"/>
          </w:tcPr>
          <w:p w14:paraId="5021C761" w14:textId="77777777" w:rsidR="00941486" w:rsidRPr="00793FB2" w:rsidRDefault="00941486" w:rsidP="00AA41FB">
            <w:pPr>
              <w:pStyle w:val="TableColumnHead"/>
              <w:jc w:val="right"/>
            </w:pPr>
            <w:r w:rsidRPr="00793FB2">
              <w:t>2012-13</w:t>
            </w:r>
          </w:p>
        </w:tc>
        <w:tc>
          <w:tcPr>
            <w:tcW w:w="1948" w:type="dxa"/>
            <w:shd w:val="clear" w:color="auto" w:fill="595959"/>
          </w:tcPr>
          <w:p w14:paraId="5021C762" w14:textId="77777777" w:rsidR="00941486" w:rsidRPr="00793FB2" w:rsidRDefault="00941486" w:rsidP="00AA41FB">
            <w:pPr>
              <w:pStyle w:val="TableColumnHead"/>
              <w:jc w:val="right"/>
            </w:pPr>
            <w:r w:rsidRPr="00793FB2">
              <w:t>2013-14</w:t>
            </w:r>
          </w:p>
        </w:tc>
        <w:tc>
          <w:tcPr>
            <w:tcW w:w="1948" w:type="dxa"/>
            <w:shd w:val="clear" w:color="auto" w:fill="595959"/>
          </w:tcPr>
          <w:p w14:paraId="5021C763" w14:textId="77777777" w:rsidR="00941486" w:rsidRPr="00793FB2" w:rsidRDefault="00941486" w:rsidP="00AA41FB">
            <w:pPr>
              <w:pStyle w:val="TableColumnHead"/>
              <w:jc w:val="right"/>
            </w:pPr>
            <w:r w:rsidRPr="00793FB2">
              <w:t>2014-15</w:t>
            </w:r>
          </w:p>
        </w:tc>
      </w:tr>
      <w:tr w:rsidR="00941486" w:rsidRPr="00F72367" w14:paraId="5021C766" w14:textId="77777777" w:rsidTr="007F198F">
        <w:tc>
          <w:tcPr>
            <w:tcW w:w="9639" w:type="dxa"/>
            <w:gridSpan w:val="4"/>
            <w:shd w:val="clear" w:color="auto" w:fill="FBD4B4"/>
          </w:tcPr>
          <w:p w14:paraId="5021C765" w14:textId="77777777" w:rsidR="00941486" w:rsidRPr="00CE3C1E" w:rsidRDefault="00941486" w:rsidP="00941486">
            <w:pPr>
              <w:pStyle w:val="TableTextAR"/>
              <w:rPr>
                <w:rStyle w:val="Strong"/>
              </w:rPr>
            </w:pPr>
            <w:r w:rsidRPr="00CE3C1E">
              <w:rPr>
                <w:rStyle w:val="Strong"/>
              </w:rPr>
              <w:t>Information and advice</w:t>
            </w:r>
          </w:p>
        </w:tc>
      </w:tr>
      <w:tr w:rsidR="00941486" w:rsidRPr="00F72367" w14:paraId="5021C76B" w14:textId="77777777" w:rsidTr="00941486">
        <w:tc>
          <w:tcPr>
            <w:tcW w:w="3795" w:type="dxa"/>
          </w:tcPr>
          <w:p w14:paraId="5021C767" w14:textId="77777777" w:rsidR="00941486" w:rsidRPr="00F72367" w:rsidRDefault="00941486" w:rsidP="00941486">
            <w:pPr>
              <w:pStyle w:val="TableTextAR"/>
            </w:pPr>
            <w:r w:rsidRPr="00F72367">
              <w:t>Calls answered</w:t>
            </w:r>
          </w:p>
        </w:tc>
        <w:tc>
          <w:tcPr>
            <w:tcW w:w="1948" w:type="dxa"/>
          </w:tcPr>
          <w:p w14:paraId="5021C768" w14:textId="77777777" w:rsidR="00941486" w:rsidRPr="00F72367" w:rsidRDefault="00941486" w:rsidP="00941486">
            <w:pPr>
              <w:pStyle w:val="TableTextAR"/>
              <w:jc w:val="right"/>
            </w:pPr>
            <w:r w:rsidRPr="00F72367">
              <w:t>409,936</w:t>
            </w:r>
          </w:p>
        </w:tc>
        <w:tc>
          <w:tcPr>
            <w:tcW w:w="1948" w:type="dxa"/>
          </w:tcPr>
          <w:p w14:paraId="5021C769" w14:textId="77777777" w:rsidR="00941486" w:rsidRPr="00F72367" w:rsidRDefault="00941486" w:rsidP="00941486">
            <w:pPr>
              <w:pStyle w:val="TableTextAR"/>
              <w:jc w:val="right"/>
            </w:pPr>
            <w:r w:rsidRPr="00F72367">
              <w:t>390,349</w:t>
            </w:r>
          </w:p>
        </w:tc>
        <w:tc>
          <w:tcPr>
            <w:tcW w:w="1948" w:type="dxa"/>
          </w:tcPr>
          <w:p w14:paraId="5021C76A" w14:textId="77777777" w:rsidR="00941486" w:rsidRPr="00F72367" w:rsidRDefault="00941486" w:rsidP="00941486">
            <w:pPr>
              <w:pStyle w:val="TableTextAR"/>
              <w:jc w:val="right"/>
            </w:pPr>
            <w:r w:rsidRPr="00F72367">
              <w:t>352,369</w:t>
            </w:r>
          </w:p>
        </w:tc>
      </w:tr>
      <w:tr w:rsidR="00941486" w:rsidRPr="00F72367" w14:paraId="5021C76D" w14:textId="77777777" w:rsidTr="007F198F">
        <w:tc>
          <w:tcPr>
            <w:tcW w:w="9639" w:type="dxa"/>
            <w:gridSpan w:val="4"/>
            <w:shd w:val="clear" w:color="auto" w:fill="FDE9D9"/>
          </w:tcPr>
          <w:p w14:paraId="5021C76C" w14:textId="77777777" w:rsidR="00941486" w:rsidRPr="00CE3C1E" w:rsidRDefault="00941486" w:rsidP="00941486">
            <w:pPr>
              <w:pStyle w:val="TableTextAR"/>
              <w:rPr>
                <w:rStyle w:val="Strong"/>
              </w:rPr>
            </w:pPr>
            <w:r w:rsidRPr="00CE3C1E">
              <w:rPr>
                <w:rStyle w:val="Strong"/>
              </w:rPr>
              <w:t>Advice provided to resolve disputes</w:t>
            </w:r>
          </w:p>
        </w:tc>
      </w:tr>
      <w:tr w:rsidR="00941486" w:rsidRPr="00F72367" w14:paraId="5021C772" w14:textId="77777777" w:rsidTr="00941486">
        <w:tc>
          <w:tcPr>
            <w:tcW w:w="3795" w:type="dxa"/>
          </w:tcPr>
          <w:p w14:paraId="5021C76E" w14:textId="77777777" w:rsidR="00941486" w:rsidRPr="00F72367" w:rsidRDefault="00FD0461" w:rsidP="00941486">
            <w:pPr>
              <w:pStyle w:val="TableTextAR"/>
              <w:rPr>
                <w:vertAlign w:val="superscript"/>
              </w:rPr>
            </w:pPr>
            <w:r>
              <w:t>Disputes finalised (1)</w:t>
            </w:r>
          </w:p>
        </w:tc>
        <w:tc>
          <w:tcPr>
            <w:tcW w:w="1948" w:type="dxa"/>
          </w:tcPr>
          <w:p w14:paraId="5021C76F" w14:textId="77777777" w:rsidR="00941486" w:rsidRPr="00F72367" w:rsidRDefault="00941486" w:rsidP="00941486">
            <w:pPr>
              <w:pStyle w:val="TableTextAR"/>
              <w:jc w:val="right"/>
            </w:pPr>
            <w:r w:rsidRPr="00F72367">
              <w:t>15,676</w:t>
            </w:r>
          </w:p>
        </w:tc>
        <w:tc>
          <w:tcPr>
            <w:tcW w:w="1948" w:type="dxa"/>
          </w:tcPr>
          <w:p w14:paraId="5021C770" w14:textId="77777777" w:rsidR="00941486" w:rsidRPr="00F72367" w:rsidRDefault="00941486" w:rsidP="00941486">
            <w:pPr>
              <w:pStyle w:val="TableTextAR"/>
              <w:jc w:val="right"/>
            </w:pPr>
            <w:r w:rsidRPr="00F72367">
              <w:t>13,358</w:t>
            </w:r>
          </w:p>
        </w:tc>
        <w:tc>
          <w:tcPr>
            <w:tcW w:w="1948" w:type="dxa"/>
          </w:tcPr>
          <w:p w14:paraId="5021C771" w14:textId="77777777" w:rsidR="00941486" w:rsidRPr="00F72367" w:rsidRDefault="00941486" w:rsidP="00941486">
            <w:pPr>
              <w:pStyle w:val="TableTextAR"/>
              <w:jc w:val="right"/>
            </w:pPr>
            <w:r w:rsidRPr="00F72367">
              <w:t>8,975</w:t>
            </w:r>
          </w:p>
        </w:tc>
      </w:tr>
      <w:tr w:rsidR="00941486" w:rsidRPr="00F72367" w14:paraId="5021C774" w14:textId="77777777" w:rsidTr="007F198F">
        <w:tc>
          <w:tcPr>
            <w:tcW w:w="9639" w:type="dxa"/>
            <w:gridSpan w:val="4"/>
            <w:shd w:val="clear" w:color="auto" w:fill="FDE9D9"/>
          </w:tcPr>
          <w:p w14:paraId="5021C773" w14:textId="77777777" w:rsidR="00941486" w:rsidRPr="00CE3C1E" w:rsidRDefault="00941486" w:rsidP="00941486">
            <w:pPr>
              <w:pStyle w:val="TableTextAR"/>
              <w:rPr>
                <w:rStyle w:val="Strong"/>
              </w:rPr>
            </w:pPr>
            <w:r w:rsidRPr="00CE3C1E">
              <w:rPr>
                <w:rStyle w:val="Strong"/>
              </w:rPr>
              <w:t>Digital</w:t>
            </w:r>
          </w:p>
        </w:tc>
      </w:tr>
      <w:tr w:rsidR="00941486" w:rsidRPr="00F72367" w14:paraId="5021C779" w14:textId="77777777" w:rsidTr="00941486">
        <w:tc>
          <w:tcPr>
            <w:tcW w:w="3795" w:type="dxa"/>
          </w:tcPr>
          <w:p w14:paraId="5021C775" w14:textId="77777777" w:rsidR="00941486" w:rsidRPr="00F72367" w:rsidRDefault="00941486" w:rsidP="00941486">
            <w:pPr>
              <w:pStyle w:val="TableTextAR"/>
            </w:pPr>
            <w:r w:rsidRPr="00F72367">
              <w:t>Website visits</w:t>
            </w:r>
          </w:p>
        </w:tc>
        <w:tc>
          <w:tcPr>
            <w:tcW w:w="1948" w:type="dxa"/>
          </w:tcPr>
          <w:p w14:paraId="5021C776" w14:textId="77777777" w:rsidR="00941486" w:rsidRPr="00F72367" w:rsidRDefault="00941486" w:rsidP="00941486">
            <w:pPr>
              <w:pStyle w:val="TableTextAR"/>
              <w:jc w:val="right"/>
            </w:pPr>
            <w:r w:rsidRPr="00F72367">
              <w:t>1,654,784</w:t>
            </w:r>
          </w:p>
        </w:tc>
        <w:tc>
          <w:tcPr>
            <w:tcW w:w="1948" w:type="dxa"/>
          </w:tcPr>
          <w:p w14:paraId="5021C777" w14:textId="77777777" w:rsidR="00941486" w:rsidRPr="00F72367" w:rsidRDefault="00941486" w:rsidP="00941486">
            <w:pPr>
              <w:pStyle w:val="TableTextAR"/>
              <w:jc w:val="right"/>
            </w:pPr>
            <w:r w:rsidRPr="00F72367">
              <w:t>2,372,794</w:t>
            </w:r>
          </w:p>
        </w:tc>
        <w:tc>
          <w:tcPr>
            <w:tcW w:w="1948" w:type="dxa"/>
          </w:tcPr>
          <w:p w14:paraId="5021C778" w14:textId="77777777" w:rsidR="00941486" w:rsidRPr="00F72367" w:rsidRDefault="00941486" w:rsidP="00941486">
            <w:pPr>
              <w:pStyle w:val="TableTextAR"/>
              <w:jc w:val="right"/>
            </w:pPr>
            <w:r w:rsidRPr="00F72367">
              <w:t>2,942,816</w:t>
            </w:r>
          </w:p>
        </w:tc>
      </w:tr>
      <w:tr w:rsidR="00941486" w:rsidRPr="00F72367" w14:paraId="5021C77E" w14:textId="77777777" w:rsidTr="00941486">
        <w:tc>
          <w:tcPr>
            <w:tcW w:w="3795" w:type="dxa"/>
          </w:tcPr>
          <w:p w14:paraId="5021C77A" w14:textId="77777777" w:rsidR="00941486" w:rsidRPr="00F72367" w:rsidRDefault="00941486" w:rsidP="00941486">
            <w:pPr>
              <w:pStyle w:val="TableTextAR"/>
            </w:pPr>
            <w:r w:rsidRPr="00F72367">
              <w:t>Le</w:t>
            </w:r>
            <w:r w:rsidR="00FD0461">
              <w:t>tters, email and online contacts (2)</w:t>
            </w:r>
          </w:p>
        </w:tc>
        <w:tc>
          <w:tcPr>
            <w:tcW w:w="1948" w:type="dxa"/>
          </w:tcPr>
          <w:p w14:paraId="5021C77B" w14:textId="77777777" w:rsidR="00941486" w:rsidRPr="00F72367" w:rsidRDefault="00941486" w:rsidP="00941486">
            <w:pPr>
              <w:pStyle w:val="TableTextAR"/>
              <w:jc w:val="right"/>
            </w:pPr>
            <w:r w:rsidRPr="00F72367">
              <w:t>31,042</w:t>
            </w:r>
          </w:p>
        </w:tc>
        <w:tc>
          <w:tcPr>
            <w:tcW w:w="1948" w:type="dxa"/>
          </w:tcPr>
          <w:p w14:paraId="5021C77C" w14:textId="77777777" w:rsidR="00941486" w:rsidRPr="00F72367" w:rsidRDefault="00941486" w:rsidP="00941486">
            <w:pPr>
              <w:pStyle w:val="TableTextAR"/>
              <w:jc w:val="right"/>
            </w:pPr>
            <w:r w:rsidRPr="00F72367">
              <w:t>58,041</w:t>
            </w:r>
          </w:p>
        </w:tc>
        <w:tc>
          <w:tcPr>
            <w:tcW w:w="1948" w:type="dxa"/>
          </w:tcPr>
          <w:p w14:paraId="5021C77D" w14:textId="77777777" w:rsidR="00941486" w:rsidRPr="00F72367" w:rsidRDefault="00941486" w:rsidP="00941486">
            <w:pPr>
              <w:pStyle w:val="TableTextAR"/>
              <w:jc w:val="right"/>
            </w:pPr>
            <w:r w:rsidRPr="00F72367">
              <w:t>59,432</w:t>
            </w:r>
          </w:p>
        </w:tc>
      </w:tr>
      <w:tr w:rsidR="00941486" w:rsidRPr="00F72367" w14:paraId="5021C783" w14:textId="77777777" w:rsidTr="00941486">
        <w:tc>
          <w:tcPr>
            <w:tcW w:w="3795" w:type="dxa"/>
          </w:tcPr>
          <w:p w14:paraId="5021C77F" w14:textId="77777777" w:rsidR="00941486" w:rsidRPr="00F72367" w:rsidRDefault="00941486" w:rsidP="00941486">
            <w:pPr>
              <w:pStyle w:val="TableTextAR"/>
            </w:pPr>
            <w:r w:rsidRPr="00F72367">
              <w:t>Twitter followers</w:t>
            </w:r>
          </w:p>
        </w:tc>
        <w:tc>
          <w:tcPr>
            <w:tcW w:w="1948" w:type="dxa"/>
          </w:tcPr>
          <w:p w14:paraId="5021C780" w14:textId="77777777" w:rsidR="00941486" w:rsidRPr="00F72367" w:rsidRDefault="00941486" w:rsidP="00941486">
            <w:pPr>
              <w:pStyle w:val="TableTextAR"/>
              <w:jc w:val="right"/>
            </w:pPr>
            <w:r w:rsidRPr="00F72367">
              <w:t>3,300</w:t>
            </w:r>
          </w:p>
        </w:tc>
        <w:tc>
          <w:tcPr>
            <w:tcW w:w="1948" w:type="dxa"/>
          </w:tcPr>
          <w:p w14:paraId="5021C781" w14:textId="77777777" w:rsidR="00941486" w:rsidRPr="00F72367" w:rsidRDefault="00941486" w:rsidP="00941486">
            <w:pPr>
              <w:pStyle w:val="TableTextAR"/>
              <w:jc w:val="right"/>
            </w:pPr>
            <w:r w:rsidRPr="00F72367">
              <w:t>4,984</w:t>
            </w:r>
          </w:p>
        </w:tc>
        <w:tc>
          <w:tcPr>
            <w:tcW w:w="1948" w:type="dxa"/>
          </w:tcPr>
          <w:p w14:paraId="5021C782" w14:textId="77777777" w:rsidR="00941486" w:rsidRPr="00F72367" w:rsidRDefault="00941486" w:rsidP="00941486">
            <w:pPr>
              <w:pStyle w:val="TableTextAR"/>
              <w:jc w:val="right"/>
            </w:pPr>
            <w:r w:rsidRPr="00F72367">
              <w:t>6,832</w:t>
            </w:r>
          </w:p>
        </w:tc>
      </w:tr>
      <w:tr w:rsidR="00941486" w:rsidRPr="00F72367" w14:paraId="5021C788" w14:textId="77777777" w:rsidTr="00941486">
        <w:tc>
          <w:tcPr>
            <w:tcW w:w="3795" w:type="dxa"/>
          </w:tcPr>
          <w:p w14:paraId="5021C784" w14:textId="77777777" w:rsidR="00941486" w:rsidRPr="00F72367" w:rsidRDefault="00941486" w:rsidP="00941486">
            <w:pPr>
              <w:pStyle w:val="TableTextAR"/>
            </w:pPr>
            <w:r w:rsidRPr="00F72367">
              <w:t>Facebook page likes</w:t>
            </w:r>
          </w:p>
        </w:tc>
        <w:tc>
          <w:tcPr>
            <w:tcW w:w="1948" w:type="dxa"/>
          </w:tcPr>
          <w:p w14:paraId="5021C785" w14:textId="77777777" w:rsidR="00941486" w:rsidRPr="00F72367" w:rsidRDefault="00941486" w:rsidP="00941486">
            <w:pPr>
              <w:pStyle w:val="TableTextAR"/>
              <w:jc w:val="right"/>
            </w:pPr>
            <w:r w:rsidRPr="00F72367">
              <w:t>6,354</w:t>
            </w:r>
          </w:p>
        </w:tc>
        <w:tc>
          <w:tcPr>
            <w:tcW w:w="1948" w:type="dxa"/>
          </w:tcPr>
          <w:p w14:paraId="5021C786" w14:textId="77777777" w:rsidR="00941486" w:rsidRPr="00F72367" w:rsidRDefault="00941486" w:rsidP="00941486">
            <w:pPr>
              <w:pStyle w:val="TableTextAR"/>
              <w:jc w:val="right"/>
            </w:pPr>
            <w:r w:rsidRPr="00F72367">
              <w:t>17,418</w:t>
            </w:r>
          </w:p>
        </w:tc>
        <w:tc>
          <w:tcPr>
            <w:tcW w:w="1948" w:type="dxa"/>
          </w:tcPr>
          <w:p w14:paraId="5021C787" w14:textId="77777777" w:rsidR="00941486" w:rsidRPr="00F72367" w:rsidRDefault="00941486" w:rsidP="00941486">
            <w:pPr>
              <w:pStyle w:val="TableTextAR"/>
              <w:jc w:val="right"/>
            </w:pPr>
            <w:r w:rsidRPr="00F72367">
              <w:t>23,628</w:t>
            </w:r>
          </w:p>
        </w:tc>
      </w:tr>
      <w:tr w:rsidR="00941486" w:rsidRPr="00F72367" w14:paraId="5021C78D" w14:textId="77777777" w:rsidTr="00941486">
        <w:tc>
          <w:tcPr>
            <w:tcW w:w="3795" w:type="dxa"/>
          </w:tcPr>
          <w:p w14:paraId="5021C789" w14:textId="77777777" w:rsidR="00941486" w:rsidRPr="00F72367" w:rsidRDefault="00941486" w:rsidP="00941486">
            <w:pPr>
              <w:pStyle w:val="TableTextAR"/>
            </w:pPr>
            <w:r w:rsidRPr="00F72367">
              <w:t>YouTube video views</w:t>
            </w:r>
          </w:p>
        </w:tc>
        <w:tc>
          <w:tcPr>
            <w:tcW w:w="1948" w:type="dxa"/>
          </w:tcPr>
          <w:p w14:paraId="5021C78A" w14:textId="77777777" w:rsidR="00941486" w:rsidRPr="00F72367" w:rsidRDefault="00941486" w:rsidP="00941486">
            <w:pPr>
              <w:pStyle w:val="TableTextAR"/>
              <w:jc w:val="right"/>
            </w:pPr>
            <w:r w:rsidRPr="00F72367">
              <w:t>199,487</w:t>
            </w:r>
          </w:p>
        </w:tc>
        <w:tc>
          <w:tcPr>
            <w:tcW w:w="1948" w:type="dxa"/>
          </w:tcPr>
          <w:p w14:paraId="5021C78B" w14:textId="77777777" w:rsidR="00941486" w:rsidRPr="00F72367" w:rsidRDefault="00941486" w:rsidP="00941486">
            <w:pPr>
              <w:pStyle w:val="TableTextAR"/>
              <w:jc w:val="right"/>
            </w:pPr>
            <w:r w:rsidRPr="00F72367">
              <w:t>500,105</w:t>
            </w:r>
          </w:p>
        </w:tc>
        <w:tc>
          <w:tcPr>
            <w:tcW w:w="1948" w:type="dxa"/>
          </w:tcPr>
          <w:p w14:paraId="5021C78C" w14:textId="77777777" w:rsidR="00941486" w:rsidRPr="00F72367" w:rsidRDefault="00941486" w:rsidP="00941486">
            <w:pPr>
              <w:pStyle w:val="TableTextAR"/>
              <w:jc w:val="right"/>
            </w:pPr>
            <w:r w:rsidRPr="00F72367">
              <w:t>411,456</w:t>
            </w:r>
          </w:p>
        </w:tc>
      </w:tr>
      <w:tr w:rsidR="00941486" w:rsidRPr="00F72367" w14:paraId="5021C78F" w14:textId="77777777" w:rsidTr="00941486">
        <w:tc>
          <w:tcPr>
            <w:tcW w:w="9639" w:type="dxa"/>
            <w:gridSpan w:val="4"/>
          </w:tcPr>
          <w:p w14:paraId="5021C78E" w14:textId="77777777" w:rsidR="00941486" w:rsidRPr="007C6C27" w:rsidRDefault="00941486" w:rsidP="00941486">
            <w:pPr>
              <w:pStyle w:val="TableTextAR"/>
              <w:rPr>
                <w:b/>
              </w:rPr>
            </w:pPr>
            <w:r w:rsidRPr="007C6C27">
              <w:rPr>
                <w:b/>
              </w:rPr>
              <w:t>Community information</w:t>
            </w:r>
          </w:p>
        </w:tc>
      </w:tr>
      <w:tr w:rsidR="00941486" w:rsidRPr="00F72367" w14:paraId="5021C794" w14:textId="77777777" w:rsidTr="00941486">
        <w:tc>
          <w:tcPr>
            <w:tcW w:w="3795" w:type="dxa"/>
          </w:tcPr>
          <w:p w14:paraId="5021C790" w14:textId="77777777" w:rsidR="00941486" w:rsidRPr="00F72367" w:rsidRDefault="00941486" w:rsidP="00941486">
            <w:pPr>
              <w:pStyle w:val="TableTextAR"/>
            </w:pPr>
            <w:r w:rsidRPr="00F72367">
              <w:t>Information sessions</w:t>
            </w:r>
          </w:p>
        </w:tc>
        <w:tc>
          <w:tcPr>
            <w:tcW w:w="1948" w:type="dxa"/>
          </w:tcPr>
          <w:p w14:paraId="5021C791" w14:textId="77777777" w:rsidR="00941486" w:rsidRPr="00F72367" w:rsidRDefault="00941486" w:rsidP="00941486">
            <w:pPr>
              <w:pStyle w:val="TableTextAR"/>
              <w:jc w:val="right"/>
            </w:pPr>
            <w:r w:rsidRPr="00F72367">
              <w:t>1,225</w:t>
            </w:r>
          </w:p>
        </w:tc>
        <w:tc>
          <w:tcPr>
            <w:tcW w:w="1948" w:type="dxa"/>
          </w:tcPr>
          <w:p w14:paraId="5021C792" w14:textId="77777777" w:rsidR="00941486" w:rsidRPr="00F72367" w:rsidRDefault="00941486" w:rsidP="00941486">
            <w:pPr>
              <w:pStyle w:val="TableTextAR"/>
              <w:jc w:val="right"/>
            </w:pPr>
            <w:r w:rsidRPr="00F72367">
              <w:t>897</w:t>
            </w:r>
          </w:p>
        </w:tc>
        <w:tc>
          <w:tcPr>
            <w:tcW w:w="1948" w:type="dxa"/>
          </w:tcPr>
          <w:p w14:paraId="5021C793" w14:textId="77777777" w:rsidR="00941486" w:rsidRPr="00F72367" w:rsidRDefault="00941486" w:rsidP="00941486">
            <w:pPr>
              <w:pStyle w:val="TableTextAR"/>
              <w:jc w:val="right"/>
            </w:pPr>
            <w:r w:rsidRPr="00F72367">
              <w:t>931</w:t>
            </w:r>
          </w:p>
        </w:tc>
      </w:tr>
      <w:tr w:rsidR="00941486" w:rsidRPr="00F72367" w14:paraId="5021C796" w14:textId="77777777" w:rsidTr="007F198F">
        <w:tc>
          <w:tcPr>
            <w:tcW w:w="9639" w:type="dxa"/>
            <w:gridSpan w:val="4"/>
            <w:shd w:val="clear" w:color="auto" w:fill="FBD4B4"/>
          </w:tcPr>
          <w:p w14:paraId="5021C795" w14:textId="77777777" w:rsidR="00941486" w:rsidRPr="007C6C27" w:rsidRDefault="00941486" w:rsidP="00941486">
            <w:pPr>
              <w:pStyle w:val="TableTextAR"/>
              <w:rPr>
                <w:b/>
              </w:rPr>
            </w:pPr>
            <w:r w:rsidRPr="007C6C27">
              <w:rPr>
                <w:b/>
              </w:rPr>
              <w:t>Face-to-face or intensive assistance</w:t>
            </w:r>
          </w:p>
        </w:tc>
      </w:tr>
      <w:tr w:rsidR="00941486" w:rsidRPr="00F72367" w14:paraId="5021C798" w14:textId="77777777" w:rsidTr="007F198F">
        <w:tc>
          <w:tcPr>
            <w:tcW w:w="9639" w:type="dxa"/>
            <w:gridSpan w:val="4"/>
            <w:shd w:val="clear" w:color="auto" w:fill="FDE9D9"/>
          </w:tcPr>
          <w:p w14:paraId="5021C797" w14:textId="77777777" w:rsidR="00941486" w:rsidRPr="007C6C27" w:rsidRDefault="00941486" w:rsidP="00941486">
            <w:pPr>
              <w:pStyle w:val="TableTextAR"/>
              <w:rPr>
                <w:b/>
              </w:rPr>
            </w:pPr>
            <w:r w:rsidRPr="007C6C27">
              <w:rPr>
                <w:b/>
              </w:rPr>
              <w:t>CAV’s funded community services</w:t>
            </w:r>
          </w:p>
        </w:tc>
      </w:tr>
      <w:tr w:rsidR="00941486" w:rsidRPr="00F72367" w14:paraId="5021C79D" w14:textId="77777777" w:rsidTr="00941486">
        <w:tc>
          <w:tcPr>
            <w:tcW w:w="3795" w:type="dxa"/>
          </w:tcPr>
          <w:p w14:paraId="5021C799" w14:textId="77777777" w:rsidR="00941486" w:rsidRPr="00F72367" w:rsidRDefault="00941486" w:rsidP="00941486">
            <w:pPr>
              <w:pStyle w:val="TableTextAR"/>
              <w:rPr>
                <w:highlight w:val="yellow"/>
              </w:rPr>
            </w:pPr>
            <w:r w:rsidRPr="00F72367">
              <w:t>Victorians assisted under the Consumer Advice and Assistance Program</w:t>
            </w:r>
          </w:p>
        </w:tc>
        <w:tc>
          <w:tcPr>
            <w:tcW w:w="1948" w:type="dxa"/>
          </w:tcPr>
          <w:p w14:paraId="5021C79A" w14:textId="77777777" w:rsidR="00941486" w:rsidRPr="00F72367" w:rsidRDefault="00941486" w:rsidP="00941486">
            <w:pPr>
              <w:pStyle w:val="TableTextAR"/>
              <w:jc w:val="right"/>
            </w:pPr>
            <w:r w:rsidRPr="00F72367">
              <w:t>263</w:t>
            </w:r>
          </w:p>
        </w:tc>
        <w:tc>
          <w:tcPr>
            <w:tcW w:w="1948" w:type="dxa"/>
          </w:tcPr>
          <w:p w14:paraId="5021C79B" w14:textId="77777777" w:rsidR="00941486" w:rsidRPr="00F72367" w:rsidRDefault="00941486" w:rsidP="00941486">
            <w:pPr>
              <w:pStyle w:val="TableTextAR"/>
              <w:jc w:val="right"/>
            </w:pPr>
            <w:r w:rsidRPr="00F72367">
              <w:t>375</w:t>
            </w:r>
          </w:p>
        </w:tc>
        <w:tc>
          <w:tcPr>
            <w:tcW w:w="1948" w:type="dxa"/>
          </w:tcPr>
          <w:p w14:paraId="5021C79C" w14:textId="77777777" w:rsidR="00941486" w:rsidRPr="00F72367" w:rsidRDefault="00941486" w:rsidP="00941486">
            <w:pPr>
              <w:pStyle w:val="TableTextAR"/>
              <w:jc w:val="right"/>
            </w:pPr>
            <w:r w:rsidRPr="00F72367">
              <w:t>446</w:t>
            </w:r>
          </w:p>
        </w:tc>
      </w:tr>
      <w:tr w:rsidR="00941486" w:rsidRPr="00F72367" w14:paraId="5021C7A2" w14:textId="77777777" w:rsidTr="00941486">
        <w:tc>
          <w:tcPr>
            <w:tcW w:w="3795" w:type="dxa"/>
          </w:tcPr>
          <w:p w14:paraId="5021C79E" w14:textId="77777777" w:rsidR="00941486" w:rsidRPr="00F72367" w:rsidRDefault="00941486" w:rsidP="00941486">
            <w:pPr>
              <w:pStyle w:val="TableTextAR"/>
              <w:rPr>
                <w:highlight w:val="yellow"/>
              </w:rPr>
            </w:pPr>
            <w:r w:rsidRPr="00F72367">
              <w:t>Clients assisted with financial counselling</w:t>
            </w:r>
          </w:p>
        </w:tc>
        <w:tc>
          <w:tcPr>
            <w:tcW w:w="1948" w:type="dxa"/>
          </w:tcPr>
          <w:p w14:paraId="5021C79F" w14:textId="77777777" w:rsidR="00941486" w:rsidRPr="00F72367" w:rsidRDefault="00941486" w:rsidP="00941486">
            <w:pPr>
              <w:pStyle w:val="TableTextAR"/>
              <w:jc w:val="right"/>
              <w:rPr>
                <w:highlight w:val="yellow"/>
              </w:rPr>
            </w:pPr>
            <w:r w:rsidRPr="00F72367">
              <w:t>N/A</w:t>
            </w:r>
          </w:p>
        </w:tc>
        <w:tc>
          <w:tcPr>
            <w:tcW w:w="1948" w:type="dxa"/>
          </w:tcPr>
          <w:p w14:paraId="5021C7A0" w14:textId="77777777" w:rsidR="00941486" w:rsidRPr="00F72367" w:rsidRDefault="00941486" w:rsidP="00941486">
            <w:pPr>
              <w:pStyle w:val="TableTextAR"/>
              <w:jc w:val="right"/>
              <w:rPr>
                <w:highlight w:val="yellow"/>
              </w:rPr>
            </w:pPr>
            <w:r w:rsidRPr="00F72367">
              <w:t>29,515</w:t>
            </w:r>
          </w:p>
        </w:tc>
        <w:tc>
          <w:tcPr>
            <w:tcW w:w="1948" w:type="dxa"/>
          </w:tcPr>
          <w:p w14:paraId="5021C7A1" w14:textId="77777777" w:rsidR="00941486" w:rsidRPr="00F72367" w:rsidRDefault="00941486" w:rsidP="00941486">
            <w:pPr>
              <w:pStyle w:val="TableTextAR"/>
              <w:jc w:val="right"/>
              <w:rPr>
                <w:highlight w:val="yellow"/>
              </w:rPr>
            </w:pPr>
            <w:r w:rsidRPr="00F72367">
              <w:t>34,453</w:t>
            </w:r>
          </w:p>
        </w:tc>
      </w:tr>
      <w:tr w:rsidR="00941486" w:rsidRPr="00F72367" w14:paraId="5021C7A7" w14:textId="77777777" w:rsidTr="00941486">
        <w:tc>
          <w:tcPr>
            <w:tcW w:w="3795" w:type="dxa"/>
          </w:tcPr>
          <w:p w14:paraId="5021C7A3" w14:textId="77777777" w:rsidR="00941486" w:rsidRPr="00F72367" w:rsidRDefault="00941486" w:rsidP="00941486">
            <w:pPr>
              <w:pStyle w:val="TableTextAR"/>
            </w:pPr>
            <w:r w:rsidRPr="00F72367">
              <w:t>MoneyHelp website visits</w:t>
            </w:r>
          </w:p>
        </w:tc>
        <w:tc>
          <w:tcPr>
            <w:tcW w:w="1948" w:type="dxa"/>
          </w:tcPr>
          <w:p w14:paraId="5021C7A4" w14:textId="77777777" w:rsidR="00941486" w:rsidRPr="00F72367" w:rsidRDefault="00941486" w:rsidP="00941486">
            <w:pPr>
              <w:pStyle w:val="TableTextAR"/>
              <w:jc w:val="right"/>
            </w:pPr>
            <w:r w:rsidRPr="00F72367">
              <w:t>222,485</w:t>
            </w:r>
          </w:p>
        </w:tc>
        <w:tc>
          <w:tcPr>
            <w:tcW w:w="1948" w:type="dxa"/>
          </w:tcPr>
          <w:p w14:paraId="5021C7A5" w14:textId="77777777" w:rsidR="00941486" w:rsidRPr="00F72367" w:rsidRDefault="00941486" w:rsidP="00941486">
            <w:pPr>
              <w:pStyle w:val="TableTextAR"/>
              <w:jc w:val="right"/>
            </w:pPr>
            <w:r w:rsidRPr="00F72367">
              <w:t>402,191</w:t>
            </w:r>
          </w:p>
        </w:tc>
        <w:tc>
          <w:tcPr>
            <w:tcW w:w="1948" w:type="dxa"/>
          </w:tcPr>
          <w:p w14:paraId="5021C7A6" w14:textId="77777777" w:rsidR="00941486" w:rsidRPr="00F72367" w:rsidRDefault="00941486" w:rsidP="00941486">
            <w:pPr>
              <w:pStyle w:val="TableTextAR"/>
              <w:jc w:val="right"/>
            </w:pPr>
            <w:r w:rsidRPr="00F72367">
              <w:t>878,029</w:t>
            </w:r>
          </w:p>
        </w:tc>
      </w:tr>
    </w:tbl>
    <w:p w14:paraId="5021C7A8" w14:textId="77777777" w:rsidR="00941486" w:rsidRPr="00F72367" w:rsidRDefault="00941486" w:rsidP="00FD0461">
      <w:pPr>
        <w:pStyle w:val="ListNumber"/>
        <w:numPr>
          <w:ilvl w:val="0"/>
          <w:numId w:val="52"/>
        </w:numPr>
        <w:rPr>
          <w:lang w:eastAsia="en-US"/>
        </w:rPr>
      </w:pPr>
      <w:r w:rsidRPr="00F72367">
        <w:rPr>
          <w:lang w:eastAsia="en-US"/>
        </w:rPr>
        <w:t>The decreasing trend in disputes finalised demonstrates our shift from resolving disputes to providing information and advice so that consumers can resolve their own disputes. This is part of our broader objective of empowering consumers to assert their consumer rights.</w:t>
      </w:r>
    </w:p>
    <w:p w14:paraId="5021C7A9" w14:textId="77777777" w:rsidR="00941486" w:rsidRPr="00F72367" w:rsidRDefault="00941486" w:rsidP="00941486">
      <w:pPr>
        <w:pStyle w:val="ListNumber"/>
        <w:rPr>
          <w:lang w:eastAsia="en-US"/>
        </w:rPr>
      </w:pPr>
      <w:r w:rsidRPr="00F72367">
        <w:rPr>
          <w:lang w:eastAsia="en-US"/>
        </w:rPr>
        <w:t>The increase in letters, email and online contacts in 2013-14 is partly attributable to a change in counting rules in 2013-14 to include enquiries which were not previously captured.</w:t>
      </w:r>
    </w:p>
    <w:p w14:paraId="5021C7AA" w14:textId="77777777" w:rsidR="00941486" w:rsidRPr="00F72367" w:rsidRDefault="00941486" w:rsidP="004063AE">
      <w:pPr>
        <w:pStyle w:val="Heading2"/>
      </w:pPr>
      <w:bookmarkStart w:id="19" w:name="_Toc432081462"/>
      <w:r>
        <w:lastRenderedPageBreak/>
        <w:t>4</w:t>
      </w:r>
      <w:r>
        <w:tab/>
      </w:r>
      <w:r w:rsidRPr="00F72367">
        <w:t>A fair and safe rental market for Victorians</w:t>
      </w:r>
      <w:bookmarkEnd w:id="19"/>
    </w:p>
    <w:p w14:paraId="5021C7AB" w14:textId="77777777" w:rsidR="00941486" w:rsidRDefault="00941486" w:rsidP="00941486">
      <w:pPr>
        <w:pStyle w:val="BodyAR"/>
        <w:rPr>
          <w:lang w:eastAsia="en-US"/>
        </w:rPr>
      </w:pPr>
      <w:r w:rsidRPr="00F72367">
        <w:rPr>
          <w:lang w:eastAsia="en-US"/>
        </w:rPr>
        <w:t xml:space="preserve">As the Victorian regulator of residential tenancies, we work to achieve fair and </w:t>
      </w:r>
      <w:r>
        <w:rPr>
          <w:lang w:eastAsia="en-US"/>
        </w:rPr>
        <w:t>safe rental housing in Victoria.</w:t>
      </w:r>
    </w:p>
    <w:p w14:paraId="5021C7AC" w14:textId="77777777" w:rsidR="00941486" w:rsidRDefault="00941486" w:rsidP="00941486">
      <w:pPr>
        <w:pStyle w:val="BodyAR"/>
        <w:rPr>
          <w:lang w:eastAsia="en-US"/>
        </w:rPr>
      </w:pPr>
      <w:r w:rsidRPr="00F72367">
        <w:rPr>
          <w:lang w:eastAsia="en-US"/>
        </w:rPr>
        <w:t>Our priority is to ensure that the residential tenancy framework reflects the needs of the modern rental marketplace, to deliver best results for a</w:t>
      </w:r>
      <w:r>
        <w:rPr>
          <w:lang w:eastAsia="en-US"/>
        </w:rPr>
        <w:t>ll in the accommodation sector.</w:t>
      </w:r>
    </w:p>
    <w:p w14:paraId="5021C7AD" w14:textId="77777777" w:rsidR="00941486" w:rsidRPr="00F72367" w:rsidRDefault="00941486" w:rsidP="00941486">
      <w:pPr>
        <w:pStyle w:val="BodyAR"/>
        <w:rPr>
          <w:lang w:eastAsia="en-US"/>
        </w:rPr>
      </w:pPr>
      <w:r w:rsidRPr="00F72367">
        <w:rPr>
          <w:lang w:eastAsia="en-US"/>
        </w:rPr>
        <w:t>This includes increased collaboration with partners so that we can continue to improve our understanding of the needs of a modern market, and make positive changes across the sector.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988"/>
        <w:gridCol w:w="1988"/>
        <w:gridCol w:w="1988"/>
      </w:tblGrid>
      <w:tr w:rsidR="00941486" w:rsidRPr="00F72367" w14:paraId="5021C7B2" w14:textId="77777777" w:rsidTr="007F198F">
        <w:trPr>
          <w:tblHeader/>
        </w:trPr>
        <w:tc>
          <w:tcPr>
            <w:tcW w:w="3675" w:type="dxa"/>
            <w:shd w:val="clear" w:color="auto" w:fill="595959"/>
          </w:tcPr>
          <w:p w14:paraId="5021C7AE" w14:textId="77777777" w:rsidR="00941486" w:rsidRPr="00F72367" w:rsidRDefault="00941486" w:rsidP="00941486">
            <w:pPr>
              <w:pStyle w:val="TableTextAR"/>
            </w:pPr>
          </w:p>
        </w:tc>
        <w:tc>
          <w:tcPr>
            <w:tcW w:w="1988" w:type="dxa"/>
            <w:shd w:val="clear" w:color="auto" w:fill="595959"/>
          </w:tcPr>
          <w:p w14:paraId="5021C7AF" w14:textId="77777777" w:rsidR="00941486" w:rsidRPr="00583488" w:rsidRDefault="00941486" w:rsidP="000B1B6A">
            <w:pPr>
              <w:pStyle w:val="TableColumnHead"/>
              <w:jc w:val="right"/>
            </w:pPr>
            <w:r w:rsidRPr="00583488">
              <w:t>2012-13</w:t>
            </w:r>
          </w:p>
        </w:tc>
        <w:tc>
          <w:tcPr>
            <w:tcW w:w="1988" w:type="dxa"/>
            <w:shd w:val="clear" w:color="auto" w:fill="595959"/>
          </w:tcPr>
          <w:p w14:paraId="5021C7B0" w14:textId="77777777" w:rsidR="00941486" w:rsidRPr="00583488" w:rsidRDefault="00941486" w:rsidP="000B1B6A">
            <w:pPr>
              <w:pStyle w:val="TableColumnHead"/>
              <w:jc w:val="right"/>
            </w:pPr>
            <w:r w:rsidRPr="00583488">
              <w:t>2013-14</w:t>
            </w:r>
          </w:p>
        </w:tc>
        <w:tc>
          <w:tcPr>
            <w:tcW w:w="1988" w:type="dxa"/>
            <w:shd w:val="clear" w:color="auto" w:fill="595959"/>
          </w:tcPr>
          <w:p w14:paraId="5021C7B1" w14:textId="77777777" w:rsidR="00941486" w:rsidRPr="00583488" w:rsidRDefault="00941486" w:rsidP="000B1B6A">
            <w:pPr>
              <w:pStyle w:val="TableColumnHead"/>
              <w:jc w:val="right"/>
            </w:pPr>
            <w:r w:rsidRPr="00583488">
              <w:t>2014-15</w:t>
            </w:r>
          </w:p>
        </w:tc>
      </w:tr>
      <w:tr w:rsidR="00941486" w:rsidRPr="00F72367" w14:paraId="5021C7B4" w14:textId="77777777" w:rsidTr="007F198F">
        <w:tc>
          <w:tcPr>
            <w:tcW w:w="9639" w:type="dxa"/>
            <w:gridSpan w:val="4"/>
            <w:shd w:val="clear" w:color="auto" w:fill="FBD4B4"/>
          </w:tcPr>
          <w:p w14:paraId="5021C7B3" w14:textId="77777777" w:rsidR="00941486" w:rsidRPr="00042B5F" w:rsidRDefault="00941486" w:rsidP="00941486">
            <w:pPr>
              <w:pStyle w:val="TableTextAR"/>
              <w:rPr>
                <w:b/>
              </w:rPr>
            </w:pPr>
            <w:r w:rsidRPr="00042B5F">
              <w:rPr>
                <w:b/>
              </w:rPr>
              <w:t>Information and advice</w:t>
            </w:r>
          </w:p>
        </w:tc>
      </w:tr>
      <w:tr w:rsidR="00941486" w:rsidRPr="00F72367" w14:paraId="5021C7B9" w14:textId="77777777" w:rsidTr="00941486">
        <w:tc>
          <w:tcPr>
            <w:tcW w:w="3675" w:type="dxa"/>
          </w:tcPr>
          <w:p w14:paraId="5021C7B5" w14:textId="77777777" w:rsidR="00941486" w:rsidRPr="00F72367" w:rsidRDefault="00941486" w:rsidP="00941486">
            <w:pPr>
              <w:pStyle w:val="TableTextAR"/>
            </w:pPr>
            <w:r w:rsidRPr="00F72367">
              <w:t>Calls answered – residential tenancies</w:t>
            </w:r>
          </w:p>
        </w:tc>
        <w:tc>
          <w:tcPr>
            <w:tcW w:w="1988" w:type="dxa"/>
          </w:tcPr>
          <w:p w14:paraId="5021C7B6" w14:textId="77777777" w:rsidR="00941486" w:rsidRPr="00F72367" w:rsidRDefault="00941486" w:rsidP="00941486">
            <w:pPr>
              <w:pStyle w:val="TableTextAR"/>
              <w:jc w:val="right"/>
            </w:pPr>
            <w:r w:rsidRPr="00F72367">
              <w:t>93,127</w:t>
            </w:r>
          </w:p>
        </w:tc>
        <w:tc>
          <w:tcPr>
            <w:tcW w:w="1988" w:type="dxa"/>
          </w:tcPr>
          <w:p w14:paraId="5021C7B7" w14:textId="77777777" w:rsidR="00941486" w:rsidRPr="00F72367" w:rsidRDefault="00941486" w:rsidP="00941486">
            <w:pPr>
              <w:pStyle w:val="TableTextAR"/>
              <w:jc w:val="right"/>
            </w:pPr>
            <w:r w:rsidRPr="00F72367">
              <w:t>90,952</w:t>
            </w:r>
          </w:p>
        </w:tc>
        <w:tc>
          <w:tcPr>
            <w:tcW w:w="1988" w:type="dxa"/>
          </w:tcPr>
          <w:p w14:paraId="5021C7B8" w14:textId="77777777" w:rsidR="00941486" w:rsidRPr="00F72367" w:rsidRDefault="00941486" w:rsidP="00941486">
            <w:pPr>
              <w:pStyle w:val="TableTextAR"/>
              <w:jc w:val="right"/>
            </w:pPr>
            <w:r w:rsidRPr="00F72367">
              <w:t>73,791</w:t>
            </w:r>
          </w:p>
        </w:tc>
      </w:tr>
      <w:tr w:rsidR="00941486" w:rsidRPr="00F72367" w14:paraId="5021C7BE" w14:textId="77777777" w:rsidTr="00941486">
        <w:tc>
          <w:tcPr>
            <w:tcW w:w="3675" w:type="dxa"/>
          </w:tcPr>
          <w:p w14:paraId="5021C7BA" w14:textId="77777777" w:rsidR="00941486" w:rsidRPr="00F72367" w:rsidRDefault="00941486" w:rsidP="00941486">
            <w:pPr>
              <w:pStyle w:val="TableTextAR"/>
            </w:pPr>
            <w:r w:rsidRPr="00F72367">
              <w:t>Calls answered – Residential Tenancies Bond Authority (RTBA)</w:t>
            </w:r>
          </w:p>
        </w:tc>
        <w:tc>
          <w:tcPr>
            <w:tcW w:w="1988" w:type="dxa"/>
          </w:tcPr>
          <w:p w14:paraId="5021C7BB" w14:textId="77777777" w:rsidR="00941486" w:rsidRPr="00F72367" w:rsidRDefault="00941486" w:rsidP="00941486">
            <w:pPr>
              <w:pStyle w:val="TableTextAR"/>
              <w:jc w:val="right"/>
            </w:pPr>
            <w:r w:rsidRPr="00F72367">
              <w:t>95,120</w:t>
            </w:r>
          </w:p>
        </w:tc>
        <w:tc>
          <w:tcPr>
            <w:tcW w:w="1988" w:type="dxa"/>
          </w:tcPr>
          <w:p w14:paraId="5021C7BC" w14:textId="77777777" w:rsidR="00941486" w:rsidRPr="00F72367" w:rsidRDefault="00941486" w:rsidP="00941486">
            <w:pPr>
              <w:pStyle w:val="TableTextAR"/>
              <w:jc w:val="right"/>
            </w:pPr>
            <w:r w:rsidRPr="00F72367">
              <w:t>97,309</w:t>
            </w:r>
          </w:p>
        </w:tc>
        <w:tc>
          <w:tcPr>
            <w:tcW w:w="1988" w:type="dxa"/>
          </w:tcPr>
          <w:p w14:paraId="5021C7BD" w14:textId="77777777" w:rsidR="00941486" w:rsidRPr="00F72367" w:rsidRDefault="00941486" w:rsidP="00941486">
            <w:pPr>
              <w:pStyle w:val="TableTextAR"/>
              <w:jc w:val="right"/>
            </w:pPr>
            <w:r w:rsidRPr="00F72367">
              <w:t>99,325</w:t>
            </w:r>
          </w:p>
        </w:tc>
      </w:tr>
      <w:tr w:rsidR="00941486" w:rsidRPr="00F72367" w14:paraId="5021C7C3" w14:textId="77777777" w:rsidTr="00941486">
        <w:tc>
          <w:tcPr>
            <w:tcW w:w="3675" w:type="dxa"/>
          </w:tcPr>
          <w:p w14:paraId="5021C7BF" w14:textId="77777777" w:rsidR="00941486" w:rsidRPr="00F72367" w:rsidRDefault="00941486" w:rsidP="00941486">
            <w:pPr>
              <w:pStyle w:val="TableTextAR"/>
            </w:pPr>
            <w:r w:rsidRPr="00F72367">
              <w:t>RentRight app downloads</w:t>
            </w:r>
          </w:p>
        </w:tc>
        <w:tc>
          <w:tcPr>
            <w:tcW w:w="1988" w:type="dxa"/>
          </w:tcPr>
          <w:p w14:paraId="5021C7C0" w14:textId="77777777" w:rsidR="00941486" w:rsidRPr="00F72367" w:rsidRDefault="00941486" w:rsidP="00941486">
            <w:pPr>
              <w:pStyle w:val="TableTextAR"/>
              <w:jc w:val="right"/>
            </w:pPr>
            <w:r w:rsidRPr="00F72367">
              <w:t>N/A</w:t>
            </w:r>
          </w:p>
        </w:tc>
        <w:tc>
          <w:tcPr>
            <w:tcW w:w="1988" w:type="dxa"/>
          </w:tcPr>
          <w:p w14:paraId="5021C7C1" w14:textId="77777777" w:rsidR="00941486" w:rsidRPr="00F72367" w:rsidRDefault="00941486" w:rsidP="00941486">
            <w:pPr>
              <w:pStyle w:val="TableTextAR"/>
              <w:jc w:val="right"/>
            </w:pPr>
            <w:r w:rsidRPr="00F72367">
              <w:t>10,368</w:t>
            </w:r>
          </w:p>
        </w:tc>
        <w:tc>
          <w:tcPr>
            <w:tcW w:w="1988" w:type="dxa"/>
          </w:tcPr>
          <w:p w14:paraId="5021C7C2" w14:textId="77777777" w:rsidR="00941486" w:rsidRPr="00F72367" w:rsidRDefault="00941486" w:rsidP="00941486">
            <w:pPr>
              <w:pStyle w:val="TableTextAR"/>
              <w:jc w:val="right"/>
            </w:pPr>
            <w:r w:rsidRPr="00F72367">
              <w:t>16,591</w:t>
            </w:r>
          </w:p>
        </w:tc>
      </w:tr>
      <w:tr w:rsidR="00941486" w:rsidRPr="00F72367" w14:paraId="5021C7C5" w14:textId="77777777" w:rsidTr="007F198F">
        <w:tc>
          <w:tcPr>
            <w:tcW w:w="9639" w:type="dxa"/>
            <w:gridSpan w:val="4"/>
            <w:shd w:val="clear" w:color="auto" w:fill="FDE9D9"/>
          </w:tcPr>
          <w:p w14:paraId="5021C7C4" w14:textId="77777777" w:rsidR="00941486" w:rsidRPr="00042B5F" w:rsidRDefault="00941486" w:rsidP="00941486">
            <w:pPr>
              <w:pStyle w:val="TableTextAR"/>
              <w:rPr>
                <w:b/>
              </w:rPr>
            </w:pPr>
            <w:r w:rsidRPr="00042B5F">
              <w:rPr>
                <w:b/>
              </w:rPr>
              <w:t>Transactions</w:t>
            </w:r>
          </w:p>
        </w:tc>
      </w:tr>
      <w:tr w:rsidR="00941486" w:rsidRPr="00F72367" w14:paraId="5021C7CA" w14:textId="77777777" w:rsidTr="00941486">
        <w:tc>
          <w:tcPr>
            <w:tcW w:w="3675" w:type="dxa"/>
          </w:tcPr>
          <w:p w14:paraId="5021C7C6" w14:textId="77777777" w:rsidR="00941486" w:rsidRPr="00F72367" w:rsidRDefault="00941486" w:rsidP="00941486">
            <w:pPr>
              <w:pStyle w:val="TableTextAR"/>
            </w:pPr>
            <w:r w:rsidRPr="00F72367">
              <w:t>Bonds lodged</w:t>
            </w:r>
          </w:p>
        </w:tc>
        <w:tc>
          <w:tcPr>
            <w:tcW w:w="1988" w:type="dxa"/>
          </w:tcPr>
          <w:p w14:paraId="5021C7C7" w14:textId="77777777" w:rsidR="00941486" w:rsidRPr="00F72367" w:rsidRDefault="00941486" w:rsidP="00941486">
            <w:pPr>
              <w:pStyle w:val="TableTextAR"/>
              <w:jc w:val="right"/>
            </w:pPr>
            <w:r w:rsidRPr="00F72367">
              <w:t>216,400</w:t>
            </w:r>
          </w:p>
        </w:tc>
        <w:tc>
          <w:tcPr>
            <w:tcW w:w="1988" w:type="dxa"/>
          </w:tcPr>
          <w:p w14:paraId="5021C7C8" w14:textId="77777777" w:rsidR="00941486" w:rsidRPr="00F72367" w:rsidRDefault="00941486" w:rsidP="00941486">
            <w:pPr>
              <w:pStyle w:val="TableTextAR"/>
              <w:jc w:val="right"/>
            </w:pPr>
            <w:r w:rsidRPr="00F72367">
              <w:t>221,623</w:t>
            </w:r>
          </w:p>
        </w:tc>
        <w:tc>
          <w:tcPr>
            <w:tcW w:w="1988" w:type="dxa"/>
          </w:tcPr>
          <w:p w14:paraId="5021C7C9" w14:textId="77777777" w:rsidR="00941486" w:rsidRPr="00F72367" w:rsidRDefault="00941486" w:rsidP="00941486">
            <w:pPr>
              <w:pStyle w:val="TableTextAR"/>
              <w:jc w:val="right"/>
            </w:pPr>
            <w:r w:rsidRPr="00F72367">
              <w:t>228,955</w:t>
            </w:r>
          </w:p>
        </w:tc>
      </w:tr>
      <w:tr w:rsidR="00941486" w:rsidRPr="00F72367" w14:paraId="5021C7CF" w14:textId="77777777" w:rsidTr="00941486">
        <w:tc>
          <w:tcPr>
            <w:tcW w:w="3675" w:type="dxa"/>
          </w:tcPr>
          <w:p w14:paraId="5021C7CB" w14:textId="77777777" w:rsidR="00941486" w:rsidRPr="00F72367" w:rsidRDefault="00941486" w:rsidP="00941486">
            <w:pPr>
              <w:pStyle w:val="TableTextAR"/>
            </w:pPr>
            <w:r w:rsidRPr="00F72367">
              <w:t>Bond repayments</w:t>
            </w:r>
          </w:p>
        </w:tc>
        <w:tc>
          <w:tcPr>
            <w:tcW w:w="1988" w:type="dxa"/>
          </w:tcPr>
          <w:p w14:paraId="5021C7CC" w14:textId="77777777" w:rsidR="00941486" w:rsidRPr="00F72367" w:rsidRDefault="00941486" w:rsidP="00941486">
            <w:pPr>
              <w:pStyle w:val="TableTextAR"/>
              <w:jc w:val="right"/>
            </w:pPr>
            <w:r w:rsidRPr="00F72367">
              <w:t>190,100</w:t>
            </w:r>
          </w:p>
        </w:tc>
        <w:tc>
          <w:tcPr>
            <w:tcW w:w="1988" w:type="dxa"/>
          </w:tcPr>
          <w:p w14:paraId="5021C7CD" w14:textId="77777777" w:rsidR="00941486" w:rsidRPr="00F72367" w:rsidRDefault="00941486" w:rsidP="00941486">
            <w:pPr>
              <w:pStyle w:val="TableTextAR"/>
              <w:jc w:val="right"/>
            </w:pPr>
            <w:r w:rsidRPr="00F72367">
              <w:t>197,500</w:t>
            </w:r>
          </w:p>
        </w:tc>
        <w:tc>
          <w:tcPr>
            <w:tcW w:w="1988" w:type="dxa"/>
          </w:tcPr>
          <w:p w14:paraId="5021C7CE" w14:textId="77777777" w:rsidR="00941486" w:rsidRPr="00F72367" w:rsidRDefault="00941486" w:rsidP="00941486">
            <w:pPr>
              <w:pStyle w:val="TableTextAR"/>
              <w:jc w:val="right"/>
            </w:pPr>
            <w:r w:rsidRPr="00F72367">
              <w:t>203,614</w:t>
            </w:r>
          </w:p>
        </w:tc>
      </w:tr>
      <w:tr w:rsidR="00941486" w:rsidRPr="00F72367" w14:paraId="5021C7D4" w14:textId="77777777" w:rsidTr="00941486">
        <w:tc>
          <w:tcPr>
            <w:tcW w:w="3675" w:type="dxa"/>
          </w:tcPr>
          <w:p w14:paraId="5021C7D0" w14:textId="77777777" w:rsidR="00941486" w:rsidRPr="00F72367" w:rsidRDefault="00941486" w:rsidP="00941486">
            <w:pPr>
              <w:pStyle w:val="TableTextAR"/>
            </w:pPr>
            <w:r w:rsidRPr="00F72367">
              <w:t>Bonds transferred</w:t>
            </w:r>
          </w:p>
        </w:tc>
        <w:tc>
          <w:tcPr>
            <w:tcW w:w="1988" w:type="dxa"/>
          </w:tcPr>
          <w:p w14:paraId="5021C7D1" w14:textId="77777777" w:rsidR="00941486" w:rsidRPr="00F72367" w:rsidRDefault="00941486" w:rsidP="00941486">
            <w:pPr>
              <w:pStyle w:val="TableTextAR"/>
              <w:jc w:val="right"/>
            </w:pPr>
            <w:r w:rsidRPr="00F72367">
              <w:t>61,600</w:t>
            </w:r>
          </w:p>
        </w:tc>
        <w:tc>
          <w:tcPr>
            <w:tcW w:w="1988" w:type="dxa"/>
          </w:tcPr>
          <w:p w14:paraId="5021C7D2" w14:textId="77777777" w:rsidR="00941486" w:rsidRPr="00F72367" w:rsidRDefault="00941486" w:rsidP="00941486">
            <w:pPr>
              <w:pStyle w:val="TableTextAR"/>
              <w:jc w:val="right"/>
            </w:pPr>
            <w:r w:rsidRPr="00F72367">
              <w:t>60,398</w:t>
            </w:r>
          </w:p>
        </w:tc>
        <w:tc>
          <w:tcPr>
            <w:tcW w:w="1988" w:type="dxa"/>
          </w:tcPr>
          <w:p w14:paraId="5021C7D3" w14:textId="77777777" w:rsidR="00941486" w:rsidRPr="00F72367" w:rsidRDefault="00941486" w:rsidP="00941486">
            <w:pPr>
              <w:pStyle w:val="TableTextAR"/>
              <w:jc w:val="right"/>
            </w:pPr>
            <w:r w:rsidRPr="00F72367">
              <w:t>73,639</w:t>
            </w:r>
          </w:p>
        </w:tc>
      </w:tr>
      <w:tr w:rsidR="00941486" w:rsidRPr="00F72367" w14:paraId="5021C7D9" w14:textId="77777777" w:rsidTr="00941486">
        <w:tc>
          <w:tcPr>
            <w:tcW w:w="3675" w:type="dxa"/>
          </w:tcPr>
          <w:p w14:paraId="5021C7D5" w14:textId="77777777" w:rsidR="00941486" w:rsidRPr="00F72367" w:rsidRDefault="00941486" w:rsidP="00941486">
            <w:pPr>
              <w:pStyle w:val="TableTextAR"/>
            </w:pPr>
            <w:r w:rsidRPr="00F72367">
              <w:t>Bonds held</w:t>
            </w:r>
          </w:p>
        </w:tc>
        <w:tc>
          <w:tcPr>
            <w:tcW w:w="1988" w:type="dxa"/>
          </w:tcPr>
          <w:p w14:paraId="5021C7D6" w14:textId="77777777" w:rsidR="00941486" w:rsidRPr="00F72367" w:rsidRDefault="00941486" w:rsidP="00941486">
            <w:pPr>
              <w:pStyle w:val="TableTextAR"/>
              <w:jc w:val="right"/>
            </w:pPr>
            <w:r w:rsidRPr="00F72367">
              <w:t>518,098</w:t>
            </w:r>
          </w:p>
        </w:tc>
        <w:tc>
          <w:tcPr>
            <w:tcW w:w="1988" w:type="dxa"/>
          </w:tcPr>
          <w:p w14:paraId="5021C7D7" w14:textId="77777777" w:rsidR="00941486" w:rsidRPr="00F72367" w:rsidRDefault="00941486" w:rsidP="00941486">
            <w:pPr>
              <w:pStyle w:val="TableTextAR"/>
              <w:jc w:val="right"/>
            </w:pPr>
            <w:r w:rsidRPr="00F72367">
              <w:t>542,209</w:t>
            </w:r>
          </w:p>
        </w:tc>
        <w:tc>
          <w:tcPr>
            <w:tcW w:w="1988" w:type="dxa"/>
          </w:tcPr>
          <w:p w14:paraId="5021C7D8" w14:textId="77777777" w:rsidR="00941486" w:rsidRPr="00F72367" w:rsidRDefault="00941486" w:rsidP="00941486">
            <w:pPr>
              <w:pStyle w:val="TableTextAR"/>
              <w:jc w:val="right"/>
            </w:pPr>
            <w:r w:rsidRPr="00F72367">
              <w:t>567,550</w:t>
            </w:r>
          </w:p>
        </w:tc>
      </w:tr>
      <w:tr w:rsidR="00941486" w:rsidRPr="00F72367" w14:paraId="5021C7DE" w14:textId="77777777" w:rsidTr="00941486">
        <w:tc>
          <w:tcPr>
            <w:tcW w:w="3675" w:type="dxa"/>
          </w:tcPr>
          <w:p w14:paraId="5021C7DA" w14:textId="77777777" w:rsidR="00941486" w:rsidRPr="00F72367" w:rsidRDefault="00941486" w:rsidP="00941486">
            <w:pPr>
              <w:pStyle w:val="TableTextAR"/>
            </w:pPr>
            <w:r w:rsidRPr="00F72367">
              <w:t>Value held</w:t>
            </w:r>
          </w:p>
        </w:tc>
        <w:tc>
          <w:tcPr>
            <w:tcW w:w="1988" w:type="dxa"/>
          </w:tcPr>
          <w:p w14:paraId="5021C7DB" w14:textId="77777777" w:rsidR="00941486" w:rsidRPr="00F72367" w:rsidRDefault="00941486" w:rsidP="00941486">
            <w:pPr>
              <w:pStyle w:val="TableTextAR"/>
              <w:jc w:val="right"/>
            </w:pPr>
            <w:r w:rsidRPr="00F72367">
              <w:t>$747.2 million</w:t>
            </w:r>
          </w:p>
        </w:tc>
        <w:tc>
          <w:tcPr>
            <w:tcW w:w="1988" w:type="dxa"/>
          </w:tcPr>
          <w:p w14:paraId="5021C7DC" w14:textId="77777777" w:rsidR="00941486" w:rsidRPr="00F72367" w:rsidRDefault="00941486" w:rsidP="00941486">
            <w:pPr>
              <w:pStyle w:val="TableTextAR"/>
              <w:jc w:val="right"/>
            </w:pPr>
            <w:r w:rsidRPr="00F72367">
              <w:t>$806 million</w:t>
            </w:r>
          </w:p>
        </w:tc>
        <w:tc>
          <w:tcPr>
            <w:tcW w:w="1988" w:type="dxa"/>
          </w:tcPr>
          <w:p w14:paraId="5021C7DD" w14:textId="77777777" w:rsidR="00941486" w:rsidRPr="00F72367" w:rsidRDefault="00941486" w:rsidP="00941486">
            <w:pPr>
              <w:pStyle w:val="TableTextAR"/>
              <w:jc w:val="right"/>
            </w:pPr>
            <w:r w:rsidRPr="00F72367">
              <w:t>$874 million</w:t>
            </w:r>
          </w:p>
        </w:tc>
      </w:tr>
      <w:tr w:rsidR="00941486" w:rsidRPr="00F72367" w14:paraId="5021C7E3" w14:textId="77777777" w:rsidTr="00941486">
        <w:tc>
          <w:tcPr>
            <w:tcW w:w="3675" w:type="dxa"/>
          </w:tcPr>
          <w:p w14:paraId="5021C7DF" w14:textId="77777777" w:rsidR="00941486" w:rsidRPr="00F72367" w:rsidRDefault="00941486" w:rsidP="00941486">
            <w:pPr>
              <w:pStyle w:val="TableTextAR"/>
            </w:pPr>
            <w:r w:rsidRPr="00F72367">
              <w:t>Total transactions – RTBA</w:t>
            </w:r>
          </w:p>
        </w:tc>
        <w:tc>
          <w:tcPr>
            <w:tcW w:w="1988" w:type="dxa"/>
          </w:tcPr>
          <w:p w14:paraId="5021C7E0" w14:textId="77777777" w:rsidR="00941486" w:rsidRPr="00F72367" w:rsidRDefault="00941486" w:rsidP="00941486">
            <w:pPr>
              <w:pStyle w:val="TableTextAR"/>
              <w:jc w:val="right"/>
            </w:pPr>
            <w:r w:rsidRPr="00F72367">
              <w:t>406,535</w:t>
            </w:r>
          </w:p>
        </w:tc>
        <w:tc>
          <w:tcPr>
            <w:tcW w:w="1988" w:type="dxa"/>
          </w:tcPr>
          <w:p w14:paraId="5021C7E1" w14:textId="77777777" w:rsidR="00941486" w:rsidRPr="00F72367" w:rsidRDefault="00941486" w:rsidP="00941486">
            <w:pPr>
              <w:pStyle w:val="TableTextAR"/>
              <w:jc w:val="right"/>
            </w:pPr>
            <w:r w:rsidRPr="00F72367">
              <w:t>419,135</w:t>
            </w:r>
          </w:p>
        </w:tc>
        <w:tc>
          <w:tcPr>
            <w:tcW w:w="1988" w:type="dxa"/>
          </w:tcPr>
          <w:p w14:paraId="5021C7E2" w14:textId="77777777" w:rsidR="00941486" w:rsidRPr="00F72367" w:rsidRDefault="00941486" w:rsidP="00941486">
            <w:pPr>
              <w:pStyle w:val="TableTextAR"/>
              <w:jc w:val="right"/>
            </w:pPr>
            <w:r w:rsidRPr="00F72367">
              <w:t>432,569</w:t>
            </w:r>
          </w:p>
        </w:tc>
      </w:tr>
      <w:tr w:rsidR="00941486" w:rsidRPr="00F72367" w14:paraId="5021C7E5" w14:textId="77777777" w:rsidTr="007F198F">
        <w:tc>
          <w:tcPr>
            <w:tcW w:w="9639" w:type="dxa"/>
            <w:gridSpan w:val="4"/>
            <w:shd w:val="clear" w:color="auto" w:fill="FBD4B4"/>
          </w:tcPr>
          <w:p w14:paraId="5021C7E4" w14:textId="77777777" w:rsidR="00941486" w:rsidRPr="00042B5F" w:rsidRDefault="00941486" w:rsidP="00941486">
            <w:pPr>
              <w:pStyle w:val="TableTextAR"/>
              <w:rPr>
                <w:b/>
              </w:rPr>
            </w:pPr>
            <w:r w:rsidRPr="00042B5F">
              <w:rPr>
                <w:b/>
              </w:rPr>
              <w:t>Face-to-face or intensive assistance</w:t>
            </w:r>
          </w:p>
        </w:tc>
      </w:tr>
      <w:tr w:rsidR="00941486" w:rsidRPr="00F72367" w14:paraId="5021C7E7" w14:textId="77777777" w:rsidTr="007F198F">
        <w:tc>
          <w:tcPr>
            <w:tcW w:w="9639" w:type="dxa"/>
            <w:gridSpan w:val="4"/>
            <w:shd w:val="clear" w:color="auto" w:fill="FDE9D9"/>
          </w:tcPr>
          <w:p w14:paraId="5021C7E6" w14:textId="77777777" w:rsidR="00941486" w:rsidRPr="00042B5F" w:rsidRDefault="00941486" w:rsidP="00941486">
            <w:pPr>
              <w:pStyle w:val="TableTextAR"/>
              <w:rPr>
                <w:b/>
              </w:rPr>
            </w:pPr>
            <w:r w:rsidRPr="00042B5F">
              <w:rPr>
                <w:b/>
              </w:rPr>
              <w:t>CAV’s funded community services</w:t>
            </w:r>
          </w:p>
        </w:tc>
      </w:tr>
      <w:tr w:rsidR="00941486" w:rsidRPr="00F72367" w14:paraId="5021C7EC" w14:textId="77777777" w:rsidTr="00941486">
        <w:tc>
          <w:tcPr>
            <w:tcW w:w="3675" w:type="dxa"/>
          </w:tcPr>
          <w:p w14:paraId="5021C7E8" w14:textId="77777777" w:rsidR="00941486" w:rsidRPr="00F72367" w:rsidRDefault="00941486" w:rsidP="00941486">
            <w:pPr>
              <w:pStyle w:val="TableTextAR"/>
            </w:pPr>
            <w:r w:rsidRPr="00F72367">
              <w:t>Tenants assisted under the Tenancy Advice and Assistance Program</w:t>
            </w:r>
          </w:p>
        </w:tc>
        <w:tc>
          <w:tcPr>
            <w:tcW w:w="1988" w:type="dxa"/>
          </w:tcPr>
          <w:p w14:paraId="5021C7E9" w14:textId="77777777" w:rsidR="00941486" w:rsidRPr="00F72367" w:rsidRDefault="00941486" w:rsidP="00941486">
            <w:pPr>
              <w:pStyle w:val="TableTextAR"/>
              <w:jc w:val="right"/>
            </w:pPr>
            <w:r w:rsidRPr="00F72367">
              <w:t>5,003</w:t>
            </w:r>
          </w:p>
        </w:tc>
        <w:tc>
          <w:tcPr>
            <w:tcW w:w="1988" w:type="dxa"/>
          </w:tcPr>
          <w:p w14:paraId="5021C7EA" w14:textId="77777777" w:rsidR="00941486" w:rsidRPr="00F72367" w:rsidRDefault="00941486" w:rsidP="00941486">
            <w:pPr>
              <w:pStyle w:val="TableTextAR"/>
              <w:jc w:val="right"/>
            </w:pPr>
            <w:r w:rsidRPr="00F72367">
              <w:t>6,178</w:t>
            </w:r>
          </w:p>
        </w:tc>
        <w:tc>
          <w:tcPr>
            <w:tcW w:w="1988" w:type="dxa"/>
          </w:tcPr>
          <w:p w14:paraId="5021C7EB" w14:textId="77777777" w:rsidR="00941486" w:rsidRPr="00F72367" w:rsidRDefault="00941486" w:rsidP="00941486">
            <w:pPr>
              <w:pStyle w:val="TableTextAR"/>
              <w:jc w:val="right"/>
            </w:pPr>
            <w:r w:rsidRPr="00F72367">
              <w:t>6,267</w:t>
            </w:r>
          </w:p>
        </w:tc>
      </w:tr>
      <w:tr w:rsidR="00941486" w:rsidRPr="00F72367" w14:paraId="5021C7EE" w14:textId="77777777" w:rsidTr="007F198F">
        <w:tc>
          <w:tcPr>
            <w:tcW w:w="9639" w:type="dxa"/>
            <w:gridSpan w:val="4"/>
            <w:shd w:val="clear" w:color="auto" w:fill="FDE9D9"/>
            <w:vAlign w:val="bottom"/>
          </w:tcPr>
          <w:p w14:paraId="5021C7ED" w14:textId="77777777" w:rsidR="00941486" w:rsidRPr="00583488" w:rsidRDefault="00941486" w:rsidP="00941486">
            <w:pPr>
              <w:pStyle w:val="TableTextAR"/>
              <w:rPr>
                <w:b/>
              </w:rPr>
            </w:pPr>
            <w:r w:rsidRPr="00583488">
              <w:rPr>
                <w:b/>
              </w:rPr>
              <w:t>Assessments</w:t>
            </w:r>
          </w:p>
        </w:tc>
      </w:tr>
      <w:tr w:rsidR="00941486" w:rsidRPr="00F72367" w14:paraId="5021C7F3" w14:textId="77777777" w:rsidTr="00941486">
        <w:tc>
          <w:tcPr>
            <w:tcW w:w="3675" w:type="dxa"/>
            <w:vAlign w:val="bottom"/>
          </w:tcPr>
          <w:p w14:paraId="5021C7EF" w14:textId="77777777" w:rsidR="00941486" w:rsidRPr="00F72367" w:rsidRDefault="00941486" w:rsidP="00941486">
            <w:pPr>
              <w:pStyle w:val="TableTextAR"/>
            </w:pPr>
            <w:r w:rsidRPr="00F72367">
              <w:t>Repair reports</w:t>
            </w:r>
          </w:p>
        </w:tc>
        <w:tc>
          <w:tcPr>
            <w:tcW w:w="1988" w:type="dxa"/>
          </w:tcPr>
          <w:p w14:paraId="5021C7F0" w14:textId="77777777" w:rsidR="00941486" w:rsidRPr="00F72367" w:rsidRDefault="00941486" w:rsidP="00941486">
            <w:pPr>
              <w:pStyle w:val="TableTextAR"/>
              <w:jc w:val="right"/>
            </w:pPr>
            <w:r w:rsidRPr="00F72367">
              <w:t>1,177</w:t>
            </w:r>
          </w:p>
        </w:tc>
        <w:tc>
          <w:tcPr>
            <w:tcW w:w="1988" w:type="dxa"/>
            <w:vAlign w:val="bottom"/>
          </w:tcPr>
          <w:p w14:paraId="5021C7F1" w14:textId="77777777" w:rsidR="00941486" w:rsidRPr="00F72367" w:rsidRDefault="00941486" w:rsidP="00941486">
            <w:pPr>
              <w:pStyle w:val="TableTextAR"/>
              <w:jc w:val="right"/>
            </w:pPr>
            <w:r w:rsidRPr="00F72367">
              <w:t>1,106</w:t>
            </w:r>
          </w:p>
        </w:tc>
        <w:tc>
          <w:tcPr>
            <w:tcW w:w="1988" w:type="dxa"/>
          </w:tcPr>
          <w:p w14:paraId="5021C7F2" w14:textId="77777777" w:rsidR="00941486" w:rsidRPr="00F72367" w:rsidRDefault="00941486" w:rsidP="00941486">
            <w:pPr>
              <w:pStyle w:val="TableTextAR"/>
              <w:jc w:val="right"/>
            </w:pPr>
            <w:r w:rsidRPr="00F72367">
              <w:t>936</w:t>
            </w:r>
          </w:p>
        </w:tc>
      </w:tr>
      <w:tr w:rsidR="00941486" w:rsidRPr="00F72367" w14:paraId="5021C7F8" w14:textId="77777777" w:rsidTr="00941486">
        <w:tc>
          <w:tcPr>
            <w:tcW w:w="3675" w:type="dxa"/>
            <w:vAlign w:val="bottom"/>
          </w:tcPr>
          <w:p w14:paraId="5021C7F4" w14:textId="77777777" w:rsidR="00941486" w:rsidRPr="00F72367" w:rsidRDefault="00941486" w:rsidP="00941486">
            <w:pPr>
              <w:pStyle w:val="TableTextAR"/>
            </w:pPr>
            <w:r w:rsidRPr="00F72367">
              <w:t xml:space="preserve">Goods left behind </w:t>
            </w:r>
          </w:p>
        </w:tc>
        <w:tc>
          <w:tcPr>
            <w:tcW w:w="1988" w:type="dxa"/>
          </w:tcPr>
          <w:p w14:paraId="5021C7F5" w14:textId="77777777" w:rsidR="00941486" w:rsidRPr="00F72367" w:rsidRDefault="00941486" w:rsidP="00941486">
            <w:pPr>
              <w:pStyle w:val="TableTextAR"/>
              <w:jc w:val="right"/>
            </w:pPr>
            <w:r w:rsidRPr="00F72367">
              <w:t>4,193</w:t>
            </w:r>
          </w:p>
        </w:tc>
        <w:tc>
          <w:tcPr>
            <w:tcW w:w="1988" w:type="dxa"/>
            <w:vAlign w:val="bottom"/>
          </w:tcPr>
          <w:p w14:paraId="5021C7F6" w14:textId="77777777" w:rsidR="00941486" w:rsidRPr="00F72367" w:rsidRDefault="00941486" w:rsidP="00941486">
            <w:pPr>
              <w:pStyle w:val="TableTextAR"/>
              <w:jc w:val="right"/>
            </w:pPr>
            <w:r w:rsidRPr="00F72367">
              <w:t>4,130</w:t>
            </w:r>
          </w:p>
        </w:tc>
        <w:tc>
          <w:tcPr>
            <w:tcW w:w="1988" w:type="dxa"/>
          </w:tcPr>
          <w:p w14:paraId="5021C7F7" w14:textId="77777777" w:rsidR="00941486" w:rsidRPr="00F72367" w:rsidRDefault="00941486" w:rsidP="00941486">
            <w:pPr>
              <w:pStyle w:val="TableTextAR"/>
              <w:jc w:val="right"/>
            </w:pPr>
            <w:r w:rsidRPr="00F72367">
              <w:t>3,885</w:t>
            </w:r>
          </w:p>
        </w:tc>
      </w:tr>
      <w:tr w:rsidR="00941486" w:rsidRPr="00F72367" w14:paraId="5021C7FD" w14:textId="77777777" w:rsidTr="00941486">
        <w:tc>
          <w:tcPr>
            <w:tcW w:w="3675" w:type="dxa"/>
            <w:vAlign w:val="bottom"/>
          </w:tcPr>
          <w:p w14:paraId="5021C7F9" w14:textId="77777777" w:rsidR="00941486" w:rsidRPr="00F72367" w:rsidRDefault="00941486" w:rsidP="00941486">
            <w:pPr>
              <w:pStyle w:val="TableTextAR"/>
            </w:pPr>
            <w:r w:rsidRPr="00F72367">
              <w:t xml:space="preserve">Rental reports </w:t>
            </w:r>
          </w:p>
        </w:tc>
        <w:tc>
          <w:tcPr>
            <w:tcW w:w="1988" w:type="dxa"/>
          </w:tcPr>
          <w:p w14:paraId="5021C7FA" w14:textId="77777777" w:rsidR="00941486" w:rsidRPr="00F72367" w:rsidRDefault="00941486" w:rsidP="00941486">
            <w:pPr>
              <w:pStyle w:val="TableTextAR"/>
              <w:jc w:val="right"/>
            </w:pPr>
            <w:r w:rsidRPr="00F72367">
              <w:t>1,223</w:t>
            </w:r>
          </w:p>
        </w:tc>
        <w:tc>
          <w:tcPr>
            <w:tcW w:w="1988" w:type="dxa"/>
            <w:vAlign w:val="bottom"/>
          </w:tcPr>
          <w:p w14:paraId="5021C7FB" w14:textId="77777777" w:rsidR="00941486" w:rsidRPr="00F72367" w:rsidRDefault="00941486" w:rsidP="00941486">
            <w:pPr>
              <w:pStyle w:val="TableTextAR"/>
              <w:jc w:val="right"/>
            </w:pPr>
            <w:r w:rsidRPr="00F72367">
              <w:t>1,052</w:t>
            </w:r>
          </w:p>
        </w:tc>
        <w:tc>
          <w:tcPr>
            <w:tcW w:w="1988" w:type="dxa"/>
          </w:tcPr>
          <w:p w14:paraId="5021C7FC" w14:textId="77777777" w:rsidR="00941486" w:rsidRPr="00F72367" w:rsidRDefault="00941486" w:rsidP="00941486">
            <w:pPr>
              <w:pStyle w:val="TableTextAR"/>
              <w:jc w:val="right"/>
            </w:pPr>
            <w:r w:rsidRPr="00F72367">
              <w:t>1,115</w:t>
            </w:r>
          </w:p>
        </w:tc>
      </w:tr>
    </w:tbl>
    <w:p w14:paraId="5021C7FE" w14:textId="77777777" w:rsidR="00941486" w:rsidRPr="00F72367" w:rsidRDefault="00941486" w:rsidP="004063AE">
      <w:pPr>
        <w:pStyle w:val="Heading2"/>
      </w:pPr>
      <w:bookmarkStart w:id="20" w:name="_Toc432081463"/>
      <w:r>
        <w:lastRenderedPageBreak/>
        <w:t>5</w:t>
      </w:r>
      <w:r>
        <w:tab/>
      </w:r>
      <w:r w:rsidRPr="00F72367">
        <w:t>A modern and effective consumer law framework</w:t>
      </w:r>
      <w:bookmarkEnd w:id="20"/>
    </w:p>
    <w:p w14:paraId="5021C7FF" w14:textId="77777777" w:rsidR="00941486" w:rsidRPr="00F72367" w:rsidRDefault="00941486" w:rsidP="00941486">
      <w:pPr>
        <w:pStyle w:val="BodyAR"/>
        <w:rPr>
          <w:lang w:eastAsia="en-US"/>
        </w:rPr>
      </w:pPr>
      <w:r w:rsidRPr="00F72367">
        <w:rPr>
          <w:rFonts w:cs="Calibri"/>
          <w:lang w:eastAsia="en-US"/>
        </w:rPr>
        <w:t>To be an effective regulator, our consumer law framework must continue to evolve with the changing market. We lead and participate in policy and legislative reviews, and work in partnership with other regulators and organisations, to ensure our consumer law framework supports a fair and competitive marketplace.</w:t>
      </w:r>
    </w:p>
    <w:p w14:paraId="5021C800" w14:textId="77777777" w:rsidR="00941486" w:rsidRPr="00F72367" w:rsidRDefault="00941486" w:rsidP="00711F83">
      <w:pPr>
        <w:pStyle w:val="Heading3"/>
      </w:pPr>
      <w:bookmarkStart w:id="21" w:name="_Toc432081464"/>
      <w:r w:rsidRPr="00F72367">
        <w:t>Acts and regulations passed</w:t>
      </w:r>
      <w:bookmarkEnd w:id="21"/>
    </w:p>
    <w:p w14:paraId="5021C801" w14:textId="77777777" w:rsidR="00941486" w:rsidRPr="00F72367" w:rsidRDefault="00941486" w:rsidP="00941486">
      <w:pPr>
        <w:pStyle w:val="BodyAR"/>
        <w:rPr>
          <w:lang w:eastAsia="en-US"/>
        </w:rPr>
      </w:pPr>
      <w:r w:rsidRPr="00F72367">
        <w:rPr>
          <w:rFonts w:cs="Calibri"/>
          <w:lang w:eastAsia="en-US"/>
        </w:rPr>
        <w:t>In 2014-15, we advised on legislative changes to improve consumer protection and remake regulations due to expire, or that no longer met the needs of Victorian businesses and consumers. These changes are detailed in the table below.</w:t>
      </w:r>
    </w:p>
    <w:p w14:paraId="5021C802" w14:textId="77777777" w:rsidR="00941486" w:rsidRPr="00F72367" w:rsidRDefault="00941486" w:rsidP="00E9076D">
      <w:pPr>
        <w:pStyle w:val="Heading4"/>
      </w:pPr>
      <w:r w:rsidRPr="00F72367">
        <w:t>Acts passed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2"/>
        <w:gridCol w:w="2847"/>
      </w:tblGrid>
      <w:tr w:rsidR="00941486" w:rsidRPr="00F72367" w14:paraId="5021C805" w14:textId="77777777" w:rsidTr="007F198F">
        <w:trPr>
          <w:tblHeader/>
        </w:trPr>
        <w:tc>
          <w:tcPr>
            <w:tcW w:w="6792" w:type="dxa"/>
            <w:shd w:val="clear" w:color="auto" w:fill="595959"/>
          </w:tcPr>
          <w:p w14:paraId="5021C803" w14:textId="77777777" w:rsidR="00941486" w:rsidRPr="00D11CFF" w:rsidRDefault="00941486" w:rsidP="00D11CFF">
            <w:pPr>
              <w:pStyle w:val="TableColumnHead"/>
            </w:pPr>
            <w:r w:rsidRPr="00D11CFF">
              <w:t>Name</w:t>
            </w:r>
          </w:p>
        </w:tc>
        <w:tc>
          <w:tcPr>
            <w:tcW w:w="2847" w:type="dxa"/>
            <w:shd w:val="clear" w:color="auto" w:fill="595959"/>
          </w:tcPr>
          <w:p w14:paraId="5021C804" w14:textId="77777777" w:rsidR="00941486" w:rsidRPr="00D11CFF" w:rsidRDefault="00941486" w:rsidP="00D11CFF">
            <w:pPr>
              <w:pStyle w:val="TableColumnHead"/>
              <w:jc w:val="right"/>
            </w:pPr>
            <w:r w:rsidRPr="00D11CFF">
              <w:t>Date of royal assent</w:t>
            </w:r>
          </w:p>
        </w:tc>
      </w:tr>
      <w:tr w:rsidR="00941486" w:rsidRPr="00F72367" w14:paraId="5021C808" w14:textId="77777777" w:rsidTr="00941486">
        <w:tc>
          <w:tcPr>
            <w:tcW w:w="6792" w:type="dxa"/>
          </w:tcPr>
          <w:p w14:paraId="5021C806" w14:textId="77777777" w:rsidR="00941486" w:rsidRPr="00F72367" w:rsidRDefault="00941486" w:rsidP="00941486">
            <w:pPr>
              <w:pStyle w:val="TableTextAR"/>
              <w:rPr>
                <w:rStyle w:val="Emphasis"/>
              </w:rPr>
            </w:pPr>
            <w:r w:rsidRPr="00F72367">
              <w:rPr>
                <w:rStyle w:val="Emphasis"/>
              </w:rPr>
              <w:t>Consumer Affairs Legislation Amendment Act 2014</w:t>
            </w:r>
          </w:p>
        </w:tc>
        <w:tc>
          <w:tcPr>
            <w:tcW w:w="2847" w:type="dxa"/>
          </w:tcPr>
          <w:p w14:paraId="5021C807" w14:textId="77777777" w:rsidR="00941486" w:rsidRPr="00F72367" w:rsidRDefault="00941486" w:rsidP="00D11CFF">
            <w:pPr>
              <w:pStyle w:val="TableTextAR"/>
              <w:jc w:val="right"/>
            </w:pPr>
            <w:r w:rsidRPr="00F72367">
              <w:t>12 August 2014</w:t>
            </w:r>
          </w:p>
        </w:tc>
      </w:tr>
      <w:tr w:rsidR="00941486" w:rsidRPr="00F72367" w14:paraId="5021C80B" w14:textId="77777777" w:rsidTr="00941486">
        <w:tc>
          <w:tcPr>
            <w:tcW w:w="6792" w:type="dxa"/>
          </w:tcPr>
          <w:p w14:paraId="5021C809" w14:textId="77777777" w:rsidR="00941486" w:rsidRPr="00F72367" w:rsidRDefault="00941486" w:rsidP="00941486">
            <w:pPr>
              <w:pStyle w:val="TableTextAR"/>
              <w:rPr>
                <w:rStyle w:val="Emphasis"/>
              </w:rPr>
            </w:pPr>
            <w:r w:rsidRPr="00F72367">
              <w:rPr>
                <w:rStyle w:val="Emphasis"/>
              </w:rPr>
              <w:t>Veterans and Other Acts Amendment Act 2015</w:t>
            </w:r>
          </w:p>
        </w:tc>
        <w:tc>
          <w:tcPr>
            <w:tcW w:w="2847" w:type="dxa"/>
          </w:tcPr>
          <w:p w14:paraId="5021C80A" w14:textId="77777777" w:rsidR="00941486" w:rsidRPr="00F72367" w:rsidRDefault="00941486" w:rsidP="00D11CFF">
            <w:pPr>
              <w:pStyle w:val="TableTextAR"/>
              <w:jc w:val="right"/>
            </w:pPr>
            <w:r w:rsidRPr="00F72367">
              <w:t>21 April 2015</w:t>
            </w:r>
          </w:p>
        </w:tc>
      </w:tr>
    </w:tbl>
    <w:p w14:paraId="5021C80C" w14:textId="77777777" w:rsidR="00941486" w:rsidRPr="00F72367" w:rsidRDefault="00941486" w:rsidP="00E9076D">
      <w:pPr>
        <w:pStyle w:val="Heading4"/>
      </w:pPr>
      <w:r w:rsidRPr="00F72367">
        <w:t>Regulations commenced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2"/>
        <w:gridCol w:w="2847"/>
      </w:tblGrid>
      <w:tr w:rsidR="00941486" w:rsidRPr="00F72367" w14:paraId="5021C80F" w14:textId="77777777" w:rsidTr="007F198F">
        <w:trPr>
          <w:tblHeader/>
        </w:trPr>
        <w:tc>
          <w:tcPr>
            <w:tcW w:w="6792" w:type="dxa"/>
            <w:shd w:val="clear" w:color="auto" w:fill="595959"/>
          </w:tcPr>
          <w:p w14:paraId="5021C80D" w14:textId="77777777" w:rsidR="00941486" w:rsidRPr="00D11CFF" w:rsidRDefault="00941486" w:rsidP="00D11CFF">
            <w:pPr>
              <w:pStyle w:val="TableColumnHead"/>
            </w:pPr>
            <w:r w:rsidRPr="00D11CFF">
              <w:t>Name</w:t>
            </w:r>
          </w:p>
        </w:tc>
        <w:tc>
          <w:tcPr>
            <w:tcW w:w="2847" w:type="dxa"/>
            <w:shd w:val="clear" w:color="auto" w:fill="595959"/>
          </w:tcPr>
          <w:p w14:paraId="5021C80E" w14:textId="77777777" w:rsidR="00941486" w:rsidRPr="00D11CFF" w:rsidRDefault="00941486" w:rsidP="00D11CFF">
            <w:pPr>
              <w:pStyle w:val="TableColumnHead"/>
              <w:jc w:val="right"/>
            </w:pPr>
            <w:r w:rsidRPr="00D11CFF">
              <w:t>Date commenced</w:t>
            </w:r>
          </w:p>
        </w:tc>
      </w:tr>
      <w:tr w:rsidR="00941486" w:rsidRPr="00F72367" w14:paraId="5021C812" w14:textId="77777777" w:rsidTr="00941486">
        <w:tc>
          <w:tcPr>
            <w:tcW w:w="6792" w:type="dxa"/>
          </w:tcPr>
          <w:p w14:paraId="5021C810" w14:textId="77777777" w:rsidR="00941486" w:rsidRPr="00F72367" w:rsidRDefault="00941486" w:rsidP="00941486">
            <w:pPr>
              <w:pStyle w:val="TableTextAR"/>
              <w:rPr>
                <w:sz w:val="20"/>
              </w:rPr>
            </w:pPr>
            <w:r w:rsidRPr="00F72367">
              <w:rPr>
                <w:sz w:val="20"/>
              </w:rPr>
              <w:t>Sex Work (Fees) Regulations 2014</w:t>
            </w:r>
          </w:p>
        </w:tc>
        <w:tc>
          <w:tcPr>
            <w:tcW w:w="2847" w:type="dxa"/>
          </w:tcPr>
          <w:p w14:paraId="5021C811" w14:textId="77777777" w:rsidR="00941486" w:rsidRPr="00F72367" w:rsidRDefault="00941486" w:rsidP="00D11CFF">
            <w:pPr>
              <w:pStyle w:val="TableTextAR"/>
              <w:jc w:val="right"/>
            </w:pPr>
            <w:r w:rsidRPr="00F72367">
              <w:t>1 July 2014</w:t>
            </w:r>
          </w:p>
        </w:tc>
      </w:tr>
      <w:tr w:rsidR="00941486" w:rsidRPr="00F72367" w14:paraId="5021C815" w14:textId="77777777" w:rsidTr="00941486">
        <w:tc>
          <w:tcPr>
            <w:tcW w:w="6792" w:type="dxa"/>
          </w:tcPr>
          <w:p w14:paraId="5021C813" w14:textId="77777777" w:rsidR="00941486" w:rsidRPr="00F72367" w:rsidRDefault="00941486" w:rsidP="00941486">
            <w:pPr>
              <w:pStyle w:val="TableTextAR"/>
              <w:rPr>
                <w:sz w:val="20"/>
              </w:rPr>
            </w:pPr>
            <w:r w:rsidRPr="00F72367">
              <w:rPr>
                <w:sz w:val="20"/>
              </w:rPr>
              <w:t>Estate Agents (Contracts) Amendment Regulations 2014</w:t>
            </w:r>
          </w:p>
        </w:tc>
        <w:tc>
          <w:tcPr>
            <w:tcW w:w="2847" w:type="dxa"/>
          </w:tcPr>
          <w:p w14:paraId="5021C814" w14:textId="77777777" w:rsidR="00941486" w:rsidRPr="00F72367" w:rsidRDefault="00941486" w:rsidP="00D11CFF">
            <w:pPr>
              <w:pStyle w:val="TableTextAR"/>
              <w:jc w:val="right"/>
            </w:pPr>
            <w:r w:rsidRPr="00F72367">
              <w:t>1 October 2014</w:t>
            </w:r>
          </w:p>
        </w:tc>
      </w:tr>
      <w:tr w:rsidR="00941486" w:rsidRPr="00F72367" w14:paraId="5021C818" w14:textId="77777777" w:rsidTr="00941486">
        <w:tc>
          <w:tcPr>
            <w:tcW w:w="6792" w:type="dxa"/>
          </w:tcPr>
          <w:p w14:paraId="5021C816" w14:textId="77777777" w:rsidR="00941486" w:rsidRPr="00F72367" w:rsidRDefault="00941486" w:rsidP="00941486">
            <w:pPr>
              <w:pStyle w:val="TableTextAR"/>
              <w:rPr>
                <w:sz w:val="20"/>
              </w:rPr>
            </w:pPr>
            <w:r w:rsidRPr="00F72367">
              <w:rPr>
                <w:sz w:val="20"/>
              </w:rPr>
              <w:t>Owners Corporations Amendment Regulations 2014</w:t>
            </w:r>
          </w:p>
        </w:tc>
        <w:tc>
          <w:tcPr>
            <w:tcW w:w="2847" w:type="dxa"/>
          </w:tcPr>
          <w:p w14:paraId="5021C817" w14:textId="77777777" w:rsidR="00941486" w:rsidRPr="00F72367" w:rsidRDefault="00941486" w:rsidP="00D11CFF">
            <w:pPr>
              <w:pStyle w:val="TableTextAR"/>
              <w:jc w:val="right"/>
            </w:pPr>
            <w:r w:rsidRPr="00F72367">
              <w:t>1 October 2014</w:t>
            </w:r>
          </w:p>
        </w:tc>
      </w:tr>
      <w:tr w:rsidR="00941486" w:rsidRPr="00F72367" w14:paraId="5021C81B" w14:textId="77777777" w:rsidTr="00941486">
        <w:tc>
          <w:tcPr>
            <w:tcW w:w="6792" w:type="dxa"/>
          </w:tcPr>
          <w:p w14:paraId="5021C819" w14:textId="77777777" w:rsidR="00941486" w:rsidRPr="00F72367" w:rsidRDefault="00941486" w:rsidP="00941486">
            <w:pPr>
              <w:pStyle w:val="TableTextAR"/>
              <w:rPr>
                <w:sz w:val="20"/>
              </w:rPr>
            </w:pPr>
            <w:r w:rsidRPr="00F72367">
              <w:rPr>
                <w:sz w:val="20"/>
              </w:rPr>
              <w:t>Residential Tenancies Amendment (Prescribed Rating for Replacement Water Appliances) Regulations 2014</w:t>
            </w:r>
          </w:p>
        </w:tc>
        <w:tc>
          <w:tcPr>
            <w:tcW w:w="2847" w:type="dxa"/>
          </w:tcPr>
          <w:p w14:paraId="5021C81A" w14:textId="77777777" w:rsidR="00941486" w:rsidRPr="00F72367" w:rsidRDefault="00941486" w:rsidP="00D11CFF">
            <w:pPr>
              <w:pStyle w:val="TableTextAR"/>
              <w:jc w:val="right"/>
            </w:pPr>
            <w:r w:rsidRPr="00F72367">
              <w:t>1 October 2014</w:t>
            </w:r>
          </w:p>
        </w:tc>
      </w:tr>
      <w:tr w:rsidR="00941486" w:rsidRPr="00F72367" w14:paraId="5021C81E" w14:textId="77777777" w:rsidTr="00941486">
        <w:tc>
          <w:tcPr>
            <w:tcW w:w="6792" w:type="dxa"/>
          </w:tcPr>
          <w:p w14:paraId="5021C81C" w14:textId="77777777" w:rsidR="00941486" w:rsidRPr="00F72367" w:rsidRDefault="00941486" w:rsidP="00941486">
            <w:pPr>
              <w:pStyle w:val="TableTextAR"/>
              <w:rPr>
                <w:sz w:val="20"/>
              </w:rPr>
            </w:pPr>
            <w:r w:rsidRPr="00F72367">
              <w:rPr>
                <w:sz w:val="20"/>
              </w:rPr>
              <w:t>Sale of Land (Infringements) Regulations 2014</w:t>
            </w:r>
          </w:p>
        </w:tc>
        <w:tc>
          <w:tcPr>
            <w:tcW w:w="2847" w:type="dxa"/>
          </w:tcPr>
          <w:p w14:paraId="5021C81D" w14:textId="77777777" w:rsidR="00941486" w:rsidRPr="00F72367" w:rsidRDefault="00941486" w:rsidP="00D11CFF">
            <w:pPr>
              <w:pStyle w:val="TableTextAR"/>
              <w:jc w:val="right"/>
            </w:pPr>
            <w:r w:rsidRPr="00F72367">
              <w:t>1 October 2014</w:t>
            </w:r>
          </w:p>
        </w:tc>
      </w:tr>
      <w:tr w:rsidR="00941486" w:rsidRPr="00F72367" w14:paraId="5021C821" w14:textId="77777777" w:rsidTr="00941486">
        <w:tc>
          <w:tcPr>
            <w:tcW w:w="6792" w:type="dxa"/>
          </w:tcPr>
          <w:p w14:paraId="5021C81F" w14:textId="77777777" w:rsidR="00941486" w:rsidRPr="00F72367" w:rsidRDefault="00941486" w:rsidP="00941486">
            <w:pPr>
              <w:pStyle w:val="TableTextAR"/>
              <w:rPr>
                <w:sz w:val="20"/>
              </w:rPr>
            </w:pPr>
            <w:r w:rsidRPr="00F72367">
              <w:rPr>
                <w:sz w:val="20"/>
              </w:rPr>
              <w:t>Sale of Land (Public Auctions) Regulations 2014</w:t>
            </w:r>
          </w:p>
        </w:tc>
        <w:tc>
          <w:tcPr>
            <w:tcW w:w="2847" w:type="dxa"/>
          </w:tcPr>
          <w:p w14:paraId="5021C820" w14:textId="77777777" w:rsidR="00941486" w:rsidRPr="00F72367" w:rsidRDefault="00941486" w:rsidP="00D11CFF">
            <w:pPr>
              <w:pStyle w:val="TableTextAR"/>
              <w:jc w:val="right"/>
            </w:pPr>
            <w:r w:rsidRPr="00F72367">
              <w:t>1 October 2014</w:t>
            </w:r>
          </w:p>
        </w:tc>
      </w:tr>
      <w:tr w:rsidR="00941486" w:rsidRPr="00F72367" w14:paraId="5021C824" w14:textId="77777777" w:rsidTr="00941486">
        <w:tc>
          <w:tcPr>
            <w:tcW w:w="6792" w:type="dxa"/>
          </w:tcPr>
          <w:p w14:paraId="5021C822" w14:textId="77777777" w:rsidR="00941486" w:rsidRPr="00F72367" w:rsidRDefault="00941486" w:rsidP="00941486">
            <w:pPr>
              <w:pStyle w:val="TableTextAR"/>
              <w:rPr>
                <w:sz w:val="20"/>
              </w:rPr>
            </w:pPr>
            <w:r w:rsidRPr="00F72367">
              <w:rPr>
                <w:sz w:val="20"/>
              </w:rPr>
              <w:t>Estate Agents (General, Accounts and Audit) Amendment (Penalty and Infringements) Regulations 2014</w:t>
            </w:r>
          </w:p>
        </w:tc>
        <w:tc>
          <w:tcPr>
            <w:tcW w:w="2847" w:type="dxa"/>
          </w:tcPr>
          <w:p w14:paraId="5021C823" w14:textId="77777777" w:rsidR="00941486" w:rsidRPr="00F72367" w:rsidRDefault="00941486" w:rsidP="00D11CFF">
            <w:pPr>
              <w:pStyle w:val="TableTextAR"/>
              <w:jc w:val="right"/>
            </w:pPr>
            <w:r w:rsidRPr="00F72367">
              <w:t>7 October 2014</w:t>
            </w:r>
          </w:p>
        </w:tc>
      </w:tr>
      <w:tr w:rsidR="00941486" w:rsidRPr="00F72367" w14:paraId="5021C827" w14:textId="77777777" w:rsidTr="00941486">
        <w:tc>
          <w:tcPr>
            <w:tcW w:w="6792" w:type="dxa"/>
          </w:tcPr>
          <w:p w14:paraId="5021C825" w14:textId="77777777" w:rsidR="00941486" w:rsidRPr="00F72367" w:rsidRDefault="00941486" w:rsidP="00941486">
            <w:pPr>
              <w:pStyle w:val="TableTextAR"/>
              <w:rPr>
                <w:sz w:val="20"/>
              </w:rPr>
            </w:pPr>
            <w:r w:rsidRPr="00F72367">
              <w:rPr>
                <w:sz w:val="20"/>
              </w:rPr>
              <w:t>Motor Car Traders Amendment (Red Tape Reduction) Regulations 2014</w:t>
            </w:r>
          </w:p>
        </w:tc>
        <w:tc>
          <w:tcPr>
            <w:tcW w:w="2847" w:type="dxa"/>
          </w:tcPr>
          <w:p w14:paraId="5021C826" w14:textId="77777777" w:rsidR="00941486" w:rsidRPr="00F72367" w:rsidRDefault="00941486" w:rsidP="00D11CFF">
            <w:pPr>
              <w:pStyle w:val="TableTextAR"/>
              <w:jc w:val="right"/>
            </w:pPr>
            <w:r w:rsidRPr="00F72367">
              <w:t>3 November 2014</w:t>
            </w:r>
          </w:p>
        </w:tc>
      </w:tr>
      <w:tr w:rsidR="00941486" w:rsidRPr="00F72367" w14:paraId="5021C82A" w14:textId="77777777" w:rsidTr="00941486">
        <w:tc>
          <w:tcPr>
            <w:tcW w:w="6792" w:type="dxa"/>
          </w:tcPr>
          <w:p w14:paraId="5021C828" w14:textId="77777777" w:rsidR="00941486" w:rsidRPr="00F72367" w:rsidRDefault="00941486" w:rsidP="00941486">
            <w:pPr>
              <w:pStyle w:val="TableTextAR"/>
              <w:rPr>
                <w:sz w:val="20"/>
              </w:rPr>
            </w:pPr>
            <w:r w:rsidRPr="00F72367">
              <w:rPr>
                <w:sz w:val="20"/>
              </w:rPr>
              <w:t>Credit Regulations 2014</w:t>
            </w:r>
          </w:p>
        </w:tc>
        <w:tc>
          <w:tcPr>
            <w:tcW w:w="2847" w:type="dxa"/>
          </w:tcPr>
          <w:p w14:paraId="5021C829" w14:textId="77777777" w:rsidR="00941486" w:rsidRPr="00F72367" w:rsidRDefault="00941486" w:rsidP="00D11CFF">
            <w:pPr>
              <w:pStyle w:val="TableTextAR"/>
              <w:jc w:val="right"/>
            </w:pPr>
            <w:r w:rsidRPr="00F72367">
              <w:t>15 December 2014</w:t>
            </w:r>
          </w:p>
        </w:tc>
      </w:tr>
      <w:tr w:rsidR="00941486" w:rsidRPr="00F72367" w14:paraId="5021C82D" w14:textId="77777777" w:rsidTr="00941486">
        <w:tc>
          <w:tcPr>
            <w:tcW w:w="6792" w:type="dxa"/>
          </w:tcPr>
          <w:p w14:paraId="5021C82B" w14:textId="77777777" w:rsidR="00941486" w:rsidRPr="00F72367" w:rsidRDefault="00941486" w:rsidP="00941486">
            <w:pPr>
              <w:pStyle w:val="TableTextAR"/>
              <w:rPr>
                <w:sz w:val="20"/>
              </w:rPr>
            </w:pPr>
            <w:r w:rsidRPr="00F72367">
              <w:rPr>
                <w:sz w:val="20"/>
              </w:rPr>
              <w:t>Credit (Administration) Regulations 2014</w:t>
            </w:r>
          </w:p>
        </w:tc>
        <w:tc>
          <w:tcPr>
            <w:tcW w:w="2847" w:type="dxa"/>
          </w:tcPr>
          <w:p w14:paraId="5021C82C" w14:textId="77777777" w:rsidR="00941486" w:rsidRPr="00F72367" w:rsidRDefault="00941486" w:rsidP="00D11CFF">
            <w:pPr>
              <w:pStyle w:val="TableTextAR"/>
              <w:jc w:val="right"/>
            </w:pPr>
            <w:r w:rsidRPr="00F72367">
              <w:t>15 December 2014</w:t>
            </w:r>
          </w:p>
        </w:tc>
      </w:tr>
      <w:tr w:rsidR="00941486" w:rsidRPr="00F72367" w14:paraId="5021C830" w14:textId="77777777" w:rsidTr="00941486">
        <w:tc>
          <w:tcPr>
            <w:tcW w:w="6792" w:type="dxa"/>
          </w:tcPr>
          <w:p w14:paraId="5021C82E" w14:textId="77777777" w:rsidR="00941486" w:rsidRPr="00F72367" w:rsidRDefault="00941486" w:rsidP="00941486">
            <w:pPr>
              <w:pStyle w:val="TableTextAR"/>
              <w:rPr>
                <w:sz w:val="20"/>
              </w:rPr>
            </w:pPr>
            <w:r w:rsidRPr="00F72367">
              <w:rPr>
                <w:sz w:val="20"/>
              </w:rPr>
              <w:t>Associations Incorporation Reform Amendment (Privacy) Regulations 2015</w:t>
            </w:r>
          </w:p>
        </w:tc>
        <w:tc>
          <w:tcPr>
            <w:tcW w:w="2847" w:type="dxa"/>
          </w:tcPr>
          <w:p w14:paraId="5021C82F" w14:textId="77777777" w:rsidR="00941486" w:rsidRPr="00F72367" w:rsidRDefault="00941486" w:rsidP="00D11CFF">
            <w:pPr>
              <w:pStyle w:val="TableTextAR"/>
              <w:jc w:val="right"/>
            </w:pPr>
            <w:r w:rsidRPr="00F72367">
              <w:t>15 June 2015</w:t>
            </w:r>
          </w:p>
        </w:tc>
      </w:tr>
      <w:tr w:rsidR="00941486" w:rsidRPr="00F72367" w14:paraId="5021C833" w14:textId="77777777" w:rsidTr="00941486">
        <w:tc>
          <w:tcPr>
            <w:tcW w:w="6792" w:type="dxa"/>
          </w:tcPr>
          <w:p w14:paraId="5021C831" w14:textId="77777777" w:rsidR="00941486" w:rsidRPr="00F72367" w:rsidRDefault="00941486" w:rsidP="00941486">
            <w:pPr>
              <w:pStyle w:val="TableTextAR"/>
              <w:rPr>
                <w:sz w:val="20"/>
              </w:rPr>
            </w:pPr>
            <w:r w:rsidRPr="00F72367">
              <w:rPr>
                <w:sz w:val="20"/>
              </w:rPr>
              <w:t>Estate Agents (Exemption) Amendment Regulations 2015</w:t>
            </w:r>
          </w:p>
        </w:tc>
        <w:tc>
          <w:tcPr>
            <w:tcW w:w="2847" w:type="dxa"/>
          </w:tcPr>
          <w:p w14:paraId="5021C832" w14:textId="77777777" w:rsidR="00941486" w:rsidRPr="00F72367" w:rsidRDefault="00941486" w:rsidP="00D11CFF">
            <w:pPr>
              <w:pStyle w:val="TableTextAR"/>
              <w:jc w:val="right"/>
            </w:pPr>
            <w:r w:rsidRPr="00F72367">
              <w:t>16 June 2015</w:t>
            </w:r>
          </w:p>
        </w:tc>
      </w:tr>
    </w:tbl>
    <w:p w14:paraId="5021C834" w14:textId="77777777" w:rsidR="00941486" w:rsidRPr="00F72367" w:rsidRDefault="00941486" w:rsidP="00E9076D">
      <w:pPr>
        <w:pStyle w:val="Heading4"/>
      </w:pPr>
      <w:r w:rsidRPr="00F72367">
        <w:lastRenderedPageBreak/>
        <w:t>Regulations revoked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2"/>
        <w:gridCol w:w="2847"/>
      </w:tblGrid>
      <w:tr w:rsidR="00941486" w:rsidRPr="00F72367" w14:paraId="5021C837" w14:textId="77777777" w:rsidTr="007F198F">
        <w:trPr>
          <w:tblHeader/>
        </w:trPr>
        <w:tc>
          <w:tcPr>
            <w:tcW w:w="6792" w:type="dxa"/>
            <w:shd w:val="clear" w:color="auto" w:fill="595959"/>
          </w:tcPr>
          <w:p w14:paraId="5021C835" w14:textId="77777777" w:rsidR="00941486" w:rsidRPr="00BB59C9" w:rsidRDefault="00941486" w:rsidP="00BB59C9">
            <w:pPr>
              <w:pStyle w:val="TableColumnHead"/>
            </w:pPr>
            <w:r w:rsidRPr="00BB59C9">
              <w:t>Name</w:t>
            </w:r>
          </w:p>
        </w:tc>
        <w:tc>
          <w:tcPr>
            <w:tcW w:w="2847" w:type="dxa"/>
            <w:shd w:val="clear" w:color="auto" w:fill="595959"/>
          </w:tcPr>
          <w:p w14:paraId="5021C836" w14:textId="77777777" w:rsidR="00941486" w:rsidRPr="00BB59C9" w:rsidRDefault="00941486" w:rsidP="00BB59C9">
            <w:pPr>
              <w:pStyle w:val="TableColumnHead"/>
              <w:jc w:val="right"/>
            </w:pPr>
            <w:r w:rsidRPr="00BB59C9">
              <w:t>Date revoked</w:t>
            </w:r>
          </w:p>
        </w:tc>
      </w:tr>
      <w:tr w:rsidR="00941486" w:rsidRPr="00F72367" w14:paraId="5021C83A" w14:textId="77777777" w:rsidTr="00941486">
        <w:tc>
          <w:tcPr>
            <w:tcW w:w="6792" w:type="dxa"/>
          </w:tcPr>
          <w:p w14:paraId="5021C838" w14:textId="77777777" w:rsidR="00941486" w:rsidRPr="00F72367" w:rsidRDefault="00941486" w:rsidP="00941486">
            <w:pPr>
              <w:pStyle w:val="TableTextAR"/>
              <w:rPr>
                <w:sz w:val="20"/>
              </w:rPr>
            </w:pPr>
            <w:r w:rsidRPr="00F72367">
              <w:rPr>
                <w:sz w:val="20"/>
              </w:rPr>
              <w:t>Sex Work (Fees) Regulations 2004</w:t>
            </w:r>
          </w:p>
        </w:tc>
        <w:tc>
          <w:tcPr>
            <w:tcW w:w="2847" w:type="dxa"/>
          </w:tcPr>
          <w:p w14:paraId="5021C839" w14:textId="77777777" w:rsidR="00941486" w:rsidRPr="00F72367" w:rsidRDefault="00941486" w:rsidP="00D11CFF">
            <w:pPr>
              <w:pStyle w:val="TableTextAR"/>
              <w:jc w:val="right"/>
            </w:pPr>
            <w:r w:rsidRPr="00F72367">
              <w:t>1 July 2014</w:t>
            </w:r>
          </w:p>
        </w:tc>
      </w:tr>
      <w:tr w:rsidR="00941486" w:rsidRPr="00F72367" w14:paraId="5021C83D" w14:textId="77777777" w:rsidTr="00941486">
        <w:tc>
          <w:tcPr>
            <w:tcW w:w="6792" w:type="dxa"/>
          </w:tcPr>
          <w:p w14:paraId="5021C83B" w14:textId="77777777" w:rsidR="00941486" w:rsidRPr="00F72367" w:rsidRDefault="00941486" w:rsidP="00941486">
            <w:pPr>
              <w:pStyle w:val="TableTextAR"/>
              <w:rPr>
                <w:sz w:val="20"/>
              </w:rPr>
            </w:pPr>
            <w:r w:rsidRPr="00F72367">
              <w:rPr>
                <w:sz w:val="20"/>
              </w:rPr>
              <w:t>Sale of Land Regulations 2005</w:t>
            </w:r>
          </w:p>
        </w:tc>
        <w:tc>
          <w:tcPr>
            <w:tcW w:w="2847" w:type="dxa"/>
          </w:tcPr>
          <w:p w14:paraId="5021C83C" w14:textId="77777777" w:rsidR="00941486" w:rsidRPr="00F72367" w:rsidRDefault="00941486" w:rsidP="00D11CFF">
            <w:pPr>
              <w:pStyle w:val="TableTextAR"/>
              <w:jc w:val="right"/>
            </w:pPr>
            <w:r w:rsidRPr="00F72367">
              <w:t>1 October 2014</w:t>
            </w:r>
          </w:p>
        </w:tc>
      </w:tr>
    </w:tbl>
    <w:p w14:paraId="5021C83E" w14:textId="77777777" w:rsidR="00941486" w:rsidRPr="00F72367" w:rsidRDefault="00941486" w:rsidP="00711F83">
      <w:pPr>
        <w:pStyle w:val="Heading3"/>
      </w:pPr>
      <w:bookmarkStart w:id="22" w:name="_Toc432081465"/>
      <w:r w:rsidRPr="00F72367">
        <w:t xml:space="preserve">Legislation administered </w:t>
      </w:r>
      <w:r>
        <w:t>by Consumer Affairs Victoria as at 30 June 2015</w:t>
      </w:r>
      <w:bookmarkEnd w:id="22"/>
    </w:p>
    <w:p w14:paraId="5021C83F" w14:textId="77777777" w:rsidR="00941486" w:rsidRPr="00F72367" w:rsidRDefault="00941486" w:rsidP="00941486">
      <w:pPr>
        <w:pStyle w:val="BodyAR"/>
        <w:rPr>
          <w:rStyle w:val="Emphasis"/>
        </w:rPr>
      </w:pPr>
      <w:r w:rsidRPr="00F72367">
        <w:rPr>
          <w:rStyle w:val="Emphasis"/>
        </w:rPr>
        <w:t>Associations Incorporation Reform Act 2012</w:t>
      </w:r>
    </w:p>
    <w:p w14:paraId="5021C840" w14:textId="77777777" w:rsidR="00941486" w:rsidRPr="00F72367" w:rsidRDefault="00941486" w:rsidP="00941486">
      <w:pPr>
        <w:pStyle w:val="BodyAR"/>
        <w:rPr>
          <w:rStyle w:val="Emphasis"/>
        </w:rPr>
      </w:pPr>
      <w:r w:rsidRPr="00F72367">
        <w:rPr>
          <w:rStyle w:val="Emphasis"/>
        </w:rPr>
        <w:t>Australian Consumer Law and Fair Trading Act 2012</w:t>
      </w:r>
    </w:p>
    <w:p w14:paraId="5021C841" w14:textId="77777777" w:rsidR="00941486" w:rsidRPr="00F72367" w:rsidRDefault="00941486" w:rsidP="00941486">
      <w:pPr>
        <w:pStyle w:val="BodyAR"/>
        <w:rPr>
          <w:rStyle w:val="Emphasis"/>
        </w:rPr>
      </w:pPr>
      <w:r w:rsidRPr="00F72367">
        <w:rPr>
          <w:rStyle w:val="Emphasis"/>
        </w:rPr>
        <w:t>Business Licencing Authority Act 1998</w:t>
      </w:r>
    </w:p>
    <w:p w14:paraId="5021C842" w14:textId="77777777" w:rsidR="00941486" w:rsidRPr="00F72367" w:rsidRDefault="00941486" w:rsidP="00941486">
      <w:pPr>
        <w:pStyle w:val="BodyAR"/>
        <w:rPr>
          <w:rStyle w:val="Emphasis"/>
        </w:rPr>
      </w:pPr>
      <w:r w:rsidRPr="00F72367">
        <w:rPr>
          <w:rStyle w:val="Emphasis"/>
        </w:rPr>
        <w:t>Business Names (Commonwealth Powers) Act 2011</w:t>
      </w:r>
    </w:p>
    <w:p w14:paraId="5021C843" w14:textId="77777777" w:rsidR="00941486" w:rsidRPr="00F72367" w:rsidRDefault="00941486" w:rsidP="00941486">
      <w:pPr>
        <w:pStyle w:val="BodyAR"/>
        <w:rPr>
          <w:rStyle w:val="Emphasis"/>
        </w:rPr>
      </w:pPr>
      <w:r w:rsidRPr="00F72367">
        <w:rPr>
          <w:rStyle w:val="Emphasis"/>
        </w:rPr>
        <w:t>Chattel Securities Act 1987</w:t>
      </w:r>
    </w:p>
    <w:p w14:paraId="5021C844" w14:textId="77777777" w:rsidR="00941486" w:rsidRPr="00F72367" w:rsidRDefault="00941486" w:rsidP="00941486">
      <w:pPr>
        <w:pStyle w:val="BodyAR"/>
        <w:rPr>
          <w:rStyle w:val="Emphasis"/>
        </w:rPr>
      </w:pPr>
      <w:r w:rsidRPr="00F72367">
        <w:rPr>
          <w:rStyle w:val="Emphasis"/>
        </w:rPr>
        <w:t>Company Titles (Home Units) Act 2013</w:t>
      </w:r>
    </w:p>
    <w:p w14:paraId="5021C845" w14:textId="77777777" w:rsidR="00941486" w:rsidRPr="00F72367" w:rsidRDefault="00941486" w:rsidP="00941486">
      <w:pPr>
        <w:pStyle w:val="BodyAR"/>
        <w:rPr>
          <w:rStyle w:val="Emphasis"/>
        </w:rPr>
      </w:pPr>
      <w:r w:rsidRPr="00F72367">
        <w:rPr>
          <w:rStyle w:val="Emphasis"/>
        </w:rPr>
        <w:t>Consumer Credit (Victoria) Act 1995</w:t>
      </w:r>
    </w:p>
    <w:p w14:paraId="5021C846" w14:textId="77777777" w:rsidR="00941486" w:rsidRPr="00F72367" w:rsidRDefault="00941486" w:rsidP="00941486">
      <w:pPr>
        <w:pStyle w:val="BodyAR"/>
        <w:rPr>
          <w:rStyle w:val="Emphasis"/>
        </w:rPr>
      </w:pPr>
      <w:r w:rsidRPr="00F72367">
        <w:rPr>
          <w:rStyle w:val="Emphasis"/>
        </w:rPr>
        <w:t>Conveyancers Act 2006</w:t>
      </w:r>
    </w:p>
    <w:p w14:paraId="5021C847" w14:textId="77777777" w:rsidR="00941486" w:rsidRPr="00F72367" w:rsidRDefault="00941486" w:rsidP="00941486">
      <w:pPr>
        <w:pStyle w:val="BodyAR"/>
        <w:rPr>
          <w:rStyle w:val="Emphasis"/>
        </w:rPr>
      </w:pPr>
      <w:r w:rsidRPr="00F72367">
        <w:rPr>
          <w:rStyle w:val="Emphasis"/>
        </w:rPr>
        <w:t>Co-operatives National Law Application Act 2013</w:t>
      </w:r>
    </w:p>
    <w:p w14:paraId="5021C848" w14:textId="77777777" w:rsidR="00941486" w:rsidRPr="00F72367" w:rsidRDefault="00941486" w:rsidP="00941486">
      <w:pPr>
        <w:pStyle w:val="BodyAR"/>
        <w:rPr>
          <w:rStyle w:val="Emphasis"/>
        </w:rPr>
      </w:pPr>
      <w:r w:rsidRPr="00F72367">
        <w:rPr>
          <w:rStyle w:val="Emphasis"/>
        </w:rPr>
        <w:t>Credit Act 1984</w:t>
      </w:r>
    </w:p>
    <w:p w14:paraId="5021C849" w14:textId="77777777" w:rsidR="00941486" w:rsidRPr="00F72367" w:rsidRDefault="00941486" w:rsidP="00941486">
      <w:pPr>
        <w:pStyle w:val="BodyAR"/>
        <w:rPr>
          <w:rStyle w:val="Emphasis"/>
        </w:rPr>
      </w:pPr>
      <w:r w:rsidRPr="00F72367">
        <w:rPr>
          <w:rStyle w:val="Emphasis"/>
        </w:rPr>
        <w:t>Credit (Administration) Act 1984</w:t>
      </w:r>
    </w:p>
    <w:p w14:paraId="5021C84A" w14:textId="77777777" w:rsidR="00941486" w:rsidRPr="00F72367" w:rsidRDefault="00941486" w:rsidP="00941486">
      <w:pPr>
        <w:pStyle w:val="BodyAR"/>
        <w:rPr>
          <w:rStyle w:val="Emphasis"/>
        </w:rPr>
      </w:pPr>
      <w:r w:rsidRPr="00F72367">
        <w:rPr>
          <w:rStyle w:val="Emphasis"/>
        </w:rPr>
        <w:t>Credit (Commonwealth Powers) Act 2010</w:t>
      </w:r>
    </w:p>
    <w:p w14:paraId="5021C84B" w14:textId="77777777" w:rsidR="00941486" w:rsidRPr="00F72367" w:rsidRDefault="00941486" w:rsidP="00941486">
      <w:pPr>
        <w:pStyle w:val="BodyAR"/>
        <w:rPr>
          <w:rStyle w:val="Emphasis"/>
        </w:rPr>
      </w:pPr>
      <w:r w:rsidRPr="00F72367">
        <w:rPr>
          <w:rStyle w:val="Emphasis"/>
        </w:rPr>
        <w:t>Domestic Building Contracts Act 1995 – except Part 5 (administered by the Attorney General)</w:t>
      </w:r>
    </w:p>
    <w:p w14:paraId="5021C84C" w14:textId="77777777" w:rsidR="00941486" w:rsidRPr="00F72367" w:rsidRDefault="00941486" w:rsidP="00941486">
      <w:pPr>
        <w:pStyle w:val="BodyAR"/>
        <w:rPr>
          <w:rStyle w:val="Emphasis"/>
        </w:rPr>
      </w:pPr>
      <w:r w:rsidRPr="00F72367">
        <w:rPr>
          <w:rStyle w:val="Emphasis"/>
        </w:rPr>
        <w:t>Estate Agents Act 1980</w:t>
      </w:r>
    </w:p>
    <w:p w14:paraId="5021C84D" w14:textId="77777777" w:rsidR="00941486" w:rsidRPr="00F72367" w:rsidRDefault="00941486" w:rsidP="00941486">
      <w:pPr>
        <w:pStyle w:val="BodyAR"/>
        <w:rPr>
          <w:rStyle w:val="Emphasis"/>
        </w:rPr>
      </w:pPr>
      <w:r w:rsidRPr="00F72367">
        <w:rPr>
          <w:rStyle w:val="Emphasis"/>
        </w:rPr>
        <w:t>Fundraising Act 1998</w:t>
      </w:r>
    </w:p>
    <w:p w14:paraId="5021C84E" w14:textId="77777777" w:rsidR="00941486" w:rsidRPr="00F72367" w:rsidRDefault="00941486" w:rsidP="00941486">
      <w:pPr>
        <w:pStyle w:val="BodyAR"/>
        <w:rPr>
          <w:rStyle w:val="Emphasis"/>
        </w:rPr>
      </w:pPr>
      <w:r w:rsidRPr="00F72367">
        <w:rPr>
          <w:rStyle w:val="Emphasis"/>
        </w:rPr>
        <w:t>Funerals Act 2006</w:t>
      </w:r>
    </w:p>
    <w:p w14:paraId="5021C84F" w14:textId="77777777" w:rsidR="00941486" w:rsidRPr="00F72367" w:rsidRDefault="00941486" w:rsidP="00941486">
      <w:pPr>
        <w:pStyle w:val="BodyAR"/>
        <w:rPr>
          <w:rStyle w:val="Emphasis"/>
        </w:rPr>
      </w:pPr>
      <w:r w:rsidRPr="00F72367">
        <w:rPr>
          <w:rStyle w:val="Emphasis"/>
        </w:rPr>
        <w:t>Goods Act 1958</w:t>
      </w:r>
    </w:p>
    <w:p w14:paraId="5021C850" w14:textId="77777777" w:rsidR="00941486" w:rsidRPr="00F72367" w:rsidRDefault="00941486" w:rsidP="00941486">
      <w:pPr>
        <w:pStyle w:val="BodyAR"/>
        <w:rPr>
          <w:rStyle w:val="Emphasis"/>
        </w:rPr>
      </w:pPr>
      <w:r w:rsidRPr="00F72367">
        <w:rPr>
          <w:rStyle w:val="Emphasis"/>
        </w:rPr>
        <w:t>Motor Car Traders Act 1986</w:t>
      </w:r>
    </w:p>
    <w:p w14:paraId="5021C851" w14:textId="77777777" w:rsidR="00941486" w:rsidRPr="00F72367" w:rsidRDefault="00941486" w:rsidP="00941486">
      <w:pPr>
        <w:pStyle w:val="BodyAR"/>
        <w:rPr>
          <w:rStyle w:val="Emphasis"/>
        </w:rPr>
      </w:pPr>
      <w:r w:rsidRPr="00F72367">
        <w:rPr>
          <w:rStyle w:val="Emphasis"/>
        </w:rPr>
        <w:t>Owners Corporations Act 2006</w:t>
      </w:r>
    </w:p>
    <w:p w14:paraId="5021C852" w14:textId="77777777" w:rsidR="00941486" w:rsidRPr="00F72367" w:rsidRDefault="00941486" w:rsidP="00941486">
      <w:pPr>
        <w:pStyle w:val="BodyAR"/>
        <w:rPr>
          <w:rStyle w:val="Emphasis"/>
        </w:rPr>
      </w:pPr>
      <w:r w:rsidRPr="00F72367">
        <w:rPr>
          <w:rStyle w:val="Emphasis"/>
        </w:rPr>
        <w:t>Partnership Act 1958</w:t>
      </w:r>
    </w:p>
    <w:p w14:paraId="5021C853" w14:textId="77777777" w:rsidR="00941486" w:rsidRPr="00F72367" w:rsidRDefault="00941486" w:rsidP="00941486">
      <w:pPr>
        <w:pStyle w:val="BodyAR"/>
        <w:rPr>
          <w:rStyle w:val="Emphasis"/>
        </w:rPr>
      </w:pPr>
      <w:r w:rsidRPr="00F72367">
        <w:rPr>
          <w:rStyle w:val="Emphasis"/>
        </w:rPr>
        <w:t>Residential Tenancies Act 1997:</w:t>
      </w:r>
    </w:p>
    <w:p w14:paraId="5021C854" w14:textId="77777777" w:rsidR="00941486" w:rsidRPr="00F72367" w:rsidRDefault="00941486" w:rsidP="00941486">
      <w:pPr>
        <w:pStyle w:val="ListBullet"/>
      </w:pPr>
      <w:r w:rsidRPr="00F72367">
        <w:t>Sections 23A-25, 27, 32-33, 45-48, 74-77, 82, 90, 91, 91A 102, 102A, 103, 104(1), 104(4), 104(5), 104(6), 105(2), 105(2A), 105(3), 124, 128, 130-134, 141-142B, 142D-212, 213AA-215, 230, 232-234, 241, 277, 289A, 291-327, 329-333, 335-339, 341, 343-366, 373-376, 385, 388, 388A, 390, 390A, 395-398, 399A-439M, 480, 486-499, 501-504, 505A-510C and 511.</w:t>
      </w:r>
    </w:p>
    <w:p w14:paraId="5021C855" w14:textId="77777777" w:rsidR="00941486" w:rsidRPr="00F72367" w:rsidRDefault="00941486" w:rsidP="00941486">
      <w:pPr>
        <w:pStyle w:val="ListBullet"/>
      </w:pPr>
      <w:r w:rsidRPr="00F72367">
        <w:t>Section 66(1) jointly administered with Minister for Housing, Disability and Ageing)</w:t>
      </w:r>
    </w:p>
    <w:p w14:paraId="5021C856" w14:textId="77777777" w:rsidR="00941486" w:rsidRPr="00F72367" w:rsidRDefault="00941486" w:rsidP="00941486">
      <w:pPr>
        <w:pStyle w:val="ListBullet"/>
      </w:pPr>
      <w:r w:rsidRPr="00F72367">
        <w:t>The RTA is otherwise administered by the Attorney General, Minister for Housing, Disability and Ageing and the Minister for Planning.</w:t>
      </w:r>
    </w:p>
    <w:p w14:paraId="5021C857" w14:textId="77777777" w:rsidR="00941486" w:rsidRPr="00F72367" w:rsidRDefault="00941486" w:rsidP="00941486">
      <w:pPr>
        <w:pStyle w:val="BodyAR"/>
        <w:rPr>
          <w:rStyle w:val="Emphasis"/>
        </w:rPr>
      </w:pPr>
      <w:r w:rsidRPr="00F72367">
        <w:rPr>
          <w:rStyle w:val="Emphasis"/>
        </w:rPr>
        <w:lastRenderedPageBreak/>
        <w:t>Retirement Villages Act 1986</w:t>
      </w:r>
    </w:p>
    <w:p w14:paraId="5021C858" w14:textId="77777777" w:rsidR="00941486" w:rsidRPr="00F72367" w:rsidRDefault="00941486" w:rsidP="00941486">
      <w:pPr>
        <w:pStyle w:val="BodyAR"/>
        <w:rPr>
          <w:rStyle w:val="Emphasis"/>
        </w:rPr>
      </w:pPr>
      <w:r w:rsidRPr="00F72367">
        <w:rPr>
          <w:rStyle w:val="Emphasis"/>
        </w:rPr>
        <w:t>Sale of Land Act 1962</w:t>
      </w:r>
    </w:p>
    <w:p w14:paraId="5021C859" w14:textId="77777777" w:rsidR="00941486" w:rsidRPr="00F72367" w:rsidRDefault="00941486" w:rsidP="00941486">
      <w:pPr>
        <w:pStyle w:val="BodyAR"/>
        <w:rPr>
          <w:rStyle w:val="Emphasis"/>
        </w:rPr>
      </w:pPr>
      <w:r w:rsidRPr="00F72367">
        <w:rPr>
          <w:rStyle w:val="Emphasis"/>
        </w:rPr>
        <w:t>Second-Hand Dealers and Pawnbrokers Act 1989</w:t>
      </w:r>
    </w:p>
    <w:p w14:paraId="5021C85A" w14:textId="77777777" w:rsidR="00941486" w:rsidRPr="00F72367" w:rsidRDefault="00941486" w:rsidP="00941486">
      <w:pPr>
        <w:pStyle w:val="BodyAR"/>
        <w:rPr>
          <w:rStyle w:val="Emphasis"/>
        </w:rPr>
      </w:pPr>
      <w:r w:rsidRPr="00F72367">
        <w:rPr>
          <w:rStyle w:val="Emphasis"/>
        </w:rPr>
        <w:t>Sex Work Act 1994</w:t>
      </w:r>
    </w:p>
    <w:p w14:paraId="5021C85B" w14:textId="77777777" w:rsidR="00941486" w:rsidRPr="00F72367" w:rsidRDefault="00941486" w:rsidP="00941486">
      <w:pPr>
        <w:pStyle w:val="BodyAR"/>
        <w:rPr>
          <w:rStyle w:val="Emphasis"/>
        </w:rPr>
      </w:pPr>
      <w:r w:rsidRPr="00F72367">
        <w:rPr>
          <w:rStyle w:val="Emphasis"/>
        </w:rPr>
        <w:t>Subdivision Act 1988:</w:t>
      </w:r>
    </w:p>
    <w:p w14:paraId="5021C85C" w14:textId="77777777" w:rsidR="00941486" w:rsidRPr="00F72367" w:rsidRDefault="00941486" w:rsidP="00941486">
      <w:pPr>
        <w:pStyle w:val="ListBullet"/>
      </w:pPr>
      <w:r w:rsidRPr="00F72367">
        <w:t>Part 5</w:t>
      </w:r>
    </w:p>
    <w:p w14:paraId="5021C85D" w14:textId="77777777" w:rsidR="00941486" w:rsidRPr="00F72367" w:rsidRDefault="00941486" w:rsidP="00941486">
      <w:pPr>
        <w:pStyle w:val="ListBullet"/>
      </w:pPr>
      <w:r w:rsidRPr="00F72367">
        <w:t>Section 43 (insofar as it relates to part 5)</w:t>
      </w:r>
    </w:p>
    <w:p w14:paraId="5021C85E" w14:textId="77777777" w:rsidR="00941486" w:rsidRPr="00F72367" w:rsidRDefault="00941486" w:rsidP="00941486">
      <w:pPr>
        <w:pStyle w:val="ListBullet"/>
      </w:pPr>
      <w:r w:rsidRPr="00F72367">
        <w:t>The Act is otherwise administered by the Minister for Planning.</w:t>
      </w:r>
    </w:p>
    <w:p w14:paraId="5021C85F" w14:textId="77777777" w:rsidR="00941486" w:rsidRPr="00F72367" w:rsidRDefault="00941486" w:rsidP="00941486">
      <w:pPr>
        <w:pStyle w:val="BodyAR"/>
        <w:rPr>
          <w:rStyle w:val="Emphasis"/>
        </w:rPr>
      </w:pPr>
      <w:r w:rsidRPr="00F72367">
        <w:rPr>
          <w:rStyle w:val="Emphasis"/>
        </w:rPr>
        <w:t>Travel Agents Repeal Act 2014</w:t>
      </w:r>
    </w:p>
    <w:p w14:paraId="5021C860" w14:textId="77777777" w:rsidR="00941486" w:rsidRPr="00F72367" w:rsidRDefault="00941486" w:rsidP="00941486">
      <w:pPr>
        <w:pStyle w:val="BodyAR"/>
        <w:rPr>
          <w:rStyle w:val="Emphasis"/>
        </w:rPr>
      </w:pPr>
      <w:r w:rsidRPr="00F72367">
        <w:rPr>
          <w:rStyle w:val="Emphasis"/>
        </w:rPr>
        <w:t>Veterans Act 2005:</w:t>
      </w:r>
    </w:p>
    <w:p w14:paraId="5021C861" w14:textId="77777777" w:rsidR="00941486" w:rsidRPr="00F72367" w:rsidRDefault="00941486" w:rsidP="00941486">
      <w:pPr>
        <w:pStyle w:val="ListBullet"/>
      </w:pPr>
      <w:r w:rsidRPr="00F72367">
        <w:t>Part 4 (the Act is otherwise administered by the Minister for Veterans)</w:t>
      </w:r>
    </w:p>
    <w:p w14:paraId="5021C862" w14:textId="77777777" w:rsidR="00941486" w:rsidRPr="00F72367" w:rsidRDefault="00941486" w:rsidP="00941486">
      <w:pPr>
        <w:pStyle w:val="BodyAR"/>
        <w:rPr>
          <w:rStyle w:val="Emphasis"/>
        </w:rPr>
      </w:pPr>
      <w:r w:rsidRPr="00F72367">
        <w:rPr>
          <w:rStyle w:val="Emphasis"/>
        </w:rPr>
        <w:t>Warehouseman’s Liens Act 1958</w:t>
      </w:r>
    </w:p>
    <w:p w14:paraId="5021C863" w14:textId="77777777" w:rsidR="00941486" w:rsidRPr="00F72367" w:rsidRDefault="00941486" w:rsidP="004063AE">
      <w:pPr>
        <w:pStyle w:val="Heading2"/>
      </w:pPr>
      <w:bookmarkStart w:id="23" w:name="_Toc432081466"/>
      <w:r>
        <w:lastRenderedPageBreak/>
        <w:t>6</w:t>
      </w:r>
      <w:r>
        <w:tab/>
      </w:r>
      <w:r w:rsidRPr="00F72367">
        <w:t>A sustainable and innovative regulator</w:t>
      </w:r>
      <w:bookmarkEnd w:id="23"/>
    </w:p>
    <w:p w14:paraId="5021C864" w14:textId="77777777" w:rsidR="00941486" w:rsidRPr="00F72367" w:rsidRDefault="00941486" w:rsidP="00941486">
      <w:pPr>
        <w:pStyle w:val="BodyAR"/>
      </w:pPr>
      <w:r w:rsidRPr="00F72367">
        <w:rPr>
          <w:color w:val="000000"/>
        </w:rPr>
        <w:t>Efficient and effective internal operations are critical to our ability to be a modern and effective regulator. We continue working on new ways to foster better capability, better technology and better collaboration with our partner agencies.</w:t>
      </w:r>
    </w:p>
    <w:p w14:paraId="5021C865" w14:textId="77777777" w:rsidR="00941486" w:rsidRPr="00F72367" w:rsidRDefault="00941486" w:rsidP="00711F83">
      <w:pPr>
        <w:pStyle w:val="Heading3"/>
      </w:pPr>
      <w:bookmarkStart w:id="24" w:name="_Toc432081467"/>
      <w:r w:rsidRPr="00F72367">
        <w:t>Reducing red tape</w:t>
      </w:r>
      <w:bookmarkEnd w:id="24"/>
    </w:p>
    <w:p w14:paraId="5021C866" w14:textId="77777777" w:rsidR="00BB59C9" w:rsidRDefault="00941486" w:rsidP="00941486">
      <w:pPr>
        <w:pStyle w:val="BodyAR"/>
        <w:rPr>
          <w:color w:val="000000"/>
        </w:rPr>
      </w:pPr>
      <w:r w:rsidRPr="00F72367">
        <w:rPr>
          <w:color w:val="000000"/>
        </w:rPr>
        <w:t>In 2014, the former Minister for Consumer Affairs issued a reducing red tape Statement of Expectations (SOE) to CAV, seeking reduced business costs through red tape reduction targets for some key compliance processes and licensing and re</w:t>
      </w:r>
      <w:r w:rsidR="00BB59C9">
        <w:rPr>
          <w:color w:val="000000"/>
        </w:rPr>
        <w:t>gistration activities.</w:t>
      </w:r>
    </w:p>
    <w:p w14:paraId="5021C867" w14:textId="77777777" w:rsidR="00941486" w:rsidRPr="00F72367" w:rsidRDefault="00941486" w:rsidP="00941486">
      <w:pPr>
        <w:pStyle w:val="BodyAR"/>
      </w:pPr>
      <w:r w:rsidRPr="00F72367">
        <w:rPr>
          <w:color w:val="000000"/>
        </w:rPr>
        <w:t>The red tape reduction program and implementation of the SOE is continuing under the Andrews Government.</w:t>
      </w:r>
    </w:p>
    <w:p w14:paraId="5021C868" w14:textId="77777777" w:rsidR="00941486" w:rsidRPr="00F72367" w:rsidRDefault="00941486" w:rsidP="00941486">
      <w:pPr>
        <w:pStyle w:val="BodyAR"/>
      </w:pPr>
      <w:r w:rsidRPr="00F72367">
        <w:t>The Statement encouraged us to continue our risk-based approach to regulation and to identify key areas of governance and operational performance where there were opportunities to reduce the cost of regulation for business, while maintaining a high level of consumer protection.</w:t>
      </w:r>
    </w:p>
    <w:p w14:paraId="5021C869" w14:textId="77777777" w:rsidR="00941486" w:rsidRPr="00F72367" w:rsidRDefault="00941486" w:rsidP="00941486">
      <w:pPr>
        <w:pStyle w:val="BodyAR"/>
      </w:pPr>
      <w:r w:rsidRPr="00F72367">
        <w:t>The projects identified as part of the Statement fall under four broad objectives:</w:t>
      </w:r>
    </w:p>
    <w:p w14:paraId="5021C86A" w14:textId="77777777" w:rsidR="00941486" w:rsidRPr="00F72367" w:rsidRDefault="00941486" w:rsidP="00941486">
      <w:pPr>
        <w:pStyle w:val="ListBullet"/>
      </w:pPr>
      <w:r w:rsidRPr="00F72367">
        <w:t>increased accountability and transparency</w:t>
      </w:r>
    </w:p>
    <w:p w14:paraId="5021C86B" w14:textId="77777777" w:rsidR="00941486" w:rsidRPr="00F72367" w:rsidRDefault="00941486" w:rsidP="00941486">
      <w:pPr>
        <w:pStyle w:val="ListBullet"/>
      </w:pPr>
      <w:r w:rsidRPr="00F72367">
        <w:t>improved timeliness</w:t>
      </w:r>
    </w:p>
    <w:p w14:paraId="5021C86C" w14:textId="77777777" w:rsidR="00941486" w:rsidRPr="00F72367" w:rsidRDefault="00941486" w:rsidP="00941486">
      <w:pPr>
        <w:pStyle w:val="ListBullet"/>
      </w:pPr>
      <w:r w:rsidRPr="00F72367">
        <w:t>clearer and more consistent regulation</w:t>
      </w:r>
    </w:p>
    <w:p w14:paraId="5021C86D" w14:textId="77777777" w:rsidR="00941486" w:rsidRPr="00F72367" w:rsidRDefault="00941486" w:rsidP="00941486">
      <w:pPr>
        <w:pStyle w:val="ListBullet"/>
      </w:pPr>
      <w:r w:rsidRPr="00F72367">
        <w:t>better compliance assistance and advice.</w:t>
      </w:r>
    </w:p>
    <w:p w14:paraId="5021C86E" w14:textId="77777777" w:rsidR="00941486" w:rsidRPr="00F72367" w:rsidRDefault="00941486" w:rsidP="00941486">
      <w:pPr>
        <w:pStyle w:val="BodyAR"/>
      </w:pPr>
      <w:r w:rsidRPr="00F72367">
        <w:t>Our work to reduce red tape and meet the SOE is well underway and will be implemented by June 2016. An outline of each initiative is available on our website.</w:t>
      </w:r>
    </w:p>
    <w:p w14:paraId="5021C86F" w14:textId="77777777" w:rsidR="00941486" w:rsidRPr="00F72367" w:rsidRDefault="00941486" w:rsidP="00711F83">
      <w:pPr>
        <w:pStyle w:val="Heading3"/>
      </w:pPr>
      <w:bookmarkStart w:id="25" w:name="_Toc432081468"/>
      <w:r w:rsidRPr="00F72367">
        <w:t>Trust funds managed by Consumer Affairs Victoria</w:t>
      </w:r>
      <w:bookmarkEnd w:id="25"/>
    </w:p>
    <w:p w14:paraId="5021C870" w14:textId="77777777" w:rsidR="00941486" w:rsidRPr="00F72367" w:rsidRDefault="00941486" w:rsidP="00941486">
      <w:pPr>
        <w:pStyle w:val="BodyAR"/>
      </w:pPr>
      <w:r w:rsidRPr="00F72367">
        <w:rPr>
          <w:color w:val="000000"/>
        </w:rPr>
        <w:t>Consumer Affairs Victoria manages eight funds established by Acts of Parliament. The funds, and their expenditure purpose, are as follows:</w:t>
      </w:r>
    </w:p>
    <w:p w14:paraId="5021C871" w14:textId="77777777" w:rsidR="00941486" w:rsidRDefault="00941486" w:rsidP="00E9076D">
      <w:pPr>
        <w:pStyle w:val="Heading4"/>
        <w:rPr>
          <w:lang w:eastAsia="en-US"/>
        </w:rPr>
      </w:pPr>
      <w:r>
        <w:rPr>
          <w:lang w:eastAsia="en-US"/>
        </w:rPr>
        <w:t>Trust funds</w:t>
      </w:r>
    </w:p>
    <w:p w14:paraId="5021C872" w14:textId="77777777" w:rsidR="00941486" w:rsidRPr="00F72367" w:rsidRDefault="00941486" w:rsidP="00941486">
      <w:pPr>
        <w:pStyle w:val="ListBullet"/>
        <w:rPr>
          <w:lang w:eastAsia="en-US"/>
        </w:rPr>
      </w:pPr>
      <w:r w:rsidRPr="00F72367">
        <w:rPr>
          <w:lang w:eastAsia="en-US"/>
        </w:rPr>
        <w:t xml:space="preserve">Domestic Builders Fund (administration of the </w:t>
      </w:r>
      <w:r w:rsidRPr="00F72367">
        <w:rPr>
          <w:rStyle w:val="Emphasis"/>
        </w:rPr>
        <w:t>Domestic Building Contracts Act 1995</w:t>
      </w:r>
      <w:r w:rsidRPr="00F72367">
        <w:rPr>
          <w:lang w:eastAsia="en-US"/>
        </w:rPr>
        <w:t>, costs relating to the Domestic Building List of VCAT)</w:t>
      </w:r>
    </w:p>
    <w:p w14:paraId="5021C873" w14:textId="77777777" w:rsidR="00941486" w:rsidRPr="00F72367" w:rsidRDefault="00941486" w:rsidP="00941486">
      <w:pPr>
        <w:pStyle w:val="ListBullet"/>
        <w:rPr>
          <w:lang w:eastAsia="en-US"/>
        </w:rPr>
      </w:pPr>
      <w:r w:rsidRPr="00F72367">
        <w:rPr>
          <w:lang w:eastAsia="en-US"/>
        </w:rPr>
        <w:t xml:space="preserve">Motor Car Traders Guarantee Fund (administration of the </w:t>
      </w:r>
      <w:r w:rsidRPr="00F72367">
        <w:rPr>
          <w:rStyle w:val="Emphasis"/>
        </w:rPr>
        <w:t>Motor Car Traders Act 1986</w:t>
      </w:r>
      <w:r w:rsidRPr="00F72367">
        <w:rPr>
          <w:lang w:eastAsia="en-US"/>
        </w:rPr>
        <w:t>, guarantee claims)</w:t>
      </w:r>
    </w:p>
    <w:p w14:paraId="5021C874" w14:textId="77777777" w:rsidR="00941486" w:rsidRPr="00F72367" w:rsidRDefault="00941486" w:rsidP="00941486">
      <w:pPr>
        <w:pStyle w:val="ListBullet"/>
        <w:rPr>
          <w:lang w:eastAsia="en-US"/>
        </w:rPr>
      </w:pPr>
      <w:r w:rsidRPr="00F72367">
        <w:rPr>
          <w:lang w:eastAsia="en-US"/>
        </w:rPr>
        <w:t>Residential Bonds Investment Income Account (administration of the Residential Tenancies Bond Authority)</w:t>
      </w:r>
    </w:p>
    <w:p w14:paraId="5021C875" w14:textId="77777777" w:rsidR="00941486" w:rsidRPr="00F72367" w:rsidRDefault="00941486" w:rsidP="00941486">
      <w:pPr>
        <w:pStyle w:val="ListBullet"/>
        <w:rPr>
          <w:lang w:eastAsia="en-US"/>
        </w:rPr>
      </w:pPr>
      <w:r w:rsidRPr="00F72367">
        <w:rPr>
          <w:lang w:eastAsia="en-US"/>
        </w:rPr>
        <w:t>Residential Bonds Account (bonds held on trust, repayment of bonds)</w:t>
      </w:r>
    </w:p>
    <w:p w14:paraId="5021C876" w14:textId="77777777" w:rsidR="00941486" w:rsidRPr="00F72367" w:rsidRDefault="00941486" w:rsidP="00941486">
      <w:pPr>
        <w:pStyle w:val="ListBullet"/>
        <w:rPr>
          <w:lang w:eastAsia="en-US"/>
        </w:rPr>
      </w:pPr>
      <w:r w:rsidRPr="00F72367">
        <w:rPr>
          <w:lang w:eastAsia="en-US"/>
        </w:rPr>
        <w:t xml:space="preserve">Residential Tenancies Fund (administration of the </w:t>
      </w:r>
      <w:r w:rsidRPr="00F72367">
        <w:rPr>
          <w:rStyle w:val="Emphasis"/>
        </w:rPr>
        <w:t>Residential Tenancies Act 1997</w:t>
      </w:r>
      <w:r w:rsidRPr="00F72367">
        <w:rPr>
          <w:lang w:eastAsia="en-US"/>
        </w:rPr>
        <w:t>, costs relating to the Residential Tenancies List of VCAT)</w:t>
      </w:r>
    </w:p>
    <w:p w14:paraId="5021C877" w14:textId="77777777" w:rsidR="00941486" w:rsidRPr="00F72367" w:rsidRDefault="00941486" w:rsidP="00941486">
      <w:pPr>
        <w:pStyle w:val="ListBullet"/>
        <w:rPr>
          <w:lang w:eastAsia="en-US"/>
        </w:rPr>
      </w:pPr>
      <w:r w:rsidRPr="00F72367">
        <w:rPr>
          <w:lang w:eastAsia="en-US"/>
        </w:rPr>
        <w:t xml:space="preserve">Sex Work Regulation Fund (administration of the </w:t>
      </w:r>
      <w:r w:rsidRPr="00F72367">
        <w:rPr>
          <w:rStyle w:val="Emphasis"/>
        </w:rPr>
        <w:t>Sex Work Act 1994</w:t>
      </w:r>
      <w:r w:rsidRPr="00F72367">
        <w:rPr>
          <w:lang w:eastAsia="en-US"/>
        </w:rPr>
        <w:t>)</w:t>
      </w:r>
    </w:p>
    <w:p w14:paraId="5021C878" w14:textId="77777777" w:rsidR="00941486" w:rsidRPr="00F72367" w:rsidRDefault="00941486" w:rsidP="00941486">
      <w:pPr>
        <w:pStyle w:val="ListBullet"/>
        <w:rPr>
          <w:lang w:eastAsia="en-US"/>
        </w:rPr>
      </w:pPr>
      <w:r w:rsidRPr="00F72367">
        <w:rPr>
          <w:lang w:eastAsia="en-US"/>
        </w:rPr>
        <w:t xml:space="preserve">Victorian Consumer Law Fund (administration of the </w:t>
      </w:r>
      <w:r w:rsidRPr="00F72367">
        <w:rPr>
          <w:rStyle w:val="Emphasis"/>
        </w:rPr>
        <w:t>Australian Consumer Law and Fair Trading Act 2012</w:t>
      </w:r>
      <w:r w:rsidRPr="00F72367">
        <w:rPr>
          <w:lang w:eastAsia="en-US"/>
        </w:rPr>
        <w:t xml:space="preserve"> Part 7, Division 2, s.102A to E, orders for payment to non-party consumers, special purpose grants)</w:t>
      </w:r>
    </w:p>
    <w:p w14:paraId="5021C879" w14:textId="77777777" w:rsidR="00941486" w:rsidRPr="00F72367" w:rsidRDefault="00941486" w:rsidP="004005DA">
      <w:pPr>
        <w:pStyle w:val="ListBullet"/>
        <w:keepLines/>
        <w:rPr>
          <w:lang w:eastAsia="en-US"/>
        </w:rPr>
      </w:pPr>
      <w:r w:rsidRPr="00F72367">
        <w:rPr>
          <w:lang w:eastAsia="en-US"/>
        </w:rPr>
        <w:lastRenderedPageBreak/>
        <w:t xml:space="preserve">Victorian Property Fund (Administration of the </w:t>
      </w:r>
      <w:r w:rsidRPr="00F72367">
        <w:rPr>
          <w:rStyle w:val="Emphasis"/>
        </w:rPr>
        <w:t>Estate Agents Act 1980</w:t>
      </w:r>
      <w:r w:rsidRPr="00F72367">
        <w:rPr>
          <w:lang w:eastAsia="en-US"/>
        </w:rPr>
        <w:t xml:space="preserve"> and other real estate related legislation as permitted by s.75 of the Act, grants relating to real estate as permitted by s.76(3) of the Act, operation of the Estate Agents Council, guarantee claims, costs relating to the Owners Corporation List of VCAT).</w:t>
      </w:r>
    </w:p>
    <w:p w14:paraId="5021C87A" w14:textId="77777777" w:rsidR="00941486" w:rsidRDefault="00941486" w:rsidP="00711F83">
      <w:pPr>
        <w:pStyle w:val="Heading3"/>
      </w:pPr>
      <w:bookmarkStart w:id="26" w:name="_Toc432081469"/>
      <w:r>
        <w:t>Grants approved</w:t>
      </w:r>
      <w:bookmarkEnd w:id="26"/>
    </w:p>
    <w:p w14:paraId="5021C87B" w14:textId="77777777" w:rsidR="00941486" w:rsidRPr="00F72367" w:rsidRDefault="00941486" w:rsidP="00E9076D">
      <w:pPr>
        <w:pStyle w:val="Heading4"/>
        <w:rPr>
          <w:color w:val="000000"/>
          <w:sz w:val="20"/>
          <w:szCs w:val="24"/>
        </w:rPr>
      </w:pPr>
      <w:r w:rsidRPr="00F72367">
        <w:t>Victorian Property Fund</w:t>
      </w:r>
    </w:p>
    <w:p w14:paraId="5021C87C" w14:textId="77777777" w:rsidR="00941486" w:rsidRDefault="00941486" w:rsidP="00941486">
      <w:pPr>
        <w:pStyle w:val="BodyAR"/>
        <w:rPr>
          <w:rFonts w:cs="Calibri"/>
        </w:rPr>
      </w:pPr>
      <w:r w:rsidRPr="00F72367">
        <w:rPr>
          <w:rFonts w:cs="Calibri"/>
        </w:rPr>
        <w:t xml:space="preserve">The </w:t>
      </w:r>
      <w:r w:rsidRPr="00F72367">
        <w:rPr>
          <w:rStyle w:val="Emphasis"/>
        </w:rPr>
        <w:t>Estate Agents Act 1980</w:t>
      </w:r>
      <w:r w:rsidRPr="00F72367">
        <w:rPr>
          <w:rFonts w:cs="Calibri"/>
        </w:rPr>
        <w:t xml:space="preserve"> allows the Minister for Consumer Affairs to make grants from the Victorian Property Fund for the purposes specified in section 76(3) of the Act. The Minister makes her decision on grants after consultation with the Estate Agents Council, Consumer Affairs Victoria and any industry associations, government departments and other bodies she thinks appropriate.</w:t>
      </w:r>
    </w:p>
    <w:p w14:paraId="5021C87D" w14:textId="77777777" w:rsidR="00941486" w:rsidRPr="00F72367" w:rsidRDefault="00941486" w:rsidP="00941486">
      <w:pPr>
        <w:pStyle w:val="BodyAR"/>
      </w:pPr>
      <w:r w:rsidRPr="00F72367">
        <w:rPr>
          <w:rFonts w:cs="Calibri"/>
        </w:rPr>
        <w:t>In 2014-15, the Consumer Affairs Ministers approved the grants outlined in the table below:</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5051"/>
        <w:gridCol w:w="1333"/>
      </w:tblGrid>
      <w:tr w:rsidR="00941486" w:rsidRPr="00F72367" w14:paraId="5021C881" w14:textId="77777777" w:rsidTr="007F198F">
        <w:trPr>
          <w:tblHeader/>
        </w:trPr>
        <w:tc>
          <w:tcPr>
            <w:tcW w:w="3256" w:type="dxa"/>
            <w:shd w:val="clear" w:color="auto" w:fill="595959"/>
            <w:vAlign w:val="center"/>
          </w:tcPr>
          <w:p w14:paraId="5021C87E" w14:textId="77777777" w:rsidR="00941486" w:rsidRPr="00970B9A" w:rsidRDefault="00941486" w:rsidP="00BB59C9">
            <w:pPr>
              <w:pStyle w:val="TableColumnHead"/>
            </w:pPr>
            <w:r w:rsidRPr="00970B9A">
              <w:t>Grant recipient</w:t>
            </w:r>
          </w:p>
        </w:tc>
        <w:tc>
          <w:tcPr>
            <w:tcW w:w="5053" w:type="dxa"/>
            <w:shd w:val="clear" w:color="auto" w:fill="595959"/>
            <w:vAlign w:val="center"/>
          </w:tcPr>
          <w:p w14:paraId="5021C87F" w14:textId="77777777" w:rsidR="00941486" w:rsidRPr="00970B9A" w:rsidRDefault="00941486" w:rsidP="00BB59C9">
            <w:pPr>
              <w:pStyle w:val="TableColumnHead"/>
            </w:pPr>
            <w:r w:rsidRPr="00970B9A">
              <w:t>Description of funded program</w:t>
            </w:r>
          </w:p>
        </w:tc>
        <w:tc>
          <w:tcPr>
            <w:tcW w:w="0" w:type="auto"/>
            <w:shd w:val="clear" w:color="auto" w:fill="595959"/>
            <w:vAlign w:val="center"/>
          </w:tcPr>
          <w:p w14:paraId="5021C880" w14:textId="77777777" w:rsidR="00941486" w:rsidRPr="00970B9A" w:rsidRDefault="00941486" w:rsidP="00BB59C9">
            <w:pPr>
              <w:pStyle w:val="TableColumnHead"/>
              <w:jc w:val="right"/>
            </w:pPr>
            <w:r w:rsidRPr="00970B9A">
              <w:t>Value*</w:t>
            </w:r>
          </w:p>
        </w:tc>
      </w:tr>
      <w:tr w:rsidR="00941486" w:rsidRPr="00F72367" w14:paraId="5021C885" w14:textId="77777777" w:rsidTr="00941486">
        <w:trPr>
          <w:trHeight w:val="94"/>
        </w:trPr>
        <w:tc>
          <w:tcPr>
            <w:tcW w:w="3256" w:type="dxa"/>
            <w:vAlign w:val="center"/>
          </w:tcPr>
          <w:p w14:paraId="5021C882" w14:textId="77777777" w:rsidR="00941486" w:rsidRPr="00F72367" w:rsidRDefault="00941486" w:rsidP="00941486">
            <w:pPr>
              <w:pStyle w:val="TableTextAR"/>
            </w:pPr>
            <w:r w:rsidRPr="00F72367">
              <w:t>Real Estate Institute of Victoria</w:t>
            </w:r>
          </w:p>
        </w:tc>
        <w:tc>
          <w:tcPr>
            <w:tcW w:w="5053" w:type="dxa"/>
            <w:vAlign w:val="center"/>
          </w:tcPr>
          <w:p w14:paraId="5021C883" w14:textId="77777777" w:rsidR="00941486" w:rsidRPr="00F72367" w:rsidRDefault="00941486" w:rsidP="00941486">
            <w:pPr>
              <w:pStyle w:val="TableTextAR"/>
            </w:pPr>
            <w:r w:rsidRPr="00F72367">
              <w:t>Professional Development 2014-17</w:t>
            </w:r>
          </w:p>
        </w:tc>
        <w:tc>
          <w:tcPr>
            <w:tcW w:w="0" w:type="auto"/>
            <w:vAlign w:val="center"/>
          </w:tcPr>
          <w:p w14:paraId="5021C884" w14:textId="77777777" w:rsidR="00941486" w:rsidRPr="00F72367" w:rsidRDefault="00941486" w:rsidP="00941486">
            <w:pPr>
              <w:pStyle w:val="TableTextAR"/>
              <w:jc w:val="right"/>
            </w:pPr>
            <w:r w:rsidRPr="00F72367">
              <w:t>$620,726</w:t>
            </w:r>
          </w:p>
        </w:tc>
      </w:tr>
      <w:tr w:rsidR="00941486" w:rsidRPr="00F72367" w14:paraId="5021C889" w14:textId="77777777" w:rsidTr="00941486">
        <w:trPr>
          <w:trHeight w:val="345"/>
        </w:trPr>
        <w:tc>
          <w:tcPr>
            <w:tcW w:w="3256" w:type="dxa"/>
            <w:vAlign w:val="center"/>
          </w:tcPr>
          <w:p w14:paraId="5021C886" w14:textId="77777777" w:rsidR="00941486" w:rsidRPr="00F72367" w:rsidRDefault="00941486" w:rsidP="00941486">
            <w:pPr>
              <w:pStyle w:val="TableTextAR"/>
            </w:pPr>
            <w:r w:rsidRPr="00F72367">
              <w:t>Director of Housing</w:t>
            </w:r>
          </w:p>
        </w:tc>
        <w:tc>
          <w:tcPr>
            <w:tcW w:w="5053" w:type="dxa"/>
            <w:vAlign w:val="center"/>
          </w:tcPr>
          <w:p w14:paraId="5021C887" w14:textId="77777777" w:rsidR="00941486" w:rsidRPr="00F72367" w:rsidRDefault="00941486" w:rsidP="00941486">
            <w:pPr>
              <w:pStyle w:val="TableTextAR"/>
            </w:pPr>
            <w:r w:rsidRPr="00F72367">
              <w:t>Urgent Maintenance and Upgrades to Public Housing</w:t>
            </w:r>
          </w:p>
        </w:tc>
        <w:tc>
          <w:tcPr>
            <w:tcW w:w="0" w:type="auto"/>
            <w:vAlign w:val="center"/>
          </w:tcPr>
          <w:p w14:paraId="5021C888" w14:textId="77777777" w:rsidR="00941486" w:rsidRPr="00F72367" w:rsidRDefault="00941486" w:rsidP="00941486">
            <w:pPr>
              <w:pStyle w:val="TableTextAR"/>
              <w:jc w:val="right"/>
            </w:pPr>
            <w:r w:rsidRPr="00F72367">
              <w:t>$15,000,000</w:t>
            </w:r>
          </w:p>
        </w:tc>
      </w:tr>
      <w:tr w:rsidR="00941486" w:rsidRPr="00F72367" w14:paraId="5021C88D" w14:textId="77777777" w:rsidTr="00941486">
        <w:tc>
          <w:tcPr>
            <w:tcW w:w="3256" w:type="dxa"/>
            <w:vAlign w:val="center"/>
          </w:tcPr>
          <w:p w14:paraId="5021C88A" w14:textId="77777777" w:rsidR="00941486" w:rsidRPr="00F72367" w:rsidRDefault="00941486" w:rsidP="00941486">
            <w:pPr>
              <w:pStyle w:val="TableTextAR"/>
            </w:pPr>
            <w:r w:rsidRPr="00F72367">
              <w:t>Australian Livestock and Property Agents Association</w:t>
            </w:r>
          </w:p>
        </w:tc>
        <w:tc>
          <w:tcPr>
            <w:tcW w:w="5053" w:type="dxa"/>
            <w:vAlign w:val="center"/>
          </w:tcPr>
          <w:p w14:paraId="5021C88B" w14:textId="77777777" w:rsidR="00941486" w:rsidRPr="00F72367" w:rsidRDefault="00941486" w:rsidP="00941486">
            <w:pPr>
              <w:pStyle w:val="TableTextAR"/>
            </w:pPr>
            <w:r w:rsidRPr="00F72367">
              <w:t>Professional Development and Education 2014-17</w:t>
            </w:r>
          </w:p>
        </w:tc>
        <w:tc>
          <w:tcPr>
            <w:tcW w:w="0" w:type="auto"/>
            <w:vAlign w:val="center"/>
          </w:tcPr>
          <w:p w14:paraId="5021C88C" w14:textId="77777777" w:rsidR="00941486" w:rsidRPr="00F72367" w:rsidRDefault="00941486" w:rsidP="00941486">
            <w:pPr>
              <w:pStyle w:val="TableTextAR"/>
              <w:jc w:val="right"/>
            </w:pPr>
            <w:r w:rsidRPr="00F72367">
              <w:t>$183,945</w:t>
            </w:r>
          </w:p>
        </w:tc>
      </w:tr>
      <w:tr w:rsidR="00941486" w:rsidRPr="00F72367" w14:paraId="5021C891" w14:textId="77777777" w:rsidTr="00941486">
        <w:tc>
          <w:tcPr>
            <w:tcW w:w="3256" w:type="dxa"/>
            <w:vAlign w:val="center"/>
          </w:tcPr>
          <w:p w14:paraId="5021C88E" w14:textId="77777777" w:rsidR="00941486" w:rsidRPr="00F72367" w:rsidRDefault="00941486" w:rsidP="00941486">
            <w:pPr>
              <w:pStyle w:val="TableTextAR"/>
            </w:pPr>
            <w:r w:rsidRPr="00F72367">
              <w:t>Housing Choices Australia</w:t>
            </w:r>
          </w:p>
        </w:tc>
        <w:tc>
          <w:tcPr>
            <w:tcW w:w="5053" w:type="dxa"/>
            <w:vAlign w:val="center"/>
          </w:tcPr>
          <w:p w14:paraId="5021C88F" w14:textId="77777777" w:rsidR="00941486" w:rsidRPr="00F72367" w:rsidRDefault="00941486" w:rsidP="00941486">
            <w:pPr>
              <w:pStyle w:val="TableTextAR"/>
            </w:pPr>
            <w:r w:rsidRPr="00F72367">
              <w:t>Veterans’ Accommodation 2014-15</w:t>
            </w:r>
          </w:p>
        </w:tc>
        <w:tc>
          <w:tcPr>
            <w:tcW w:w="0" w:type="auto"/>
            <w:vAlign w:val="center"/>
          </w:tcPr>
          <w:p w14:paraId="5021C890" w14:textId="77777777" w:rsidR="00941486" w:rsidRPr="00F72367" w:rsidRDefault="00941486" w:rsidP="00941486">
            <w:pPr>
              <w:pStyle w:val="TableTextAR"/>
              <w:jc w:val="right"/>
            </w:pPr>
            <w:r w:rsidRPr="00F72367">
              <w:t>$1,350,000</w:t>
            </w:r>
          </w:p>
        </w:tc>
      </w:tr>
      <w:tr w:rsidR="00941486" w:rsidRPr="00F72367" w14:paraId="5021C895" w14:textId="77777777" w:rsidTr="00941486">
        <w:tc>
          <w:tcPr>
            <w:tcW w:w="3256" w:type="dxa"/>
            <w:vAlign w:val="center"/>
          </w:tcPr>
          <w:p w14:paraId="5021C892" w14:textId="77777777" w:rsidR="00941486" w:rsidRPr="00F72367" w:rsidRDefault="00941486" w:rsidP="00941486">
            <w:pPr>
              <w:pStyle w:val="TableTextAR"/>
            </w:pPr>
            <w:r w:rsidRPr="00F72367">
              <w:t xml:space="preserve">Common Equity Housing </w:t>
            </w:r>
          </w:p>
        </w:tc>
        <w:tc>
          <w:tcPr>
            <w:tcW w:w="5053" w:type="dxa"/>
            <w:vAlign w:val="center"/>
          </w:tcPr>
          <w:p w14:paraId="5021C893" w14:textId="77777777" w:rsidR="00941486" w:rsidRPr="00F72367" w:rsidRDefault="00941486" w:rsidP="00941486">
            <w:pPr>
              <w:pStyle w:val="TableTextAR"/>
            </w:pPr>
            <w:r w:rsidRPr="00F72367">
              <w:t>Acquisition of Affordable Housing at Harmony Village Dandenong</w:t>
            </w:r>
          </w:p>
        </w:tc>
        <w:tc>
          <w:tcPr>
            <w:tcW w:w="0" w:type="auto"/>
            <w:vAlign w:val="center"/>
          </w:tcPr>
          <w:p w14:paraId="5021C894" w14:textId="77777777" w:rsidR="00941486" w:rsidRPr="00F72367" w:rsidRDefault="00941486" w:rsidP="00941486">
            <w:pPr>
              <w:pStyle w:val="TableTextAR"/>
              <w:jc w:val="right"/>
            </w:pPr>
            <w:r w:rsidRPr="00F72367">
              <w:t>$2,700,000</w:t>
            </w:r>
          </w:p>
        </w:tc>
      </w:tr>
      <w:tr w:rsidR="00941486" w:rsidRPr="00F72367" w14:paraId="5021C899" w14:textId="77777777" w:rsidTr="00941486">
        <w:tc>
          <w:tcPr>
            <w:tcW w:w="3256" w:type="dxa"/>
            <w:vAlign w:val="center"/>
          </w:tcPr>
          <w:p w14:paraId="5021C896" w14:textId="77777777" w:rsidR="00941486" w:rsidRPr="00F72367" w:rsidRDefault="00941486" w:rsidP="00941486">
            <w:pPr>
              <w:pStyle w:val="TableTextAR"/>
            </w:pPr>
            <w:r w:rsidRPr="00F72367">
              <w:t xml:space="preserve">Victorian Women’s Housing Association </w:t>
            </w:r>
          </w:p>
        </w:tc>
        <w:tc>
          <w:tcPr>
            <w:tcW w:w="5053" w:type="dxa"/>
            <w:vAlign w:val="center"/>
          </w:tcPr>
          <w:p w14:paraId="5021C897" w14:textId="77777777" w:rsidR="00941486" w:rsidRPr="00F72367" w:rsidRDefault="00941486" w:rsidP="00941486">
            <w:pPr>
              <w:pStyle w:val="TableTextAR"/>
            </w:pPr>
            <w:r w:rsidRPr="00F72367">
              <w:t>Coburg Affordable Housing for Low Income Women</w:t>
            </w:r>
          </w:p>
        </w:tc>
        <w:tc>
          <w:tcPr>
            <w:tcW w:w="0" w:type="auto"/>
            <w:vAlign w:val="center"/>
          </w:tcPr>
          <w:p w14:paraId="5021C898" w14:textId="77777777" w:rsidR="00941486" w:rsidRPr="00F72367" w:rsidRDefault="00941486" w:rsidP="00941486">
            <w:pPr>
              <w:pStyle w:val="TableTextAR"/>
              <w:jc w:val="right"/>
            </w:pPr>
            <w:r w:rsidRPr="00F72367">
              <w:t>$1,618,000</w:t>
            </w:r>
          </w:p>
        </w:tc>
      </w:tr>
      <w:tr w:rsidR="00941486" w:rsidRPr="00F72367" w14:paraId="5021C89D" w14:textId="77777777" w:rsidTr="00941486">
        <w:tc>
          <w:tcPr>
            <w:tcW w:w="3256" w:type="dxa"/>
            <w:vAlign w:val="center"/>
          </w:tcPr>
          <w:p w14:paraId="5021C89A" w14:textId="77777777" w:rsidR="00941486" w:rsidRPr="00F72367" w:rsidRDefault="00941486" w:rsidP="00941486">
            <w:pPr>
              <w:pStyle w:val="TableTextAR"/>
            </w:pPr>
            <w:r w:rsidRPr="00F72367">
              <w:t xml:space="preserve">Community Housing (Vic) </w:t>
            </w:r>
          </w:p>
        </w:tc>
        <w:tc>
          <w:tcPr>
            <w:tcW w:w="5053" w:type="dxa"/>
            <w:vAlign w:val="center"/>
          </w:tcPr>
          <w:p w14:paraId="5021C89B" w14:textId="77777777" w:rsidR="00941486" w:rsidRPr="00F72367" w:rsidRDefault="00941486" w:rsidP="00941486">
            <w:pPr>
              <w:pStyle w:val="TableTextAR"/>
            </w:pPr>
            <w:r w:rsidRPr="00F72367">
              <w:t>Manningham Affordable Housing</w:t>
            </w:r>
          </w:p>
        </w:tc>
        <w:tc>
          <w:tcPr>
            <w:tcW w:w="0" w:type="auto"/>
            <w:vAlign w:val="center"/>
          </w:tcPr>
          <w:p w14:paraId="5021C89C" w14:textId="77777777" w:rsidR="00941486" w:rsidRPr="00F72367" w:rsidRDefault="00941486" w:rsidP="00941486">
            <w:pPr>
              <w:pStyle w:val="TableTextAR"/>
              <w:jc w:val="right"/>
            </w:pPr>
            <w:r w:rsidRPr="00F72367">
              <w:t>$550,000</w:t>
            </w:r>
          </w:p>
        </w:tc>
      </w:tr>
      <w:tr w:rsidR="00941486" w:rsidRPr="00F72367" w14:paraId="5021C8A0" w14:textId="77777777" w:rsidTr="00941486">
        <w:tc>
          <w:tcPr>
            <w:tcW w:w="8309" w:type="dxa"/>
            <w:gridSpan w:val="2"/>
            <w:vAlign w:val="center"/>
          </w:tcPr>
          <w:p w14:paraId="5021C89E" w14:textId="77777777" w:rsidR="00941486" w:rsidRPr="00970B9A" w:rsidRDefault="00941486" w:rsidP="00941486">
            <w:pPr>
              <w:pStyle w:val="TableTextAR"/>
              <w:rPr>
                <w:b/>
              </w:rPr>
            </w:pPr>
            <w:r w:rsidRPr="00970B9A">
              <w:rPr>
                <w:b/>
              </w:rPr>
              <w:t>Total</w:t>
            </w:r>
          </w:p>
        </w:tc>
        <w:tc>
          <w:tcPr>
            <w:tcW w:w="0" w:type="auto"/>
            <w:vAlign w:val="center"/>
          </w:tcPr>
          <w:p w14:paraId="5021C89F" w14:textId="77777777" w:rsidR="00941486" w:rsidRPr="00970B9A" w:rsidRDefault="00941486" w:rsidP="00941486">
            <w:pPr>
              <w:pStyle w:val="TableTextAR"/>
              <w:jc w:val="right"/>
              <w:rPr>
                <w:b/>
              </w:rPr>
            </w:pPr>
            <w:r w:rsidRPr="00970B9A">
              <w:rPr>
                <w:b/>
              </w:rPr>
              <w:t>$22,022,671</w:t>
            </w:r>
          </w:p>
        </w:tc>
      </w:tr>
    </w:tbl>
    <w:p w14:paraId="5021C8A1" w14:textId="77777777" w:rsidR="00941486" w:rsidRPr="00F72367" w:rsidRDefault="00941486" w:rsidP="00941486">
      <w:pPr>
        <w:pStyle w:val="BodyAR"/>
        <w:spacing w:before="80" w:after="80"/>
        <w:rPr>
          <w:lang w:val="en"/>
        </w:rPr>
      </w:pPr>
      <w:r w:rsidRPr="00F72367">
        <w:rPr>
          <w:lang w:val="en"/>
        </w:rPr>
        <w:t>* Value is reported exclusive of GST, representing the net cost to the Fund.</w:t>
      </w:r>
    </w:p>
    <w:p w14:paraId="5021C8A2" w14:textId="77777777" w:rsidR="00941486" w:rsidRPr="00F72367" w:rsidRDefault="00941486" w:rsidP="00941486">
      <w:pPr>
        <w:pStyle w:val="BodyAR"/>
        <w:spacing w:before="80" w:after="80"/>
        <w:rPr>
          <w:lang w:val="en"/>
        </w:rPr>
      </w:pPr>
      <w:r w:rsidRPr="00F72367">
        <w:rPr>
          <w:lang w:val="en"/>
        </w:rPr>
        <w:t>Payment of the above grants may extend over more than one year. Expenditure shown in the Financial Information section reflects part payment on these grants plus payments made in 2014-15 on grants approved in previous years.</w:t>
      </w:r>
    </w:p>
    <w:p w14:paraId="5021C8A3" w14:textId="77777777" w:rsidR="00941486" w:rsidRDefault="00941486" w:rsidP="004063AE">
      <w:pPr>
        <w:pStyle w:val="Heading2"/>
        <w:sectPr w:rsidR="00941486" w:rsidSect="00B163D5">
          <w:pgSz w:w="11906" w:h="16838" w:code="9"/>
          <w:pgMar w:top="1134" w:right="1134" w:bottom="1134" w:left="1134" w:header="454" w:footer="510" w:gutter="0"/>
          <w:cols w:space="708"/>
          <w:docGrid w:linePitch="360"/>
        </w:sectPr>
      </w:pPr>
    </w:p>
    <w:p w14:paraId="5021C8A4" w14:textId="77777777" w:rsidR="00941486" w:rsidRPr="00F72367" w:rsidRDefault="00941486" w:rsidP="004063AE">
      <w:pPr>
        <w:pStyle w:val="Heading2"/>
      </w:pPr>
      <w:bookmarkStart w:id="27" w:name="_Toc432081470"/>
      <w:r w:rsidRPr="00F72367">
        <w:lastRenderedPageBreak/>
        <w:t>Financial information</w:t>
      </w:r>
      <w:r>
        <w:t xml:space="preserve"> 2014-15</w:t>
      </w:r>
      <w:bookmarkEnd w:id="27"/>
    </w:p>
    <w:tbl>
      <w:tblPr>
        <w:tblW w:w="15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692"/>
        <w:gridCol w:w="1076"/>
        <w:gridCol w:w="1101"/>
        <w:gridCol w:w="1101"/>
        <w:gridCol w:w="1203"/>
        <w:gridCol w:w="1140"/>
        <w:gridCol w:w="1140"/>
        <w:gridCol w:w="1189"/>
        <w:gridCol w:w="1305"/>
        <w:gridCol w:w="1401"/>
        <w:gridCol w:w="1358"/>
      </w:tblGrid>
      <w:tr w:rsidR="00941486" w:rsidRPr="00B67132" w14:paraId="5021C8B0" w14:textId="77777777" w:rsidTr="007F198F">
        <w:trPr>
          <w:cantSplit/>
          <w:tblHeader/>
        </w:trPr>
        <w:tc>
          <w:tcPr>
            <w:tcW w:w="3692" w:type="dxa"/>
            <w:shd w:val="clear" w:color="auto" w:fill="595959"/>
            <w:vAlign w:val="bottom"/>
          </w:tcPr>
          <w:p w14:paraId="5021C8A5" w14:textId="77777777" w:rsidR="00941486" w:rsidRPr="007F198F" w:rsidRDefault="00941486" w:rsidP="007F198F">
            <w:pPr>
              <w:pStyle w:val="TableColumnHead"/>
              <w:rPr>
                <w:sz w:val="18"/>
                <w:szCs w:val="18"/>
              </w:rPr>
            </w:pPr>
          </w:p>
        </w:tc>
        <w:tc>
          <w:tcPr>
            <w:tcW w:w="1076" w:type="dxa"/>
            <w:shd w:val="clear" w:color="auto" w:fill="595959"/>
            <w:vAlign w:val="bottom"/>
          </w:tcPr>
          <w:p w14:paraId="5021C8A6" w14:textId="77777777" w:rsidR="00941486" w:rsidRPr="007F198F" w:rsidRDefault="00941486" w:rsidP="007F198F">
            <w:pPr>
              <w:pStyle w:val="TableColumnHead"/>
              <w:rPr>
                <w:sz w:val="18"/>
                <w:szCs w:val="18"/>
              </w:rPr>
            </w:pPr>
            <w:r w:rsidRPr="007F198F">
              <w:rPr>
                <w:sz w:val="18"/>
                <w:szCs w:val="18"/>
              </w:rPr>
              <w:t>Victorian Consumer Law Fund</w:t>
            </w:r>
          </w:p>
        </w:tc>
        <w:tc>
          <w:tcPr>
            <w:tcW w:w="1101" w:type="dxa"/>
            <w:shd w:val="clear" w:color="auto" w:fill="595959"/>
            <w:vAlign w:val="bottom"/>
          </w:tcPr>
          <w:p w14:paraId="5021C8A7" w14:textId="77777777" w:rsidR="00941486" w:rsidRPr="007F198F" w:rsidRDefault="00941486" w:rsidP="007F198F">
            <w:pPr>
              <w:pStyle w:val="TableColumnHead"/>
              <w:rPr>
                <w:sz w:val="18"/>
                <w:szCs w:val="18"/>
              </w:rPr>
            </w:pPr>
            <w:r w:rsidRPr="007F198F">
              <w:rPr>
                <w:sz w:val="18"/>
                <w:szCs w:val="18"/>
              </w:rPr>
              <w:t>Domestic Builders Fund</w:t>
            </w:r>
          </w:p>
        </w:tc>
        <w:tc>
          <w:tcPr>
            <w:tcW w:w="1101" w:type="dxa"/>
            <w:shd w:val="clear" w:color="auto" w:fill="595959"/>
            <w:vAlign w:val="bottom"/>
          </w:tcPr>
          <w:p w14:paraId="5021C8A8" w14:textId="77777777" w:rsidR="00941486" w:rsidRPr="007F198F" w:rsidRDefault="00941486" w:rsidP="007F198F">
            <w:pPr>
              <w:pStyle w:val="TableColumnHead"/>
              <w:rPr>
                <w:sz w:val="18"/>
                <w:szCs w:val="18"/>
              </w:rPr>
            </w:pPr>
            <w:r w:rsidRPr="007F198F">
              <w:rPr>
                <w:sz w:val="18"/>
                <w:szCs w:val="18"/>
              </w:rPr>
              <w:t>Motor Car Traders’ Guarantee Fund</w:t>
            </w:r>
          </w:p>
        </w:tc>
        <w:tc>
          <w:tcPr>
            <w:tcW w:w="1203" w:type="dxa"/>
            <w:shd w:val="clear" w:color="auto" w:fill="595959"/>
            <w:vAlign w:val="bottom"/>
          </w:tcPr>
          <w:p w14:paraId="5021C8A9" w14:textId="77777777" w:rsidR="00941486" w:rsidRPr="007F198F" w:rsidRDefault="00941486" w:rsidP="007F198F">
            <w:pPr>
              <w:pStyle w:val="TableColumnHead"/>
              <w:rPr>
                <w:sz w:val="18"/>
                <w:szCs w:val="18"/>
              </w:rPr>
            </w:pPr>
            <w:r w:rsidRPr="007F198F">
              <w:rPr>
                <w:sz w:val="18"/>
                <w:szCs w:val="18"/>
              </w:rPr>
              <w:t>Residential Bonds Investment Income Account</w:t>
            </w:r>
          </w:p>
        </w:tc>
        <w:tc>
          <w:tcPr>
            <w:tcW w:w="1140" w:type="dxa"/>
            <w:shd w:val="clear" w:color="auto" w:fill="595959"/>
            <w:vAlign w:val="bottom"/>
          </w:tcPr>
          <w:p w14:paraId="5021C8AA" w14:textId="77777777" w:rsidR="00941486" w:rsidRPr="007F198F" w:rsidRDefault="00941486" w:rsidP="007F198F">
            <w:pPr>
              <w:pStyle w:val="TableColumnHead"/>
              <w:rPr>
                <w:sz w:val="18"/>
                <w:szCs w:val="18"/>
              </w:rPr>
            </w:pPr>
            <w:r w:rsidRPr="007F198F">
              <w:rPr>
                <w:sz w:val="18"/>
                <w:szCs w:val="18"/>
              </w:rPr>
              <w:t>Residential Tenancies Fund</w:t>
            </w:r>
          </w:p>
        </w:tc>
        <w:tc>
          <w:tcPr>
            <w:tcW w:w="1140" w:type="dxa"/>
            <w:shd w:val="clear" w:color="auto" w:fill="595959"/>
            <w:vAlign w:val="bottom"/>
          </w:tcPr>
          <w:p w14:paraId="5021C8AB" w14:textId="77777777" w:rsidR="00941486" w:rsidRPr="007F198F" w:rsidRDefault="00941486" w:rsidP="007F198F">
            <w:pPr>
              <w:pStyle w:val="TableColumnHead"/>
              <w:rPr>
                <w:sz w:val="18"/>
                <w:szCs w:val="18"/>
              </w:rPr>
            </w:pPr>
            <w:r w:rsidRPr="007F198F">
              <w:rPr>
                <w:sz w:val="18"/>
                <w:szCs w:val="18"/>
              </w:rPr>
              <w:t>Sex Work Regulation Fund</w:t>
            </w:r>
          </w:p>
        </w:tc>
        <w:tc>
          <w:tcPr>
            <w:tcW w:w="1189" w:type="dxa"/>
            <w:shd w:val="clear" w:color="auto" w:fill="595959"/>
            <w:vAlign w:val="bottom"/>
          </w:tcPr>
          <w:p w14:paraId="5021C8AC" w14:textId="77777777" w:rsidR="00941486" w:rsidRPr="007F198F" w:rsidRDefault="00941486" w:rsidP="007F198F">
            <w:pPr>
              <w:pStyle w:val="TableColumnHead"/>
              <w:rPr>
                <w:sz w:val="18"/>
                <w:szCs w:val="18"/>
              </w:rPr>
            </w:pPr>
            <w:r w:rsidRPr="007F198F">
              <w:rPr>
                <w:sz w:val="18"/>
                <w:szCs w:val="18"/>
              </w:rPr>
              <w:t>Victorian Property Fund</w:t>
            </w:r>
          </w:p>
        </w:tc>
        <w:tc>
          <w:tcPr>
            <w:tcW w:w="1305" w:type="dxa"/>
            <w:shd w:val="clear" w:color="auto" w:fill="595959"/>
            <w:vAlign w:val="bottom"/>
          </w:tcPr>
          <w:p w14:paraId="5021C8AD" w14:textId="77777777" w:rsidR="00941486" w:rsidRPr="007F198F" w:rsidRDefault="00941486" w:rsidP="007F198F">
            <w:pPr>
              <w:pStyle w:val="TableColumnHead"/>
              <w:rPr>
                <w:sz w:val="18"/>
                <w:szCs w:val="18"/>
              </w:rPr>
            </w:pPr>
            <w:r w:rsidRPr="007F198F">
              <w:rPr>
                <w:sz w:val="18"/>
                <w:szCs w:val="18"/>
              </w:rPr>
              <w:t>Trust Funds total</w:t>
            </w:r>
            <w:r w:rsidR="004555F2" w:rsidRPr="007F198F">
              <w:rPr>
                <w:sz w:val="18"/>
                <w:szCs w:val="18"/>
              </w:rPr>
              <w:br/>
            </w:r>
            <w:r w:rsidRPr="007F198F">
              <w:rPr>
                <w:sz w:val="18"/>
                <w:szCs w:val="18"/>
              </w:rPr>
              <w:t>2014-15</w:t>
            </w:r>
          </w:p>
        </w:tc>
        <w:tc>
          <w:tcPr>
            <w:tcW w:w="1401" w:type="dxa"/>
            <w:shd w:val="clear" w:color="auto" w:fill="595959"/>
            <w:vAlign w:val="bottom"/>
          </w:tcPr>
          <w:p w14:paraId="5021C8AE" w14:textId="77777777" w:rsidR="00941486" w:rsidRPr="007F198F" w:rsidRDefault="00941486" w:rsidP="007F198F">
            <w:pPr>
              <w:pStyle w:val="TableColumnHead"/>
              <w:rPr>
                <w:sz w:val="18"/>
                <w:szCs w:val="18"/>
              </w:rPr>
            </w:pPr>
            <w:r w:rsidRPr="007F198F">
              <w:rPr>
                <w:sz w:val="18"/>
                <w:szCs w:val="18"/>
              </w:rPr>
              <w:t>Consumer</w:t>
            </w:r>
            <w:r w:rsidR="004555F2" w:rsidRPr="007F198F">
              <w:rPr>
                <w:sz w:val="18"/>
                <w:szCs w:val="18"/>
              </w:rPr>
              <w:t xml:space="preserve"> </w:t>
            </w:r>
            <w:r w:rsidRPr="007F198F">
              <w:rPr>
                <w:sz w:val="18"/>
                <w:szCs w:val="18"/>
              </w:rPr>
              <w:t>Affairs Victoria appropriations &amp; other</w:t>
            </w:r>
            <w:r w:rsidR="004555F2" w:rsidRPr="007F198F">
              <w:rPr>
                <w:sz w:val="18"/>
                <w:szCs w:val="18"/>
              </w:rPr>
              <w:t xml:space="preserve"> </w:t>
            </w:r>
            <w:r w:rsidR="004555F2" w:rsidRPr="007F198F">
              <w:rPr>
                <w:sz w:val="18"/>
                <w:szCs w:val="18"/>
              </w:rPr>
              <w:br/>
            </w:r>
            <w:r w:rsidRPr="007F198F">
              <w:rPr>
                <w:sz w:val="18"/>
                <w:szCs w:val="18"/>
              </w:rPr>
              <w:t>2014-15</w:t>
            </w:r>
          </w:p>
        </w:tc>
        <w:tc>
          <w:tcPr>
            <w:tcW w:w="1358" w:type="dxa"/>
            <w:shd w:val="clear" w:color="auto" w:fill="595959"/>
            <w:vAlign w:val="bottom"/>
          </w:tcPr>
          <w:p w14:paraId="5021C8AF" w14:textId="77777777" w:rsidR="00941486" w:rsidRPr="007F198F" w:rsidRDefault="00941486" w:rsidP="007F198F">
            <w:pPr>
              <w:pStyle w:val="TableColumnHead"/>
              <w:rPr>
                <w:sz w:val="18"/>
                <w:szCs w:val="18"/>
              </w:rPr>
            </w:pPr>
            <w:r w:rsidRPr="007F198F">
              <w:rPr>
                <w:sz w:val="18"/>
                <w:szCs w:val="18"/>
              </w:rPr>
              <w:t>Consumer</w:t>
            </w:r>
            <w:r w:rsidR="004555F2" w:rsidRPr="007F198F">
              <w:rPr>
                <w:sz w:val="18"/>
                <w:szCs w:val="18"/>
              </w:rPr>
              <w:t xml:space="preserve"> </w:t>
            </w:r>
            <w:r w:rsidRPr="007F198F">
              <w:rPr>
                <w:sz w:val="18"/>
                <w:szCs w:val="18"/>
              </w:rPr>
              <w:t>Affairs Victoria total output 2014-15</w:t>
            </w:r>
          </w:p>
        </w:tc>
      </w:tr>
      <w:tr w:rsidR="00941486" w:rsidRPr="00B67132" w14:paraId="5021C8B2" w14:textId="77777777" w:rsidTr="007F198F">
        <w:trPr>
          <w:cantSplit/>
        </w:trPr>
        <w:tc>
          <w:tcPr>
            <w:tcW w:w="15706" w:type="dxa"/>
            <w:gridSpan w:val="11"/>
            <w:shd w:val="clear" w:color="auto" w:fill="FBD4B4"/>
          </w:tcPr>
          <w:p w14:paraId="5021C8B1" w14:textId="77777777" w:rsidR="00941486" w:rsidRPr="007F198F" w:rsidRDefault="00D74E28" w:rsidP="00941486">
            <w:pPr>
              <w:pStyle w:val="TableTextARSmall"/>
              <w:rPr>
                <w:b/>
              </w:rPr>
            </w:pPr>
            <w:r w:rsidRPr="007F198F">
              <w:rPr>
                <w:b/>
              </w:rPr>
              <w:t>Consumer Affairs Victoria r</w:t>
            </w:r>
            <w:r w:rsidR="00941486" w:rsidRPr="007F198F">
              <w:rPr>
                <w:b/>
              </w:rPr>
              <w:t xml:space="preserve">evenue </w:t>
            </w:r>
          </w:p>
        </w:tc>
      </w:tr>
      <w:tr w:rsidR="00941486" w:rsidRPr="00B67132" w14:paraId="5021C8BE" w14:textId="77777777" w:rsidTr="007F198F">
        <w:trPr>
          <w:cantSplit/>
        </w:trPr>
        <w:tc>
          <w:tcPr>
            <w:tcW w:w="3692" w:type="dxa"/>
          </w:tcPr>
          <w:p w14:paraId="5021C8B3" w14:textId="77777777" w:rsidR="00941486" w:rsidRPr="00B67132" w:rsidRDefault="00941486" w:rsidP="00941486">
            <w:pPr>
              <w:pStyle w:val="TableTextARSmall"/>
            </w:pPr>
            <w:r w:rsidRPr="00B67132">
              <w:t xml:space="preserve">Revenue recognition, estate agent and conveyancer trust accounts </w:t>
            </w:r>
          </w:p>
        </w:tc>
        <w:tc>
          <w:tcPr>
            <w:tcW w:w="1076" w:type="dxa"/>
          </w:tcPr>
          <w:p w14:paraId="5021C8B4" w14:textId="77777777" w:rsidR="00941486" w:rsidRPr="00B67132" w:rsidRDefault="00941486" w:rsidP="007F198F">
            <w:pPr>
              <w:pStyle w:val="TableTextARSmall"/>
              <w:jc w:val="right"/>
            </w:pPr>
          </w:p>
        </w:tc>
        <w:tc>
          <w:tcPr>
            <w:tcW w:w="1101" w:type="dxa"/>
          </w:tcPr>
          <w:p w14:paraId="5021C8B5" w14:textId="77777777" w:rsidR="00941486" w:rsidRPr="00B67132" w:rsidRDefault="00941486" w:rsidP="007F198F">
            <w:pPr>
              <w:pStyle w:val="TableTextARSmall"/>
              <w:jc w:val="right"/>
            </w:pPr>
          </w:p>
        </w:tc>
        <w:tc>
          <w:tcPr>
            <w:tcW w:w="1101" w:type="dxa"/>
          </w:tcPr>
          <w:p w14:paraId="5021C8B6" w14:textId="77777777" w:rsidR="00941486" w:rsidRPr="00B67132" w:rsidRDefault="00941486" w:rsidP="007F198F">
            <w:pPr>
              <w:pStyle w:val="TableTextARSmall"/>
              <w:jc w:val="right"/>
            </w:pPr>
          </w:p>
        </w:tc>
        <w:tc>
          <w:tcPr>
            <w:tcW w:w="1203" w:type="dxa"/>
          </w:tcPr>
          <w:p w14:paraId="5021C8B7" w14:textId="77777777" w:rsidR="00941486" w:rsidRPr="00B67132" w:rsidRDefault="00941486" w:rsidP="007F198F">
            <w:pPr>
              <w:pStyle w:val="TableTextARSmall"/>
              <w:jc w:val="right"/>
            </w:pPr>
          </w:p>
        </w:tc>
        <w:tc>
          <w:tcPr>
            <w:tcW w:w="1140" w:type="dxa"/>
          </w:tcPr>
          <w:p w14:paraId="5021C8B8" w14:textId="77777777" w:rsidR="00941486" w:rsidRPr="00B67132" w:rsidRDefault="00941486" w:rsidP="007F198F">
            <w:pPr>
              <w:pStyle w:val="TableTextARSmall"/>
              <w:jc w:val="right"/>
            </w:pPr>
          </w:p>
        </w:tc>
        <w:tc>
          <w:tcPr>
            <w:tcW w:w="1140" w:type="dxa"/>
          </w:tcPr>
          <w:p w14:paraId="5021C8B9" w14:textId="77777777" w:rsidR="00941486" w:rsidRPr="00B67132" w:rsidRDefault="00941486" w:rsidP="007F198F">
            <w:pPr>
              <w:pStyle w:val="TableTextARSmall"/>
              <w:jc w:val="right"/>
            </w:pPr>
          </w:p>
        </w:tc>
        <w:tc>
          <w:tcPr>
            <w:tcW w:w="1189" w:type="dxa"/>
          </w:tcPr>
          <w:p w14:paraId="5021C8BA" w14:textId="77777777" w:rsidR="00941486" w:rsidRPr="00B67132" w:rsidRDefault="00941486" w:rsidP="007F198F">
            <w:pPr>
              <w:pStyle w:val="TableTextARSmall"/>
              <w:jc w:val="right"/>
            </w:pPr>
            <w:r w:rsidRPr="00B67132">
              <w:t>30,947,107</w:t>
            </w:r>
          </w:p>
        </w:tc>
        <w:tc>
          <w:tcPr>
            <w:tcW w:w="1305" w:type="dxa"/>
          </w:tcPr>
          <w:p w14:paraId="5021C8BB" w14:textId="77777777" w:rsidR="00941486" w:rsidRPr="00B67132" w:rsidRDefault="00941486" w:rsidP="007F198F">
            <w:pPr>
              <w:pStyle w:val="TableTextARSmall"/>
              <w:jc w:val="right"/>
            </w:pPr>
            <w:r w:rsidRPr="00B67132">
              <w:t>30,947,107</w:t>
            </w:r>
          </w:p>
        </w:tc>
        <w:tc>
          <w:tcPr>
            <w:tcW w:w="1401" w:type="dxa"/>
          </w:tcPr>
          <w:p w14:paraId="5021C8BC" w14:textId="77777777" w:rsidR="00941486" w:rsidRPr="00B67132" w:rsidRDefault="00941486" w:rsidP="007F198F">
            <w:pPr>
              <w:pStyle w:val="TableTextARSmall"/>
              <w:jc w:val="right"/>
            </w:pPr>
          </w:p>
        </w:tc>
        <w:tc>
          <w:tcPr>
            <w:tcW w:w="1358" w:type="dxa"/>
          </w:tcPr>
          <w:p w14:paraId="5021C8BD" w14:textId="77777777" w:rsidR="00941486" w:rsidRPr="00B67132" w:rsidRDefault="00941486" w:rsidP="007F198F">
            <w:pPr>
              <w:pStyle w:val="TableTextARSmall"/>
              <w:jc w:val="right"/>
            </w:pPr>
            <w:r w:rsidRPr="00B67132">
              <w:t>30,947,107</w:t>
            </w:r>
          </w:p>
        </w:tc>
      </w:tr>
      <w:tr w:rsidR="00941486" w:rsidRPr="00B67132" w14:paraId="5021C8CA" w14:textId="77777777" w:rsidTr="007F198F">
        <w:trPr>
          <w:cantSplit/>
        </w:trPr>
        <w:tc>
          <w:tcPr>
            <w:tcW w:w="3692" w:type="dxa"/>
          </w:tcPr>
          <w:p w14:paraId="5021C8BF" w14:textId="77777777" w:rsidR="00941486" w:rsidRPr="00B67132" w:rsidRDefault="00941486" w:rsidP="00941486">
            <w:pPr>
              <w:pStyle w:val="TableTextARSmall"/>
            </w:pPr>
            <w:r w:rsidRPr="00B67132">
              <w:t xml:space="preserve">Revenue recognition, residential tenancy bonds </w:t>
            </w:r>
          </w:p>
        </w:tc>
        <w:tc>
          <w:tcPr>
            <w:tcW w:w="1076" w:type="dxa"/>
          </w:tcPr>
          <w:p w14:paraId="5021C8C0" w14:textId="77777777" w:rsidR="00941486" w:rsidRPr="00B67132" w:rsidRDefault="00941486" w:rsidP="007F198F">
            <w:pPr>
              <w:pStyle w:val="TableTextARSmall"/>
              <w:jc w:val="right"/>
            </w:pPr>
          </w:p>
        </w:tc>
        <w:tc>
          <w:tcPr>
            <w:tcW w:w="1101" w:type="dxa"/>
          </w:tcPr>
          <w:p w14:paraId="5021C8C1" w14:textId="77777777" w:rsidR="00941486" w:rsidRPr="00B67132" w:rsidRDefault="00941486" w:rsidP="007F198F">
            <w:pPr>
              <w:pStyle w:val="TableTextARSmall"/>
              <w:jc w:val="right"/>
            </w:pPr>
          </w:p>
        </w:tc>
        <w:tc>
          <w:tcPr>
            <w:tcW w:w="1101" w:type="dxa"/>
          </w:tcPr>
          <w:p w14:paraId="5021C8C2" w14:textId="77777777" w:rsidR="00941486" w:rsidRPr="00B67132" w:rsidRDefault="00941486" w:rsidP="007F198F">
            <w:pPr>
              <w:pStyle w:val="TableTextARSmall"/>
              <w:jc w:val="right"/>
            </w:pPr>
          </w:p>
        </w:tc>
        <w:tc>
          <w:tcPr>
            <w:tcW w:w="1203" w:type="dxa"/>
          </w:tcPr>
          <w:p w14:paraId="5021C8C3" w14:textId="77777777" w:rsidR="00941486" w:rsidRPr="00B67132" w:rsidRDefault="00941486" w:rsidP="007F198F">
            <w:pPr>
              <w:pStyle w:val="TableTextARSmall"/>
              <w:jc w:val="right"/>
            </w:pPr>
            <w:r w:rsidRPr="00B67132">
              <w:t>21,345,097</w:t>
            </w:r>
          </w:p>
        </w:tc>
        <w:tc>
          <w:tcPr>
            <w:tcW w:w="1140" w:type="dxa"/>
          </w:tcPr>
          <w:p w14:paraId="5021C8C4" w14:textId="77777777" w:rsidR="00941486" w:rsidRPr="00B67132" w:rsidRDefault="00941486" w:rsidP="007F198F">
            <w:pPr>
              <w:pStyle w:val="TableTextARSmall"/>
              <w:jc w:val="right"/>
            </w:pPr>
          </w:p>
        </w:tc>
        <w:tc>
          <w:tcPr>
            <w:tcW w:w="1140" w:type="dxa"/>
          </w:tcPr>
          <w:p w14:paraId="5021C8C5" w14:textId="77777777" w:rsidR="00941486" w:rsidRPr="00B67132" w:rsidRDefault="00941486" w:rsidP="007F198F">
            <w:pPr>
              <w:pStyle w:val="TableTextARSmall"/>
              <w:jc w:val="right"/>
            </w:pPr>
          </w:p>
        </w:tc>
        <w:tc>
          <w:tcPr>
            <w:tcW w:w="1189" w:type="dxa"/>
          </w:tcPr>
          <w:p w14:paraId="5021C8C6" w14:textId="77777777" w:rsidR="00941486" w:rsidRPr="00B67132" w:rsidRDefault="00941486" w:rsidP="007F198F">
            <w:pPr>
              <w:pStyle w:val="TableTextARSmall"/>
              <w:jc w:val="right"/>
            </w:pPr>
          </w:p>
        </w:tc>
        <w:tc>
          <w:tcPr>
            <w:tcW w:w="1305" w:type="dxa"/>
          </w:tcPr>
          <w:p w14:paraId="5021C8C7" w14:textId="77777777" w:rsidR="00941486" w:rsidRPr="00B67132" w:rsidRDefault="00941486" w:rsidP="007F198F">
            <w:pPr>
              <w:pStyle w:val="TableTextARSmall"/>
              <w:jc w:val="right"/>
            </w:pPr>
            <w:r w:rsidRPr="00B67132">
              <w:t>21,345,097</w:t>
            </w:r>
          </w:p>
        </w:tc>
        <w:tc>
          <w:tcPr>
            <w:tcW w:w="1401" w:type="dxa"/>
          </w:tcPr>
          <w:p w14:paraId="5021C8C8" w14:textId="77777777" w:rsidR="00941486" w:rsidRPr="00B67132" w:rsidRDefault="00941486" w:rsidP="007F198F">
            <w:pPr>
              <w:pStyle w:val="TableTextARSmall"/>
              <w:jc w:val="right"/>
            </w:pPr>
          </w:p>
        </w:tc>
        <w:tc>
          <w:tcPr>
            <w:tcW w:w="1358" w:type="dxa"/>
          </w:tcPr>
          <w:p w14:paraId="5021C8C9" w14:textId="77777777" w:rsidR="00941486" w:rsidRPr="00B67132" w:rsidRDefault="00941486" w:rsidP="007F198F">
            <w:pPr>
              <w:pStyle w:val="TableTextARSmall"/>
              <w:jc w:val="right"/>
            </w:pPr>
            <w:r w:rsidRPr="00B67132">
              <w:t>21,345,097</w:t>
            </w:r>
          </w:p>
        </w:tc>
      </w:tr>
      <w:tr w:rsidR="00941486" w:rsidRPr="00B67132" w14:paraId="5021C8D6" w14:textId="77777777" w:rsidTr="007F198F">
        <w:trPr>
          <w:cantSplit/>
        </w:trPr>
        <w:tc>
          <w:tcPr>
            <w:tcW w:w="3692" w:type="dxa"/>
          </w:tcPr>
          <w:p w14:paraId="5021C8CB" w14:textId="77777777" w:rsidR="00941486" w:rsidRPr="00B67132" w:rsidRDefault="00941486" w:rsidP="00941486">
            <w:pPr>
              <w:pStyle w:val="TableTextARSmall"/>
            </w:pPr>
            <w:r w:rsidRPr="00B67132">
              <w:t>Appropriations : Consumer Affairs Victoria</w:t>
            </w:r>
          </w:p>
        </w:tc>
        <w:tc>
          <w:tcPr>
            <w:tcW w:w="1076" w:type="dxa"/>
          </w:tcPr>
          <w:p w14:paraId="5021C8CC" w14:textId="77777777" w:rsidR="00941486" w:rsidRPr="00B67132" w:rsidRDefault="00941486" w:rsidP="007F198F">
            <w:pPr>
              <w:pStyle w:val="TableTextARSmall"/>
              <w:jc w:val="right"/>
            </w:pPr>
          </w:p>
        </w:tc>
        <w:tc>
          <w:tcPr>
            <w:tcW w:w="1101" w:type="dxa"/>
          </w:tcPr>
          <w:p w14:paraId="5021C8CD" w14:textId="77777777" w:rsidR="00941486" w:rsidRPr="00B67132" w:rsidRDefault="00941486" w:rsidP="007F198F">
            <w:pPr>
              <w:pStyle w:val="TableTextARSmall"/>
              <w:jc w:val="right"/>
            </w:pPr>
          </w:p>
        </w:tc>
        <w:tc>
          <w:tcPr>
            <w:tcW w:w="1101" w:type="dxa"/>
          </w:tcPr>
          <w:p w14:paraId="5021C8CE" w14:textId="77777777" w:rsidR="00941486" w:rsidRPr="00B67132" w:rsidRDefault="00941486" w:rsidP="007F198F">
            <w:pPr>
              <w:pStyle w:val="TableTextARSmall"/>
              <w:jc w:val="right"/>
            </w:pPr>
          </w:p>
        </w:tc>
        <w:tc>
          <w:tcPr>
            <w:tcW w:w="1203" w:type="dxa"/>
          </w:tcPr>
          <w:p w14:paraId="5021C8CF" w14:textId="77777777" w:rsidR="00941486" w:rsidRPr="00B67132" w:rsidRDefault="00941486" w:rsidP="007F198F">
            <w:pPr>
              <w:pStyle w:val="TableTextARSmall"/>
              <w:jc w:val="right"/>
            </w:pPr>
          </w:p>
        </w:tc>
        <w:tc>
          <w:tcPr>
            <w:tcW w:w="1140" w:type="dxa"/>
          </w:tcPr>
          <w:p w14:paraId="5021C8D0" w14:textId="77777777" w:rsidR="00941486" w:rsidRPr="00B67132" w:rsidRDefault="00941486" w:rsidP="007F198F">
            <w:pPr>
              <w:pStyle w:val="TableTextARSmall"/>
              <w:jc w:val="right"/>
            </w:pPr>
          </w:p>
        </w:tc>
        <w:tc>
          <w:tcPr>
            <w:tcW w:w="1140" w:type="dxa"/>
          </w:tcPr>
          <w:p w14:paraId="5021C8D1" w14:textId="77777777" w:rsidR="00941486" w:rsidRPr="00B67132" w:rsidRDefault="00941486" w:rsidP="007F198F">
            <w:pPr>
              <w:pStyle w:val="TableTextARSmall"/>
              <w:jc w:val="right"/>
            </w:pPr>
          </w:p>
        </w:tc>
        <w:tc>
          <w:tcPr>
            <w:tcW w:w="1189" w:type="dxa"/>
          </w:tcPr>
          <w:p w14:paraId="5021C8D2" w14:textId="77777777" w:rsidR="00941486" w:rsidRPr="00B67132" w:rsidRDefault="00941486" w:rsidP="007F198F">
            <w:pPr>
              <w:pStyle w:val="TableTextARSmall"/>
              <w:jc w:val="right"/>
            </w:pPr>
          </w:p>
        </w:tc>
        <w:tc>
          <w:tcPr>
            <w:tcW w:w="1305" w:type="dxa"/>
          </w:tcPr>
          <w:p w14:paraId="5021C8D3" w14:textId="77777777" w:rsidR="00941486" w:rsidRPr="00B67132" w:rsidRDefault="00941486" w:rsidP="007F198F">
            <w:pPr>
              <w:pStyle w:val="TableTextARSmall"/>
              <w:jc w:val="right"/>
            </w:pPr>
          </w:p>
        </w:tc>
        <w:tc>
          <w:tcPr>
            <w:tcW w:w="1401" w:type="dxa"/>
          </w:tcPr>
          <w:p w14:paraId="5021C8D4" w14:textId="77777777" w:rsidR="00941486" w:rsidRPr="00B67132" w:rsidRDefault="00941486" w:rsidP="007F198F">
            <w:pPr>
              <w:pStyle w:val="TableTextARSmall"/>
              <w:jc w:val="right"/>
            </w:pPr>
            <w:r w:rsidRPr="00B67132">
              <w:t>27,396,041</w:t>
            </w:r>
          </w:p>
        </w:tc>
        <w:tc>
          <w:tcPr>
            <w:tcW w:w="1358" w:type="dxa"/>
          </w:tcPr>
          <w:p w14:paraId="5021C8D5" w14:textId="77777777" w:rsidR="00941486" w:rsidRPr="00B67132" w:rsidRDefault="00941486" w:rsidP="007F198F">
            <w:pPr>
              <w:pStyle w:val="TableTextARSmall"/>
              <w:jc w:val="right"/>
            </w:pPr>
            <w:r w:rsidRPr="00B67132">
              <w:t>27,396,041</w:t>
            </w:r>
          </w:p>
        </w:tc>
      </w:tr>
      <w:tr w:rsidR="00941486" w:rsidRPr="00B67132" w14:paraId="5021C8E2" w14:textId="77777777" w:rsidTr="007F198F">
        <w:trPr>
          <w:cantSplit/>
        </w:trPr>
        <w:tc>
          <w:tcPr>
            <w:tcW w:w="3692" w:type="dxa"/>
          </w:tcPr>
          <w:p w14:paraId="5021C8D7" w14:textId="77777777" w:rsidR="00941486" w:rsidRPr="00B67132" w:rsidRDefault="00941486" w:rsidP="00941486">
            <w:pPr>
              <w:pStyle w:val="TableTextARSmall"/>
            </w:pPr>
            <w:r w:rsidRPr="00B67132">
              <w:t>Appropriations: Fire Services Levy Monitor</w:t>
            </w:r>
            <w:r w:rsidR="004555F2">
              <w:t xml:space="preserve"> (</w:t>
            </w:r>
            <w:r w:rsidRPr="00B67132">
              <w:t>1</w:t>
            </w:r>
            <w:r w:rsidR="004555F2">
              <w:t>)</w:t>
            </w:r>
          </w:p>
        </w:tc>
        <w:tc>
          <w:tcPr>
            <w:tcW w:w="1076" w:type="dxa"/>
          </w:tcPr>
          <w:p w14:paraId="5021C8D8" w14:textId="77777777" w:rsidR="00941486" w:rsidRPr="00B67132" w:rsidRDefault="00941486" w:rsidP="007F198F">
            <w:pPr>
              <w:pStyle w:val="TableTextARSmall"/>
              <w:jc w:val="right"/>
            </w:pPr>
          </w:p>
        </w:tc>
        <w:tc>
          <w:tcPr>
            <w:tcW w:w="1101" w:type="dxa"/>
          </w:tcPr>
          <w:p w14:paraId="5021C8D9" w14:textId="77777777" w:rsidR="00941486" w:rsidRPr="00B67132" w:rsidRDefault="00941486" w:rsidP="007F198F">
            <w:pPr>
              <w:pStyle w:val="TableTextARSmall"/>
              <w:jc w:val="right"/>
            </w:pPr>
          </w:p>
        </w:tc>
        <w:tc>
          <w:tcPr>
            <w:tcW w:w="1101" w:type="dxa"/>
          </w:tcPr>
          <w:p w14:paraId="5021C8DA" w14:textId="77777777" w:rsidR="00941486" w:rsidRPr="00B67132" w:rsidRDefault="00941486" w:rsidP="007F198F">
            <w:pPr>
              <w:pStyle w:val="TableTextARSmall"/>
              <w:jc w:val="right"/>
            </w:pPr>
          </w:p>
        </w:tc>
        <w:tc>
          <w:tcPr>
            <w:tcW w:w="1203" w:type="dxa"/>
          </w:tcPr>
          <w:p w14:paraId="5021C8DB" w14:textId="77777777" w:rsidR="00941486" w:rsidRPr="00B67132" w:rsidRDefault="00941486" w:rsidP="007F198F">
            <w:pPr>
              <w:pStyle w:val="TableTextARSmall"/>
              <w:jc w:val="right"/>
            </w:pPr>
          </w:p>
        </w:tc>
        <w:tc>
          <w:tcPr>
            <w:tcW w:w="1140" w:type="dxa"/>
          </w:tcPr>
          <w:p w14:paraId="5021C8DC" w14:textId="77777777" w:rsidR="00941486" w:rsidRPr="00B67132" w:rsidRDefault="00941486" w:rsidP="007F198F">
            <w:pPr>
              <w:pStyle w:val="TableTextARSmall"/>
              <w:jc w:val="right"/>
            </w:pPr>
          </w:p>
        </w:tc>
        <w:tc>
          <w:tcPr>
            <w:tcW w:w="1140" w:type="dxa"/>
          </w:tcPr>
          <w:p w14:paraId="5021C8DD" w14:textId="77777777" w:rsidR="00941486" w:rsidRPr="00B67132" w:rsidRDefault="00941486" w:rsidP="007F198F">
            <w:pPr>
              <w:pStyle w:val="TableTextARSmall"/>
              <w:jc w:val="right"/>
            </w:pPr>
          </w:p>
        </w:tc>
        <w:tc>
          <w:tcPr>
            <w:tcW w:w="1189" w:type="dxa"/>
          </w:tcPr>
          <w:p w14:paraId="5021C8DE" w14:textId="77777777" w:rsidR="00941486" w:rsidRPr="00B67132" w:rsidRDefault="00941486" w:rsidP="007F198F">
            <w:pPr>
              <w:pStyle w:val="TableTextARSmall"/>
              <w:jc w:val="right"/>
            </w:pPr>
          </w:p>
        </w:tc>
        <w:tc>
          <w:tcPr>
            <w:tcW w:w="1305" w:type="dxa"/>
          </w:tcPr>
          <w:p w14:paraId="5021C8DF" w14:textId="77777777" w:rsidR="00941486" w:rsidRPr="00B67132" w:rsidRDefault="00941486" w:rsidP="007F198F">
            <w:pPr>
              <w:pStyle w:val="TableTextARSmall"/>
              <w:jc w:val="right"/>
            </w:pPr>
          </w:p>
        </w:tc>
        <w:tc>
          <w:tcPr>
            <w:tcW w:w="1401" w:type="dxa"/>
          </w:tcPr>
          <w:p w14:paraId="5021C8E0" w14:textId="77777777" w:rsidR="00941486" w:rsidRPr="00B67132" w:rsidRDefault="00941486" w:rsidP="007F198F">
            <w:pPr>
              <w:pStyle w:val="TableTextARSmall"/>
              <w:jc w:val="right"/>
            </w:pPr>
            <w:r w:rsidRPr="00B67132">
              <w:t>2,277,000</w:t>
            </w:r>
          </w:p>
        </w:tc>
        <w:tc>
          <w:tcPr>
            <w:tcW w:w="1358" w:type="dxa"/>
          </w:tcPr>
          <w:p w14:paraId="5021C8E1" w14:textId="77777777" w:rsidR="00941486" w:rsidRPr="00B67132" w:rsidRDefault="00941486" w:rsidP="007F198F">
            <w:pPr>
              <w:pStyle w:val="TableTextARSmall"/>
              <w:jc w:val="right"/>
            </w:pPr>
            <w:r w:rsidRPr="00B67132">
              <w:t>2,277,000</w:t>
            </w:r>
          </w:p>
        </w:tc>
      </w:tr>
      <w:tr w:rsidR="00941486" w:rsidRPr="00B67132" w14:paraId="5021C8EE" w14:textId="77777777" w:rsidTr="007F198F">
        <w:trPr>
          <w:cantSplit/>
        </w:trPr>
        <w:tc>
          <w:tcPr>
            <w:tcW w:w="3692" w:type="dxa"/>
          </w:tcPr>
          <w:p w14:paraId="5021C8E3" w14:textId="77777777" w:rsidR="00941486" w:rsidRPr="00B67132" w:rsidRDefault="00941486" w:rsidP="00941486">
            <w:pPr>
              <w:pStyle w:val="TableTextARSmall"/>
            </w:pPr>
            <w:r w:rsidRPr="00B67132">
              <w:t xml:space="preserve">Fees income </w:t>
            </w:r>
          </w:p>
        </w:tc>
        <w:tc>
          <w:tcPr>
            <w:tcW w:w="1076" w:type="dxa"/>
          </w:tcPr>
          <w:p w14:paraId="5021C8E4" w14:textId="77777777" w:rsidR="00941486" w:rsidRPr="00B67132" w:rsidRDefault="00941486" w:rsidP="007F198F">
            <w:pPr>
              <w:pStyle w:val="TableTextARSmall"/>
              <w:jc w:val="right"/>
            </w:pPr>
          </w:p>
        </w:tc>
        <w:tc>
          <w:tcPr>
            <w:tcW w:w="1101" w:type="dxa"/>
          </w:tcPr>
          <w:p w14:paraId="5021C8E5" w14:textId="77777777" w:rsidR="00941486" w:rsidRPr="00B67132" w:rsidRDefault="00941486" w:rsidP="007F198F">
            <w:pPr>
              <w:pStyle w:val="TableTextARSmall"/>
              <w:jc w:val="right"/>
            </w:pPr>
            <w:r w:rsidRPr="00B67132">
              <w:t>569,166</w:t>
            </w:r>
          </w:p>
        </w:tc>
        <w:tc>
          <w:tcPr>
            <w:tcW w:w="1101" w:type="dxa"/>
          </w:tcPr>
          <w:p w14:paraId="5021C8E6" w14:textId="77777777" w:rsidR="00941486" w:rsidRPr="00B67132" w:rsidRDefault="00941486" w:rsidP="007F198F">
            <w:pPr>
              <w:pStyle w:val="TableTextARSmall"/>
              <w:jc w:val="right"/>
            </w:pPr>
            <w:r w:rsidRPr="00B67132">
              <w:t>3,426,872</w:t>
            </w:r>
          </w:p>
        </w:tc>
        <w:tc>
          <w:tcPr>
            <w:tcW w:w="1203" w:type="dxa"/>
          </w:tcPr>
          <w:p w14:paraId="5021C8E7" w14:textId="77777777" w:rsidR="00941486" w:rsidRPr="00B67132" w:rsidRDefault="00941486" w:rsidP="007F198F">
            <w:pPr>
              <w:pStyle w:val="TableTextARSmall"/>
              <w:jc w:val="right"/>
            </w:pPr>
          </w:p>
        </w:tc>
        <w:tc>
          <w:tcPr>
            <w:tcW w:w="1140" w:type="dxa"/>
          </w:tcPr>
          <w:p w14:paraId="5021C8E8" w14:textId="77777777" w:rsidR="00941486" w:rsidRPr="00B67132" w:rsidRDefault="00941486" w:rsidP="007F198F">
            <w:pPr>
              <w:pStyle w:val="TableTextARSmall"/>
              <w:jc w:val="right"/>
            </w:pPr>
            <w:r w:rsidRPr="00B67132">
              <w:t>2,957,051</w:t>
            </w:r>
          </w:p>
        </w:tc>
        <w:tc>
          <w:tcPr>
            <w:tcW w:w="1140" w:type="dxa"/>
          </w:tcPr>
          <w:p w14:paraId="5021C8E9" w14:textId="77777777" w:rsidR="00941486" w:rsidRPr="00B67132" w:rsidRDefault="00941486" w:rsidP="007F198F">
            <w:pPr>
              <w:pStyle w:val="TableTextARSmall"/>
              <w:jc w:val="right"/>
            </w:pPr>
            <w:r w:rsidRPr="00B67132">
              <w:t>809,583</w:t>
            </w:r>
          </w:p>
        </w:tc>
        <w:tc>
          <w:tcPr>
            <w:tcW w:w="1189" w:type="dxa"/>
          </w:tcPr>
          <w:p w14:paraId="5021C8EA" w14:textId="77777777" w:rsidR="00941486" w:rsidRPr="00B67132" w:rsidRDefault="00941486" w:rsidP="007F198F">
            <w:pPr>
              <w:pStyle w:val="TableTextARSmall"/>
              <w:jc w:val="right"/>
            </w:pPr>
            <w:r w:rsidRPr="00B67132">
              <w:t>5,177,807</w:t>
            </w:r>
          </w:p>
        </w:tc>
        <w:tc>
          <w:tcPr>
            <w:tcW w:w="1305" w:type="dxa"/>
          </w:tcPr>
          <w:p w14:paraId="5021C8EB" w14:textId="77777777" w:rsidR="00941486" w:rsidRPr="00B67132" w:rsidRDefault="00941486" w:rsidP="007F198F">
            <w:pPr>
              <w:pStyle w:val="TableTextARSmall"/>
              <w:jc w:val="right"/>
            </w:pPr>
            <w:r w:rsidRPr="00B67132">
              <w:t>12,940,479</w:t>
            </w:r>
          </w:p>
        </w:tc>
        <w:tc>
          <w:tcPr>
            <w:tcW w:w="1401" w:type="dxa"/>
          </w:tcPr>
          <w:p w14:paraId="5021C8EC" w14:textId="77777777" w:rsidR="00941486" w:rsidRPr="00B67132" w:rsidRDefault="00941486" w:rsidP="007F198F">
            <w:pPr>
              <w:pStyle w:val="TableTextARSmall"/>
              <w:jc w:val="right"/>
            </w:pPr>
            <w:r w:rsidRPr="00B67132">
              <w:t>2,270,796</w:t>
            </w:r>
          </w:p>
        </w:tc>
        <w:tc>
          <w:tcPr>
            <w:tcW w:w="1358" w:type="dxa"/>
          </w:tcPr>
          <w:p w14:paraId="5021C8ED" w14:textId="77777777" w:rsidR="00941486" w:rsidRPr="00B67132" w:rsidRDefault="00941486" w:rsidP="007F198F">
            <w:pPr>
              <w:pStyle w:val="TableTextARSmall"/>
              <w:jc w:val="right"/>
            </w:pPr>
            <w:r w:rsidRPr="00B67132">
              <w:t>15,211,275</w:t>
            </w:r>
          </w:p>
        </w:tc>
      </w:tr>
      <w:tr w:rsidR="00941486" w:rsidRPr="00B67132" w14:paraId="5021C8FA" w14:textId="77777777" w:rsidTr="007F198F">
        <w:trPr>
          <w:cantSplit/>
        </w:trPr>
        <w:tc>
          <w:tcPr>
            <w:tcW w:w="3692" w:type="dxa"/>
          </w:tcPr>
          <w:p w14:paraId="5021C8EF" w14:textId="77777777" w:rsidR="00941486" w:rsidRPr="00B67132" w:rsidRDefault="00941486" w:rsidP="00941486">
            <w:pPr>
              <w:pStyle w:val="TableTextARSmall"/>
            </w:pPr>
            <w:r w:rsidRPr="00B67132">
              <w:t xml:space="preserve">Interest income </w:t>
            </w:r>
          </w:p>
        </w:tc>
        <w:tc>
          <w:tcPr>
            <w:tcW w:w="1076" w:type="dxa"/>
          </w:tcPr>
          <w:p w14:paraId="5021C8F0" w14:textId="77777777" w:rsidR="00941486" w:rsidRPr="00B67132" w:rsidRDefault="00941486" w:rsidP="007F198F">
            <w:pPr>
              <w:pStyle w:val="TableTextARSmall"/>
              <w:jc w:val="right"/>
            </w:pPr>
            <w:r w:rsidRPr="00B67132">
              <w:t>27,091</w:t>
            </w:r>
          </w:p>
        </w:tc>
        <w:tc>
          <w:tcPr>
            <w:tcW w:w="1101" w:type="dxa"/>
          </w:tcPr>
          <w:p w14:paraId="5021C8F1" w14:textId="77777777" w:rsidR="00941486" w:rsidRPr="00B67132" w:rsidRDefault="00941486" w:rsidP="007F198F">
            <w:pPr>
              <w:pStyle w:val="TableTextARSmall"/>
              <w:jc w:val="right"/>
            </w:pPr>
            <w:r w:rsidRPr="00B67132">
              <w:t>398,464</w:t>
            </w:r>
          </w:p>
        </w:tc>
        <w:tc>
          <w:tcPr>
            <w:tcW w:w="1101" w:type="dxa"/>
          </w:tcPr>
          <w:p w14:paraId="5021C8F2" w14:textId="77777777" w:rsidR="00941486" w:rsidRPr="00B67132" w:rsidRDefault="00941486" w:rsidP="007F198F">
            <w:pPr>
              <w:pStyle w:val="TableTextARSmall"/>
              <w:jc w:val="right"/>
            </w:pPr>
            <w:r w:rsidRPr="00B67132">
              <w:t>22,128</w:t>
            </w:r>
          </w:p>
        </w:tc>
        <w:tc>
          <w:tcPr>
            <w:tcW w:w="1203" w:type="dxa"/>
          </w:tcPr>
          <w:p w14:paraId="5021C8F3" w14:textId="77777777" w:rsidR="00941486" w:rsidRPr="00B67132" w:rsidRDefault="00941486" w:rsidP="007F198F">
            <w:pPr>
              <w:pStyle w:val="TableTextARSmall"/>
              <w:jc w:val="right"/>
            </w:pPr>
            <w:r w:rsidRPr="00B67132">
              <w:t>437,104</w:t>
            </w:r>
          </w:p>
        </w:tc>
        <w:tc>
          <w:tcPr>
            <w:tcW w:w="1140" w:type="dxa"/>
          </w:tcPr>
          <w:p w14:paraId="5021C8F4" w14:textId="77777777" w:rsidR="00941486" w:rsidRPr="00B67132" w:rsidRDefault="00941486" w:rsidP="007F198F">
            <w:pPr>
              <w:pStyle w:val="TableTextARSmall"/>
              <w:jc w:val="right"/>
            </w:pPr>
            <w:r w:rsidRPr="00B67132">
              <w:t>892,365</w:t>
            </w:r>
          </w:p>
        </w:tc>
        <w:tc>
          <w:tcPr>
            <w:tcW w:w="1140" w:type="dxa"/>
          </w:tcPr>
          <w:p w14:paraId="5021C8F5" w14:textId="77777777" w:rsidR="00941486" w:rsidRPr="00B67132" w:rsidRDefault="00941486" w:rsidP="007F198F">
            <w:pPr>
              <w:pStyle w:val="TableTextARSmall"/>
              <w:jc w:val="right"/>
            </w:pPr>
            <w:r w:rsidRPr="00B67132">
              <w:t>9,598</w:t>
            </w:r>
          </w:p>
        </w:tc>
        <w:tc>
          <w:tcPr>
            <w:tcW w:w="1189" w:type="dxa"/>
          </w:tcPr>
          <w:p w14:paraId="5021C8F6" w14:textId="77777777" w:rsidR="00941486" w:rsidRPr="00B67132" w:rsidRDefault="00941486" w:rsidP="007F198F">
            <w:pPr>
              <w:pStyle w:val="TableTextARSmall"/>
              <w:jc w:val="right"/>
            </w:pPr>
            <w:r w:rsidRPr="00B67132">
              <w:t>17,807,165</w:t>
            </w:r>
          </w:p>
        </w:tc>
        <w:tc>
          <w:tcPr>
            <w:tcW w:w="1305" w:type="dxa"/>
          </w:tcPr>
          <w:p w14:paraId="5021C8F7" w14:textId="77777777" w:rsidR="00941486" w:rsidRPr="00B67132" w:rsidRDefault="00941486" w:rsidP="007F198F">
            <w:pPr>
              <w:pStyle w:val="TableTextARSmall"/>
              <w:jc w:val="right"/>
            </w:pPr>
            <w:r w:rsidRPr="00B67132">
              <w:t>19,593,915</w:t>
            </w:r>
          </w:p>
        </w:tc>
        <w:tc>
          <w:tcPr>
            <w:tcW w:w="1401" w:type="dxa"/>
          </w:tcPr>
          <w:p w14:paraId="5021C8F8" w14:textId="77777777" w:rsidR="00941486" w:rsidRPr="00B67132" w:rsidRDefault="00941486" w:rsidP="007F198F">
            <w:pPr>
              <w:pStyle w:val="TableTextARSmall"/>
              <w:jc w:val="right"/>
            </w:pPr>
          </w:p>
        </w:tc>
        <w:tc>
          <w:tcPr>
            <w:tcW w:w="1358" w:type="dxa"/>
          </w:tcPr>
          <w:p w14:paraId="5021C8F9" w14:textId="77777777" w:rsidR="00941486" w:rsidRPr="00B67132" w:rsidRDefault="00941486" w:rsidP="007F198F">
            <w:pPr>
              <w:pStyle w:val="TableTextARSmall"/>
              <w:jc w:val="right"/>
            </w:pPr>
            <w:r w:rsidRPr="00B67132">
              <w:t>19,593,915</w:t>
            </w:r>
          </w:p>
        </w:tc>
      </w:tr>
      <w:tr w:rsidR="00941486" w:rsidRPr="00B67132" w14:paraId="5021C906" w14:textId="77777777" w:rsidTr="007F198F">
        <w:trPr>
          <w:cantSplit/>
        </w:trPr>
        <w:tc>
          <w:tcPr>
            <w:tcW w:w="3692" w:type="dxa"/>
          </w:tcPr>
          <w:p w14:paraId="5021C8FB" w14:textId="77777777" w:rsidR="00941486" w:rsidRPr="00B67132" w:rsidRDefault="00941486" w:rsidP="00941486">
            <w:pPr>
              <w:pStyle w:val="TableTextARSmall"/>
            </w:pPr>
            <w:r w:rsidRPr="00B67132">
              <w:t>Transferred from the Building Commission Victoria</w:t>
            </w:r>
            <w:r w:rsidR="004555F2">
              <w:t xml:space="preserve"> (</w:t>
            </w:r>
            <w:r w:rsidRPr="00B67132">
              <w:t>2</w:t>
            </w:r>
            <w:r w:rsidR="004555F2">
              <w:t>)</w:t>
            </w:r>
          </w:p>
        </w:tc>
        <w:tc>
          <w:tcPr>
            <w:tcW w:w="1076" w:type="dxa"/>
          </w:tcPr>
          <w:p w14:paraId="5021C8FC" w14:textId="77777777" w:rsidR="00941486" w:rsidRPr="00B67132" w:rsidRDefault="00941486" w:rsidP="007F198F">
            <w:pPr>
              <w:pStyle w:val="TableTextARSmall"/>
              <w:jc w:val="right"/>
            </w:pPr>
          </w:p>
        </w:tc>
        <w:tc>
          <w:tcPr>
            <w:tcW w:w="1101" w:type="dxa"/>
          </w:tcPr>
          <w:p w14:paraId="5021C8FD" w14:textId="77777777" w:rsidR="00941486" w:rsidRPr="00B67132" w:rsidRDefault="00941486" w:rsidP="007F198F">
            <w:pPr>
              <w:pStyle w:val="TableTextARSmall"/>
              <w:jc w:val="right"/>
            </w:pPr>
            <w:r w:rsidRPr="00B67132">
              <w:t>10,516,157</w:t>
            </w:r>
          </w:p>
        </w:tc>
        <w:tc>
          <w:tcPr>
            <w:tcW w:w="1101" w:type="dxa"/>
          </w:tcPr>
          <w:p w14:paraId="5021C8FE" w14:textId="77777777" w:rsidR="00941486" w:rsidRPr="00B67132" w:rsidRDefault="00941486" w:rsidP="007F198F">
            <w:pPr>
              <w:pStyle w:val="TableTextARSmall"/>
              <w:jc w:val="right"/>
            </w:pPr>
          </w:p>
        </w:tc>
        <w:tc>
          <w:tcPr>
            <w:tcW w:w="1203" w:type="dxa"/>
          </w:tcPr>
          <w:p w14:paraId="5021C8FF" w14:textId="77777777" w:rsidR="00941486" w:rsidRPr="00B67132" w:rsidRDefault="00941486" w:rsidP="007F198F">
            <w:pPr>
              <w:pStyle w:val="TableTextARSmall"/>
              <w:jc w:val="right"/>
            </w:pPr>
          </w:p>
        </w:tc>
        <w:tc>
          <w:tcPr>
            <w:tcW w:w="1140" w:type="dxa"/>
          </w:tcPr>
          <w:p w14:paraId="5021C900" w14:textId="77777777" w:rsidR="00941486" w:rsidRPr="00B67132" w:rsidRDefault="00941486" w:rsidP="007F198F">
            <w:pPr>
              <w:pStyle w:val="TableTextARSmall"/>
              <w:jc w:val="right"/>
            </w:pPr>
          </w:p>
        </w:tc>
        <w:tc>
          <w:tcPr>
            <w:tcW w:w="1140" w:type="dxa"/>
          </w:tcPr>
          <w:p w14:paraId="5021C901" w14:textId="77777777" w:rsidR="00941486" w:rsidRPr="00B67132" w:rsidRDefault="00941486" w:rsidP="007F198F">
            <w:pPr>
              <w:pStyle w:val="TableTextARSmall"/>
              <w:jc w:val="right"/>
            </w:pPr>
          </w:p>
        </w:tc>
        <w:tc>
          <w:tcPr>
            <w:tcW w:w="1189" w:type="dxa"/>
          </w:tcPr>
          <w:p w14:paraId="5021C902" w14:textId="77777777" w:rsidR="00941486" w:rsidRPr="00B67132" w:rsidRDefault="00941486" w:rsidP="007F198F">
            <w:pPr>
              <w:pStyle w:val="TableTextARSmall"/>
              <w:jc w:val="right"/>
            </w:pPr>
          </w:p>
        </w:tc>
        <w:tc>
          <w:tcPr>
            <w:tcW w:w="1305" w:type="dxa"/>
          </w:tcPr>
          <w:p w14:paraId="5021C903" w14:textId="77777777" w:rsidR="00941486" w:rsidRPr="00B67132" w:rsidRDefault="00941486" w:rsidP="007F198F">
            <w:pPr>
              <w:pStyle w:val="TableTextARSmall"/>
              <w:jc w:val="right"/>
            </w:pPr>
            <w:r w:rsidRPr="00B67132">
              <w:t>10,516,157</w:t>
            </w:r>
          </w:p>
        </w:tc>
        <w:tc>
          <w:tcPr>
            <w:tcW w:w="1401" w:type="dxa"/>
          </w:tcPr>
          <w:p w14:paraId="5021C904" w14:textId="77777777" w:rsidR="00941486" w:rsidRPr="00B67132" w:rsidRDefault="00941486" w:rsidP="007F198F">
            <w:pPr>
              <w:pStyle w:val="TableTextARSmall"/>
              <w:jc w:val="right"/>
            </w:pPr>
          </w:p>
        </w:tc>
        <w:tc>
          <w:tcPr>
            <w:tcW w:w="1358" w:type="dxa"/>
          </w:tcPr>
          <w:p w14:paraId="5021C905" w14:textId="77777777" w:rsidR="00941486" w:rsidRPr="00B67132" w:rsidRDefault="00941486" w:rsidP="007F198F">
            <w:pPr>
              <w:pStyle w:val="TableTextARSmall"/>
              <w:jc w:val="right"/>
            </w:pPr>
            <w:r w:rsidRPr="00B67132">
              <w:t>10,516,157</w:t>
            </w:r>
          </w:p>
        </w:tc>
      </w:tr>
      <w:tr w:rsidR="00941486" w:rsidRPr="00B67132" w14:paraId="5021C912" w14:textId="77777777" w:rsidTr="007F198F">
        <w:trPr>
          <w:cantSplit/>
        </w:trPr>
        <w:tc>
          <w:tcPr>
            <w:tcW w:w="3692" w:type="dxa"/>
          </w:tcPr>
          <w:p w14:paraId="5021C907" w14:textId="77777777" w:rsidR="00941486" w:rsidRPr="00B67132" w:rsidRDefault="00941486" w:rsidP="00941486">
            <w:pPr>
              <w:pStyle w:val="TableTextARSmall"/>
            </w:pPr>
            <w:r w:rsidRPr="00B67132">
              <w:t xml:space="preserve">Grants received and other revenue </w:t>
            </w:r>
          </w:p>
        </w:tc>
        <w:tc>
          <w:tcPr>
            <w:tcW w:w="1076" w:type="dxa"/>
          </w:tcPr>
          <w:p w14:paraId="5021C908" w14:textId="77777777" w:rsidR="00941486" w:rsidRPr="00B67132" w:rsidRDefault="00941486" w:rsidP="007F198F">
            <w:pPr>
              <w:pStyle w:val="TableTextARSmall"/>
              <w:jc w:val="right"/>
            </w:pPr>
            <w:r w:rsidRPr="00B67132">
              <w:t>16,062</w:t>
            </w:r>
          </w:p>
        </w:tc>
        <w:tc>
          <w:tcPr>
            <w:tcW w:w="1101" w:type="dxa"/>
          </w:tcPr>
          <w:p w14:paraId="5021C909" w14:textId="77777777" w:rsidR="00941486" w:rsidRPr="00B67132" w:rsidRDefault="00941486" w:rsidP="007F198F">
            <w:pPr>
              <w:pStyle w:val="TableTextARSmall"/>
              <w:jc w:val="right"/>
            </w:pPr>
            <w:r w:rsidRPr="00B67132">
              <w:t>90,782</w:t>
            </w:r>
          </w:p>
        </w:tc>
        <w:tc>
          <w:tcPr>
            <w:tcW w:w="1101" w:type="dxa"/>
          </w:tcPr>
          <w:p w14:paraId="5021C90A" w14:textId="77777777" w:rsidR="00941486" w:rsidRPr="00B67132" w:rsidRDefault="00941486" w:rsidP="007F198F">
            <w:pPr>
              <w:pStyle w:val="TableTextARSmall"/>
              <w:jc w:val="right"/>
            </w:pPr>
            <w:r w:rsidRPr="00B67132">
              <w:t>15,361</w:t>
            </w:r>
          </w:p>
        </w:tc>
        <w:tc>
          <w:tcPr>
            <w:tcW w:w="1203" w:type="dxa"/>
          </w:tcPr>
          <w:p w14:paraId="5021C90B" w14:textId="77777777" w:rsidR="00941486" w:rsidRPr="00B67132" w:rsidRDefault="00941486" w:rsidP="007F198F">
            <w:pPr>
              <w:pStyle w:val="TableTextARSmall"/>
              <w:jc w:val="right"/>
            </w:pPr>
            <w:r w:rsidRPr="00B67132">
              <w:t>1,312</w:t>
            </w:r>
          </w:p>
        </w:tc>
        <w:tc>
          <w:tcPr>
            <w:tcW w:w="1140" w:type="dxa"/>
          </w:tcPr>
          <w:p w14:paraId="5021C90C" w14:textId="77777777" w:rsidR="00941486" w:rsidRPr="00B67132" w:rsidRDefault="00941486" w:rsidP="007F198F">
            <w:pPr>
              <w:pStyle w:val="TableTextARSmall"/>
              <w:jc w:val="right"/>
            </w:pPr>
            <w:r w:rsidRPr="00B67132">
              <w:t>273</w:t>
            </w:r>
          </w:p>
        </w:tc>
        <w:tc>
          <w:tcPr>
            <w:tcW w:w="1140" w:type="dxa"/>
          </w:tcPr>
          <w:p w14:paraId="5021C90D" w14:textId="77777777" w:rsidR="00941486" w:rsidRPr="00B67132" w:rsidRDefault="00941486" w:rsidP="007F198F">
            <w:pPr>
              <w:pStyle w:val="TableTextARSmall"/>
              <w:jc w:val="right"/>
            </w:pPr>
            <w:r w:rsidRPr="00B67132">
              <w:t>790</w:t>
            </w:r>
          </w:p>
        </w:tc>
        <w:tc>
          <w:tcPr>
            <w:tcW w:w="1189" w:type="dxa"/>
          </w:tcPr>
          <w:p w14:paraId="5021C90E" w14:textId="77777777" w:rsidR="00941486" w:rsidRPr="00B67132" w:rsidRDefault="00941486" w:rsidP="007F198F">
            <w:pPr>
              <w:pStyle w:val="TableTextARSmall"/>
              <w:jc w:val="right"/>
            </w:pPr>
            <w:r w:rsidRPr="00B67132">
              <w:t>26,597</w:t>
            </w:r>
          </w:p>
        </w:tc>
        <w:tc>
          <w:tcPr>
            <w:tcW w:w="1305" w:type="dxa"/>
          </w:tcPr>
          <w:p w14:paraId="5021C90F" w14:textId="77777777" w:rsidR="00941486" w:rsidRPr="00B67132" w:rsidRDefault="00941486" w:rsidP="007F198F">
            <w:pPr>
              <w:pStyle w:val="TableTextARSmall"/>
              <w:jc w:val="right"/>
            </w:pPr>
            <w:r w:rsidRPr="00B67132">
              <w:t>151,177</w:t>
            </w:r>
          </w:p>
        </w:tc>
        <w:tc>
          <w:tcPr>
            <w:tcW w:w="1401" w:type="dxa"/>
          </w:tcPr>
          <w:p w14:paraId="5021C910" w14:textId="77777777" w:rsidR="00941486" w:rsidRPr="00B67132" w:rsidRDefault="00941486" w:rsidP="007F198F">
            <w:pPr>
              <w:pStyle w:val="TableTextARSmall"/>
              <w:jc w:val="right"/>
            </w:pPr>
            <w:r w:rsidRPr="00B67132">
              <w:t>44,688</w:t>
            </w:r>
          </w:p>
        </w:tc>
        <w:tc>
          <w:tcPr>
            <w:tcW w:w="1358" w:type="dxa"/>
          </w:tcPr>
          <w:p w14:paraId="5021C911" w14:textId="77777777" w:rsidR="00941486" w:rsidRPr="00B67132" w:rsidRDefault="00941486" w:rsidP="007F198F">
            <w:pPr>
              <w:pStyle w:val="TableTextARSmall"/>
              <w:jc w:val="right"/>
            </w:pPr>
            <w:r w:rsidRPr="00B67132">
              <w:t>195,865</w:t>
            </w:r>
          </w:p>
        </w:tc>
      </w:tr>
      <w:tr w:rsidR="00941486" w:rsidRPr="00B67132" w14:paraId="5021C91E" w14:textId="77777777" w:rsidTr="007F198F">
        <w:trPr>
          <w:cantSplit/>
        </w:trPr>
        <w:tc>
          <w:tcPr>
            <w:tcW w:w="3692" w:type="dxa"/>
          </w:tcPr>
          <w:p w14:paraId="5021C913" w14:textId="77777777" w:rsidR="00941486" w:rsidRPr="00B67132" w:rsidRDefault="00941486" w:rsidP="00941486">
            <w:pPr>
              <w:pStyle w:val="TableTextARSmall"/>
            </w:pPr>
            <w:r w:rsidRPr="00B67132">
              <w:t>Recoveries related to claims previously paid</w:t>
            </w:r>
          </w:p>
        </w:tc>
        <w:tc>
          <w:tcPr>
            <w:tcW w:w="1076" w:type="dxa"/>
          </w:tcPr>
          <w:p w14:paraId="5021C914" w14:textId="77777777" w:rsidR="00941486" w:rsidRPr="00B67132" w:rsidRDefault="00941486" w:rsidP="007F198F">
            <w:pPr>
              <w:pStyle w:val="TableTextARSmall"/>
              <w:jc w:val="right"/>
            </w:pPr>
          </w:p>
        </w:tc>
        <w:tc>
          <w:tcPr>
            <w:tcW w:w="1101" w:type="dxa"/>
          </w:tcPr>
          <w:p w14:paraId="5021C915" w14:textId="77777777" w:rsidR="00941486" w:rsidRPr="00B67132" w:rsidRDefault="00941486" w:rsidP="007F198F">
            <w:pPr>
              <w:pStyle w:val="TableTextARSmall"/>
              <w:jc w:val="right"/>
            </w:pPr>
          </w:p>
        </w:tc>
        <w:tc>
          <w:tcPr>
            <w:tcW w:w="1101" w:type="dxa"/>
          </w:tcPr>
          <w:p w14:paraId="5021C916" w14:textId="77777777" w:rsidR="00941486" w:rsidRPr="00B67132" w:rsidRDefault="00941486" w:rsidP="007F198F">
            <w:pPr>
              <w:pStyle w:val="TableTextARSmall"/>
              <w:jc w:val="right"/>
            </w:pPr>
            <w:r w:rsidRPr="00B67132">
              <w:t>203,242</w:t>
            </w:r>
          </w:p>
        </w:tc>
        <w:tc>
          <w:tcPr>
            <w:tcW w:w="1203" w:type="dxa"/>
          </w:tcPr>
          <w:p w14:paraId="5021C917" w14:textId="77777777" w:rsidR="00941486" w:rsidRPr="00B67132" w:rsidRDefault="00941486" w:rsidP="007F198F">
            <w:pPr>
              <w:pStyle w:val="TableTextARSmall"/>
              <w:jc w:val="right"/>
            </w:pPr>
          </w:p>
        </w:tc>
        <w:tc>
          <w:tcPr>
            <w:tcW w:w="1140" w:type="dxa"/>
          </w:tcPr>
          <w:p w14:paraId="5021C918" w14:textId="77777777" w:rsidR="00941486" w:rsidRPr="00B67132" w:rsidRDefault="00941486" w:rsidP="007F198F">
            <w:pPr>
              <w:pStyle w:val="TableTextARSmall"/>
              <w:jc w:val="right"/>
            </w:pPr>
          </w:p>
        </w:tc>
        <w:tc>
          <w:tcPr>
            <w:tcW w:w="1140" w:type="dxa"/>
          </w:tcPr>
          <w:p w14:paraId="5021C919" w14:textId="77777777" w:rsidR="00941486" w:rsidRPr="00B67132" w:rsidRDefault="00941486" w:rsidP="007F198F">
            <w:pPr>
              <w:pStyle w:val="TableTextARSmall"/>
              <w:jc w:val="right"/>
            </w:pPr>
          </w:p>
        </w:tc>
        <w:tc>
          <w:tcPr>
            <w:tcW w:w="1189" w:type="dxa"/>
          </w:tcPr>
          <w:p w14:paraId="5021C91A" w14:textId="77777777" w:rsidR="00941486" w:rsidRPr="00B67132" w:rsidRDefault="00941486" w:rsidP="007F198F">
            <w:pPr>
              <w:pStyle w:val="TableTextARSmall"/>
              <w:jc w:val="right"/>
            </w:pPr>
          </w:p>
        </w:tc>
        <w:tc>
          <w:tcPr>
            <w:tcW w:w="1305" w:type="dxa"/>
          </w:tcPr>
          <w:p w14:paraId="5021C91B" w14:textId="77777777" w:rsidR="00941486" w:rsidRPr="00B67132" w:rsidRDefault="00941486" w:rsidP="007F198F">
            <w:pPr>
              <w:pStyle w:val="TableTextARSmall"/>
              <w:jc w:val="right"/>
            </w:pPr>
            <w:r w:rsidRPr="00B67132">
              <w:t>203,242</w:t>
            </w:r>
          </w:p>
        </w:tc>
        <w:tc>
          <w:tcPr>
            <w:tcW w:w="1401" w:type="dxa"/>
          </w:tcPr>
          <w:p w14:paraId="5021C91C" w14:textId="77777777" w:rsidR="00941486" w:rsidRPr="00B67132" w:rsidRDefault="00941486" w:rsidP="007F198F">
            <w:pPr>
              <w:pStyle w:val="TableTextARSmall"/>
              <w:jc w:val="right"/>
            </w:pPr>
          </w:p>
        </w:tc>
        <w:tc>
          <w:tcPr>
            <w:tcW w:w="1358" w:type="dxa"/>
          </w:tcPr>
          <w:p w14:paraId="5021C91D" w14:textId="77777777" w:rsidR="00941486" w:rsidRPr="00B67132" w:rsidRDefault="00941486" w:rsidP="007F198F">
            <w:pPr>
              <w:pStyle w:val="TableTextARSmall"/>
              <w:jc w:val="right"/>
            </w:pPr>
            <w:r w:rsidRPr="00B67132">
              <w:t>203,242</w:t>
            </w:r>
          </w:p>
        </w:tc>
      </w:tr>
      <w:tr w:rsidR="00941486" w:rsidRPr="00B67132" w14:paraId="5021C92A" w14:textId="77777777" w:rsidTr="007F198F">
        <w:trPr>
          <w:cantSplit/>
        </w:trPr>
        <w:tc>
          <w:tcPr>
            <w:tcW w:w="3692" w:type="dxa"/>
          </w:tcPr>
          <w:p w14:paraId="5021C91F" w14:textId="77777777" w:rsidR="00941486" w:rsidRPr="00B67132" w:rsidRDefault="00941486" w:rsidP="00941486">
            <w:pPr>
              <w:pStyle w:val="TableTextARSmall"/>
            </w:pPr>
            <w:r w:rsidRPr="00B67132">
              <w:t xml:space="preserve">Penalty income </w:t>
            </w:r>
          </w:p>
        </w:tc>
        <w:tc>
          <w:tcPr>
            <w:tcW w:w="1076" w:type="dxa"/>
          </w:tcPr>
          <w:p w14:paraId="5021C920" w14:textId="77777777" w:rsidR="00941486" w:rsidRPr="00B67132" w:rsidRDefault="00941486" w:rsidP="007F198F">
            <w:pPr>
              <w:pStyle w:val="TableTextARSmall"/>
              <w:jc w:val="right"/>
            </w:pPr>
          </w:p>
        </w:tc>
        <w:tc>
          <w:tcPr>
            <w:tcW w:w="1101" w:type="dxa"/>
          </w:tcPr>
          <w:p w14:paraId="5021C921" w14:textId="77777777" w:rsidR="00941486" w:rsidRPr="00B67132" w:rsidRDefault="00941486" w:rsidP="007F198F">
            <w:pPr>
              <w:pStyle w:val="TableTextARSmall"/>
              <w:jc w:val="right"/>
            </w:pPr>
          </w:p>
        </w:tc>
        <w:tc>
          <w:tcPr>
            <w:tcW w:w="1101" w:type="dxa"/>
          </w:tcPr>
          <w:p w14:paraId="5021C922" w14:textId="77777777" w:rsidR="00941486" w:rsidRPr="00B67132" w:rsidRDefault="00941486" w:rsidP="007F198F">
            <w:pPr>
              <w:pStyle w:val="TableTextARSmall"/>
              <w:jc w:val="right"/>
            </w:pPr>
            <w:r w:rsidRPr="00B67132">
              <w:t>47,594</w:t>
            </w:r>
          </w:p>
        </w:tc>
        <w:tc>
          <w:tcPr>
            <w:tcW w:w="1203" w:type="dxa"/>
          </w:tcPr>
          <w:p w14:paraId="5021C923" w14:textId="77777777" w:rsidR="00941486" w:rsidRPr="00B67132" w:rsidRDefault="00941486" w:rsidP="007F198F">
            <w:pPr>
              <w:pStyle w:val="TableTextARSmall"/>
              <w:jc w:val="right"/>
            </w:pPr>
          </w:p>
        </w:tc>
        <w:tc>
          <w:tcPr>
            <w:tcW w:w="1140" w:type="dxa"/>
          </w:tcPr>
          <w:p w14:paraId="5021C924" w14:textId="77777777" w:rsidR="00941486" w:rsidRPr="00B67132" w:rsidRDefault="00941486" w:rsidP="007F198F">
            <w:pPr>
              <w:pStyle w:val="TableTextARSmall"/>
              <w:jc w:val="right"/>
            </w:pPr>
          </w:p>
        </w:tc>
        <w:tc>
          <w:tcPr>
            <w:tcW w:w="1140" w:type="dxa"/>
          </w:tcPr>
          <w:p w14:paraId="5021C925" w14:textId="77777777" w:rsidR="00941486" w:rsidRPr="00B67132" w:rsidRDefault="00941486" w:rsidP="007F198F">
            <w:pPr>
              <w:pStyle w:val="TableTextARSmall"/>
              <w:jc w:val="right"/>
            </w:pPr>
            <w:r w:rsidRPr="00B67132">
              <w:t>29,383</w:t>
            </w:r>
          </w:p>
        </w:tc>
        <w:tc>
          <w:tcPr>
            <w:tcW w:w="1189" w:type="dxa"/>
          </w:tcPr>
          <w:p w14:paraId="5021C926" w14:textId="77777777" w:rsidR="00941486" w:rsidRPr="007F198F" w:rsidRDefault="00941486" w:rsidP="007F198F">
            <w:pPr>
              <w:pStyle w:val="TableTextARSmall"/>
              <w:jc w:val="right"/>
              <w:rPr>
                <w:highlight w:val="yellow"/>
              </w:rPr>
            </w:pPr>
            <w:r w:rsidRPr="00B67132">
              <w:t>2,400</w:t>
            </w:r>
          </w:p>
        </w:tc>
        <w:tc>
          <w:tcPr>
            <w:tcW w:w="1305" w:type="dxa"/>
          </w:tcPr>
          <w:p w14:paraId="5021C927" w14:textId="77777777" w:rsidR="00941486" w:rsidRPr="00B67132" w:rsidRDefault="00941486" w:rsidP="007F198F">
            <w:pPr>
              <w:pStyle w:val="TableTextARSmall"/>
              <w:jc w:val="right"/>
            </w:pPr>
            <w:r w:rsidRPr="00B67132">
              <w:t>79,377</w:t>
            </w:r>
          </w:p>
        </w:tc>
        <w:tc>
          <w:tcPr>
            <w:tcW w:w="1401" w:type="dxa"/>
          </w:tcPr>
          <w:p w14:paraId="5021C928" w14:textId="77777777" w:rsidR="00941486" w:rsidRPr="00B67132" w:rsidRDefault="00941486" w:rsidP="007F198F">
            <w:pPr>
              <w:pStyle w:val="TableTextARSmall"/>
              <w:jc w:val="right"/>
            </w:pPr>
          </w:p>
        </w:tc>
        <w:tc>
          <w:tcPr>
            <w:tcW w:w="1358" w:type="dxa"/>
          </w:tcPr>
          <w:p w14:paraId="5021C929" w14:textId="77777777" w:rsidR="00941486" w:rsidRPr="00B67132" w:rsidRDefault="00941486" w:rsidP="007F198F">
            <w:pPr>
              <w:pStyle w:val="TableTextARSmall"/>
              <w:jc w:val="right"/>
            </w:pPr>
            <w:r w:rsidRPr="00B67132">
              <w:t>79,377</w:t>
            </w:r>
          </w:p>
        </w:tc>
      </w:tr>
      <w:tr w:rsidR="00941486" w:rsidRPr="00B67132" w14:paraId="5021C936" w14:textId="77777777" w:rsidTr="007F198F">
        <w:trPr>
          <w:cantSplit/>
        </w:trPr>
        <w:tc>
          <w:tcPr>
            <w:tcW w:w="3692" w:type="dxa"/>
          </w:tcPr>
          <w:p w14:paraId="5021C92B" w14:textId="77777777" w:rsidR="00941486" w:rsidRPr="00B67132" w:rsidRDefault="00941486" w:rsidP="00941486">
            <w:pPr>
              <w:pStyle w:val="TableTextARSmall"/>
            </w:pPr>
            <w:r w:rsidRPr="00B67132">
              <w:t xml:space="preserve">Transfers </w:t>
            </w:r>
          </w:p>
        </w:tc>
        <w:tc>
          <w:tcPr>
            <w:tcW w:w="1076" w:type="dxa"/>
          </w:tcPr>
          <w:p w14:paraId="5021C92C" w14:textId="77777777" w:rsidR="00941486" w:rsidRPr="00B67132" w:rsidRDefault="00941486" w:rsidP="007F198F">
            <w:pPr>
              <w:pStyle w:val="TableTextARSmall"/>
              <w:jc w:val="right"/>
            </w:pPr>
          </w:p>
        </w:tc>
        <w:tc>
          <w:tcPr>
            <w:tcW w:w="1101" w:type="dxa"/>
          </w:tcPr>
          <w:p w14:paraId="5021C92D" w14:textId="77777777" w:rsidR="00941486" w:rsidRPr="00B67132" w:rsidRDefault="00941486" w:rsidP="007F198F">
            <w:pPr>
              <w:pStyle w:val="TableTextARSmall"/>
              <w:jc w:val="right"/>
            </w:pPr>
          </w:p>
        </w:tc>
        <w:tc>
          <w:tcPr>
            <w:tcW w:w="1101" w:type="dxa"/>
          </w:tcPr>
          <w:p w14:paraId="5021C92E" w14:textId="77777777" w:rsidR="00941486" w:rsidRPr="00B67132" w:rsidRDefault="00941486" w:rsidP="007F198F">
            <w:pPr>
              <w:pStyle w:val="TableTextARSmall"/>
              <w:jc w:val="right"/>
            </w:pPr>
            <w:r w:rsidRPr="00B67132">
              <w:t>600,000</w:t>
            </w:r>
          </w:p>
        </w:tc>
        <w:tc>
          <w:tcPr>
            <w:tcW w:w="1203" w:type="dxa"/>
          </w:tcPr>
          <w:p w14:paraId="5021C92F" w14:textId="77777777" w:rsidR="00941486" w:rsidRPr="00B67132" w:rsidRDefault="00941486" w:rsidP="007F198F">
            <w:pPr>
              <w:pStyle w:val="TableTextARSmall"/>
              <w:jc w:val="right"/>
            </w:pPr>
            <w:r w:rsidRPr="00B67132">
              <w:t>(10,000,000)</w:t>
            </w:r>
          </w:p>
        </w:tc>
        <w:tc>
          <w:tcPr>
            <w:tcW w:w="1140" w:type="dxa"/>
          </w:tcPr>
          <w:p w14:paraId="5021C930" w14:textId="77777777" w:rsidR="00941486" w:rsidRPr="00B67132" w:rsidRDefault="00941486" w:rsidP="007F198F">
            <w:pPr>
              <w:pStyle w:val="TableTextARSmall"/>
              <w:jc w:val="right"/>
            </w:pPr>
            <w:r w:rsidRPr="00B67132">
              <w:t>20,000,000</w:t>
            </w:r>
          </w:p>
        </w:tc>
        <w:tc>
          <w:tcPr>
            <w:tcW w:w="1140" w:type="dxa"/>
          </w:tcPr>
          <w:p w14:paraId="5021C931" w14:textId="77777777" w:rsidR="00941486" w:rsidRPr="00B67132" w:rsidRDefault="00941486" w:rsidP="007F198F">
            <w:pPr>
              <w:pStyle w:val="TableTextARSmall"/>
              <w:jc w:val="right"/>
            </w:pPr>
            <w:r w:rsidRPr="00B67132">
              <w:t>700,000</w:t>
            </w:r>
          </w:p>
        </w:tc>
        <w:tc>
          <w:tcPr>
            <w:tcW w:w="1189" w:type="dxa"/>
          </w:tcPr>
          <w:p w14:paraId="5021C932" w14:textId="77777777" w:rsidR="00941486" w:rsidRPr="00B67132" w:rsidRDefault="00941486" w:rsidP="007F198F">
            <w:pPr>
              <w:pStyle w:val="TableTextARSmall"/>
              <w:jc w:val="right"/>
            </w:pPr>
            <w:r w:rsidRPr="00B67132">
              <w:t>(10,000,000)</w:t>
            </w:r>
          </w:p>
        </w:tc>
        <w:tc>
          <w:tcPr>
            <w:tcW w:w="1305" w:type="dxa"/>
          </w:tcPr>
          <w:p w14:paraId="5021C933" w14:textId="77777777" w:rsidR="00941486" w:rsidRPr="00B67132" w:rsidRDefault="00941486" w:rsidP="007F198F">
            <w:pPr>
              <w:pStyle w:val="TableTextARSmall"/>
              <w:jc w:val="right"/>
            </w:pPr>
            <w:r w:rsidRPr="00B67132">
              <w:t>1,300,000</w:t>
            </w:r>
          </w:p>
        </w:tc>
        <w:tc>
          <w:tcPr>
            <w:tcW w:w="1401" w:type="dxa"/>
          </w:tcPr>
          <w:p w14:paraId="5021C934" w14:textId="77777777" w:rsidR="00941486" w:rsidRPr="00B67132" w:rsidRDefault="00941486" w:rsidP="007F198F">
            <w:pPr>
              <w:pStyle w:val="TableTextARSmall"/>
              <w:jc w:val="right"/>
            </w:pPr>
          </w:p>
        </w:tc>
        <w:tc>
          <w:tcPr>
            <w:tcW w:w="1358" w:type="dxa"/>
          </w:tcPr>
          <w:p w14:paraId="5021C935" w14:textId="77777777" w:rsidR="00941486" w:rsidRPr="00B67132" w:rsidRDefault="00941486" w:rsidP="007F198F">
            <w:pPr>
              <w:pStyle w:val="TableTextARSmall"/>
              <w:jc w:val="right"/>
            </w:pPr>
            <w:r w:rsidRPr="00B67132">
              <w:t>1,300,000</w:t>
            </w:r>
          </w:p>
        </w:tc>
      </w:tr>
      <w:tr w:rsidR="00941486" w:rsidRPr="007F198F" w14:paraId="5021C942" w14:textId="77777777" w:rsidTr="007F198F">
        <w:trPr>
          <w:cantSplit/>
        </w:trPr>
        <w:tc>
          <w:tcPr>
            <w:tcW w:w="3692" w:type="dxa"/>
            <w:shd w:val="clear" w:color="auto" w:fill="FDE9D9"/>
          </w:tcPr>
          <w:p w14:paraId="5021C937" w14:textId="77777777" w:rsidR="00941486" w:rsidRPr="007F198F" w:rsidRDefault="00941486" w:rsidP="00D74E28">
            <w:pPr>
              <w:pStyle w:val="TableTextARSmall"/>
              <w:rPr>
                <w:b/>
              </w:rPr>
            </w:pPr>
            <w:r w:rsidRPr="007F198F">
              <w:rPr>
                <w:b/>
              </w:rPr>
              <w:t xml:space="preserve">Total </w:t>
            </w:r>
            <w:r w:rsidR="00D74E28" w:rsidRPr="007F198F">
              <w:rPr>
                <w:b/>
              </w:rPr>
              <w:t>Consumer Affairs Victoria</w:t>
            </w:r>
            <w:r w:rsidRPr="007F198F">
              <w:rPr>
                <w:b/>
              </w:rPr>
              <w:t xml:space="preserve"> revenue </w:t>
            </w:r>
          </w:p>
        </w:tc>
        <w:tc>
          <w:tcPr>
            <w:tcW w:w="1076" w:type="dxa"/>
            <w:shd w:val="clear" w:color="auto" w:fill="FDE9D9"/>
          </w:tcPr>
          <w:p w14:paraId="5021C938" w14:textId="77777777" w:rsidR="00941486" w:rsidRPr="007F198F" w:rsidRDefault="00941486" w:rsidP="007F198F">
            <w:pPr>
              <w:pStyle w:val="TableTextARSmall"/>
              <w:jc w:val="right"/>
              <w:rPr>
                <w:b/>
              </w:rPr>
            </w:pPr>
            <w:r w:rsidRPr="007F198F">
              <w:rPr>
                <w:b/>
              </w:rPr>
              <w:t>43,153</w:t>
            </w:r>
          </w:p>
        </w:tc>
        <w:tc>
          <w:tcPr>
            <w:tcW w:w="1101" w:type="dxa"/>
            <w:shd w:val="clear" w:color="auto" w:fill="FDE9D9"/>
          </w:tcPr>
          <w:p w14:paraId="5021C939" w14:textId="77777777" w:rsidR="00941486" w:rsidRPr="007F198F" w:rsidRDefault="00941486" w:rsidP="007F198F">
            <w:pPr>
              <w:pStyle w:val="TableTextARSmall"/>
              <w:jc w:val="right"/>
              <w:rPr>
                <w:b/>
              </w:rPr>
            </w:pPr>
            <w:r w:rsidRPr="007F198F">
              <w:rPr>
                <w:b/>
              </w:rPr>
              <w:t>11,574,569</w:t>
            </w:r>
          </w:p>
        </w:tc>
        <w:tc>
          <w:tcPr>
            <w:tcW w:w="1101" w:type="dxa"/>
            <w:shd w:val="clear" w:color="auto" w:fill="FDE9D9"/>
          </w:tcPr>
          <w:p w14:paraId="5021C93A" w14:textId="77777777" w:rsidR="00941486" w:rsidRPr="007F198F" w:rsidRDefault="00941486" w:rsidP="007F198F">
            <w:pPr>
              <w:pStyle w:val="TableTextARSmall"/>
              <w:jc w:val="right"/>
              <w:rPr>
                <w:b/>
              </w:rPr>
            </w:pPr>
            <w:r w:rsidRPr="007F198F">
              <w:rPr>
                <w:b/>
              </w:rPr>
              <w:t>4,315,197</w:t>
            </w:r>
          </w:p>
        </w:tc>
        <w:tc>
          <w:tcPr>
            <w:tcW w:w="1203" w:type="dxa"/>
            <w:shd w:val="clear" w:color="auto" w:fill="FDE9D9"/>
          </w:tcPr>
          <w:p w14:paraId="5021C93B" w14:textId="77777777" w:rsidR="00941486" w:rsidRPr="007F198F" w:rsidRDefault="00941486" w:rsidP="007F198F">
            <w:pPr>
              <w:pStyle w:val="TableTextARSmall"/>
              <w:jc w:val="right"/>
              <w:rPr>
                <w:b/>
              </w:rPr>
            </w:pPr>
            <w:r w:rsidRPr="007F198F">
              <w:rPr>
                <w:b/>
              </w:rPr>
              <w:t>11,783,513</w:t>
            </w:r>
          </w:p>
        </w:tc>
        <w:tc>
          <w:tcPr>
            <w:tcW w:w="1140" w:type="dxa"/>
            <w:shd w:val="clear" w:color="auto" w:fill="FDE9D9"/>
          </w:tcPr>
          <w:p w14:paraId="5021C93C" w14:textId="77777777" w:rsidR="00941486" w:rsidRPr="007F198F" w:rsidRDefault="00941486" w:rsidP="007F198F">
            <w:pPr>
              <w:pStyle w:val="TableTextARSmall"/>
              <w:jc w:val="right"/>
              <w:rPr>
                <w:b/>
              </w:rPr>
            </w:pPr>
            <w:r w:rsidRPr="007F198F">
              <w:rPr>
                <w:b/>
              </w:rPr>
              <w:t>23,849,689</w:t>
            </w:r>
          </w:p>
        </w:tc>
        <w:tc>
          <w:tcPr>
            <w:tcW w:w="1140" w:type="dxa"/>
            <w:shd w:val="clear" w:color="auto" w:fill="FDE9D9"/>
          </w:tcPr>
          <w:p w14:paraId="5021C93D" w14:textId="77777777" w:rsidR="00941486" w:rsidRPr="007F198F" w:rsidRDefault="00941486" w:rsidP="007F198F">
            <w:pPr>
              <w:pStyle w:val="TableTextARSmall"/>
              <w:jc w:val="right"/>
              <w:rPr>
                <w:b/>
              </w:rPr>
            </w:pPr>
            <w:r w:rsidRPr="007F198F">
              <w:rPr>
                <w:b/>
              </w:rPr>
              <w:t xml:space="preserve">1,549,354 </w:t>
            </w:r>
          </w:p>
        </w:tc>
        <w:tc>
          <w:tcPr>
            <w:tcW w:w="1189" w:type="dxa"/>
            <w:shd w:val="clear" w:color="auto" w:fill="FDE9D9"/>
          </w:tcPr>
          <w:p w14:paraId="5021C93E" w14:textId="77777777" w:rsidR="00941486" w:rsidRPr="007F198F" w:rsidRDefault="00941486" w:rsidP="007F198F">
            <w:pPr>
              <w:pStyle w:val="TableTextARSmall"/>
              <w:jc w:val="right"/>
              <w:rPr>
                <w:b/>
              </w:rPr>
            </w:pPr>
            <w:r w:rsidRPr="007F198F">
              <w:rPr>
                <w:b/>
              </w:rPr>
              <w:t xml:space="preserve">43,961,076 </w:t>
            </w:r>
          </w:p>
        </w:tc>
        <w:tc>
          <w:tcPr>
            <w:tcW w:w="1305" w:type="dxa"/>
            <w:shd w:val="clear" w:color="auto" w:fill="FDE9D9"/>
          </w:tcPr>
          <w:p w14:paraId="5021C93F" w14:textId="77777777" w:rsidR="00941486" w:rsidRPr="007F198F" w:rsidRDefault="00941486" w:rsidP="007F198F">
            <w:pPr>
              <w:pStyle w:val="TableTextARSmall"/>
              <w:jc w:val="right"/>
              <w:rPr>
                <w:b/>
              </w:rPr>
            </w:pPr>
            <w:r w:rsidRPr="007F198F">
              <w:rPr>
                <w:b/>
              </w:rPr>
              <w:t>97,076,551</w:t>
            </w:r>
          </w:p>
        </w:tc>
        <w:tc>
          <w:tcPr>
            <w:tcW w:w="1401" w:type="dxa"/>
            <w:shd w:val="clear" w:color="auto" w:fill="FDE9D9"/>
          </w:tcPr>
          <w:p w14:paraId="5021C940" w14:textId="77777777" w:rsidR="00941486" w:rsidRPr="007F198F" w:rsidRDefault="00941486" w:rsidP="007F198F">
            <w:pPr>
              <w:pStyle w:val="TableTextARSmall"/>
              <w:jc w:val="right"/>
              <w:rPr>
                <w:b/>
              </w:rPr>
            </w:pPr>
            <w:r w:rsidRPr="007F198F">
              <w:rPr>
                <w:b/>
              </w:rPr>
              <w:t xml:space="preserve">31,988,525 </w:t>
            </w:r>
          </w:p>
        </w:tc>
        <w:tc>
          <w:tcPr>
            <w:tcW w:w="1358" w:type="dxa"/>
            <w:shd w:val="clear" w:color="auto" w:fill="FDE9D9"/>
          </w:tcPr>
          <w:p w14:paraId="5021C941" w14:textId="77777777" w:rsidR="00941486" w:rsidRPr="007F198F" w:rsidRDefault="00941486" w:rsidP="007F198F">
            <w:pPr>
              <w:pStyle w:val="TableTextARSmall"/>
              <w:jc w:val="right"/>
              <w:rPr>
                <w:b/>
              </w:rPr>
            </w:pPr>
            <w:r w:rsidRPr="007F198F">
              <w:rPr>
                <w:b/>
              </w:rPr>
              <w:t>129,065,076</w:t>
            </w:r>
          </w:p>
        </w:tc>
      </w:tr>
      <w:tr w:rsidR="00941486" w:rsidRPr="00B67132" w14:paraId="5021C944" w14:textId="77777777" w:rsidTr="007F198F">
        <w:trPr>
          <w:cantSplit/>
        </w:trPr>
        <w:tc>
          <w:tcPr>
            <w:tcW w:w="15706" w:type="dxa"/>
            <w:gridSpan w:val="11"/>
            <w:shd w:val="clear" w:color="auto" w:fill="FBD4B4"/>
          </w:tcPr>
          <w:p w14:paraId="5021C943" w14:textId="77777777" w:rsidR="00941486" w:rsidRPr="007F198F" w:rsidRDefault="00941486" w:rsidP="00941486">
            <w:pPr>
              <w:pStyle w:val="TableTextARSmall"/>
              <w:rPr>
                <w:b/>
              </w:rPr>
            </w:pPr>
            <w:r w:rsidRPr="007F198F">
              <w:rPr>
                <w:b/>
              </w:rPr>
              <w:t xml:space="preserve">Consumer Affairs Victoria expenditure </w:t>
            </w:r>
          </w:p>
        </w:tc>
      </w:tr>
      <w:tr w:rsidR="00941486" w:rsidRPr="00B67132" w14:paraId="5021C950" w14:textId="77777777" w:rsidTr="007F198F">
        <w:trPr>
          <w:cantSplit/>
        </w:trPr>
        <w:tc>
          <w:tcPr>
            <w:tcW w:w="3692" w:type="dxa"/>
          </w:tcPr>
          <w:p w14:paraId="5021C945" w14:textId="77777777" w:rsidR="00941486" w:rsidRPr="00B67132" w:rsidRDefault="00941486" w:rsidP="00941486">
            <w:pPr>
              <w:pStyle w:val="TableTextARSmall"/>
            </w:pPr>
            <w:r w:rsidRPr="00B67132">
              <w:t xml:space="preserve">Audit services </w:t>
            </w:r>
          </w:p>
        </w:tc>
        <w:tc>
          <w:tcPr>
            <w:tcW w:w="1076" w:type="dxa"/>
          </w:tcPr>
          <w:p w14:paraId="5021C946" w14:textId="77777777" w:rsidR="00941486" w:rsidRPr="00B67132" w:rsidRDefault="00941486" w:rsidP="007F198F">
            <w:pPr>
              <w:pStyle w:val="TableTextARSmall"/>
              <w:jc w:val="right"/>
            </w:pPr>
          </w:p>
        </w:tc>
        <w:tc>
          <w:tcPr>
            <w:tcW w:w="1101" w:type="dxa"/>
          </w:tcPr>
          <w:p w14:paraId="5021C947" w14:textId="77777777" w:rsidR="00941486" w:rsidRPr="00B67132" w:rsidRDefault="00941486" w:rsidP="007F198F">
            <w:pPr>
              <w:pStyle w:val="TableTextARSmall"/>
              <w:jc w:val="right"/>
            </w:pPr>
          </w:p>
        </w:tc>
        <w:tc>
          <w:tcPr>
            <w:tcW w:w="1101" w:type="dxa"/>
          </w:tcPr>
          <w:p w14:paraId="5021C948" w14:textId="77777777" w:rsidR="00941486" w:rsidRPr="00B67132" w:rsidRDefault="00941486" w:rsidP="007F198F">
            <w:pPr>
              <w:pStyle w:val="TableTextARSmall"/>
              <w:jc w:val="right"/>
            </w:pPr>
          </w:p>
        </w:tc>
        <w:tc>
          <w:tcPr>
            <w:tcW w:w="1203" w:type="dxa"/>
          </w:tcPr>
          <w:p w14:paraId="5021C949" w14:textId="77777777" w:rsidR="00941486" w:rsidRPr="00B67132" w:rsidRDefault="00941486" w:rsidP="007F198F">
            <w:pPr>
              <w:pStyle w:val="TableTextARSmall"/>
              <w:jc w:val="right"/>
            </w:pPr>
            <w:r w:rsidRPr="00B67132">
              <w:t>12,850</w:t>
            </w:r>
          </w:p>
        </w:tc>
        <w:tc>
          <w:tcPr>
            <w:tcW w:w="1140" w:type="dxa"/>
          </w:tcPr>
          <w:p w14:paraId="5021C94A" w14:textId="77777777" w:rsidR="00941486" w:rsidRPr="00B67132" w:rsidRDefault="00941486" w:rsidP="007F198F">
            <w:pPr>
              <w:pStyle w:val="TableTextARSmall"/>
              <w:jc w:val="right"/>
            </w:pPr>
          </w:p>
        </w:tc>
        <w:tc>
          <w:tcPr>
            <w:tcW w:w="1140" w:type="dxa"/>
          </w:tcPr>
          <w:p w14:paraId="5021C94B" w14:textId="77777777" w:rsidR="00941486" w:rsidRPr="00B67132" w:rsidRDefault="00941486" w:rsidP="007F198F">
            <w:pPr>
              <w:pStyle w:val="TableTextARSmall"/>
              <w:jc w:val="right"/>
            </w:pPr>
          </w:p>
        </w:tc>
        <w:tc>
          <w:tcPr>
            <w:tcW w:w="1189" w:type="dxa"/>
          </w:tcPr>
          <w:p w14:paraId="5021C94C" w14:textId="77777777" w:rsidR="00941486" w:rsidRPr="00B67132" w:rsidRDefault="00941486" w:rsidP="007F198F">
            <w:pPr>
              <w:pStyle w:val="TableTextARSmall"/>
              <w:jc w:val="right"/>
            </w:pPr>
          </w:p>
        </w:tc>
        <w:tc>
          <w:tcPr>
            <w:tcW w:w="1305" w:type="dxa"/>
          </w:tcPr>
          <w:p w14:paraId="5021C94D" w14:textId="77777777" w:rsidR="00941486" w:rsidRPr="00B67132" w:rsidRDefault="00941486" w:rsidP="007F198F">
            <w:pPr>
              <w:pStyle w:val="TableTextARSmall"/>
              <w:jc w:val="right"/>
            </w:pPr>
            <w:r w:rsidRPr="00B67132">
              <w:t>12,850</w:t>
            </w:r>
          </w:p>
        </w:tc>
        <w:tc>
          <w:tcPr>
            <w:tcW w:w="1401" w:type="dxa"/>
          </w:tcPr>
          <w:p w14:paraId="5021C94E" w14:textId="77777777" w:rsidR="00941486" w:rsidRPr="00B67132" w:rsidRDefault="00941486" w:rsidP="007F198F">
            <w:pPr>
              <w:pStyle w:val="TableTextARSmall"/>
              <w:jc w:val="right"/>
            </w:pPr>
          </w:p>
        </w:tc>
        <w:tc>
          <w:tcPr>
            <w:tcW w:w="1358" w:type="dxa"/>
          </w:tcPr>
          <w:p w14:paraId="5021C94F" w14:textId="77777777" w:rsidR="00941486" w:rsidRPr="00B67132" w:rsidRDefault="00941486" w:rsidP="007F198F">
            <w:pPr>
              <w:pStyle w:val="TableTextARSmall"/>
              <w:jc w:val="right"/>
            </w:pPr>
            <w:r w:rsidRPr="00B67132">
              <w:t>12,850</w:t>
            </w:r>
          </w:p>
        </w:tc>
      </w:tr>
      <w:tr w:rsidR="00941486" w:rsidRPr="00B67132" w14:paraId="5021C95C" w14:textId="77777777" w:rsidTr="007F198F">
        <w:trPr>
          <w:cantSplit/>
        </w:trPr>
        <w:tc>
          <w:tcPr>
            <w:tcW w:w="3692" w:type="dxa"/>
          </w:tcPr>
          <w:p w14:paraId="5021C951" w14:textId="77777777" w:rsidR="00941486" w:rsidRPr="00B67132" w:rsidRDefault="00941486" w:rsidP="00941486">
            <w:pPr>
              <w:pStyle w:val="TableTextARSmall"/>
            </w:pPr>
            <w:r w:rsidRPr="00B67132">
              <w:t xml:space="preserve">Claims on consumer guarantee funds </w:t>
            </w:r>
          </w:p>
        </w:tc>
        <w:tc>
          <w:tcPr>
            <w:tcW w:w="1076" w:type="dxa"/>
          </w:tcPr>
          <w:p w14:paraId="5021C952" w14:textId="77777777" w:rsidR="00941486" w:rsidRPr="00B67132" w:rsidRDefault="00941486" w:rsidP="007F198F">
            <w:pPr>
              <w:pStyle w:val="TableTextARSmall"/>
              <w:jc w:val="right"/>
            </w:pPr>
          </w:p>
        </w:tc>
        <w:tc>
          <w:tcPr>
            <w:tcW w:w="1101" w:type="dxa"/>
          </w:tcPr>
          <w:p w14:paraId="5021C953" w14:textId="77777777" w:rsidR="00941486" w:rsidRPr="00B67132" w:rsidRDefault="00941486" w:rsidP="007F198F">
            <w:pPr>
              <w:pStyle w:val="TableTextARSmall"/>
              <w:jc w:val="right"/>
            </w:pPr>
          </w:p>
        </w:tc>
        <w:tc>
          <w:tcPr>
            <w:tcW w:w="1101" w:type="dxa"/>
          </w:tcPr>
          <w:p w14:paraId="5021C954" w14:textId="77777777" w:rsidR="00941486" w:rsidRPr="00B67132" w:rsidRDefault="00941486" w:rsidP="007F198F">
            <w:pPr>
              <w:pStyle w:val="TableTextARSmall"/>
              <w:jc w:val="right"/>
            </w:pPr>
            <w:r w:rsidRPr="00B67132">
              <w:t>381,343</w:t>
            </w:r>
          </w:p>
        </w:tc>
        <w:tc>
          <w:tcPr>
            <w:tcW w:w="1203" w:type="dxa"/>
          </w:tcPr>
          <w:p w14:paraId="5021C955" w14:textId="77777777" w:rsidR="00941486" w:rsidRPr="00B67132" w:rsidRDefault="00941486" w:rsidP="007F198F">
            <w:pPr>
              <w:pStyle w:val="TableTextARSmall"/>
              <w:jc w:val="right"/>
            </w:pPr>
          </w:p>
        </w:tc>
        <w:tc>
          <w:tcPr>
            <w:tcW w:w="1140" w:type="dxa"/>
          </w:tcPr>
          <w:p w14:paraId="5021C956" w14:textId="77777777" w:rsidR="00941486" w:rsidRPr="00B67132" w:rsidRDefault="00941486" w:rsidP="007F198F">
            <w:pPr>
              <w:pStyle w:val="TableTextARSmall"/>
              <w:jc w:val="right"/>
            </w:pPr>
          </w:p>
        </w:tc>
        <w:tc>
          <w:tcPr>
            <w:tcW w:w="1140" w:type="dxa"/>
          </w:tcPr>
          <w:p w14:paraId="5021C957" w14:textId="77777777" w:rsidR="00941486" w:rsidRPr="00B67132" w:rsidRDefault="00941486" w:rsidP="007F198F">
            <w:pPr>
              <w:pStyle w:val="TableTextARSmall"/>
              <w:jc w:val="right"/>
            </w:pPr>
          </w:p>
        </w:tc>
        <w:tc>
          <w:tcPr>
            <w:tcW w:w="1189" w:type="dxa"/>
          </w:tcPr>
          <w:p w14:paraId="5021C958" w14:textId="77777777" w:rsidR="00941486" w:rsidRPr="00B67132" w:rsidRDefault="00941486" w:rsidP="007F198F">
            <w:pPr>
              <w:pStyle w:val="TableTextARSmall"/>
              <w:jc w:val="right"/>
            </w:pPr>
            <w:r w:rsidRPr="00B67132">
              <w:t>1,388,337</w:t>
            </w:r>
          </w:p>
        </w:tc>
        <w:tc>
          <w:tcPr>
            <w:tcW w:w="1305" w:type="dxa"/>
          </w:tcPr>
          <w:p w14:paraId="5021C959" w14:textId="77777777" w:rsidR="00941486" w:rsidRPr="00B67132" w:rsidRDefault="00941486" w:rsidP="007F198F">
            <w:pPr>
              <w:pStyle w:val="TableTextARSmall"/>
              <w:jc w:val="right"/>
            </w:pPr>
            <w:r w:rsidRPr="00B67132">
              <w:t>1,769,680</w:t>
            </w:r>
          </w:p>
        </w:tc>
        <w:tc>
          <w:tcPr>
            <w:tcW w:w="1401" w:type="dxa"/>
          </w:tcPr>
          <w:p w14:paraId="5021C95A" w14:textId="77777777" w:rsidR="00941486" w:rsidRPr="00B67132" w:rsidRDefault="00941486" w:rsidP="007F198F">
            <w:pPr>
              <w:pStyle w:val="TableTextARSmall"/>
              <w:jc w:val="right"/>
            </w:pPr>
          </w:p>
        </w:tc>
        <w:tc>
          <w:tcPr>
            <w:tcW w:w="1358" w:type="dxa"/>
          </w:tcPr>
          <w:p w14:paraId="5021C95B" w14:textId="77777777" w:rsidR="00941486" w:rsidRPr="00B67132" w:rsidRDefault="00941486" w:rsidP="007F198F">
            <w:pPr>
              <w:pStyle w:val="TableTextARSmall"/>
              <w:jc w:val="right"/>
            </w:pPr>
            <w:r w:rsidRPr="00B67132">
              <w:t>1,769,680</w:t>
            </w:r>
          </w:p>
        </w:tc>
      </w:tr>
      <w:tr w:rsidR="00941486" w:rsidRPr="00B67132" w14:paraId="5021C968" w14:textId="77777777" w:rsidTr="007F198F">
        <w:trPr>
          <w:cantSplit/>
        </w:trPr>
        <w:tc>
          <w:tcPr>
            <w:tcW w:w="3692" w:type="dxa"/>
          </w:tcPr>
          <w:p w14:paraId="5021C95D" w14:textId="77777777" w:rsidR="00941486" w:rsidRPr="00B67132" w:rsidRDefault="00941486" w:rsidP="00941486">
            <w:pPr>
              <w:pStyle w:val="TableTextARSmall"/>
            </w:pPr>
            <w:r w:rsidRPr="00B67132">
              <w:t xml:space="preserve">Consumer Utilities Advocacy Centre </w:t>
            </w:r>
          </w:p>
        </w:tc>
        <w:tc>
          <w:tcPr>
            <w:tcW w:w="1076" w:type="dxa"/>
          </w:tcPr>
          <w:p w14:paraId="5021C95E" w14:textId="77777777" w:rsidR="00941486" w:rsidRPr="00B67132" w:rsidRDefault="00941486" w:rsidP="007F198F">
            <w:pPr>
              <w:pStyle w:val="TableTextARSmall"/>
              <w:jc w:val="right"/>
            </w:pPr>
          </w:p>
        </w:tc>
        <w:tc>
          <w:tcPr>
            <w:tcW w:w="1101" w:type="dxa"/>
          </w:tcPr>
          <w:p w14:paraId="5021C95F" w14:textId="77777777" w:rsidR="00941486" w:rsidRPr="00B67132" w:rsidRDefault="00941486" w:rsidP="007F198F">
            <w:pPr>
              <w:pStyle w:val="TableTextARSmall"/>
              <w:jc w:val="right"/>
            </w:pPr>
          </w:p>
        </w:tc>
        <w:tc>
          <w:tcPr>
            <w:tcW w:w="1101" w:type="dxa"/>
          </w:tcPr>
          <w:p w14:paraId="5021C960" w14:textId="77777777" w:rsidR="00941486" w:rsidRPr="00B67132" w:rsidRDefault="00941486" w:rsidP="007F198F">
            <w:pPr>
              <w:pStyle w:val="TableTextARSmall"/>
              <w:jc w:val="right"/>
            </w:pPr>
          </w:p>
        </w:tc>
        <w:tc>
          <w:tcPr>
            <w:tcW w:w="1203" w:type="dxa"/>
          </w:tcPr>
          <w:p w14:paraId="5021C961" w14:textId="77777777" w:rsidR="00941486" w:rsidRPr="00B67132" w:rsidRDefault="00941486" w:rsidP="007F198F">
            <w:pPr>
              <w:pStyle w:val="TableTextARSmall"/>
              <w:jc w:val="right"/>
            </w:pPr>
          </w:p>
        </w:tc>
        <w:tc>
          <w:tcPr>
            <w:tcW w:w="1140" w:type="dxa"/>
          </w:tcPr>
          <w:p w14:paraId="5021C962" w14:textId="77777777" w:rsidR="00941486" w:rsidRPr="00B67132" w:rsidRDefault="00941486" w:rsidP="007F198F">
            <w:pPr>
              <w:pStyle w:val="TableTextARSmall"/>
              <w:jc w:val="right"/>
            </w:pPr>
          </w:p>
        </w:tc>
        <w:tc>
          <w:tcPr>
            <w:tcW w:w="1140" w:type="dxa"/>
          </w:tcPr>
          <w:p w14:paraId="5021C963" w14:textId="77777777" w:rsidR="00941486" w:rsidRPr="00B67132" w:rsidRDefault="00941486" w:rsidP="007F198F">
            <w:pPr>
              <w:pStyle w:val="TableTextARSmall"/>
              <w:jc w:val="right"/>
            </w:pPr>
          </w:p>
        </w:tc>
        <w:tc>
          <w:tcPr>
            <w:tcW w:w="1189" w:type="dxa"/>
          </w:tcPr>
          <w:p w14:paraId="5021C964" w14:textId="77777777" w:rsidR="00941486" w:rsidRPr="00B67132" w:rsidRDefault="00941486" w:rsidP="007F198F">
            <w:pPr>
              <w:pStyle w:val="TableTextARSmall"/>
              <w:jc w:val="right"/>
            </w:pPr>
          </w:p>
        </w:tc>
        <w:tc>
          <w:tcPr>
            <w:tcW w:w="1305" w:type="dxa"/>
          </w:tcPr>
          <w:p w14:paraId="5021C965" w14:textId="77777777" w:rsidR="00941486" w:rsidRPr="00B67132" w:rsidRDefault="00941486" w:rsidP="007F198F">
            <w:pPr>
              <w:pStyle w:val="TableTextARSmall"/>
              <w:jc w:val="right"/>
            </w:pPr>
          </w:p>
        </w:tc>
        <w:tc>
          <w:tcPr>
            <w:tcW w:w="1401" w:type="dxa"/>
          </w:tcPr>
          <w:p w14:paraId="5021C966" w14:textId="77777777" w:rsidR="00941486" w:rsidRPr="00B67132" w:rsidRDefault="00941486" w:rsidP="007F198F">
            <w:pPr>
              <w:pStyle w:val="TableTextARSmall"/>
              <w:jc w:val="right"/>
            </w:pPr>
            <w:r w:rsidRPr="00B67132">
              <w:t>580,000</w:t>
            </w:r>
          </w:p>
        </w:tc>
        <w:tc>
          <w:tcPr>
            <w:tcW w:w="1358" w:type="dxa"/>
          </w:tcPr>
          <w:p w14:paraId="5021C967" w14:textId="77777777" w:rsidR="00941486" w:rsidRPr="00B67132" w:rsidRDefault="00941486" w:rsidP="007F198F">
            <w:pPr>
              <w:pStyle w:val="TableTextARSmall"/>
              <w:jc w:val="right"/>
            </w:pPr>
            <w:r w:rsidRPr="00B67132">
              <w:t>580,000</w:t>
            </w:r>
          </w:p>
        </w:tc>
      </w:tr>
      <w:tr w:rsidR="00941486" w:rsidRPr="00B67132" w14:paraId="5021C974" w14:textId="77777777" w:rsidTr="007F198F">
        <w:trPr>
          <w:cantSplit/>
        </w:trPr>
        <w:tc>
          <w:tcPr>
            <w:tcW w:w="3692" w:type="dxa"/>
          </w:tcPr>
          <w:p w14:paraId="5021C969" w14:textId="77777777" w:rsidR="00941486" w:rsidRPr="00B67132" w:rsidRDefault="00941486" w:rsidP="00941486">
            <w:pPr>
              <w:pStyle w:val="TableTextARSmall"/>
            </w:pPr>
            <w:r w:rsidRPr="00B67132">
              <w:lastRenderedPageBreak/>
              <w:t xml:space="preserve">Contractors, consultants and professional services </w:t>
            </w:r>
          </w:p>
        </w:tc>
        <w:tc>
          <w:tcPr>
            <w:tcW w:w="1076" w:type="dxa"/>
          </w:tcPr>
          <w:p w14:paraId="5021C96A" w14:textId="77777777" w:rsidR="00941486" w:rsidRPr="00B67132" w:rsidRDefault="00941486" w:rsidP="007F198F">
            <w:pPr>
              <w:pStyle w:val="TableTextARSmall"/>
              <w:jc w:val="right"/>
            </w:pPr>
          </w:p>
        </w:tc>
        <w:tc>
          <w:tcPr>
            <w:tcW w:w="1101" w:type="dxa"/>
          </w:tcPr>
          <w:p w14:paraId="5021C96B" w14:textId="77777777" w:rsidR="00941486" w:rsidRPr="00B67132" w:rsidRDefault="00941486" w:rsidP="007F198F">
            <w:pPr>
              <w:pStyle w:val="TableTextARSmall"/>
              <w:jc w:val="right"/>
            </w:pPr>
            <w:r w:rsidRPr="00B67132">
              <w:t>52,064</w:t>
            </w:r>
          </w:p>
        </w:tc>
        <w:tc>
          <w:tcPr>
            <w:tcW w:w="1101" w:type="dxa"/>
          </w:tcPr>
          <w:p w14:paraId="5021C96C" w14:textId="77777777" w:rsidR="00941486" w:rsidRPr="00B67132" w:rsidRDefault="00941486" w:rsidP="007F198F">
            <w:pPr>
              <w:pStyle w:val="TableTextARSmall"/>
              <w:jc w:val="right"/>
            </w:pPr>
            <w:r w:rsidRPr="00B67132">
              <w:t>78,540</w:t>
            </w:r>
          </w:p>
        </w:tc>
        <w:tc>
          <w:tcPr>
            <w:tcW w:w="1203" w:type="dxa"/>
          </w:tcPr>
          <w:p w14:paraId="5021C96D" w14:textId="77777777" w:rsidR="00941486" w:rsidRPr="00B67132" w:rsidRDefault="00941486" w:rsidP="007F198F">
            <w:pPr>
              <w:pStyle w:val="TableTextARSmall"/>
              <w:jc w:val="right"/>
            </w:pPr>
            <w:r w:rsidRPr="00B67132">
              <w:t>367,967</w:t>
            </w:r>
          </w:p>
        </w:tc>
        <w:tc>
          <w:tcPr>
            <w:tcW w:w="1140" w:type="dxa"/>
          </w:tcPr>
          <w:p w14:paraId="5021C96E" w14:textId="77777777" w:rsidR="00941486" w:rsidRPr="00B67132" w:rsidRDefault="00941486" w:rsidP="007F198F">
            <w:pPr>
              <w:pStyle w:val="TableTextARSmall"/>
              <w:jc w:val="right"/>
            </w:pPr>
            <w:r w:rsidRPr="00B67132">
              <w:t>348,201</w:t>
            </w:r>
          </w:p>
        </w:tc>
        <w:tc>
          <w:tcPr>
            <w:tcW w:w="1140" w:type="dxa"/>
          </w:tcPr>
          <w:p w14:paraId="5021C96F" w14:textId="77777777" w:rsidR="00941486" w:rsidRPr="00B67132" w:rsidRDefault="00941486" w:rsidP="007F198F">
            <w:pPr>
              <w:pStyle w:val="TableTextARSmall"/>
              <w:jc w:val="right"/>
            </w:pPr>
            <w:r w:rsidRPr="00B67132">
              <w:t>41,564</w:t>
            </w:r>
          </w:p>
        </w:tc>
        <w:tc>
          <w:tcPr>
            <w:tcW w:w="1189" w:type="dxa"/>
          </w:tcPr>
          <w:p w14:paraId="5021C970" w14:textId="77777777" w:rsidR="00941486" w:rsidRPr="00B67132" w:rsidRDefault="00941486" w:rsidP="007F198F">
            <w:pPr>
              <w:pStyle w:val="TableTextARSmall"/>
              <w:jc w:val="right"/>
            </w:pPr>
            <w:r w:rsidRPr="00B67132">
              <w:t>1,143,119</w:t>
            </w:r>
          </w:p>
        </w:tc>
        <w:tc>
          <w:tcPr>
            <w:tcW w:w="1305" w:type="dxa"/>
          </w:tcPr>
          <w:p w14:paraId="5021C971" w14:textId="77777777" w:rsidR="00941486" w:rsidRPr="00B67132" w:rsidRDefault="00941486" w:rsidP="007F198F">
            <w:pPr>
              <w:pStyle w:val="TableTextARSmall"/>
              <w:jc w:val="right"/>
            </w:pPr>
            <w:r w:rsidRPr="00B67132">
              <w:t>2,031,455</w:t>
            </w:r>
          </w:p>
        </w:tc>
        <w:tc>
          <w:tcPr>
            <w:tcW w:w="1401" w:type="dxa"/>
          </w:tcPr>
          <w:p w14:paraId="5021C972" w14:textId="77777777" w:rsidR="00941486" w:rsidRPr="00B67132" w:rsidRDefault="00941486" w:rsidP="007F198F">
            <w:pPr>
              <w:pStyle w:val="TableTextARSmall"/>
              <w:jc w:val="right"/>
            </w:pPr>
            <w:r w:rsidRPr="00B67132">
              <w:t>2,211,261</w:t>
            </w:r>
          </w:p>
        </w:tc>
        <w:tc>
          <w:tcPr>
            <w:tcW w:w="1358" w:type="dxa"/>
          </w:tcPr>
          <w:p w14:paraId="5021C973" w14:textId="77777777" w:rsidR="00941486" w:rsidRPr="00B67132" w:rsidRDefault="00941486" w:rsidP="007F198F">
            <w:pPr>
              <w:pStyle w:val="TableTextARSmall"/>
              <w:jc w:val="right"/>
            </w:pPr>
            <w:r w:rsidRPr="00B67132">
              <w:t>4,242,716</w:t>
            </w:r>
          </w:p>
        </w:tc>
      </w:tr>
      <w:tr w:rsidR="00941486" w:rsidRPr="00B67132" w14:paraId="5021C980" w14:textId="77777777" w:rsidTr="007F198F">
        <w:trPr>
          <w:cantSplit/>
        </w:trPr>
        <w:tc>
          <w:tcPr>
            <w:tcW w:w="3692" w:type="dxa"/>
          </w:tcPr>
          <w:p w14:paraId="5021C975" w14:textId="77777777" w:rsidR="00941486" w:rsidRPr="00B67132" w:rsidRDefault="00941486" w:rsidP="00941486">
            <w:pPr>
              <w:pStyle w:val="TableTextARSmall"/>
            </w:pPr>
            <w:r w:rsidRPr="00B67132">
              <w:t>Departmental governance and support costs</w:t>
            </w:r>
          </w:p>
        </w:tc>
        <w:tc>
          <w:tcPr>
            <w:tcW w:w="1076" w:type="dxa"/>
          </w:tcPr>
          <w:p w14:paraId="5021C976" w14:textId="77777777" w:rsidR="00941486" w:rsidRPr="00B67132" w:rsidRDefault="00941486" w:rsidP="007F198F">
            <w:pPr>
              <w:pStyle w:val="TableTextARSmall"/>
              <w:jc w:val="right"/>
            </w:pPr>
          </w:p>
        </w:tc>
        <w:tc>
          <w:tcPr>
            <w:tcW w:w="1101" w:type="dxa"/>
          </w:tcPr>
          <w:p w14:paraId="5021C977" w14:textId="77777777" w:rsidR="00941486" w:rsidRPr="00B67132" w:rsidRDefault="00941486" w:rsidP="007F198F">
            <w:pPr>
              <w:pStyle w:val="TableTextARSmall"/>
              <w:jc w:val="right"/>
            </w:pPr>
          </w:p>
        </w:tc>
        <w:tc>
          <w:tcPr>
            <w:tcW w:w="1101" w:type="dxa"/>
          </w:tcPr>
          <w:p w14:paraId="5021C978" w14:textId="77777777" w:rsidR="00941486" w:rsidRPr="00B67132" w:rsidRDefault="00941486" w:rsidP="007F198F">
            <w:pPr>
              <w:pStyle w:val="TableTextARSmall"/>
              <w:jc w:val="right"/>
            </w:pPr>
          </w:p>
        </w:tc>
        <w:tc>
          <w:tcPr>
            <w:tcW w:w="1203" w:type="dxa"/>
          </w:tcPr>
          <w:p w14:paraId="5021C979" w14:textId="77777777" w:rsidR="00941486" w:rsidRPr="00B67132" w:rsidRDefault="00941486" w:rsidP="007F198F">
            <w:pPr>
              <w:pStyle w:val="TableTextARSmall"/>
              <w:jc w:val="right"/>
            </w:pPr>
          </w:p>
        </w:tc>
        <w:tc>
          <w:tcPr>
            <w:tcW w:w="1140" w:type="dxa"/>
          </w:tcPr>
          <w:p w14:paraId="5021C97A" w14:textId="77777777" w:rsidR="00941486" w:rsidRPr="00B67132" w:rsidRDefault="00941486" w:rsidP="007F198F">
            <w:pPr>
              <w:pStyle w:val="TableTextARSmall"/>
              <w:jc w:val="right"/>
            </w:pPr>
          </w:p>
        </w:tc>
        <w:tc>
          <w:tcPr>
            <w:tcW w:w="1140" w:type="dxa"/>
          </w:tcPr>
          <w:p w14:paraId="5021C97B" w14:textId="77777777" w:rsidR="00941486" w:rsidRPr="00B67132" w:rsidRDefault="00941486" w:rsidP="007F198F">
            <w:pPr>
              <w:pStyle w:val="TableTextARSmall"/>
              <w:jc w:val="right"/>
            </w:pPr>
          </w:p>
        </w:tc>
        <w:tc>
          <w:tcPr>
            <w:tcW w:w="1189" w:type="dxa"/>
          </w:tcPr>
          <w:p w14:paraId="5021C97C" w14:textId="77777777" w:rsidR="00941486" w:rsidRPr="00B67132" w:rsidRDefault="00941486" w:rsidP="007F198F">
            <w:pPr>
              <w:pStyle w:val="TableTextARSmall"/>
              <w:jc w:val="right"/>
            </w:pPr>
          </w:p>
        </w:tc>
        <w:tc>
          <w:tcPr>
            <w:tcW w:w="1305" w:type="dxa"/>
          </w:tcPr>
          <w:p w14:paraId="5021C97D" w14:textId="77777777" w:rsidR="00941486" w:rsidRPr="00B67132" w:rsidRDefault="00941486" w:rsidP="007F198F">
            <w:pPr>
              <w:pStyle w:val="TableTextARSmall"/>
              <w:jc w:val="right"/>
            </w:pPr>
          </w:p>
        </w:tc>
        <w:tc>
          <w:tcPr>
            <w:tcW w:w="1401" w:type="dxa"/>
          </w:tcPr>
          <w:p w14:paraId="5021C97E" w14:textId="77777777" w:rsidR="00941486" w:rsidRPr="00B67132" w:rsidRDefault="00941486" w:rsidP="007F198F">
            <w:pPr>
              <w:pStyle w:val="TableTextARSmall"/>
              <w:jc w:val="right"/>
            </w:pPr>
            <w:r w:rsidRPr="00B67132">
              <w:t>6,029,047</w:t>
            </w:r>
          </w:p>
        </w:tc>
        <w:tc>
          <w:tcPr>
            <w:tcW w:w="1358" w:type="dxa"/>
          </w:tcPr>
          <w:p w14:paraId="5021C97F" w14:textId="77777777" w:rsidR="00941486" w:rsidRPr="00B67132" w:rsidRDefault="00941486" w:rsidP="007F198F">
            <w:pPr>
              <w:pStyle w:val="TableTextARSmall"/>
              <w:jc w:val="right"/>
            </w:pPr>
            <w:r w:rsidRPr="00B67132">
              <w:t>6,029,047</w:t>
            </w:r>
          </w:p>
        </w:tc>
      </w:tr>
      <w:tr w:rsidR="00941486" w:rsidRPr="00B67132" w14:paraId="5021C98C" w14:textId="77777777" w:rsidTr="007F198F">
        <w:trPr>
          <w:cantSplit/>
        </w:trPr>
        <w:tc>
          <w:tcPr>
            <w:tcW w:w="3692" w:type="dxa"/>
          </w:tcPr>
          <w:p w14:paraId="5021C981" w14:textId="77777777" w:rsidR="00941486" w:rsidRPr="00B67132" w:rsidRDefault="00941486" w:rsidP="00941486">
            <w:pPr>
              <w:pStyle w:val="TableTextARSmall"/>
            </w:pPr>
            <w:r w:rsidRPr="00B67132">
              <w:t>Fire Service Levy Monitor</w:t>
            </w:r>
          </w:p>
        </w:tc>
        <w:tc>
          <w:tcPr>
            <w:tcW w:w="1076" w:type="dxa"/>
          </w:tcPr>
          <w:p w14:paraId="5021C982" w14:textId="77777777" w:rsidR="00941486" w:rsidRPr="00B67132" w:rsidRDefault="00941486" w:rsidP="007F198F">
            <w:pPr>
              <w:pStyle w:val="TableTextARSmall"/>
              <w:jc w:val="right"/>
            </w:pPr>
          </w:p>
        </w:tc>
        <w:tc>
          <w:tcPr>
            <w:tcW w:w="1101" w:type="dxa"/>
          </w:tcPr>
          <w:p w14:paraId="5021C983" w14:textId="77777777" w:rsidR="00941486" w:rsidRPr="00B67132" w:rsidRDefault="00941486" w:rsidP="007F198F">
            <w:pPr>
              <w:pStyle w:val="TableTextARSmall"/>
              <w:jc w:val="right"/>
            </w:pPr>
          </w:p>
        </w:tc>
        <w:tc>
          <w:tcPr>
            <w:tcW w:w="1101" w:type="dxa"/>
          </w:tcPr>
          <w:p w14:paraId="5021C984" w14:textId="77777777" w:rsidR="00941486" w:rsidRPr="00B67132" w:rsidRDefault="00941486" w:rsidP="007F198F">
            <w:pPr>
              <w:pStyle w:val="TableTextARSmall"/>
              <w:jc w:val="right"/>
            </w:pPr>
          </w:p>
        </w:tc>
        <w:tc>
          <w:tcPr>
            <w:tcW w:w="1203" w:type="dxa"/>
          </w:tcPr>
          <w:p w14:paraId="5021C985" w14:textId="77777777" w:rsidR="00941486" w:rsidRPr="00B67132" w:rsidRDefault="00941486" w:rsidP="007F198F">
            <w:pPr>
              <w:pStyle w:val="TableTextARSmall"/>
              <w:jc w:val="right"/>
            </w:pPr>
          </w:p>
        </w:tc>
        <w:tc>
          <w:tcPr>
            <w:tcW w:w="1140" w:type="dxa"/>
          </w:tcPr>
          <w:p w14:paraId="5021C986" w14:textId="77777777" w:rsidR="00941486" w:rsidRPr="00B67132" w:rsidRDefault="00941486" w:rsidP="007F198F">
            <w:pPr>
              <w:pStyle w:val="TableTextARSmall"/>
              <w:jc w:val="right"/>
            </w:pPr>
          </w:p>
        </w:tc>
        <w:tc>
          <w:tcPr>
            <w:tcW w:w="1140" w:type="dxa"/>
          </w:tcPr>
          <w:p w14:paraId="5021C987" w14:textId="77777777" w:rsidR="00941486" w:rsidRPr="00B67132" w:rsidRDefault="00941486" w:rsidP="007F198F">
            <w:pPr>
              <w:pStyle w:val="TableTextARSmall"/>
              <w:jc w:val="right"/>
            </w:pPr>
          </w:p>
        </w:tc>
        <w:tc>
          <w:tcPr>
            <w:tcW w:w="1189" w:type="dxa"/>
          </w:tcPr>
          <w:p w14:paraId="5021C988" w14:textId="77777777" w:rsidR="00941486" w:rsidRPr="00B67132" w:rsidRDefault="00941486" w:rsidP="007F198F">
            <w:pPr>
              <w:pStyle w:val="TableTextARSmall"/>
              <w:jc w:val="right"/>
            </w:pPr>
          </w:p>
        </w:tc>
        <w:tc>
          <w:tcPr>
            <w:tcW w:w="1305" w:type="dxa"/>
          </w:tcPr>
          <w:p w14:paraId="5021C989" w14:textId="77777777" w:rsidR="00941486" w:rsidRPr="00B67132" w:rsidRDefault="00941486" w:rsidP="007F198F">
            <w:pPr>
              <w:pStyle w:val="TableTextARSmall"/>
              <w:jc w:val="right"/>
            </w:pPr>
          </w:p>
        </w:tc>
        <w:tc>
          <w:tcPr>
            <w:tcW w:w="1401" w:type="dxa"/>
          </w:tcPr>
          <w:p w14:paraId="5021C98A" w14:textId="77777777" w:rsidR="00941486" w:rsidRPr="00B67132" w:rsidRDefault="00941486" w:rsidP="007F198F">
            <w:pPr>
              <w:pStyle w:val="TableTextARSmall"/>
              <w:jc w:val="right"/>
            </w:pPr>
            <w:r w:rsidRPr="00B67132">
              <w:t>1,501,312</w:t>
            </w:r>
          </w:p>
        </w:tc>
        <w:tc>
          <w:tcPr>
            <w:tcW w:w="1358" w:type="dxa"/>
          </w:tcPr>
          <w:p w14:paraId="5021C98B" w14:textId="77777777" w:rsidR="00941486" w:rsidRPr="00B67132" w:rsidRDefault="00941486" w:rsidP="007F198F">
            <w:pPr>
              <w:pStyle w:val="TableTextARSmall"/>
              <w:jc w:val="right"/>
            </w:pPr>
            <w:r w:rsidRPr="00B67132">
              <w:t>1,501,312</w:t>
            </w:r>
          </w:p>
        </w:tc>
      </w:tr>
      <w:tr w:rsidR="00941486" w:rsidRPr="00B67132" w14:paraId="5021C998" w14:textId="77777777" w:rsidTr="007F198F">
        <w:trPr>
          <w:cantSplit/>
        </w:trPr>
        <w:tc>
          <w:tcPr>
            <w:tcW w:w="3692" w:type="dxa"/>
          </w:tcPr>
          <w:p w14:paraId="5021C98D" w14:textId="77777777" w:rsidR="00941486" w:rsidRPr="00B67132" w:rsidRDefault="00941486" w:rsidP="00941486">
            <w:pPr>
              <w:pStyle w:val="TableTextARSmall"/>
            </w:pPr>
            <w:r w:rsidRPr="00B67132">
              <w:t xml:space="preserve">Employee related costs </w:t>
            </w:r>
          </w:p>
        </w:tc>
        <w:tc>
          <w:tcPr>
            <w:tcW w:w="1076" w:type="dxa"/>
          </w:tcPr>
          <w:p w14:paraId="5021C98E" w14:textId="77777777" w:rsidR="00941486" w:rsidRPr="00B67132" w:rsidRDefault="00941486" w:rsidP="007F198F">
            <w:pPr>
              <w:pStyle w:val="TableTextARSmall"/>
              <w:jc w:val="right"/>
            </w:pPr>
          </w:p>
        </w:tc>
        <w:tc>
          <w:tcPr>
            <w:tcW w:w="1101" w:type="dxa"/>
          </w:tcPr>
          <w:p w14:paraId="5021C98F" w14:textId="77777777" w:rsidR="00941486" w:rsidRPr="00B67132" w:rsidRDefault="00941486" w:rsidP="007F198F">
            <w:pPr>
              <w:pStyle w:val="TableTextARSmall"/>
              <w:jc w:val="right"/>
            </w:pPr>
            <w:r w:rsidRPr="00B67132">
              <w:t>2,786,977</w:t>
            </w:r>
          </w:p>
        </w:tc>
        <w:tc>
          <w:tcPr>
            <w:tcW w:w="1101" w:type="dxa"/>
          </w:tcPr>
          <w:p w14:paraId="5021C990" w14:textId="77777777" w:rsidR="00941486" w:rsidRPr="00B67132" w:rsidRDefault="00941486" w:rsidP="007F198F">
            <w:pPr>
              <w:pStyle w:val="TableTextARSmall"/>
              <w:jc w:val="right"/>
            </w:pPr>
            <w:r w:rsidRPr="00B67132">
              <w:t>2,430,899</w:t>
            </w:r>
          </w:p>
        </w:tc>
        <w:tc>
          <w:tcPr>
            <w:tcW w:w="1203" w:type="dxa"/>
          </w:tcPr>
          <w:p w14:paraId="5021C991" w14:textId="77777777" w:rsidR="00941486" w:rsidRPr="00B67132" w:rsidRDefault="00941486" w:rsidP="007F198F">
            <w:pPr>
              <w:pStyle w:val="TableTextARSmall"/>
              <w:jc w:val="right"/>
            </w:pPr>
            <w:r w:rsidRPr="00B67132">
              <w:t>1,514,293</w:t>
            </w:r>
          </w:p>
        </w:tc>
        <w:tc>
          <w:tcPr>
            <w:tcW w:w="1140" w:type="dxa"/>
          </w:tcPr>
          <w:p w14:paraId="5021C992" w14:textId="77777777" w:rsidR="00941486" w:rsidRPr="00B67132" w:rsidRDefault="00941486" w:rsidP="007F198F">
            <w:pPr>
              <w:pStyle w:val="TableTextARSmall"/>
              <w:jc w:val="right"/>
            </w:pPr>
            <w:r w:rsidRPr="00B67132">
              <w:t>8,158,403</w:t>
            </w:r>
          </w:p>
        </w:tc>
        <w:tc>
          <w:tcPr>
            <w:tcW w:w="1140" w:type="dxa"/>
          </w:tcPr>
          <w:p w14:paraId="5021C993" w14:textId="77777777" w:rsidR="00941486" w:rsidRPr="00B67132" w:rsidRDefault="00941486" w:rsidP="007F198F">
            <w:pPr>
              <w:pStyle w:val="TableTextARSmall"/>
              <w:jc w:val="right"/>
            </w:pPr>
            <w:r w:rsidRPr="00B67132">
              <w:t>1,078,490</w:t>
            </w:r>
          </w:p>
        </w:tc>
        <w:tc>
          <w:tcPr>
            <w:tcW w:w="1189" w:type="dxa"/>
          </w:tcPr>
          <w:p w14:paraId="5021C994" w14:textId="77777777" w:rsidR="00941486" w:rsidRPr="00B67132" w:rsidRDefault="00941486" w:rsidP="007F198F">
            <w:pPr>
              <w:pStyle w:val="TableTextARSmall"/>
              <w:jc w:val="right"/>
            </w:pPr>
            <w:r w:rsidRPr="00B67132">
              <w:t>9,621,471</w:t>
            </w:r>
          </w:p>
        </w:tc>
        <w:tc>
          <w:tcPr>
            <w:tcW w:w="1305" w:type="dxa"/>
          </w:tcPr>
          <w:p w14:paraId="5021C995" w14:textId="77777777" w:rsidR="00941486" w:rsidRPr="00B67132" w:rsidRDefault="00941486" w:rsidP="007F198F">
            <w:pPr>
              <w:pStyle w:val="TableTextARSmall"/>
              <w:jc w:val="right"/>
            </w:pPr>
            <w:r w:rsidRPr="00B67132">
              <w:t>25,590,533</w:t>
            </w:r>
          </w:p>
        </w:tc>
        <w:tc>
          <w:tcPr>
            <w:tcW w:w="1401" w:type="dxa"/>
          </w:tcPr>
          <w:p w14:paraId="5021C996" w14:textId="77777777" w:rsidR="00941486" w:rsidRPr="00B67132" w:rsidRDefault="00941486" w:rsidP="007F198F">
            <w:pPr>
              <w:pStyle w:val="TableTextARSmall"/>
              <w:jc w:val="right"/>
            </w:pPr>
            <w:r w:rsidRPr="00B67132">
              <w:t>9,898,640</w:t>
            </w:r>
          </w:p>
        </w:tc>
        <w:tc>
          <w:tcPr>
            <w:tcW w:w="1358" w:type="dxa"/>
          </w:tcPr>
          <w:p w14:paraId="5021C997" w14:textId="77777777" w:rsidR="00941486" w:rsidRPr="00B67132" w:rsidRDefault="00941486" w:rsidP="007F198F">
            <w:pPr>
              <w:pStyle w:val="TableTextARSmall"/>
              <w:jc w:val="right"/>
            </w:pPr>
            <w:r w:rsidRPr="00B67132">
              <w:t>35,489,173</w:t>
            </w:r>
          </w:p>
        </w:tc>
      </w:tr>
      <w:tr w:rsidR="00941486" w:rsidRPr="00B67132" w14:paraId="5021C9A4" w14:textId="77777777" w:rsidTr="007F198F">
        <w:trPr>
          <w:cantSplit/>
        </w:trPr>
        <w:tc>
          <w:tcPr>
            <w:tcW w:w="3692" w:type="dxa"/>
          </w:tcPr>
          <w:p w14:paraId="5021C999" w14:textId="77777777" w:rsidR="00941486" w:rsidRPr="00B67132" w:rsidRDefault="00941486" w:rsidP="00941486">
            <w:pPr>
              <w:pStyle w:val="TableTextARSmall"/>
            </w:pPr>
            <w:r w:rsidRPr="00B67132">
              <w:t xml:space="preserve">Grants paid </w:t>
            </w:r>
          </w:p>
        </w:tc>
        <w:tc>
          <w:tcPr>
            <w:tcW w:w="1076" w:type="dxa"/>
          </w:tcPr>
          <w:p w14:paraId="5021C99A" w14:textId="77777777" w:rsidR="00941486" w:rsidRPr="00B67132" w:rsidRDefault="00941486" w:rsidP="007F198F">
            <w:pPr>
              <w:pStyle w:val="TableTextARSmall"/>
              <w:jc w:val="right"/>
            </w:pPr>
          </w:p>
        </w:tc>
        <w:tc>
          <w:tcPr>
            <w:tcW w:w="1101" w:type="dxa"/>
          </w:tcPr>
          <w:p w14:paraId="5021C99B" w14:textId="77777777" w:rsidR="00941486" w:rsidRPr="00B67132" w:rsidRDefault="00941486" w:rsidP="007F198F">
            <w:pPr>
              <w:pStyle w:val="TableTextARSmall"/>
              <w:jc w:val="right"/>
            </w:pPr>
            <w:r w:rsidRPr="00B67132">
              <w:t>3,258,545</w:t>
            </w:r>
          </w:p>
        </w:tc>
        <w:tc>
          <w:tcPr>
            <w:tcW w:w="1101" w:type="dxa"/>
          </w:tcPr>
          <w:p w14:paraId="5021C99C" w14:textId="77777777" w:rsidR="00941486" w:rsidRPr="00B67132" w:rsidRDefault="00941486" w:rsidP="007F198F">
            <w:pPr>
              <w:pStyle w:val="TableTextARSmall"/>
              <w:jc w:val="right"/>
            </w:pPr>
          </w:p>
        </w:tc>
        <w:tc>
          <w:tcPr>
            <w:tcW w:w="1203" w:type="dxa"/>
          </w:tcPr>
          <w:p w14:paraId="5021C99D" w14:textId="77777777" w:rsidR="00941486" w:rsidRPr="00B67132" w:rsidRDefault="00941486" w:rsidP="007F198F">
            <w:pPr>
              <w:pStyle w:val="TableTextARSmall"/>
              <w:jc w:val="right"/>
            </w:pPr>
          </w:p>
        </w:tc>
        <w:tc>
          <w:tcPr>
            <w:tcW w:w="1140" w:type="dxa"/>
          </w:tcPr>
          <w:p w14:paraId="5021C99E" w14:textId="77777777" w:rsidR="00941486" w:rsidRPr="00B67132" w:rsidRDefault="00941486" w:rsidP="007F198F">
            <w:pPr>
              <w:pStyle w:val="TableTextARSmall"/>
              <w:jc w:val="right"/>
            </w:pPr>
            <w:r w:rsidRPr="00B67132">
              <w:t>14,462,088</w:t>
            </w:r>
          </w:p>
        </w:tc>
        <w:tc>
          <w:tcPr>
            <w:tcW w:w="1140" w:type="dxa"/>
          </w:tcPr>
          <w:p w14:paraId="5021C99F" w14:textId="77777777" w:rsidR="00941486" w:rsidRPr="00B67132" w:rsidRDefault="00941486" w:rsidP="007F198F">
            <w:pPr>
              <w:pStyle w:val="TableTextARSmall"/>
              <w:jc w:val="right"/>
            </w:pPr>
            <w:r w:rsidRPr="00B67132">
              <w:t>14,500</w:t>
            </w:r>
          </w:p>
        </w:tc>
        <w:tc>
          <w:tcPr>
            <w:tcW w:w="1189" w:type="dxa"/>
          </w:tcPr>
          <w:p w14:paraId="5021C9A0" w14:textId="77777777" w:rsidR="00941486" w:rsidRPr="00B67132" w:rsidRDefault="00941486" w:rsidP="007F198F">
            <w:pPr>
              <w:pStyle w:val="TableTextARSmall"/>
              <w:jc w:val="right"/>
            </w:pPr>
            <w:r w:rsidRPr="00B67132">
              <w:t>23,648,466</w:t>
            </w:r>
          </w:p>
        </w:tc>
        <w:tc>
          <w:tcPr>
            <w:tcW w:w="1305" w:type="dxa"/>
          </w:tcPr>
          <w:p w14:paraId="5021C9A1" w14:textId="77777777" w:rsidR="00941486" w:rsidRPr="00B67132" w:rsidRDefault="00941486" w:rsidP="007F198F">
            <w:pPr>
              <w:pStyle w:val="TableTextARSmall"/>
              <w:jc w:val="right"/>
            </w:pPr>
            <w:r w:rsidRPr="00B67132">
              <w:t>41,383,599</w:t>
            </w:r>
          </w:p>
        </w:tc>
        <w:tc>
          <w:tcPr>
            <w:tcW w:w="1401" w:type="dxa"/>
          </w:tcPr>
          <w:p w14:paraId="5021C9A2" w14:textId="77777777" w:rsidR="00941486" w:rsidRPr="00B67132" w:rsidRDefault="00941486" w:rsidP="007F198F">
            <w:pPr>
              <w:pStyle w:val="TableTextARSmall"/>
              <w:jc w:val="right"/>
            </w:pPr>
            <w:r w:rsidRPr="00B67132">
              <w:t>698,811</w:t>
            </w:r>
          </w:p>
        </w:tc>
        <w:tc>
          <w:tcPr>
            <w:tcW w:w="1358" w:type="dxa"/>
          </w:tcPr>
          <w:p w14:paraId="5021C9A3" w14:textId="77777777" w:rsidR="00941486" w:rsidRPr="00B67132" w:rsidRDefault="00941486" w:rsidP="007F198F">
            <w:pPr>
              <w:pStyle w:val="TableTextARSmall"/>
              <w:jc w:val="right"/>
            </w:pPr>
            <w:r w:rsidRPr="00B67132">
              <w:t>42,082,410</w:t>
            </w:r>
          </w:p>
        </w:tc>
      </w:tr>
      <w:tr w:rsidR="00941486" w:rsidRPr="00B67132" w14:paraId="5021C9B0" w14:textId="77777777" w:rsidTr="007F198F">
        <w:trPr>
          <w:cantSplit/>
        </w:trPr>
        <w:tc>
          <w:tcPr>
            <w:tcW w:w="3692" w:type="dxa"/>
          </w:tcPr>
          <w:p w14:paraId="5021C9A5" w14:textId="77777777" w:rsidR="00941486" w:rsidRPr="00B67132" w:rsidRDefault="00941486" w:rsidP="00941486">
            <w:pPr>
              <w:pStyle w:val="TableTextARSmall"/>
            </w:pPr>
            <w:r w:rsidRPr="00B67132">
              <w:t xml:space="preserve">Information technology </w:t>
            </w:r>
          </w:p>
        </w:tc>
        <w:tc>
          <w:tcPr>
            <w:tcW w:w="1076" w:type="dxa"/>
          </w:tcPr>
          <w:p w14:paraId="5021C9A6" w14:textId="77777777" w:rsidR="00941486" w:rsidRPr="00B67132" w:rsidRDefault="00941486" w:rsidP="007F198F">
            <w:pPr>
              <w:pStyle w:val="TableTextARSmall"/>
              <w:jc w:val="right"/>
            </w:pPr>
          </w:p>
        </w:tc>
        <w:tc>
          <w:tcPr>
            <w:tcW w:w="1101" w:type="dxa"/>
          </w:tcPr>
          <w:p w14:paraId="5021C9A7" w14:textId="77777777" w:rsidR="00941486" w:rsidRPr="00B67132" w:rsidRDefault="00941486" w:rsidP="007F198F">
            <w:pPr>
              <w:pStyle w:val="TableTextARSmall"/>
              <w:jc w:val="right"/>
            </w:pPr>
            <w:r w:rsidRPr="00B67132">
              <w:t>9,148</w:t>
            </w:r>
          </w:p>
        </w:tc>
        <w:tc>
          <w:tcPr>
            <w:tcW w:w="1101" w:type="dxa"/>
          </w:tcPr>
          <w:p w14:paraId="5021C9A8" w14:textId="77777777" w:rsidR="00941486" w:rsidRPr="00B67132" w:rsidRDefault="00941486" w:rsidP="007F198F">
            <w:pPr>
              <w:pStyle w:val="TableTextARSmall"/>
              <w:jc w:val="right"/>
            </w:pPr>
            <w:r w:rsidRPr="00B67132">
              <w:t>77,126</w:t>
            </w:r>
          </w:p>
        </w:tc>
        <w:tc>
          <w:tcPr>
            <w:tcW w:w="1203" w:type="dxa"/>
          </w:tcPr>
          <w:p w14:paraId="5021C9A9" w14:textId="77777777" w:rsidR="00941486" w:rsidRPr="00B67132" w:rsidRDefault="00941486" w:rsidP="007F198F">
            <w:pPr>
              <w:pStyle w:val="TableTextARSmall"/>
              <w:jc w:val="right"/>
            </w:pPr>
            <w:r w:rsidRPr="00B67132">
              <w:t>53,469</w:t>
            </w:r>
          </w:p>
        </w:tc>
        <w:tc>
          <w:tcPr>
            <w:tcW w:w="1140" w:type="dxa"/>
          </w:tcPr>
          <w:p w14:paraId="5021C9AA" w14:textId="77777777" w:rsidR="00941486" w:rsidRPr="00B67132" w:rsidRDefault="00941486" w:rsidP="007F198F">
            <w:pPr>
              <w:pStyle w:val="TableTextARSmall"/>
              <w:jc w:val="right"/>
            </w:pPr>
            <w:r w:rsidRPr="00B67132">
              <w:t>426,344</w:t>
            </w:r>
          </w:p>
        </w:tc>
        <w:tc>
          <w:tcPr>
            <w:tcW w:w="1140" w:type="dxa"/>
          </w:tcPr>
          <w:p w14:paraId="5021C9AB" w14:textId="77777777" w:rsidR="00941486" w:rsidRPr="00B67132" w:rsidRDefault="00941486" w:rsidP="007F198F">
            <w:pPr>
              <w:pStyle w:val="TableTextARSmall"/>
              <w:jc w:val="right"/>
            </w:pPr>
            <w:r w:rsidRPr="00B67132">
              <w:t>41,542</w:t>
            </w:r>
          </w:p>
        </w:tc>
        <w:tc>
          <w:tcPr>
            <w:tcW w:w="1189" w:type="dxa"/>
          </w:tcPr>
          <w:p w14:paraId="5021C9AC" w14:textId="77777777" w:rsidR="00941486" w:rsidRPr="00B67132" w:rsidRDefault="00941486" w:rsidP="007F198F">
            <w:pPr>
              <w:pStyle w:val="TableTextARSmall"/>
              <w:jc w:val="right"/>
            </w:pPr>
            <w:r w:rsidRPr="00B67132">
              <w:t>313,361</w:t>
            </w:r>
          </w:p>
        </w:tc>
        <w:tc>
          <w:tcPr>
            <w:tcW w:w="1305" w:type="dxa"/>
          </w:tcPr>
          <w:p w14:paraId="5021C9AD" w14:textId="77777777" w:rsidR="00941486" w:rsidRPr="00B67132" w:rsidRDefault="00941486" w:rsidP="007F198F">
            <w:pPr>
              <w:pStyle w:val="TableTextARSmall"/>
              <w:jc w:val="right"/>
            </w:pPr>
            <w:r w:rsidRPr="00B67132">
              <w:t>920,990</w:t>
            </w:r>
          </w:p>
        </w:tc>
        <w:tc>
          <w:tcPr>
            <w:tcW w:w="1401" w:type="dxa"/>
          </w:tcPr>
          <w:p w14:paraId="5021C9AE" w14:textId="77777777" w:rsidR="00941486" w:rsidRPr="00B67132" w:rsidRDefault="00941486" w:rsidP="007F198F">
            <w:pPr>
              <w:pStyle w:val="TableTextARSmall"/>
              <w:jc w:val="right"/>
            </w:pPr>
            <w:r w:rsidRPr="00B67132">
              <w:t>899,648</w:t>
            </w:r>
          </w:p>
        </w:tc>
        <w:tc>
          <w:tcPr>
            <w:tcW w:w="1358" w:type="dxa"/>
          </w:tcPr>
          <w:p w14:paraId="5021C9AF" w14:textId="77777777" w:rsidR="00941486" w:rsidRPr="00B67132" w:rsidRDefault="00941486" w:rsidP="007F198F">
            <w:pPr>
              <w:pStyle w:val="TableTextARSmall"/>
              <w:jc w:val="right"/>
            </w:pPr>
            <w:r w:rsidRPr="00B67132">
              <w:t>1,820,638</w:t>
            </w:r>
          </w:p>
        </w:tc>
      </w:tr>
      <w:tr w:rsidR="00941486" w:rsidRPr="00B67132" w14:paraId="5021C9BC" w14:textId="77777777" w:rsidTr="007F198F">
        <w:trPr>
          <w:cantSplit/>
        </w:trPr>
        <w:tc>
          <w:tcPr>
            <w:tcW w:w="3692" w:type="dxa"/>
          </w:tcPr>
          <w:p w14:paraId="5021C9B1" w14:textId="77777777" w:rsidR="00941486" w:rsidRPr="00B67132" w:rsidRDefault="00941486" w:rsidP="00941486">
            <w:pPr>
              <w:pStyle w:val="TableTextARSmall"/>
            </w:pPr>
            <w:r w:rsidRPr="00B67132">
              <w:t xml:space="preserve">Occupancy costs </w:t>
            </w:r>
          </w:p>
        </w:tc>
        <w:tc>
          <w:tcPr>
            <w:tcW w:w="1076" w:type="dxa"/>
          </w:tcPr>
          <w:p w14:paraId="5021C9B2" w14:textId="77777777" w:rsidR="00941486" w:rsidRPr="00B67132" w:rsidRDefault="00941486" w:rsidP="007F198F">
            <w:pPr>
              <w:pStyle w:val="TableTextARSmall"/>
              <w:jc w:val="right"/>
            </w:pPr>
          </w:p>
        </w:tc>
        <w:tc>
          <w:tcPr>
            <w:tcW w:w="1101" w:type="dxa"/>
          </w:tcPr>
          <w:p w14:paraId="5021C9B3" w14:textId="77777777" w:rsidR="00941486" w:rsidRPr="00B67132" w:rsidRDefault="00941486" w:rsidP="007F198F">
            <w:pPr>
              <w:pStyle w:val="TableTextARSmall"/>
              <w:jc w:val="right"/>
            </w:pPr>
            <w:r w:rsidRPr="00B67132">
              <w:t>314,027</w:t>
            </w:r>
          </w:p>
        </w:tc>
        <w:tc>
          <w:tcPr>
            <w:tcW w:w="1101" w:type="dxa"/>
          </w:tcPr>
          <w:p w14:paraId="5021C9B4" w14:textId="77777777" w:rsidR="00941486" w:rsidRPr="00B67132" w:rsidRDefault="00941486" w:rsidP="007F198F">
            <w:pPr>
              <w:pStyle w:val="TableTextARSmall"/>
              <w:jc w:val="right"/>
            </w:pPr>
            <w:r w:rsidRPr="00B67132">
              <w:t>126,416</w:t>
            </w:r>
          </w:p>
        </w:tc>
        <w:tc>
          <w:tcPr>
            <w:tcW w:w="1203" w:type="dxa"/>
          </w:tcPr>
          <w:p w14:paraId="5021C9B5" w14:textId="77777777" w:rsidR="00941486" w:rsidRPr="00B67132" w:rsidRDefault="00941486" w:rsidP="007F198F">
            <w:pPr>
              <w:pStyle w:val="TableTextARSmall"/>
              <w:jc w:val="right"/>
            </w:pPr>
            <w:r w:rsidRPr="00B67132">
              <w:t>116,474</w:t>
            </w:r>
          </w:p>
        </w:tc>
        <w:tc>
          <w:tcPr>
            <w:tcW w:w="1140" w:type="dxa"/>
          </w:tcPr>
          <w:p w14:paraId="5021C9B6" w14:textId="77777777" w:rsidR="00941486" w:rsidRPr="00B67132" w:rsidRDefault="00941486" w:rsidP="007F198F">
            <w:pPr>
              <w:pStyle w:val="TableTextARSmall"/>
              <w:jc w:val="right"/>
            </w:pPr>
            <w:r w:rsidRPr="00B67132">
              <w:t>393,489</w:t>
            </w:r>
          </w:p>
        </w:tc>
        <w:tc>
          <w:tcPr>
            <w:tcW w:w="1140" w:type="dxa"/>
          </w:tcPr>
          <w:p w14:paraId="5021C9B7" w14:textId="77777777" w:rsidR="00941486" w:rsidRPr="00B67132" w:rsidRDefault="00941486" w:rsidP="007F198F">
            <w:pPr>
              <w:pStyle w:val="TableTextARSmall"/>
              <w:jc w:val="right"/>
            </w:pPr>
            <w:r w:rsidRPr="00B67132">
              <w:t>40,068</w:t>
            </w:r>
          </w:p>
        </w:tc>
        <w:tc>
          <w:tcPr>
            <w:tcW w:w="1189" w:type="dxa"/>
          </w:tcPr>
          <w:p w14:paraId="5021C9B8" w14:textId="77777777" w:rsidR="00941486" w:rsidRPr="00B67132" w:rsidRDefault="00941486" w:rsidP="007F198F">
            <w:pPr>
              <w:pStyle w:val="TableTextARSmall"/>
              <w:jc w:val="right"/>
            </w:pPr>
            <w:r w:rsidRPr="00B67132">
              <w:t>444,964</w:t>
            </w:r>
          </w:p>
        </w:tc>
        <w:tc>
          <w:tcPr>
            <w:tcW w:w="1305" w:type="dxa"/>
          </w:tcPr>
          <w:p w14:paraId="5021C9B9" w14:textId="77777777" w:rsidR="00941486" w:rsidRPr="00B67132" w:rsidRDefault="00941486" w:rsidP="007F198F">
            <w:pPr>
              <w:pStyle w:val="TableTextARSmall"/>
              <w:jc w:val="right"/>
            </w:pPr>
            <w:r w:rsidRPr="00B67132">
              <w:t>1,435,438</w:t>
            </w:r>
          </w:p>
        </w:tc>
        <w:tc>
          <w:tcPr>
            <w:tcW w:w="1401" w:type="dxa"/>
          </w:tcPr>
          <w:p w14:paraId="5021C9BA" w14:textId="77777777" w:rsidR="00941486" w:rsidRPr="00B67132" w:rsidRDefault="00941486" w:rsidP="007F198F">
            <w:pPr>
              <w:pStyle w:val="TableTextARSmall"/>
              <w:jc w:val="right"/>
            </w:pPr>
            <w:r w:rsidRPr="00B67132">
              <w:t>3,165,212</w:t>
            </w:r>
          </w:p>
        </w:tc>
        <w:tc>
          <w:tcPr>
            <w:tcW w:w="1358" w:type="dxa"/>
          </w:tcPr>
          <w:p w14:paraId="5021C9BB" w14:textId="77777777" w:rsidR="00941486" w:rsidRPr="00B67132" w:rsidRDefault="00941486" w:rsidP="007F198F">
            <w:pPr>
              <w:pStyle w:val="TableTextARSmall"/>
              <w:jc w:val="right"/>
            </w:pPr>
            <w:r w:rsidRPr="00B67132">
              <w:t>4,600,650</w:t>
            </w:r>
          </w:p>
        </w:tc>
      </w:tr>
      <w:tr w:rsidR="00941486" w:rsidRPr="00B67132" w14:paraId="5021C9C8" w14:textId="77777777" w:rsidTr="007F198F">
        <w:trPr>
          <w:cantSplit/>
        </w:trPr>
        <w:tc>
          <w:tcPr>
            <w:tcW w:w="3692" w:type="dxa"/>
          </w:tcPr>
          <w:p w14:paraId="5021C9BD" w14:textId="77777777" w:rsidR="00941486" w:rsidRPr="00B67132" w:rsidRDefault="00941486" w:rsidP="00941486">
            <w:pPr>
              <w:pStyle w:val="TableTextARSmall"/>
            </w:pPr>
            <w:r w:rsidRPr="00B67132">
              <w:t xml:space="preserve">Other operating costs </w:t>
            </w:r>
          </w:p>
        </w:tc>
        <w:tc>
          <w:tcPr>
            <w:tcW w:w="1076" w:type="dxa"/>
          </w:tcPr>
          <w:p w14:paraId="5021C9BE" w14:textId="77777777" w:rsidR="00941486" w:rsidRPr="00B67132" w:rsidRDefault="00941486" w:rsidP="007F198F">
            <w:pPr>
              <w:pStyle w:val="TableTextARSmall"/>
              <w:jc w:val="right"/>
            </w:pPr>
          </w:p>
        </w:tc>
        <w:tc>
          <w:tcPr>
            <w:tcW w:w="1101" w:type="dxa"/>
          </w:tcPr>
          <w:p w14:paraId="5021C9BF" w14:textId="77777777" w:rsidR="00941486" w:rsidRPr="00B67132" w:rsidRDefault="00941486" w:rsidP="007F198F">
            <w:pPr>
              <w:pStyle w:val="TableTextARSmall"/>
              <w:jc w:val="right"/>
            </w:pPr>
            <w:r w:rsidRPr="00B67132">
              <w:t>737,923</w:t>
            </w:r>
          </w:p>
        </w:tc>
        <w:tc>
          <w:tcPr>
            <w:tcW w:w="1101" w:type="dxa"/>
          </w:tcPr>
          <w:p w14:paraId="5021C9C0" w14:textId="77777777" w:rsidR="00941486" w:rsidRPr="00B67132" w:rsidRDefault="00941486" w:rsidP="007F198F">
            <w:pPr>
              <w:pStyle w:val="TableTextARSmall"/>
              <w:jc w:val="right"/>
            </w:pPr>
            <w:r w:rsidRPr="00B67132">
              <w:t>437,291</w:t>
            </w:r>
          </w:p>
        </w:tc>
        <w:tc>
          <w:tcPr>
            <w:tcW w:w="1203" w:type="dxa"/>
          </w:tcPr>
          <w:p w14:paraId="5021C9C1" w14:textId="77777777" w:rsidR="00941486" w:rsidRPr="00B67132" w:rsidRDefault="00941486" w:rsidP="007F198F">
            <w:pPr>
              <w:pStyle w:val="TableTextARSmall"/>
              <w:jc w:val="right"/>
            </w:pPr>
            <w:r w:rsidRPr="00B67132">
              <w:t>764,309</w:t>
            </w:r>
          </w:p>
        </w:tc>
        <w:tc>
          <w:tcPr>
            <w:tcW w:w="1140" w:type="dxa"/>
          </w:tcPr>
          <w:p w14:paraId="5021C9C2" w14:textId="77777777" w:rsidR="00941486" w:rsidRPr="00B67132" w:rsidRDefault="00941486" w:rsidP="007F198F">
            <w:pPr>
              <w:pStyle w:val="TableTextARSmall"/>
              <w:jc w:val="right"/>
            </w:pPr>
            <w:r w:rsidRPr="00B67132">
              <w:t>2,281,688</w:t>
            </w:r>
          </w:p>
        </w:tc>
        <w:tc>
          <w:tcPr>
            <w:tcW w:w="1140" w:type="dxa"/>
          </w:tcPr>
          <w:p w14:paraId="5021C9C3" w14:textId="77777777" w:rsidR="00941486" w:rsidRPr="00B67132" w:rsidRDefault="00941486" w:rsidP="007F198F">
            <w:pPr>
              <w:pStyle w:val="TableTextARSmall"/>
              <w:jc w:val="right"/>
            </w:pPr>
            <w:r w:rsidRPr="00B67132">
              <w:t>190,047</w:t>
            </w:r>
          </w:p>
        </w:tc>
        <w:tc>
          <w:tcPr>
            <w:tcW w:w="1189" w:type="dxa"/>
          </w:tcPr>
          <w:p w14:paraId="5021C9C4" w14:textId="77777777" w:rsidR="00941486" w:rsidRPr="00B67132" w:rsidRDefault="00941486" w:rsidP="007F198F">
            <w:pPr>
              <w:pStyle w:val="TableTextARSmall"/>
              <w:jc w:val="right"/>
            </w:pPr>
            <w:r w:rsidRPr="00B67132">
              <w:t>1,874,524</w:t>
            </w:r>
          </w:p>
        </w:tc>
        <w:tc>
          <w:tcPr>
            <w:tcW w:w="1305" w:type="dxa"/>
          </w:tcPr>
          <w:p w14:paraId="5021C9C5" w14:textId="77777777" w:rsidR="00941486" w:rsidRPr="00B67132" w:rsidRDefault="00941486" w:rsidP="007F198F">
            <w:pPr>
              <w:pStyle w:val="TableTextARSmall"/>
              <w:jc w:val="right"/>
            </w:pPr>
            <w:r w:rsidRPr="00B67132">
              <w:t>6,285,782</w:t>
            </w:r>
          </w:p>
        </w:tc>
        <w:tc>
          <w:tcPr>
            <w:tcW w:w="1401" w:type="dxa"/>
          </w:tcPr>
          <w:p w14:paraId="5021C9C6" w14:textId="77777777" w:rsidR="00941486" w:rsidRPr="00B67132" w:rsidRDefault="00941486" w:rsidP="007F198F">
            <w:pPr>
              <w:pStyle w:val="TableTextARSmall"/>
              <w:jc w:val="right"/>
            </w:pPr>
            <w:r w:rsidRPr="00B67132">
              <w:t>1,477,670</w:t>
            </w:r>
          </w:p>
        </w:tc>
        <w:tc>
          <w:tcPr>
            <w:tcW w:w="1358" w:type="dxa"/>
          </w:tcPr>
          <w:p w14:paraId="5021C9C7" w14:textId="77777777" w:rsidR="00941486" w:rsidRPr="00B67132" w:rsidRDefault="00941486" w:rsidP="007F198F">
            <w:pPr>
              <w:pStyle w:val="TableTextARSmall"/>
              <w:jc w:val="right"/>
            </w:pPr>
            <w:r w:rsidRPr="00B67132">
              <w:t>7,763,452</w:t>
            </w:r>
          </w:p>
        </w:tc>
      </w:tr>
      <w:tr w:rsidR="00941486" w:rsidRPr="00B67132" w14:paraId="5021C9D4" w14:textId="77777777" w:rsidTr="007F198F">
        <w:trPr>
          <w:cantSplit/>
        </w:trPr>
        <w:tc>
          <w:tcPr>
            <w:tcW w:w="3692" w:type="dxa"/>
          </w:tcPr>
          <w:p w14:paraId="5021C9C9" w14:textId="77777777" w:rsidR="00941486" w:rsidRPr="00B67132" w:rsidRDefault="00941486" w:rsidP="00941486">
            <w:pPr>
              <w:pStyle w:val="TableTextARSmall"/>
            </w:pPr>
            <w:r w:rsidRPr="00B67132">
              <w:t>Outsourced contracted costs</w:t>
            </w:r>
          </w:p>
        </w:tc>
        <w:tc>
          <w:tcPr>
            <w:tcW w:w="1076" w:type="dxa"/>
          </w:tcPr>
          <w:p w14:paraId="5021C9CA" w14:textId="77777777" w:rsidR="00941486" w:rsidRPr="00B67132" w:rsidRDefault="00941486" w:rsidP="007F198F">
            <w:pPr>
              <w:pStyle w:val="TableTextARSmall"/>
              <w:jc w:val="right"/>
            </w:pPr>
          </w:p>
        </w:tc>
        <w:tc>
          <w:tcPr>
            <w:tcW w:w="1101" w:type="dxa"/>
          </w:tcPr>
          <w:p w14:paraId="5021C9CB" w14:textId="77777777" w:rsidR="00941486" w:rsidRPr="00B67132" w:rsidRDefault="00941486" w:rsidP="007F198F">
            <w:pPr>
              <w:pStyle w:val="TableTextARSmall"/>
              <w:jc w:val="right"/>
            </w:pPr>
          </w:p>
        </w:tc>
        <w:tc>
          <w:tcPr>
            <w:tcW w:w="1101" w:type="dxa"/>
          </w:tcPr>
          <w:p w14:paraId="5021C9CC" w14:textId="77777777" w:rsidR="00941486" w:rsidRPr="00B67132" w:rsidRDefault="00941486" w:rsidP="007F198F">
            <w:pPr>
              <w:pStyle w:val="TableTextARSmall"/>
              <w:jc w:val="right"/>
            </w:pPr>
          </w:p>
        </w:tc>
        <w:tc>
          <w:tcPr>
            <w:tcW w:w="1203" w:type="dxa"/>
          </w:tcPr>
          <w:p w14:paraId="5021C9CD" w14:textId="77777777" w:rsidR="00941486" w:rsidRPr="00B67132" w:rsidRDefault="00941486" w:rsidP="007F198F">
            <w:pPr>
              <w:pStyle w:val="TableTextARSmall"/>
              <w:jc w:val="right"/>
            </w:pPr>
            <w:r w:rsidRPr="00B67132">
              <w:t>6,006,750</w:t>
            </w:r>
          </w:p>
        </w:tc>
        <w:tc>
          <w:tcPr>
            <w:tcW w:w="1140" w:type="dxa"/>
          </w:tcPr>
          <w:p w14:paraId="5021C9CE" w14:textId="77777777" w:rsidR="00941486" w:rsidRPr="00B67132" w:rsidRDefault="00941486" w:rsidP="007F198F">
            <w:pPr>
              <w:pStyle w:val="TableTextARSmall"/>
              <w:jc w:val="right"/>
            </w:pPr>
          </w:p>
        </w:tc>
        <w:tc>
          <w:tcPr>
            <w:tcW w:w="1140" w:type="dxa"/>
          </w:tcPr>
          <w:p w14:paraId="5021C9CF" w14:textId="77777777" w:rsidR="00941486" w:rsidRPr="00B67132" w:rsidRDefault="00941486" w:rsidP="007F198F">
            <w:pPr>
              <w:pStyle w:val="TableTextARSmall"/>
              <w:jc w:val="right"/>
            </w:pPr>
          </w:p>
        </w:tc>
        <w:tc>
          <w:tcPr>
            <w:tcW w:w="1189" w:type="dxa"/>
          </w:tcPr>
          <w:p w14:paraId="5021C9D0" w14:textId="77777777" w:rsidR="00941486" w:rsidRPr="00B67132" w:rsidRDefault="00941486" w:rsidP="007F198F">
            <w:pPr>
              <w:pStyle w:val="TableTextARSmall"/>
              <w:jc w:val="right"/>
            </w:pPr>
          </w:p>
        </w:tc>
        <w:tc>
          <w:tcPr>
            <w:tcW w:w="1305" w:type="dxa"/>
          </w:tcPr>
          <w:p w14:paraId="5021C9D1" w14:textId="77777777" w:rsidR="00941486" w:rsidRPr="00B67132" w:rsidRDefault="00941486" w:rsidP="007F198F">
            <w:pPr>
              <w:pStyle w:val="TableTextARSmall"/>
              <w:jc w:val="right"/>
            </w:pPr>
            <w:r w:rsidRPr="00B67132">
              <w:t>6,006,750</w:t>
            </w:r>
          </w:p>
        </w:tc>
        <w:tc>
          <w:tcPr>
            <w:tcW w:w="1401" w:type="dxa"/>
          </w:tcPr>
          <w:p w14:paraId="5021C9D2" w14:textId="77777777" w:rsidR="00941486" w:rsidRPr="00B67132" w:rsidRDefault="00941486" w:rsidP="007F198F">
            <w:pPr>
              <w:pStyle w:val="TableTextARSmall"/>
              <w:jc w:val="right"/>
            </w:pPr>
            <w:r w:rsidRPr="00B67132">
              <w:t>7,158,056</w:t>
            </w:r>
          </w:p>
        </w:tc>
        <w:tc>
          <w:tcPr>
            <w:tcW w:w="1358" w:type="dxa"/>
          </w:tcPr>
          <w:p w14:paraId="5021C9D3" w14:textId="77777777" w:rsidR="00941486" w:rsidRPr="00B67132" w:rsidRDefault="00941486" w:rsidP="007F198F">
            <w:pPr>
              <w:pStyle w:val="TableTextARSmall"/>
              <w:jc w:val="right"/>
            </w:pPr>
            <w:r w:rsidRPr="00B67132">
              <w:t>13,164,806</w:t>
            </w:r>
          </w:p>
        </w:tc>
      </w:tr>
      <w:tr w:rsidR="00941486" w:rsidRPr="00B67132" w14:paraId="5021C9E0" w14:textId="77777777" w:rsidTr="007F198F">
        <w:trPr>
          <w:cantSplit/>
        </w:trPr>
        <w:tc>
          <w:tcPr>
            <w:tcW w:w="3692" w:type="dxa"/>
            <w:shd w:val="clear" w:color="auto" w:fill="FDE9D9"/>
          </w:tcPr>
          <w:p w14:paraId="5021C9D5" w14:textId="77777777" w:rsidR="00941486" w:rsidRPr="00B67132" w:rsidRDefault="00941486" w:rsidP="00680D60">
            <w:pPr>
              <w:pStyle w:val="TableTextARSmall"/>
            </w:pPr>
            <w:r w:rsidRPr="00B67132">
              <w:t xml:space="preserve">Total </w:t>
            </w:r>
            <w:r w:rsidR="00680D60">
              <w:t>Consumer Affairs Victoria</w:t>
            </w:r>
            <w:r w:rsidRPr="00B67132">
              <w:t xml:space="preserve"> expenditure </w:t>
            </w:r>
          </w:p>
        </w:tc>
        <w:tc>
          <w:tcPr>
            <w:tcW w:w="1076" w:type="dxa"/>
            <w:shd w:val="clear" w:color="auto" w:fill="FDE9D9"/>
          </w:tcPr>
          <w:p w14:paraId="5021C9D6" w14:textId="77777777" w:rsidR="00941486" w:rsidRPr="00B67132" w:rsidRDefault="00941486" w:rsidP="007F198F">
            <w:pPr>
              <w:pStyle w:val="TableTextARSmall"/>
              <w:jc w:val="right"/>
            </w:pPr>
            <w:r w:rsidRPr="00B67132">
              <w:t>-</w:t>
            </w:r>
          </w:p>
        </w:tc>
        <w:tc>
          <w:tcPr>
            <w:tcW w:w="1101" w:type="dxa"/>
            <w:shd w:val="clear" w:color="auto" w:fill="FDE9D9"/>
          </w:tcPr>
          <w:p w14:paraId="5021C9D7" w14:textId="77777777" w:rsidR="00941486" w:rsidRPr="00B67132" w:rsidRDefault="00941486" w:rsidP="007F198F">
            <w:pPr>
              <w:pStyle w:val="TableTextARSmall"/>
              <w:jc w:val="right"/>
            </w:pPr>
            <w:r w:rsidRPr="00B67132">
              <w:t>7,158,684</w:t>
            </w:r>
          </w:p>
        </w:tc>
        <w:tc>
          <w:tcPr>
            <w:tcW w:w="1101" w:type="dxa"/>
            <w:shd w:val="clear" w:color="auto" w:fill="FDE9D9"/>
          </w:tcPr>
          <w:p w14:paraId="5021C9D8" w14:textId="77777777" w:rsidR="00941486" w:rsidRPr="00B67132" w:rsidRDefault="00941486" w:rsidP="007F198F">
            <w:pPr>
              <w:pStyle w:val="TableTextARSmall"/>
              <w:jc w:val="right"/>
            </w:pPr>
            <w:r w:rsidRPr="00B67132">
              <w:t>3,531,615</w:t>
            </w:r>
          </w:p>
        </w:tc>
        <w:tc>
          <w:tcPr>
            <w:tcW w:w="1203" w:type="dxa"/>
            <w:shd w:val="clear" w:color="auto" w:fill="FDE9D9"/>
          </w:tcPr>
          <w:p w14:paraId="5021C9D9" w14:textId="77777777" w:rsidR="00941486" w:rsidRPr="00B67132" w:rsidRDefault="00941486" w:rsidP="007F198F">
            <w:pPr>
              <w:pStyle w:val="TableTextARSmall"/>
              <w:jc w:val="right"/>
            </w:pPr>
            <w:r w:rsidRPr="00B67132">
              <w:t>8,836,112</w:t>
            </w:r>
          </w:p>
        </w:tc>
        <w:tc>
          <w:tcPr>
            <w:tcW w:w="1140" w:type="dxa"/>
            <w:shd w:val="clear" w:color="auto" w:fill="FDE9D9"/>
          </w:tcPr>
          <w:p w14:paraId="5021C9DA" w14:textId="77777777" w:rsidR="00941486" w:rsidRPr="00B67132" w:rsidRDefault="00941486" w:rsidP="007F198F">
            <w:pPr>
              <w:pStyle w:val="TableTextARSmall"/>
              <w:jc w:val="right"/>
            </w:pPr>
            <w:r w:rsidRPr="00B67132">
              <w:t>26,070,213</w:t>
            </w:r>
          </w:p>
        </w:tc>
        <w:tc>
          <w:tcPr>
            <w:tcW w:w="1140" w:type="dxa"/>
            <w:shd w:val="clear" w:color="auto" w:fill="FDE9D9"/>
          </w:tcPr>
          <w:p w14:paraId="5021C9DB" w14:textId="77777777" w:rsidR="00941486" w:rsidRPr="00B67132" w:rsidRDefault="00941486" w:rsidP="007F198F">
            <w:pPr>
              <w:pStyle w:val="TableTextARSmall"/>
              <w:jc w:val="right"/>
            </w:pPr>
            <w:r w:rsidRPr="00B67132">
              <w:t xml:space="preserve">1,406,211 </w:t>
            </w:r>
          </w:p>
        </w:tc>
        <w:tc>
          <w:tcPr>
            <w:tcW w:w="1189" w:type="dxa"/>
            <w:shd w:val="clear" w:color="auto" w:fill="FDE9D9"/>
          </w:tcPr>
          <w:p w14:paraId="5021C9DC" w14:textId="77777777" w:rsidR="00941486" w:rsidRPr="00B67132" w:rsidRDefault="00941486" w:rsidP="007F198F">
            <w:pPr>
              <w:pStyle w:val="TableTextARSmall"/>
              <w:jc w:val="right"/>
            </w:pPr>
            <w:r w:rsidRPr="00B67132">
              <w:t xml:space="preserve"> 38,434,242</w:t>
            </w:r>
          </w:p>
        </w:tc>
        <w:tc>
          <w:tcPr>
            <w:tcW w:w="1305" w:type="dxa"/>
            <w:shd w:val="clear" w:color="auto" w:fill="FDE9D9"/>
          </w:tcPr>
          <w:p w14:paraId="5021C9DD" w14:textId="77777777" w:rsidR="00941486" w:rsidRPr="00B67132" w:rsidRDefault="00941486" w:rsidP="007F198F">
            <w:pPr>
              <w:pStyle w:val="TableTextARSmall"/>
              <w:jc w:val="right"/>
            </w:pPr>
            <w:r w:rsidRPr="00B67132">
              <w:t>85,437,077</w:t>
            </w:r>
          </w:p>
        </w:tc>
        <w:tc>
          <w:tcPr>
            <w:tcW w:w="1401" w:type="dxa"/>
            <w:shd w:val="clear" w:color="auto" w:fill="FDE9D9"/>
          </w:tcPr>
          <w:p w14:paraId="5021C9DE" w14:textId="77777777" w:rsidR="00941486" w:rsidRPr="00B67132" w:rsidRDefault="00941486" w:rsidP="007F198F">
            <w:pPr>
              <w:pStyle w:val="TableTextARSmall"/>
              <w:jc w:val="right"/>
            </w:pPr>
            <w:r w:rsidRPr="00B67132">
              <w:t xml:space="preserve">33,619,657 </w:t>
            </w:r>
          </w:p>
        </w:tc>
        <w:tc>
          <w:tcPr>
            <w:tcW w:w="1358" w:type="dxa"/>
            <w:shd w:val="clear" w:color="auto" w:fill="FDE9D9"/>
          </w:tcPr>
          <w:p w14:paraId="5021C9DF" w14:textId="77777777" w:rsidR="00941486" w:rsidRPr="00B67132" w:rsidRDefault="00941486" w:rsidP="007F198F">
            <w:pPr>
              <w:pStyle w:val="TableTextARSmall"/>
              <w:jc w:val="right"/>
            </w:pPr>
            <w:r w:rsidRPr="00B67132">
              <w:t>119,056,734</w:t>
            </w:r>
            <w:r w:rsidR="00205FD9">
              <w:t xml:space="preserve"> (</w:t>
            </w:r>
            <w:r w:rsidRPr="00B67132">
              <w:t>3</w:t>
            </w:r>
            <w:r w:rsidR="00205FD9">
              <w:t>)</w:t>
            </w:r>
          </w:p>
        </w:tc>
      </w:tr>
      <w:tr w:rsidR="00303515" w:rsidRPr="00B67132" w14:paraId="5021C9E2" w14:textId="77777777" w:rsidTr="007F198F">
        <w:trPr>
          <w:cantSplit/>
        </w:trPr>
        <w:tc>
          <w:tcPr>
            <w:tcW w:w="15706" w:type="dxa"/>
            <w:gridSpan w:val="11"/>
            <w:shd w:val="clear" w:color="auto" w:fill="FBD4B4"/>
          </w:tcPr>
          <w:p w14:paraId="5021C9E1" w14:textId="77777777" w:rsidR="00303515" w:rsidRPr="007F198F" w:rsidRDefault="00303515" w:rsidP="00941486">
            <w:pPr>
              <w:pStyle w:val="TableTextARSmall"/>
              <w:rPr>
                <w:b/>
              </w:rPr>
            </w:pPr>
            <w:r w:rsidRPr="007F198F">
              <w:rPr>
                <w:b/>
              </w:rPr>
              <w:t>Trust funds</w:t>
            </w:r>
          </w:p>
        </w:tc>
      </w:tr>
      <w:tr w:rsidR="00941486" w:rsidRPr="00303515" w14:paraId="5021C9ED" w14:textId="77777777" w:rsidTr="007F198F">
        <w:trPr>
          <w:cantSplit/>
        </w:trPr>
        <w:tc>
          <w:tcPr>
            <w:tcW w:w="3692" w:type="dxa"/>
            <w:shd w:val="clear" w:color="auto" w:fill="FDE9D9"/>
          </w:tcPr>
          <w:p w14:paraId="5021C9E3" w14:textId="77777777" w:rsidR="00941486" w:rsidRPr="007F198F" w:rsidRDefault="00941486" w:rsidP="00941486">
            <w:pPr>
              <w:pStyle w:val="TableTextARSmall"/>
              <w:rPr>
                <w:b/>
                <w:highlight w:val="yellow"/>
              </w:rPr>
            </w:pPr>
            <w:r w:rsidRPr="007F198F">
              <w:rPr>
                <w:b/>
              </w:rPr>
              <w:t xml:space="preserve">Trust funds, opening equity 1 July 2014 </w:t>
            </w:r>
          </w:p>
        </w:tc>
        <w:tc>
          <w:tcPr>
            <w:tcW w:w="1076" w:type="dxa"/>
            <w:shd w:val="clear" w:color="auto" w:fill="FDE9D9"/>
          </w:tcPr>
          <w:p w14:paraId="5021C9E4" w14:textId="77777777" w:rsidR="00941486" w:rsidRPr="007F198F" w:rsidRDefault="00941486" w:rsidP="007F198F">
            <w:pPr>
              <w:pStyle w:val="TableTextARSmall"/>
              <w:jc w:val="right"/>
              <w:rPr>
                <w:b/>
              </w:rPr>
            </w:pPr>
            <w:r w:rsidRPr="007F198F">
              <w:rPr>
                <w:b/>
              </w:rPr>
              <w:t>1,091,585</w:t>
            </w:r>
          </w:p>
        </w:tc>
        <w:tc>
          <w:tcPr>
            <w:tcW w:w="1101" w:type="dxa"/>
            <w:shd w:val="clear" w:color="auto" w:fill="FDE9D9"/>
          </w:tcPr>
          <w:p w14:paraId="5021C9E5" w14:textId="77777777" w:rsidR="00941486" w:rsidRPr="007F198F" w:rsidRDefault="00941486" w:rsidP="007F198F">
            <w:pPr>
              <w:pStyle w:val="TableTextARSmall"/>
              <w:jc w:val="right"/>
              <w:rPr>
                <w:b/>
              </w:rPr>
            </w:pPr>
            <w:r w:rsidRPr="007F198F">
              <w:rPr>
                <w:b/>
              </w:rPr>
              <w:t>14,813,750</w:t>
            </w:r>
          </w:p>
        </w:tc>
        <w:tc>
          <w:tcPr>
            <w:tcW w:w="1101" w:type="dxa"/>
            <w:shd w:val="clear" w:color="auto" w:fill="FDE9D9"/>
          </w:tcPr>
          <w:p w14:paraId="5021C9E6" w14:textId="77777777" w:rsidR="00941486" w:rsidRPr="007F198F" w:rsidRDefault="00941486" w:rsidP="007F198F">
            <w:pPr>
              <w:pStyle w:val="TableTextARSmall"/>
              <w:jc w:val="right"/>
              <w:rPr>
                <w:b/>
              </w:rPr>
            </w:pPr>
            <w:r w:rsidRPr="007F198F">
              <w:rPr>
                <w:b/>
              </w:rPr>
              <w:t>979,286</w:t>
            </w:r>
          </w:p>
        </w:tc>
        <w:tc>
          <w:tcPr>
            <w:tcW w:w="1203" w:type="dxa"/>
            <w:shd w:val="clear" w:color="auto" w:fill="FDE9D9"/>
          </w:tcPr>
          <w:p w14:paraId="5021C9E7" w14:textId="77777777" w:rsidR="00941486" w:rsidRPr="007F198F" w:rsidRDefault="00941486" w:rsidP="007F198F">
            <w:pPr>
              <w:pStyle w:val="TableTextARSmall"/>
              <w:jc w:val="right"/>
              <w:rPr>
                <w:b/>
              </w:rPr>
            </w:pPr>
            <w:r w:rsidRPr="007F198F">
              <w:rPr>
                <w:b/>
              </w:rPr>
              <w:t>4,571,928</w:t>
            </w:r>
          </w:p>
        </w:tc>
        <w:tc>
          <w:tcPr>
            <w:tcW w:w="1140" w:type="dxa"/>
            <w:shd w:val="clear" w:color="auto" w:fill="FDE9D9"/>
          </w:tcPr>
          <w:p w14:paraId="5021C9E8" w14:textId="77777777" w:rsidR="00941486" w:rsidRPr="007F198F" w:rsidRDefault="00941486" w:rsidP="007F198F">
            <w:pPr>
              <w:pStyle w:val="TableTextARSmall"/>
              <w:jc w:val="right"/>
              <w:rPr>
                <w:b/>
              </w:rPr>
            </w:pPr>
            <w:r w:rsidRPr="007F198F">
              <w:rPr>
                <w:b/>
              </w:rPr>
              <w:t>39,311,340</w:t>
            </w:r>
          </w:p>
        </w:tc>
        <w:tc>
          <w:tcPr>
            <w:tcW w:w="1140" w:type="dxa"/>
            <w:shd w:val="clear" w:color="auto" w:fill="FDE9D9"/>
          </w:tcPr>
          <w:p w14:paraId="5021C9E9" w14:textId="77777777" w:rsidR="00941486" w:rsidRPr="007F198F" w:rsidRDefault="00941486" w:rsidP="007F198F">
            <w:pPr>
              <w:pStyle w:val="TableTextARSmall"/>
              <w:jc w:val="right"/>
              <w:rPr>
                <w:b/>
              </w:rPr>
            </w:pPr>
            <w:r w:rsidRPr="007F198F">
              <w:rPr>
                <w:b/>
              </w:rPr>
              <w:t>478,734</w:t>
            </w:r>
          </w:p>
        </w:tc>
        <w:tc>
          <w:tcPr>
            <w:tcW w:w="1189" w:type="dxa"/>
            <w:shd w:val="clear" w:color="auto" w:fill="FDE9D9"/>
          </w:tcPr>
          <w:p w14:paraId="5021C9EA" w14:textId="77777777" w:rsidR="00941486" w:rsidRPr="007F198F" w:rsidRDefault="00941486" w:rsidP="007F198F">
            <w:pPr>
              <w:pStyle w:val="TableTextARSmall"/>
              <w:jc w:val="right"/>
              <w:rPr>
                <w:b/>
              </w:rPr>
            </w:pPr>
            <w:r w:rsidRPr="007F198F">
              <w:rPr>
                <w:b/>
              </w:rPr>
              <w:t>409,064,259</w:t>
            </w:r>
          </w:p>
        </w:tc>
        <w:tc>
          <w:tcPr>
            <w:tcW w:w="1305" w:type="dxa"/>
            <w:shd w:val="clear" w:color="auto" w:fill="FDE9D9"/>
          </w:tcPr>
          <w:p w14:paraId="5021C9EB" w14:textId="77777777" w:rsidR="00941486" w:rsidRPr="007F198F" w:rsidRDefault="00941486" w:rsidP="007F198F">
            <w:pPr>
              <w:pStyle w:val="TableTextARSmall"/>
              <w:jc w:val="right"/>
              <w:rPr>
                <w:b/>
              </w:rPr>
            </w:pPr>
            <w:r w:rsidRPr="007F198F">
              <w:rPr>
                <w:b/>
              </w:rPr>
              <w:t>470,310,882</w:t>
            </w:r>
          </w:p>
        </w:tc>
        <w:tc>
          <w:tcPr>
            <w:tcW w:w="2759" w:type="dxa"/>
            <w:gridSpan w:val="2"/>
            <w:vMerge w:val="restart"/>
          </w:tcPr>
          <w:p w14:paraId="5021C9EC" w14:textId="77777777" w:rsidR="00941486" w:rsidRPr="00303515" w:rsidRDefault="00941486" w:rsidP="00941486">
            <w:pPr>
              <w:pStyle w:val="TableTextARSmall"/>
            </w:pPr>
          </w:p>
        </w:tc>
      </w:tr>
      <w:tr w:rsidR="00941486" w:rsidRPr="00303515" w14:paraId="5021C9F8" w14:textId="77777777" w:rsidTr="007F198F">
        <w:trPr>
          <w:cantSplit/>
        </w:trPr>
        <w:tc>
          <w:tcPr>
            <w:tcW w:w="3692" w:type="dxa"/>
          </w:tcPr>
          <w:p w14:paraId="5021C9EE" w14:textId="77777777" w:rsidR="00941486" w:rsidRPr="007F198F" w:rsidRDefault="00941486" w:rsidP="00941486">
            <w:pPr>
              <w:pStyle w:val="TableTextARSmall"/>
              <w:rPr>
                <w:highlight w:val="yellow"/>
              </w:rPr>
            </w:pPr>
            <w:r w:rsidRPr="00B67132">
              <w:t>Current year operating surplus /(deficit)</w:t>
            </w:r>
          </w:p>
        </w:tc>
        <w:tc>
          <w:tcPr>
            <w:tcW w:w="1076" w:type="dxa"/>
          </w:tcPr>
          <w:p w14:paraId="5021C9EF" w14:textId="77777777" w:rsidR="00941486" w:rsidRPr="00B67132" w:rsidRDefault="00941486" w:rsidP="007F198F">
            <w:pPr>
              <w:pStyle w:val="TableTextARSmall"/>
              <w:jc w:val="right"/>
            </w:pPr>
            <w:r w:rsidRPr="00B67132">
              <w:t>43,153</w:t>
            </w:r>
          </w:p>
        </w:tc>
        <w:tc>
          <w:tcPr>
            <w:tcW w:w="1101" w:type="dxa"/>
          </w:tcPr>
          <w:p w14:paraId="5021C9F0" w14:textId="77777777" w:rsidR="00941486" w:rsidRPr="00B67132" w:rsidRDefault="00941486" w:rsidP="007F198F">
            <w:pPr>
              <w:pStyle w:val="TableTextARSmall"/>
              <w:jc w:val="right"/>
            </w:pPr>
            <w:r w:rsidRPr="00B67132">
              <w:t>4,415,885</w:t>
            </w:r>
          </w:p>
        </w:tc>
        <w:tc>
          <w:tcPr>
            <w:tcW w:w="1101" w:type="dxa"/>
          </w:tcPr>
          <w:p w14:paraId="5021C9F1" w14:textId="77777777" w:rsidR="00941486" w:rsidRPr="00B67132" w:rsidRDefault="00941486" w:rsidP="007F198F">
            <w:pPr>
              <w:pStyle w:val="TableTextARSmall"/>
              <w:jc w:val="right"/>
            </w:pPr>
            <w:r w:rsidRPr="00B67132">
              <w:t>783,582</w:t>
            </w:r>
          </w:p>
        </w:tc>
        <w:tc>
          <w:tcPr>
            <w:tcW w:w="1203" w:type="dxa"/>
          </w:tcPr>
          <w:p w14:paraId="5021C9F2" w14:textId="77777777" w:rsidR="00941486" w:rsidRPr="00B67132" w:rsidRDefault="00941486" w:rsidP="007F198F">
            <w:pPr>
              <w:pStyle w:val="TableTextARSmall"/>
              <w:jc w:val="right"/>
            </w:pPr>
            <w:r w:rsidRPr="00B67132">
              <w:t>2,947,401</w:t>
            </w:r>
          </w:p>
        </w:tc>
        <w:tc>
          <w:tcPr>
            <w:tcW w:w="1140" w:type="dxa"/>
          </w:tcPr>
          <w:p w14:paraId="5021C9F3" w14:textId="77777777" w:rsidR="00941486" w:rsidRPr="00B67132" w:rsidRDefault="00941486" w:rsidP="007F198F">
            <w:pPr>
              <w:pStyle w:val="TableTextARSmall"/>
              <w:jc w:val="right"/>
            </w:pPr>
            <w:r w:rsidRPr="00B67132">
              <w:t>(2,220,524)</w:t>
            </w:r>
          </w:p>
        </w:tc>
        <w:tc>
          <w:tcPr>
            <w:tcW w:w="1140" w:type="dxa"/>
          </w:tcPr>
          <w:p w14:paraId="5021C9F4" w14:textId="77777777" w:rsidR="00941486" w:rsidRPr="00B67132" w:rsidRDefault="00941486" w:rsidP="007F198F">
            <w:pPr>
              <w:pStyle w:val="TableTextARSmall"/>
              <w:jc w:val="right"/>
            </w:pPr>
            <w:r w:rsidRPr="00B67132">
              <w:t>143,143</w:t>
            </w:r>
          </w:p>
        </w:tc>
        <w:tc>
          <w:tcPr>
            <w:tcW w:w="1189" w:type="dxa"/>
          </w:tcPr>
          <w:p w14:paraId="5021C9F5" w14:textId="77777777" w:rsidR="00941486" w:rsidRPr="00B67132" w:rsidRDefault="00941486" w:rsidP="007F198F">
            <w:pPr>
              <w:pStyle w:val="TableTextARSmall"/>
              <w:jc w:val="right"/>
            </w:pPr>
            <w:r w:rsidRPr="00B67132">
              <w:t>5,526,834</w:t>
            </w:r>
          </w:p>
        </w:tc>
        <w:tc>
          <w:tcPr>
            <w:tcW w:w="1305" w:type="dxa"/>
          </w:tcPr>
          <w:p w14:paraId="5021C9F6" w14:textId="77777777" w:rsidR="00941486" w:rsidRPr="00B67132" w:rsidRDefault="00941486" w:rsidP="007F198F">
            <w:pPr>
              <w:pStyle w:val="TableTextARSmall"/>
              <w:jc w:val="right"/>
            </w:pPr>
            <w:r w:rsidRPr="00B67132">
              <w:t>11,639,474</w:t>
            </w:r>
          </w:p>
        </w:tc>
        <w:tc>
          <w:tcPr>
            <w:tcW w:w="2759" w:type="dxa"/>
            <w:gridSpan w:val="2"/>
            <w:vMerge/>
          </w:tcPr>
          <w:p w14:paraId="5021C9F7" w14:textId="77777777" w:rsidR="00941486" w:rsidRPr="00303515" w:rsidRDefault="00941486" w:rsidP="00941486">
            <w:pPr>
              <w:pStyle w:val="TableTextARSmall"/>
            </w:pPr>
          </w:p>
        </w:tc>
      </w:tr>
      <w:tr w:rsidR="00941486" w:rsidRPr="00303515" w14:paraId="5021CA03" w14:textId="77777777" w:rsidTr="007F198F">
        <w:trPr>
          <w:cantSplit/>
        </w:trPr>
        <w:tc>
          <w:tcPr>
            <w:tcW w:w="3692" w:type="dxa"/>
          </w:tcPr>
          <w:p w14:paraId="5021C9F9" w14:textId="77777777" w:rsidR="00941486" w:rsidRPr="00B67132" w:rsidRDefault="00941486" w:rsidP="00941486">
            <w:pPr>
              <w:pStyle w:val="TableTextARSmall"/>
            </w:pPr>
            <w:r w:rsidRPr="00B67132">
              <w:t>Capital contribution</w:t>
            </w:r>
          </w:p>
        </w:tc>
        <w:tc>
          <w:tcPr>
            <w:tcW w:w="1076" w:type="dxa"/>
          </w:tcPr>
          <w:p w14:paraId="5021C9FA" w14:textId="77777777" w:rsidR="00941486" w:rsidRPr="00B67132" w:rsidRDefault="00941486" w:rsidP="007F198F">
            <w:pPr>
              <w:pStyle w:val="TableTextARSmall"/>
              <w:jc w:val="right"/>
            </w:pPr>
          </w:p>
        </w:tc>
        <w:tc>
          <w:tcPr>
            <w:tcW w:w="1101" w:type="dxa"/>
          </w:tcPr>
          <w:p w14:paraId="5021C9FB" w14:textId="77777777" w:rsidR="00941486" w:rsidRPr="00B67132" w:rsidRDefault="00941486" w:rsidP="007F198F">
            <w:pPr>
              <w:pStyle w:val="TableTextARSmall"/>
              <w:jc w:val="right"/>
            </w:pPr>
            <w:r w:rsidRPr="00B67132">
              <w:t>376,660</w:t>
            </w:r>
          </w:p>
        </w:tc>
        <w:tc>
          <w:tcPr>
            <w:tcW w:w="1101" w:type="dxa"/>
          </w:tcPr>
          <w:p w14:paraId="5021C9FC" w14:textId="77777777" w:rsidR="00941486" w:rsidRPr="00B67132" w:rsidRDefault="00941486" w:rsidP="007F198F">
            <w:pPr>
              <w:pStyle w:val="TableTextARSmall"/>
              <w:jc w:val="right"/>
            </w:pPr>
          </w:p>
        </w:tc>
        <w:tc>
          <w:tcPr>
            <w:tcW w:w="1203" w:type="dxa"/>
          </w:tcPr>
          <w:p w14:paraId="5021C9FD" w14:textId="77777777" w:rsidR="00941486" w:rsidRPr="00B67132" w:rsidRDefault="00941486" w:rsidP="007F198F">
            <w:pPr>
              <w:pStyle w:val="TableTextARSmall"/>
              <w:jc w:val="right"/>
            </w:pPr>
          </w:p>
        </w:tc>
        <w:tc>
          <w:tcPr>
            <w:tcW w:w="1140" w:type="dxa"/>
          </w:tcPr>
          <w:p w14:paraId="5021C9FE" w14:textId="77777777" w:rsidR="00941486" w:rsidRPr="00B67132" w:rsidRDefault="00941486" w:rsidP="007F198F">
            <w:pPr>
              <w:pStyle w:val="TableTextARSmall"/>
              <w:jc w:val="right"/>
            </w:pPr>
            <w:r w:rsidRPr="00B67132">
              <w:t>1,689,779</w:t>
            </w:r>
          </w:p>
        </w:tc>
        <w:tc>
          <w:tcPr>
            <w:tcW w:w="1140" w:type="dxa"/>
          </w:tcPr>
          <w:p w14:paraId="5021C9FF" w14:textId="77777777" w:rsidR="00941486" w:rsidRPr="00B67132" w:rsidRDefault="00941486" w:rsidP="007F198F">
            <w:pPr>
              <w:pStyle w:val="TableTextARSmall"/>
              <w:jc w:val="right"/>
            </w:pPr>
          </w:p>
        </w:tc>
        <w:tc>
          <w:tcPr>
            <w:tcW w:w="1189" w:type="dxa"/>
          </w:tcPr>
          <w:p w14:paraId="5021CA00" w14:textId="77777777" w:rsidR="00941486" w:rsidRPr="00B67132" w:rsidRDefault="00941486" w:rsidP="007F198F">
            <w:pPr>
              <w:pStyle w:val="TableTextARSmall"/>
              <w:jc w:val="right"/>
            </w:pPr>
            <w:r w:rsidRPr="00B67132">
              <w:t>481,084</w:t>
            </w:r>
          </w:p>
        </w:tc>
        <w:tc>
          <w:tcPr>
            <w:tcW w:w="1305" w:type="dxa"/>
          </w:tcPr>
          <w:p w14:paraId="5021CA01" w14:textId="77777777" w:rsidR="00941486" w:rsidRPr="00B67132" w:rsidRDefault="00941486" w:rsidP="007F198F">
            <w:pPr>
              <w:pStyle w:val="TableTextARSmall"/>
              <w:jc w:val="right"/>
            </w:pPr>
            <w:r w:rsidRPr="00B67132">
              <w:t>2,547,523</w:t>
            </w:r>
          </w:p>
        </w:tc>
        <w:tc>
          <w:tcPr>
            <w:tcW w:w="2759" w:type="dxa"/>
            <w:gridSpan w:val="2"/>
            <w:vMerge/>
          </w:tcPr>
          <w:p w14:paraId="5021CA02" w14:textId="77777777" w:rsidR="00941486" w:rsidRPr="00303515" w:rsidRDefault="00941486" w:rsidP="00941486">
            <w:pPr>
              <w:pStyle w:val="TableTextARSmall"/>
            </w:pPr>
          </w:p>
        </w:tc>
      </w:tr>
      <w:tr w:rsidR="00941486" w:rsidRPr="00303515" w14:paraId="5021CA0E" w14:textId="77777777" w:rsidTr="007F198F">
        <w:trPr>
          <w:cantSplit/>
        </w:trPr>
        <w:tc>
          <w:tcPr>
            <w:tcW w:w="3692" w:type="dxa"/>
            <w:shd w:val="clear" w:color="auto" w:fill="FDE9D9"/>
          </w:tcPr>
          <w:p w14:paraId="5021CA04" w14:textId="77777777" w:rsidR="00941486" w:rsidRPr="007F198F" w:rsidRDefault="00941486" w:rsidP="00941486">
            <w:pPr>
              <w:pStyle w:val="TableTextARSmall"/>
              <w:rPr>
                <w:b/>
                <w:highlight w:val="yellow"/>
              </w:rPr>
            </w:pPr>
            <w:r w:rsidRPr="007F198F">
              <w:rPr>
                <w:b/>
              </w:rPr>
              <w:t xml:space="preserve">Trust funds, closing equity 30 June 2015 </w:t>
            </w:r>
          </w:p>
        </w:tc>
        <w:tc>
          <w:tcPr>
            <w:tcW w:w="1076" w:type="dxa"/>
            <w:shd w:val="clear" w:color="auto" w:fill="FDE9D9"/>
          </w:tcPr>
          <w:p w14:paraId="5021CA05" w14:textId="77777777" w:rsidR="00941486" w:rsidRPr="007F198F" w:rsidRDefault="00941486" w:rsidP="007F198F">
            <w:pPr>
              <w:pStyle w:val="TableTextARSmall"/>
              <w:jc w:val="right"/>
              <w:rPr>
                <w:b/>
              </w:rPr>
            </w:pPr>
            <w:r w:rsidRPr="007F198F">
              <w:rPr>
                <w:b/>
              </w:rPr>
              <w:t>1,134,738</w:t>
            </w:r>
          </w:p>
        </w:tc>
        <w:tc>
          <w:tcPr>
            <w:tcW w:w="1101" w:type="dxa"/>
            <w:shd w:val="clear" w:color="auto" w:fill="FDE9D9"/>
          </w:tcPr>
          <w:p w14:paraId="5021CA06" w14:textId="77777777" w:rsidR="00941486" w:rsidRPr="007F198F" w:rsidRDefault="00941486" w:rsidP="007F198F">
            <w:pPr>
              <w:pStyle w:val="TableTextARSmall"/>
              <w:jc w:val="right"/>
              <w:rPr>
                <w:b/>
              </w:rPr>
            </w:pPr>
            <w:r w:rsidRPr="007F198F">
              <w:rPr>
                <w:b/>
              </w:rPr>
              <w:t>19,606,295</w:t>
            </w:r>
          </w:p>
        </w:tc>
        <w:tc>
          <w:tcPr>
            <w:tcW w:w="1101" w:type="dxa"/>
            <w:shd w:val="clear" w:color="auto" w:fill="FDE9D9"/>
          </w:tcPr>
          <w:p w14:paraId="5021CA07" w14:textId="77777777" w:rsidR="00941486" w:rsidRPr="007F198F" w:rsidRDefault="00941486" w:rsidP="007F198F">
            <w:pPr>
              <w:pStyle w:val="TableTextARSmall"/>
              <w:jc w:val="right"/>
              <w:rPr>
                <w:b/>
              </w:rPr>
            </w:pPr>
            <w:r w:rsidRPr="007F198F">
              <w:rPr>
                <w:b/>
              </w:rPr>
              <w:t>1,762,868</w:t>
            </w:r>
          </w:p>
        </w:tc>
        <w:tc>
          <w:tcPr>
            <w:tcW w:w="1203" w:type="dxa"/>
            <w:shd w:val="clear" w:color="auto" w:fill="FDE9D9"/>
          </w:tcPr>
          <w:p w14:paraId="5021CA08" w14:textId="77777777" w:rsidR="00941486" w:rsidRPr="007F198F" w:rsidRDefault="00941486" w:rsidP="007F198F">
            <w:pPr>
              <w:pStyle w:val="TableTextARSmall"/>
              <w:jc w:val="right"/>
              <w:rPr>
                <w:b/>
              </w:rPr>
            </w:pPr>
            <w:r w:rsidRPr="007F198F">
              <w:rPr>
                <w:b/>
              </w:rPr>
              <w:t>7,519,329</w:t>
            </w:r>
          </w:p>
        </w:tc>
        <w:tc>
          <w:tcPr>
            <w:tcW w:w="1140" w:type="dxa"/>
            <w:shd w:val="clear" w:color="auto" w:fill="FDE9D9"/>
          </w:tcPr>
          <w:p w14:paraId="5021CA09" w14:textId="77777777" w:rsidR="00941486" w:rsidRPr="007F198F" w:rsidRDefault="00941486" w:rsidP="007F198F">
            <w:pPr>
              <w:pStyle w:val="TableTextARSmall"/>
              <w:jc w:val="right"/>
              <w:rPr>
                <w:b/>
              </w:rPr>
            </w:pPr>
            <w:r w:rsidRPr="007F198F">
              <w:rPr>
                <w:b/>
              </w:rPr>
              <w:t>38,780,595</w:t>
            </w:r>
          </w:p>
        </w:tc>
        <w:tc>
          <w:tcPr>
            <w:tcW w:w="1140" w:type="dxa"/>
            <w:shd w:val="clear" w:color="auto" w:fill="FDE9D9"/>
          </w:tcPr>
          <w:p w14:paraId="5021CA0A" w14:textId="77777777" w:rsidR="00941486" w:rsidRPr="007F198F" w:rsidRDefault="00941486" w:rsidP="007F198F">
            <w:pPr>
              <w:pStyle w:val="TableTextARSmall"/>
              <w:jc w:val="right"/>
              <w:rPr>
                <w:b/>
              </w:rPr>
            </w:pPr>
            <w:r w:rsidRPr="007F198F">
              <w:rPr>
                <w:b/>
              </w:rPr>
              <w:t>621,877</w:t>
            </w:r>
          </w:p>
        </w:tc>
        <w:tc>
          <w:tcPr>
            <w:tcW w:w="1189" w:type="dxa"/>
            <w:shd w:val="clear" w:color="auto" w:fill="FDE9D9"/>
          </w:tcPr>
          <w:p w14:paraId="5021CA0B" w14:textId="77777777" w:rsidR="00941486" w:rsidRPr="007F198F" w:rsidRDefault="00941486" w:rsidP="007F198F">
            <w:pPr>
              <w:pStyle w:val="TableTextARSmall"/>
              <w:jc w:val="right"/>
              <w:rPr>
                <w:b/>
              </w:rPr>
            </w:pPr>
            <w:r w:rsidRPr="007F198F">
              <w:rPr>
                <w:b/>
              </w:rPr>
              <w:t>415,072,177</w:t>
            </w:r>
          </w:p>
        </w:tc>
        <w:tc>
          <w:tcPr>
            <w:tcW w:w="1305" w:type="dxa"/>
            <w:shd w:val="clear" w:color="auto" w:fill="FDE9D9"/>
          </w:tcPr>
          <w:p w14:paraId="5021CA0C" w14:textId="77777777" w:rsidR="00941486" w:rsidRPr="007F198F" w:rsidRDefault="00941486" w:rsidP="007F198F">
            <w:pPr>
              <w:pStyle w:val="TableTextARSmall"/>
              <w:jc w:val="right"/>
              <w:rPr>
                <w:b/>
              </w:rPr>
            </w:pPr>
            <w:r w:rsidRPr="007F198F">
              <w:rPr>
                <w:b/>
              </w:rPr>
              <w:t>484,497,879</w:t>
            </w:r>
          </w:p>
        </w:tc>
        <w:tc>
          <w:tcPr>
            <w:tcW w:w="2759" w:type="dxa"/>
            <w:gridSpan w:val="2"/>
            <w:vMerge/>
          </w:tcPr>
          <w:p w14:paraId="5021CA0D" w14:textId="77777777" w:rsidR="00941486" w:rsidRPr="00303515" w:rsidRDefault="00941486" w:rsidP="00941486">
            <w:pPr>
              <w:pStyle w:val="TableTextARSmall"/>
            </w:pPr>
          </w:p>
        </w:tc>
      </w:tr>
    </w:tbl>
    <w:p w14:paraId="5021CA0F" w14:textId="77777777" w:rsidR="00941486" w:rsidRPr="00F72367" w:rsidRDefault="00941486" w:rsidP="00680D60">
      <w:pPr>
        <w:pStyle w:val="ListNumber"/>
        <w:numPr>
          <w:ilvl w:val="0"/>
          <w:numId w:val="53"/>
        </w:numPr>
      </w:pPr>
      <w:r w:rsidRPr="00F72367">
        <w:t>Fire Services Levy Monitor is included in the CAV Output</w:t>
      </w:r>
    </w:p>
    <w:p w14:paraId="5021CA10" w14:textId="77777777" w:rsidR="00941486" w:rsidRPr="00F72367" w:rsidRDefault="00941486" w:rsidP="00680D60">
      <w:pPr>
        <w:pStyle w:val="ListNumber"/>
        <w:numPr>
          <w:ilvl w:val="0"/>
          <w:numId w:val="53"/>
        </w:numPr>
      </w:pPr>
      <w:r w:rsidRPr="00F72367">
        <w:t>Domestic building dispute levy and registration fees</w:t>
      </w:r>
    </w:p>
    <w:p w14:paraId="5021CA11" w14:textId="77777777" w:rsidR="00941486" w:rsidRPr="00F72367" w:rsidRDefault="00941486" w:rsidP="00680D60">
      <w:pPr>
        <w:pStyle w:val="ListNumber"/>
        <w:numPr>
          <w:ilvl w:val="0"/>
          <w:numId w:val="53"/>
        </w:numPr>
      </w:pPr>
      <w:r w:rsidRPr="00F72367">
        <w:t>CAV total output for 2014-15 was $119,056,734 (the CAV 2013-14 Output was $80,827,330). The Total Output is higher in 2014-15 largely due to the inclusion of payments for VCAT in relation to the Residential Tenancies List, Domestic Building List, and the Owners Corporations List from CAV managed trust funds ($16.5 million). These costs were included as part of the Courts budget output prior to the establishment of Court Services Victoria. In addition, there was a $19 million increase in 2014-15 of grant payments from the Victorian Property Fund to support affordable housing.</w:t>
      </w:r>
    </w:p>
    <w:p w14:paraId="5021CA12" w14:textId="77777777" w:rsidR="00941486" w:rsidRDefault="00941486" w:rsidP="00941486">
      <w:pPr>
        <w:spacing w:after="100"/>
        <w:rPr>
          <w:rFonts w:ascii="Arial" w:hAnsi="Arial" w:cs="Calibri"/>
          <w:sz w:val="16"/>
          <w:szCs w:val="16"/>
          <w:lang w:eastAsia="en-US"/>
        </w:rPr>
        <w:sectPr w:rsidR="00941486" w:rsidSect="00B163D5">
          <w:headerReference w:type="default" r:id="rId29"/>
          <w:footerReference w:type="default" r:id="rId30"/>
          <w:pgSz w:w="16838" w:h="11906" w:orient="landscape" w:code="9"/>
          <w:pgMar w:top="1134" w:right="567" w:bottom="1134" w:left="567" w:header="454" w:footer="510" w:gutter="0"/>
          <w:cols w:space="708"/>
          <w:docGrid w:linePitch="360"/>
        </w:sectPr>
      </w:pPr>
    </w:p>
    <w:p w14:paraId="5021CA13" w14:textId="77777777" w:rsidR="006F150A" w:rsidRDefault="006F150A" w:rsidP="006F150A">
      <w:pPr>
        <w:pStyle w:val="Heading2"/>
      </w:pPr>
      <w:bookmarkStart w:id="28" w:name="_Toc431737244"/>
      <w:bookmarkStart w:id="29" w:name="_Toc432081471"/>
      <w:r>
        <w:lastRenderedPageBreak/>
        <w:t>Consumer Affairs Victoria</w:t>
      </w:r>
      <w:bookmarkEnd w:id="28"/>
      <w:bookmarkEnd w:id="29"/>
    </w:p>
    <w:p w14:paraId="5021CA14" w14:textId="77777777" w:rsidR="006F150A" w:rsidRDefault="006F150A" w:rsidP="006F150A">
      <w:pPr>
        <w:pStyle w:val="BodyAR"/>
      </w:pPr>
      <w:hyperlink r:id="rId31" w:history="1">
        <w:r w:rsidRPr="004746BC">
          <w:rPr>
            <w:rStyle w:val="Hyperlink"/>
          </w:rPr>
          <w:t>Consumer Affairs Victoria website</w:t>
        </w:r>
      </w:hyperlink>
      <w:r>
        <w:t xml:space="preserve"> &lt;consumer.vic.gov.au</w:t>
      </w:r>
    </w:p>
    <w:p w14:paraId="5021CA15" w14:textId="77777777" w:rsidR="006F150A" w:rsidRPr="0098392C" w:rsidRDefault="006F150A" w:rsidP="006F150A">
      <w:pPr>
        <w:pStyle w:val="BodyAR"/>
      </w:pPr>
      <w:hyperlink r:id="rId32" w:history="1">
        <w:r>
          <w:rPr>
            <w:rStyle w:val="Hyperlink"/>
            <w:lang w:val="en-GB"/>
          </w:rPr>
          <w:t>Facebook page of Consumer Affairs Victoria</w:t>
        </w:r>
      </w:hyperlink>
      <w:r>
        <w:rPr>
          <w:lang w:val="en-GB"/>
        </w:rPr>
        <w:t xml:space="preserve"> &lt;</w:t>
      </w:r>
      <w:r w:rsidRPr="000C3AB6">
        <w:rPr>
          <w:lang w:val="en-GB"/>
        </w:rPr>
        <w:t>facebook.com/ConsumerAffairsVictoria</w:t>
      </w:r>
      <w:r>
        <w:rPr>
          <w:lang w:val="en-GB"/>
        </w:rPr>
        <w:t>&gt;</w:t>
      </w:r>
    </w:p>
    <w:p w14:paraId="5021CA16" w14:textId="77777777" w:rsidR="006F150A" w:rsidRDefault="006F150A" w:rsidP="006F150A">
      <w:pPr>
        <w:pStyle w:val="BodyAR"/>
        <w:rPr>
          <w:lang w:val="en-GB"/>
        </w:rPr>
      </w:pPr>
      <w:hyperlink r:id="rId33" w:history="1">
        <w:r>
          <w:rPr>
            <w:rStyle w:val="Hyperlink"/>
            <w:lang w:val="en-GB"/>
          </w:rPr>
          <w:t>Twitter page of Consumer Affairs Victoria</w:t>
        </w:r>
      </w:hyperlink>
      <w:r>
        <w:rPr>
          <w:lang w:val="en-GB"/>
        </w:rPr>
        <w:t xml:space="preserve"> &lt;</w:t>
      </w:r>
      <w:r w:rsidRPr="000C3AB6">
        <w:rPr>
          <w:lang w:val="en-GB"/>
        </w:rPr>
        <w:t xml:space="preserve"> twitter.com/consumervic</w:t>
      </w:r>
      <w:r>
        <w:rPr>
          <w:lang w:val="en-GB"/>
        </w:rPr>
        <w:t>&gt;</w:t>
      </w:r>
    </w:p>
    <w:p w14:paraId="5021CA17" w14:textId="77777777" w:rsidR="006F150A" w:rsidRDefault="006F150A" w:rsidP="006F150A">
      <w:pPr>
        <w:pStyle w:val="BodyAR"/>
        <w:rPr>
          <w:lang w:val="en-GB"/>
        </w:rPr>
      </w:pPr>
      <w:hyperlink r:id="rId34" w:history="1">
        <w:r>
          <w:rPr>
            <w:rStyle w:val="Hyperlink"/>
            <w:lang w:val="en-GB"/>
          </w:rPr>
          <w:t>YouTube page of Consumer Affairs Victoria</w:t>
        </w:r>
      </w:hyperlink>
      <w:r>
        <w:rPr>
          <w:lang w:val="en-GB"/>
        </w:rPr>
        <w:t xml:space="preserve"> &lt;</w:t>
      </w:r>
      <w:r w:rsidRPr="000C3AB6">
        <w:rPr>
          <w:lang w:val="en-GB"/>
        </w:rPr>
        <w:t>youtube.com/consumervic</w:t>
      </w:r>
      <w:r>
        <w:rPr>
          <w:lang w:val="en-GB"/>
        </w:rPr>
        <w:t>&gt;</w:t>
      </w:r>
    </w:p>
    <w:p w14:paraId="5021CA18" w14:textId="77777777" w:rsidR="00941486" w:rsidRPr="00F72367" w:rsidRDefault="00941486" w:rsidP="006F150A">
      <w:pPr>
        <w:pStyle w:val="BodyAR"/>
        <w:spacing w:before="1000"/>
        <w:rPr>
          <w:lang w:eastAsia="en-US"/>
        </w:rPr>
      </w:pPr>
      <w:r w:rsidRPr="00F72367">
        <w:rPr>
          <w:lang w:eastAsia="en-US"/>
        </w:rPr>
        <w:t>Consumer Affairs Victoria acknowledges Aboriginal and Torres Strait Islander people as the Traditional Custodians of the land. The department also acknowledges and pays respect to their Elders, past and present.</w:t>
      </w:r>
    </w:p>
    <w:p w14:paraId="5021CA19" w14:textId="77777777" w:rsidR="00941486" w:rsidRPr="00F72367" w:rsidRDefault="00941486" w:rsidP="00941486">
      <w:pPr>
        <w:pStyle w:val="BodyAR"/>
        <w:rPr>
          <w:lang w:eastAsia="en-US"/>
        </w:rPr>
      </w:pPr>
      <w:r w:rsidRPr="00F72367">
        <w:rPr>
          <w:lang w:eastAsia="en-US"/>
        </w:rPr>
        <w:t>Authorised and published by the Victorian Government, 1 Treasury Place, Melbourne</w:t>
      </w:r>
    </w:p>
    <w:p w14:paraId="5021CA1A" w14:textId="77777777" w:rsidR="00941486" w:rsidRPr="00F72367" w:rsidRDefault="00941486" w:rsidP="00941486">
      <w:pPr>
        <w:pStyle w:val="BodyAR"/>
        <w:rPr>
          <w:lang w:eastAsia="en-US"/>
        </w:rPr>
      </w:pPr>
      <w:r w:rsidRPr="00F72367">
        <w:rPr>
          <w:lang w:eastAsia="en-US"/>
        </w:rPr>
        <w:t>Printed by On Demand, Port Melbourne</w:t>
      </w:r>
    </w:p>
    <w:p w14:paraId="5021CA1B" w14:textId="77777777" w:rsidR="00941486" w:rsidRPr="00F72367" w:rsidRDefault="00941486" w:rsidP="00941486">
      <w:pPr>
        <w:pStyle w:val="BodyAR"/>
        <w:rPr>
          <w:lang w:eastAsia="en-US"/>
        </w:rPr>
      </w:pPr>
      <w:r w:rsidRPr="00F72367">
        <w:rPr>
          <w:lang w:eastAsia="en-US"/>
        </w:rPr>
        <w:t>October 2015</w:t>
      </w:r>
    </w:p>
    <w:p w14:paraId="5021CA1C" w14:textId="77777777" w:rsidR="00941486" w:rsidRPr="00F72367" w:rsidRDefault="00941486" w:rsidP="00941486">
      <w:pPr>
        <w:pStyle w:val="BodyAR"/>
        <w:rPr>
          <w:lang w:eastAsia="en-US"/>
        </w:rPr>
      </w:pPr>
      <w:r w:rsidRPr="00F72367">
        <w:rPr>
          <w:lang w:eastAsia="en-US"/>
        </w:rPr>
        <w:t>© State of Victoria</w:t>
      </w:r>
    </w:p>
    <w:p w14:paraId="5021CA1D" w14:textId="77777777" w:rsidR="00941486" w:rsidRPr="00F72367" w:rsidRDefault="00941486" w:rsidP="00941486">
      <w:pPr>
        <w:pStyle w:val="BodyAR"/>
        <w:rPr>
          <w:rFonts w:cs="Arial"/>
          <w:lang w:eastAsia="en-US"/>
        </w:rPr>
      </w:pPr>
      <w:r w:rsidRPr="00F72367">
        <w:rPr>
          <w:lang w:eastAsia="en-US"/>
        </w:rPr>
        <w:t>ISBN: 978 1 921079 64 1</w:t>
      </w:r>
    </w:p>
    <w:p w14:paraId="5021CA1E" w14:textId="77777777" w:rsidR="00941486" w:rsidRPr="00F72367" w:rsidRDefault="00941486" w:rsidP="00941486">
      <w:pPr>
        <w:pStyle w:val="BodyAR"/>
        <w:rPr>
          <w:lang w:eastAsia="en-US"/>
        </w:rPr>
      </w:pPr>
      <w:r w:rsidRPr="00F72367">
        <w:rPr>
          <w:lang w:eastAsia="en-US"/>
        </w:rPr>
        <w:t xml:space="preserve">This report is protected by copyright. Apart from any use permitted under the </w:t>
      </w:r>
      <w:r w:rsidRPr="00F72367">
        <w:rPr>
          <w:rStyle w:val="Emphasis"/>
        </w:rPr>
        <w:t>Copyright Act 1968</w:t>
      </w:r>
      <w:r w:rsidRPr="00F72367">
        <w:rPr>
          <w:lang w:eastAsia="en-US"/>
        </w:rPr>
        <w:t>, and those explicitly granted below, all other rights are reserved.</w:t>
      </w:r>
    </w:p>
    <w:p w14:paraId="5021CA1F" w14:textId="77777777" w:rsidR="00941486" w:rsidRPr="00F72367" w:rsidRDefault="00941486" w:rsidP="00941486">
      <w:pPr>
        <w:pStyle w:val="BodyAR"/>
        <w:rPr>
          <w:b/>
          <w:lang w:eastAsia="en-US"/>
        </w:rPr>
      </w:pPr>
      <w:r w:rsidRPr="00F72367">
        <w:rPr>
          <w:b/>
          <w:lang w:eastAsia="en-US"/>
        </w:rPr>
        <w:t>Accessibility</w:t>
      </w:r>
    </w:p>
    <w:p w14:paraId="5021CA20" w14:textId="77777777" w:rsidR="00941486" w:rsidRPr="00F72367" w:rsidRDefault="00941486" w:rsidP="00941486">
      <w:pPr>
        <w:pStyle w:val="BodyAR"/>
        <w:rPr>
          <w:lang w:eastAsia="en-US"/>
        </w:rPr>
      </w:pPr>
      <w:r w:rsidRPr="00F72367">
        <w:t xml:space="preserve">If you would like to receive this publication in an accessible format please visit </w:t>
      </w:r>
      <w:r w:rsidR="006F150A" w:rsidRPr="00DF0983">
        <w:t xml:space="preserve"> </w:t>
      </w:r>
      <w:hyperlink r:id="rId35" w:history="1">
        <w:r w:rsidR="006F150A">
          <w:t>the</w:t>
        </w:r>
      </w:hyperlink>
      <w:r w:rsidR="006F150A">
        <w:t xml:space="preserve"> </w:t>
      </w:r>
      <w:hyperlink r:id="rId36" w:history="1">
        <w:r w:rsidR="006F150A" w:rsidRPr="004746BC">
          <w:rPr>
            <w:rStyle w:val="Hyperlink"/>
          </w:rPr>
          <w:t>Consumer Affairs Victoria website</w:t>
        </w:r>
      </w:hyperlink>
      <w:r w:rsidR="006F150A" w:rsidRPr="00DF0983">
        <w:t xml:space="preserve"> </w:t>
      </w:r>
      <w:r w:rsidR="006F150A">
        <w:t xml:space="preserve">&lt;consumer.vic.gov.au&gt; </w:t>
      </w:r>
      <w:r w:rsidRPr="00F72367">
        <w:t xml:space="preserve"> or call 1300 55 81 81</w:t>
      </w:r>
      <w:r w:rsidRPr="00F72367">
        <w:rPr>
          <w:lang w:eastAsia="en-US"/>
        </w:rPr>
        <w:t>.</w:t>
      </w:r>
    </w:p>
    <w:p w14:paraId="5021CA21" w14:textId="77777777" w:rsidR="00941486" w:rsidRPr="00F72367" w:rsidRDefault="00941486" w:rsidP="00941486">
      <w:pPr>
        <w:pStyle w:val="BodyAR"/>
        <w:rPr>
          <w:lang w:eastAsia="en-US"/>
        </w:rPr>
      </w:pPr>
      <w:r w:rsidRPr="00F72367">
        <w:rPr>
          <w:lang w:eastAsia="en-US"/>
        </w:rPr>
        <w:t>Unless indicated otherwise, this work is made available under the terms of the Creative Commons Attribution 3.0 Australia licence.</w:t>
      </w:r>
    </w:p>
    <w:p w14:paraId="5021CA22" w14:textId="77777777" w:rsidR="00BE5A8A" w:rsidRPr="00DF0983" w:rsidRDefault="00BE5A8A" w:rsidP="00BE5A8A">
      <w:pPr>
        <w:pStyle w:val="BodyAR"/>
      </w:pPr>
      <w:r>
        <w:t>To view a copy of this licence, visi</w:t>
      </w:r>
      <w:r w:rsidRPr="00DF0983">
        <w:t>t</w:t>
      </w:r>
      <w:r>
        <w:t xml:space="preserve"> the</w:t>
      </w:r>
      <w:r w:rsidRPr="00DF0983">
        <w:t xml:space="preserve"> </w:t>
      </w:r>
      <w:hyperlink r:id="rId37" w:history="1">
        <w:r w:rsidRPr="00DF0983">
          <w:rPr>
            <w:rStyle w:val="Hyperlink"/>
          </w:rPr>
          <w:t>Creative Commons Australia website</w:t>
        </w:r>
      </w:hyperlink>
      <w:r w:rsidRPr="000C3AB6">
        <w:t xml:space="preserve"> &lt;http://creativecommons.org/licenses/by/3.0/au&gt;</w:t>
      </w:r>
      <w:r>
        <w:t>.</w:t>
      </w:r>
    </w:p>
    <w:p w14:paraId="5021CA23" w14:textId="77777777" w:rsidR="00B270E8" w:rsidRPr="00B270E8" w:rsidRDefault="00941486" w:rsidP="00941486">
      <w:pPr>
        <w:pStyle w:val="BodyAR"/>
        <w:rPr>
          <w:lang w:eastAsia="en-US"/>
        </w:rPr>
      </w:pPr>
      <w:r w:rsidRPr="00F72367">
        <w:rPr>
          <w:lang w:eastAsia="en-US"/>
        </w:rPr>
        <w:t>It is a condition of this Creative Commons Attribution 3.0 Licence that you must give credit to the original author, who is the State of Victoria.</w:t>
      </w:r>
    </w:p>
    <w:sectPr w:rsidR="00B270E8" w:rsidRPr="00B270E8" w:rsidSect="00B163D5">
      <w:headerReference w:type="default" r:id="rId38"/>
      <w:footerReference w:type="default" r:id="rId39"/>
      <w:pgSz w:w="11906" w:h="16838" w:code="9"/>
      <w:pgMar w:top="1134" w:right="1134" w:bottom="1134"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CA36" w14:textId="77777777" w:rsidR="00E65D34" w:rsidRDefault="00E65D34">
      <w:r>
        <w:separator/>
      </w:r>
    </w:p>
  </w:endnote>
  <w:endnote w:type="continuationSeparator" w:id="0">
    <w:p w14:paraId="5021CA37" w14:textId="77777777" w:rsidR="00E65D34" w:rsidRDefault="00E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20007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1747" w14:textId="77777777" w:rsidR="00642053" w:rsidRDefault="00642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A38" w14:textId="77777777" w:rsidR="00941486" w:rsidRPr="0024589C" w:rsidRDefault="00941486" w:rsidP="007E252E">
    <w:pPr>
      <w:pStyle w:val="Footer"/>
    </w:pPr>
    <w:r w:rsidRPr="0024589C">
      <w:t xml:space="preserve">Consumer </w:t>
    </w:r>
    <w:r w:rsidR="00365BEB">
      <w:t>Affairs</w:t>
    </w:r>
    <w:r w:rsidRPr="0024589C">
      <w:t xml:space="preserve"> Victoria: </w:t>
    </w:r>
    <w:r w:rsidR="00B02B33">
      <w:t>Report on Operations</w:t>
    </w:r>
    <w:r w:rsidRPr="0024589C">
      <w:t xml:space="preserve"> 2014-15</w:t>
    </w:r>
    <w:r w:rsidRPr="0024589C">
      <w:tab/>
    </w:r>
    <w:r w:rsidRPr="0024589C">
      <w:fldChar w:fldCharType="begin"/>
    </w:r>
    <w:r w:rsidRPr="0024589C">
      <w:instrText xml:space="preserve"> PAGE   \* MERGEFORMAT </w:instrText>
    </w:r>
    <w:r w:rsidRPr="0024589C">
      <w:fldChar w:fldCharType="separate"/>
    </w:r>
    <w:r w:rsidR="00424BC9">
      <w:t>4</w:t>
    </w:r>
    <w:r w:rsidRPr="0024589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4E32" w14:textId="77777777" w:rsidR="00642053" w:rsidRDefault="006420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A3B" w14:textId="77777777" w:rsidR="001531F8" w:rsidRPr="0024589C" w:rsidRDefault="001531F8" w:rsidP="001531F8">
    <w:pPr>
      <w:pStyle w:val="FooterLandscape"/>
    </w:pPr>
    <w:r w:rsidRPr="0024589C">
      <w:t xml:space="preserve">Consumer </w:t>
    </w:r>
    <w:r>
      <w:t>Affairs</w:t>
    </w:r>
    <w:r w:rsidRPr="0024589C">
      <w:t xml:space="preserve"> Victoria: </w:t>
    </w:r>
    <w:r>
      <w:t>Report on Operations</w:t>
    </w:r>
    <w:r w:rsidRPr="0024589C">
      <w:t xml:space="preserve"> 2014-15</w:t>
    </w:r>
    <w:r w:rsidRPr="0024589C">
      <w:tab/>
    </w:r>
    <w:r w:rsidRPr="0024589C">
      <w:fldChar w:fldCharType="begin"/>
    </w:r>
    <w:r w:rsidRPr="0024589C">
      <w:instrText xml:space="preserve"> PAGE   \* MERGEFORMAT </w:instrText>
    </w:r>
    <w:r w:rsidRPr="0024589C">
      <w:fldChar w:fldCharType="separate"/>
    </w:r>
    <w:r w:rsidR="00424BC9">
      <w:t>24</w:t>
    </w:r>
    <w:r w:rsidRPr="0024589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A3D" w14:textId="77777777" w:rsidR="001531F8" w:rsidRPr="0024589C" w:rsidRDefault="001531F8" w:rsidP="007E252E">
    <w:pPr>
      <w:pStyle w:val="Footer"/>
    </w:pPr>
    <w:r w:rsidRPr="0024589C">
      <w:t xml:space="preserve">Consumer </w:t>
    </w:r>
    <w:r>
      <w:t>Affairs</w:t>
    </w:r>
    <w:r w:rsidRPr="0024589C">
      <w:t xml:space="preserve"> Victoria: </w:t>
    </w:r>
    <w:r>
      <w:t>Report on Operations</w:t>
    </w:r>
    <w:r w:rsidRPr="0024589C">
      <w:t xml:space="preserve"> 2014-15</w:t>
    </w:r>
    <w:r w:rsidRPr="0024589C">
      <w:tab/>
    </w:r>
    <w:r w:rsidRPr="0024589C">
      <w:fldChar w:fldCharType="begin"/>
    </w:r>
    <w:r w:rsidRPr="0024589C">
      <w:instrText xml:space="preserve"> PAGE   \* MERGEFORMAT </w:instrText>
    </w:r>
    <w:r w:rsidRPr="0024589C">
      <w:fldChar w:fldCharType="separate"/>
    </w:r>
    <w:r w:rsidR="00424BC9">
      <w:t>25</w:t>
    </w:r>
    <w:r w:rsidRPr="0024589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CA34" w14:textId="77777777" w:rsidR="00E65D34" w:rsidRDefault="00E65D34">
      <w:r>
        <w:separator/>
      </w:r>
    </w:p>
  </w:footnote>
  <w:footnote w:type="continuationSeparator" w:id="0">
    <w:p w14:paraId="5021CA35" w14:textId="77777777" w:rsidR="00E65D34" w:rsidRDefault="00E6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A39" w14:textId="6551CEE9" w:rsidR="000C464B" w:rsidRDefault="00424BC9" w:rsidP="007E252E">
    <w:pPr>
      <w:pStyle w:val="Header"/>
    </w:pPr>
    <w:fldSimple w:instr=" STYLEREF  &quot;Heading 2&quot;  \* MERGEFORMAT ">
      <w:r w:rsidR="00642053">
        <w:t>5</w:t>
      </w:r>
      <w:r w:rsidR="00642053">
        <w:tab/>
        <w:t>A modern and effective consumer law framework</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A3A" w14:textId="5F301000" w:rsidR="00941486" w:rsidRPr="007E252E" w:rsidRDefault="00424BC9" w:rsidP="007E252E">
    <w:pPr>
      <w:pStyle w:val="Header"/>
    </w:pPr>
    <w:fldSimple w:instr=" STYLEREF  &quot;Heading 2&quot;  \* MERGEFORMAT ">
      <w:r w:rsidR="00642053">
        <w:t>Financial information 2014-15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A3C" w14:textId="77777777" w:rsidR="00941486" w:rsidRPr="0024589C" w:rsidRDefault="00941486" w:rsidP="007E2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2"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3"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4"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5" w15:restartNumberingAfterBreak="0">
    <w:nsid w:val="002E167F"/>
    <w:multiLevelType w:val="multilevel"/>
    <w:tmpl w:val="8CB46004"/>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6" w15:restartNumberingAfterBreak="0">
    <w:nsid w:val="013F7895"/>
    <w:multiLevelType w:val="multilevel"/>
    <w:tmpl w:val="88DE58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337CBA"/>
    <w:multiLevelType w:val="multilevel"/>
    <w:tmpl w:val="061CCE46"/>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8" w15:restartNumberingAfterBreak="0">
    <w:nsid w:val="0DB342DB"/>
    <w:multiLevelType w:val="hybridMultilevel"/>
    <w:tmpl w:val="7F1E21DC"/>
    <w:lvl w:ilvl="0" w:tplc="03A29D64">
      <w:start w:val="1"/>
      <w:numFmt w:val="bullet"/>
      <w:lvlText w:val=""/>
      <w:lvlJc w:val="left"/>
      <w:pPr>
        <w:tabs>
          <w:tab w:val="num" w:pos="425"/>
        </w:tabs>
        <w:ind w:left="425" w:hanging="141"/>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575006"/>
    <w:multiLevelType w:val="hybridMultilevel"/>
    <w:tmpl w:val="735C1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F915CD"/>
    <w:multiLevelType w:val="hybridMultilevel"/>
    <w:tmpl w:val="0A00E00C"/>
    <w:lvl w:ilvl="0" w:tplc="4B5EC29C">
      <w:start w:val="1"/>
      <w:numFmt w:val="bullet"/>
      <w:lvlText w:val=""/>
      <w:lvlJc w:val="left"/>
      <w:pPr>
        <w:tabs>
          <w:tab w:val="num" w:pos="720"/>
        </w:tabs>
        <w:ind w:left="720" w:hanging="360"/>
      </w:pPr>
      <w:rPr>
        <w:rFonts w:ascii="Symbol" w:hAnsi="Symbol"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323D2C"/>
    <w:multiLevelType w:val="multilevel"/>
    <w:tmpl w:val="D40AFAA8"/>
    <w:lvl w:ilvl="0">
      <w:start w:val="1"/>
      <w:numFmt w:val="decimal"/>
      <w:lvlRestart w:val="0"/>
      <w:lvlText w:val="%1"/>
      <w:lvlJc w:val="left"/>
      <w:pPr>
        <w:tabs>
          <w:tab w:val="num" w:pos="283"/>
        </w:tabs>
        <w:ind w:left="283" w:hanging="283"/>
      </w:pPr>
      <w:rPr>
        <w:rFonts w:hint="default"/>
        <w:b w:val="0"/>
        <w:i w:val="0"/>
        <w:sz w:val="18"/>
      </w:rPr>
    </w:lvl>
    <w:lvl w:ilvl="1">
      <w:start w:val="1"/>
      <w:numFmt w:val="lowerLetter"/>
      <w:lvlText w:val="%2)"/>
      <w:lvlJc w:val="left"/>
      <w:pPr>
        <w:tabs>
          <w:tab w:val="num" w:pos="283"/>
        </w:tabs>
        <w:ind w:left="283" w:hanging="283"/>
      </w:pPr>
      <w:rPr>
        <w:rFonts w:ascii="Verdana" w:hAnsi="Verdana" w:hint="default"/>
      </w:rPr>
    </w:lvl>
    <w:lvl w:ilvl="2">
      <w:start w:val="1"/>
      <w:numFmt w:val="lowerRoman"/>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2" w15:restartNumberingAfterBreak="0">
    <w:nsid w:val="182200AD"/>
    <w:multiLevelType w:val="multilevel"/>
    <w:tmpl w:val="CD7CC10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none"/>
      <w:pStyle w:val="Heading4"/>
      <w:suff w:val="nothing"/>
      <w:lvlText w:val=""/>
      <w:lvlJc w:val="left"/>
      <w:pPr>
        <w:ind w:left="794" w:firstLine="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20495426"/>
    <w:multiLevelType w:val="hybridMultilevel"/>
    <w:tmpl w:val="1BB8D972"/>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4" w15:restartNumberingAfterBreak="0">
    <w:nsid w:val="21B72C27"/>
    <w:multiLevelType w:val="multilevel"/>
    <w:tmpl w:val="3B048F32"/>
    <w:lvl w:ilvl="0">
      <w:start w:val="1"/>
      <w:numFmt w:val="decimal"/>
      <w:lvlRestart w:val="0"/>
      <w:lvlText w:val="%1"/>
      <w:lvlJc w:val="left"/>
      <w:pPr>
        <w:tabs>
          <w:tab w:val="num" w:pos="283"/>
        </w:tabs>
        <w:ind w:left="283" w:hanging="283"/>
      </w:pPr>
      <w:rPr>
        <w:rFonts w:ascii="Arial" w:hAnsi="Arial" w:hint="default"/>
        <w:b w:val="0"/>
        <w:i w:val="0"/>
        <w:sz w:val="18"/>
      </w:rPr>
    </w:lvl>
    <w:lvl w:ilvl="1">
      <w:start w:val="1"/>
      <w:numFmt w:val="lowerLetter"/>
      <w:lvlText w:val="%2)"/>
      <w:lvlJc w:val="left"/>
      <w:pPr>
        <w:tabs>
          <w:tab w:val="num" w:pos="283"/>
        </w:tabs>
        <w:ind w:left="283" w:hanging="283"/>
      </w:pPr>
      <w:rPr>
        <w:rFonts w:ascii="Arial" w:hAnsi="Arial" w:hint="default"/>
      </w:rPr>
    </w:lvl>
    <w:lvl w:ilvl="2">
      <w:start w:val="1"/>
      <w:numFmt w:val="lowerRoman"/>
      <w:lvlText w:val="%3"/>
      <w:lvlJc w:val="left"/>
      <w:pPr>
        <w:tabs>
          <w:tab w:val="num" w:pos="567"/>
        </w:tabs>
        <w:ind w:left="567" w:hanging="284"/>
      </w:pPr>
      <w:rPr>
        <w:rFonts w:ascii="Arial" w:hAnsi="Arial"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15" w15:restartNumberingAfterBreak="0">
    <w:nsid w:val="22BE1988"/>
    <w:multiLevelType w:val="hybridMultilevel"/>
    <w:tmpl w:val="EC0AFEB2"/>
    <w:lvl w:ilvl="0" w:tplc="14127252">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6" w15:restartNumberingAfterBreak="0">
    <w:nsid w:val="28922093"/>
    <w:multiLevelType w:val="hybridMultilevel"/>
    <w:tmpl w:val="DAC44DC2"/>
    <w:lvl w:ilvl="0" w:tplc="59F8EBB4">
      <w:start w:val="1"/>
      <w:numFmt w:val="bullet"/>
      <w:lvlText w:val=""/>
      <w:lvlJc w:val="left"/>
      <w:pPr>
        <w:tabs>
          <w:tab w:val="num" w:pos="142"/>
        </w:tabs>
        <w:ind w:left="142" w:hanging="142"/>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3C517D"/>
    <w:multiLevelType w:val="hybridMultilevel"/>
    <w:tmpl w:val="E084B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9B2156"/>
    <w:multiLevelType w:val="singleLevel"/>
    <w:tmpl w:val="A654512A"/>
    <w:lvl w:ilvl="0">
      <w:start w:val="1"/>
      <w:numFmt w:val="bullet"/>
      <w:lvlText w:val=""/>
      <w:lvlJc w:val="left"/>
      <w:pPr>
        <w:tabs>
          <w:tab w:val="num" w:pos="1190"/>
        </w:tabs>
        <w:ind w:left="1190" w:hanging="396"/>
      </w:pPr>
      <w:rPr>
        <w:rFonts w:ascii="Symbol" w:hAnsi="Symbol" w:hint="default"/>
        <w:color w:val="auto"/>
        <w:sz w:val="18"/>
      </w:rPr>
    </w:lvl>
  </w:abstractNum>
  <w:abstractNum w:abstractNumId="19" w15:restartNumberingAfterBreak="0">
    <w:nsid w:val="32B04E30"/>
    <w:multiLevelType w:val="hybridMultilevel"/>
    <w:tmpl w:val="BBEAAF48"/>
    <w:lvl w:ilvl="0" w:tplc="0B5C2C74">
      <w:start w:val="1"/>
      <w:numFmt w:val="bullet"/>
      <w:lvlText w:val=""/>
      <w:lvlJc w:val="left"/>
      <w:pPr>
        <w:tabs>
          <w:tab w:val="num" w:pos="284"/>
        </w:tabs>
        <w:ind w:left="284" w:hanging="142"/>
      </w:pPr>
      <w:rPr>
        <w:rFonts w:ascii="Symbol" w:hAnsi="Symbol" w:hint="default"/>
        <w:color w:val="auto"/>
        <w:sz w:val="1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A0A57"/>
    <w:multiLevelType w:val="multilevel"/>
    <w:tmpl w:val="061CCE46"/>
    <w:styleLink w:val="1ai"/>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tabs>
          <w:tab w:val="num" w:pos="1080"/>
        </w:tabs>
        <w:ind w:left="1080" w:hanging="360"/>
      </w:pPr>
      <w:rPr>
        <w:rFonts w:ascii="Verdana" w:hAnsi="Verdana" w:hint="default"/>
      </w:rPr>
    </w:lvl>
    <w:lvl w:ilvl="2">
      <w:start w:val="1"/>
      <w:numFmt w:val="lowerRoman"/>
      <w:lvlText w:val="%3)"/>
      <w:lvlJc w:val="left"/>
      <w:pPr>
        <w:tabs>
          <w:tab w:val="num" w:pos="1440"/>
        </w:tabs>
        <w:ind w:left="1440" w:hanging="360"/>
      </w:pPr>
      <w:rPr>
        <w:rFonts w:ascii="Verdana" w:hAnsi="Verdana" w:hint="default"/>
      </w:rPr>
    </w:lvl>
    <w:lvl w:ilvl="3">
      <w:start w:val="1"/>
      <w:numFmt w:val="decimal"/>
      <w:lvlText w:val="(%4)"/>
      <w:lvlJc w:val="left"/>
      <w:pPr>
        <w:tabs>
          <w:tab w:val="num" w:pos="1800"/>
        </w:tabs>
        <w:ind w:left="1800" w:hanging="360"/>
      </w:pPr>
      <w:rPr>
        <w:rFonts w:ascii="Verdana" w:hAnsi="Verdana" w:hint="default"/>
      </w:rPr>
    </w:lvl>
    <w:lvl w:ilvl="4">
      <w:start w:val="1"/>
      <w:numFmt w:val="lowerLetter"/>
      <w:lvlText w:val="(%5)"/>
      <w:lvlJc w:val="left"/>
      <w:pPr>
        <w:tabs>
          <w:tab w:val="num" w:pos="2160"/>
        </w:tabs>
        <w:ind w:left="2160" w:hanging="360"/>
      </w:pPr>
      <w:rPr>
        <w:rFonts w:ascii="Verdana" w:hAnsi="Verdana" w:hint="default"/>
      </w:rPr>
    </w:lvl>
    <w:lvl w:ilvl="5">
      <w:start w:val="1"/>
      <w:numFmt w:val="lowerRoman"/>
      <w:lvlText w:val="(%6)"/>
      <w:lvlJc w:val="left"/>
      <w:pPr>
        <w:tabs>
          <w:tab w:val="num" w:pos="2520"/>
        </w:tabs>
        <w:ind w:left="2520" w:hanging="360"/>
      </w:pPr>
      <w:rPr>
        <w:rFonts w:ascii="Verdana" w:hAnsi="Verdana" w:hint="default"/>
      </w:rPr>
    </w:lvl>
    <w:lvl w:ilvl="6">
      <w:start w:val="1"/>
      <w:numFmt w:val="decimal"/>
      <w:lvlText w:val="%7."/>
      <w:lvlJc w:val="left"/>
      <w:pPr>
        <w:tabs>
          <w:tab w:val="num" w:pos="2880"/>
        </w:tabs>
        <w:ind w:left="2880" w:hanging="360"/>
      </w:pPr>
      <w:rPr>
        <w:rFonts w:ascii="Verdana" w:hAnsi="Verdana" w:hint="default"/>
      </w:rPr>
    </w:lvl>
    <w:lvl w:ilvl="7">
      <w:start w:val="1"/>
      <w:numFmt w:val="lowerLetter"/>
      <w:lvlText w:val="%8."/>
      <w:lvlJc w:val="left"/>
      <w:pPr>
        <w:tabs>
          <w:tab w:val="num" w:pos="3240"/>
        </w:tabs>
        <w:ind w:left="3240" w:hanging="360"/>
      </w:pPr>
      <w:rPr>
        <w:rFonts w:ascii="Verdana" w:hAnsi="Verdana" w:hint="default"/>
      </w:rPr>
    </w:lvl>
    <w:lvl w:ilvl="8">
      <w:start w:val="1"/>
      <w:numFmt w:val="lowerRoman"/>
      <w:lvlText w:val="%9."/>
      <w:lvlJc w:val="left"/>
      <w:pPr>
        <w:tabs>
          <w:tab w:val="num" w:pos="3600"/>
        </w:tabs>
        <w:ind w:left="3600" w:hanging="360"/>
      </w:pPr>
      <w:rPr>
        <w:rFonts w:ascii="Verdana" w:hAnsi="Verdana" w:hint="default"/>
      </w:rPr>
    </w:lvl>
  </w:abstractNum>
  <w:abstractNum w:abstractNumId="21" w15:restartNumberingAfterBreak="0">
    <w:nsid w:val="3E837903"/>
    <w:multiLevelType w:val="hybridMultilevel"/>
    <w:tmpl w:val="237A42D4"/>
    <w:lvl w:ilvl="0" w:tplc="30BADEAC">
      <w:start w:val="1"/>
      <w:numFmt w:val="bullet"/>
      <w:lvlText w:val=""/>
      <w:lvlJc w:val="left"/>
      <w:pPr>
        <w:tabs>
          <w:tab w:val="num" w:pos="1588"/>
        </w:tabs>
        <w:ind w:left="1588" w:hanging="397"/>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CE1F1A"/>
    <w:multiLevelType w:val="hybridMultilevel"/>
    <w:tmpl w:val="183E646A"/>
    <w:lvl w:ilvl="0" w:tplc="BC3CCCD8">
      <w:start w:val="1"/>
      <w:numFmt w:val="bullet"/>
      <w:lvlText w:val=""/>
      <w:lvlJc w:val="left"/>
      <w:pPr>
        <w:tabs>
          <w:tab w:val="num" w:pos="360"/>
        </w:tabs>
        <w:ind w:left="227" w:hanging="227"/>
      </w:pPr>
      <w:rPr>
        <w:rFonts w:ascii="Wingdings" w:hAnsi="Wingdings"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AC733A"/>
    <w:multiLevelType w:val="hybridMultilevel"/>
    <w:tmpl w:val="B5D68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84191D"/>
    <w:multiLevelType w:val="hybridMultilevel"/>
    <w:tmpl w:val="4672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277988"/>
    <w:multiLevelType w:val="hybridMultilevel"/>
    <w:tmpl w:val="3DFAF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5C6034"/>
    <w:multiLevelType w:val="multilevel"/>
    <w:tmpl w:val="0C090023"/>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D5D3E70"/>
    <w:multiLevelType w:val="multilevel"/>
    <w:tmpl w:val="0C090023"/>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F813C6A"/>
    <w:multiLevelType w:val="multilevel"/>
    <w:tmpl w:val="88DE582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C04DE"/>
    <w:multiLevelType w:val="hybridMultilevel"/>
    <w:tmpl w:val="F5FEB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B336B0"/>
    <w:multiLevelType w:val="multilevel"/>
    <w:tmpl w:val="1EEC9222"/>
    <w:lvl w:ilvl="0">
      <w:start w:val="1"/>
      <w:numFmt w:val="decimal"/>
      <w:lvlRestart w:val="0"/>
      <w:lvlText w:val="%1."/>
      <w:lvlJc w:val="left"/>
      <w:pPr>
        <w:tabs>
          <w:tab w:val="num" w:pos="794"/>
        </w:tabs>
        <w:ind w:left="794" w:hanging="794"/>
      </w:pPr>
      <w:rPr>
        <w:rFonts w:ascii="Arial" w:hAnsi="Arial" w:hint="default"/>
        <w:b/>
        <w:i w:val="0"/>
        <w:sz w:val="20"/>
      </w:rPr>
    </w:lvl>
    <w:lvl w:ilvl="1">
      <w:start w:val="1"/>
      <w:numFmt w:val="decimal"/>
      <w:lvlText w:val="%1.%2"/>
      <w:lvlJc w:val="left"/>
      <w:pPr>
        <w:tabs>
          <w:tab w:val="num" w:pos="794"/>
        </w:tabs>
        <w:ind w:left="794" w:hanging="794"/>
      </w:pPr>
      <w:rPr>
        <w:rFonts w:ascii="Arial" w:hAnsi="Arial" w:hint="default"/>
        <w:b/>
        <w:i w:val="0"/>
        <w:sz w:val="20"/>
      </w:rPr>
    </w:lvl>
    <w:lvl w:ilvl="2">
      <w:start w:val="1"/>
      <w:numFmt w:val="decimal"/>
      <w:lvlText w:val="%1.%2.%3"/>
      <w:lvlJc w:val="left"/>
      <w:pPr>
        <w:tabs>
          <w:tab w:val="num" w:pos="794"/>
        </w:tabs>
        <w:ind w:left="794" w:hanging="794"/>
      </w:pPr>
      <w:rPr>
        <w:rFonts w:ascii="Arial" w:hAnsi="Arial" w:hint="default"/>
        <w:b/>
        <w:i w:val="0"/>
        <w:sz w:val="20"/>
      </w:rPr>
    </w:lvl>
    <w:lvl w:ilvl="3">
      <w:start w:val="1"/>
      <w:numFmt w:val="decimal"/>
      <w:lvlText w:val="%1.%2.%3.%4"/>
      <w:lvlJc w:val="left"/>
      <w:pPr>
        <w:tabs>
          <w:tab w:val="num" w:pos="794"/>
        </w:tabs>
        <w:ind w:left="794" w:hanging="794"/>
      </w:pPr>
      <w:rPr>
        <w:rFonts w:ascii="Arial" w:hAnsi="Arial" w:hint="default"/>
        <w:b/>
        <w:i w:val="0"/>
        <w:sz w:val="20"/>
      </w:rPr>
    </w:lvl>
    <w:lvl w:ilvl="4">
      <w:start w:val="1"/>
      <w:numFmt w:val="lowerLetter"/>
      <w:lvlText w:val="(%5)"/>
      <w:lvlJc w:val="left"/>
      <w:pPr>
        <w:tabs>
          <w:tab w:val="num" w:pos="1361"/>
        </w:tabs>
        <w:ind w:left="1361" w:hanging="567"/>
      </w:pPr>
      <w:rPr>
        <w:rFonts w:ascii="Arial" w:hAnsi="Arial" w:hint="default"/>
        <w:b w:val="0"/>
        <w:i w:val="0"/>
        <w:sz w:val="20"/>
      </w:rPr>
    </w:lvl>
    <w:lvl w:ilvl="5">
      <w:start w:val="1"/>
      <w:numFmt w:val="lowerRoman"/>
      <w:lvlText w:val="%6."/>
      <w:lvlJc w:val="left"/>
      <w:pPr>
        <w:tabs>
          <w:tab w:val="num" w:pos="1928"/>
        </w:tabs>
        <w:ind w:left="1928" w:hanging="567"/>
      </w:pPr>
      <w:rPr>
        <w:rFonts w:ascii="Arial" w:hAnsi="Arial" w:hint="default"/>
        <w:b w:val="0"/>
        <w:i w:val="0"/>
        <w:sz w:val="20"/>
      </w:rPr>
    </w:lvl>
    <w:lvl w:ilvl="6">
      <w:start w:val="1"/>
      <w:numFmt w:val="upperLetter"/>
      <w:lvlText w:val="(%7)"/>
      <w:lvlJc w:val="left"/>
      <w:pPr>
        <w:tabs>
          <w:tab w:val="num" w:pos="2495"/>
        </w:tabs>
        <w:ind w:left="2495" w:hanging="567"/>
      </w:pPr>
      <w:rPr>
        <w:rFonts w:ascii="Arial" w:hAnsi="Arial" w:hint="default"/>
      </w:rPr>
    </w:lvl>
    <w:lvl w:ilvl="7">
      <w:start w:val="1"/>
      <w:numFmt w:val="upperRoman"/>
      <w:lvlText w:val="%8."/>
      <w:lvlJc w:val="left"/>
      <w:pPr>
        <w:tabs>
          <w:tab w:val="num" w:pos="3062"/>
        </w:tabs>
        <w:ind w:left="3062" w:hanging="567"/>
      </w:pPr>
      <w:rPr>
        <w:rFonts w:ascii="Arial" w:hAnsi="Arial" w:hint="default"/>
      </w:rPr>
    </w:lvl>
    <w:lvl w:ilvl="8">
      <w:start w:val="1"/>
      <w:numFmt w:val="none"/>
      <w:suff w:val="nothing"/>
      <w:lvlText w:val=""/>
      <w:lvlJc w:val="left"/>
      <w:pPr>
        <w:ind w:left="-56" w:firstLine="0"/>
      </w:pPr>
      <w:rPr>
        <w:rFonts w:ascii="Verdana" w:hAnsi="Verdana" w:hint="default"/>
      </w:rPr>
    </w:lvl>
  </w:abstractNum>
  <w:abstractNum w:abstractNumId="31" w15:restartNumberingAfterBreak="0">
    <w:nsid w:val="5ED02300"/>
    <w:multiLevelType w:val="hybridMultilevel"/>
    <w:tmpl w:val="E90C0874"/>
    <w:lvl w:ilvl="0" w:tplc="CC7650DC">
      <w:start w:val="1"/>
      <w:numFmt w:val="decimal"/>
      <w:lvlText w:val="%1."/>
      <w:lvlJc w:val="left"/>
      <w:pPr>
        <w:tabs>
          <w:tab w:val="num" w:pos="360"/>
        </w:tabs>
        <w:ind w:left="284" w:hanging="284"/>
      </w:pPr>
    </w:lvl>
    <w:lvl w:ilvl="1" w:tplc="0F78D536">
      <w:start w:val="1"/>
      <w:numFmt w:val="bullet"/>
      <w:lvlText w:val=""/>
      <w:lvlJc w:val="left"/>
      <w:pPr>
        <w:tabs>
          <w:tab w:val="num" w:pos="288"/>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686764"/>
    <w:multiLevelType w:val="hybridMultilevel"/>
    <w:tmpl w:val="8FBA7F5E"/>
    <w:lvl w:ilvl="0" w:tplc="E1320150">
      <w:start w:val="1"/>
      <w:numFmt w:val="bulle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B30A98"/>
    <w:multiLevelType w:val="hybridMultilevel"/>
    <w:tmpl w:val="43FC9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AF10BC"/>
    <w:multiLevelType w:val="hybridMultilevel"/>
    <w:tmpl w:val="5D283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BCC4772"/>
    <w:multiLevelType w:val="hybridMultilevel"/>
    <w:tmpl w:val="2356DD84"/>
    <w:lvl w:ilvl="0" w:tplc="052CADB2">
      <w:start w:val="1"/>
      <w:numFmt w:val="bullet"/>
      <w:lvlText w:val=""/>
      <w:lvlJc w:val="left"/>
      <w:pPr>
        <w:tabs>
          <w:tab w:val="num" w:pos="1190"/>
        </w:tabs>
        <w:ind w:left="1190" w:hanging="396"/>
      </w:pPr>
      <w:rPr>
        <w:rFonts w:ascii="Symbol" w:hAnsi="Symbol" w:hint="default"/>
        <w:color w:val="0000FF"/>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CD6DC5"/>
    <w:multiLevelType w:val="hybridMultilevel"/>
    <w:tmpl w:val="342CEC4E"/>
    <w:lvl w:ilvl="0" w:tplc="1A98B12A">
      <w:start w:val="1"/>
      <w:numFmt w:val="bullet"/>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F97656"/>
    <w:multiLevelType w:val="hybridMultilevel"/>
    <w:tmpl w:val="DB90E65C"/>
    <w:lvl w:ilvl="0" w:tplc="F9864630">
      <w:start w:val="1"/>
      <w:numFmt w:val="upperLetter"/>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7087408A"/>
    <w:multiLevelType w:val="multilevel"/>
    <w:tmpl w:val="14C07E6E"/>
    <w:lvl w:ilvl="0">
      <w:start w:val="1"/>
      <w:numFmt w:val="decimal"/>
      <w:lvlText w:val="Appendix %1"/>
      <w:lvlJc w:val="left"/>
      <w:pPr>
        <w:tabs>
          <w:tab w:val="num" w:pos="1440"/>
        </w:tabs>
        <w:ind w:left="1134" w:hanging="1134"/>
      </w:pPr>
      <w:rPr>
        <w:rFonts w:hint="default"/>
      </w:rPr>
    </w:lvl>
    <w:lvl w:ilvl="1">
      <w:start w:val="1"/>
      <w:numFmt w:val="none"/>
      <w:lvlRestart w:val="0"/>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2101F18"/>
    <w:multiLevelType w:val="hybridMultilevel"/>
    <w:tmpl w:val="0406B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0C7E8F"/>
    <w:multiLevelType w:val="hybridMultilevel"/>
    <w:tmpl w:val="2892B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393400"/>
    <w:multiLevelType w:val="multilevel"/>
    <w:tmpl w:val="B12A4496"/>
    <w:lvl w:ilvl="0">
      <w:start w:val="1"/>
      <w:numFmt w:val="decimal"/>
      <w:lvlRestart w:val="0"/>
      <w:lvlText w:val="%1)"/>
      <w:lvlJc w:val="left"/>
      <w:pPr>
        <w:tabs>
          <w:tab w:val="num" w:pos="1417"/>
        </w:tabs>
        <w:ind w:left="1417" w:hanging="623"/>
      </w:pPr>
      <w:rPr>
        <w:rFonts w:ascii="Arial" w:hAnsi="Arial" w:hint="default"/>
      </w:rPr>
    </w:lvl>
    <w:lvl w:ilvl="1">
      <w:start w:val="1"/>
      <w:numFmt w:val="lowerLetter"/>
      <w:lvlText w:val="%2."/>
      <w:lvlJc w:val="left"/>
      <w:pPr>
        <w:tabs>
          <w:tab w:val="num" w:pos="1984"/>
        </w:tabs>
        <w:ind w:left="1984" w:hanging="567"/>
      </w:pPr>
      <w:rPr>
        <w:rFonts w:ascii="Arial" w:hAnsi="Arial" w:hint="default"/>
      </w:rPr>
    </w:lvl>
    <w:lvl w:ilvl="2">
      <w:start w:val="1"/>
      <w:numFmt w:val="lowerRoman"/>
      <w:lvlText w:val="%3."/>
      <w:lvlJc w:val="left"/>
      <w:pPr>
        <w:tabs>
          <w:tab w:val="num" w:pos="2438"/>
        </w:tabs>
        <w:ind w:left="2438" w:hanging="454"/>
      </w:pPr>
      <w:rPr>
        <w:rFonts w:ascii="Arial" w:hAnsi="Arial" w:hint="default"/>
      </w:rPr>
    </w:lvl>
    <w:lvl w:ilvl="3">
      <w:start w:val="1"/>
      <w:numFmt w:val="decimal"/>
      <w:lvlText w:val="(%4)"/>
      <w:lvlJc w:val="left"/>
      <w:pPr>
        <w:tabs>
          <w:tab w:val="num" w:pos="3005"/>
        </w:tabs>
        <w:ind w:left="3005" w:hanging="567"/>
      </w:pPr>
      <w:rPr>
        <w:rFonts w:ascii="Arial" w:hAnsi="Arial"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42"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E1AEC"/>
    <w:multiLevelType w:val="multilevel"/>
    <w:tmpl w:val="88DE5822"/>
    <w:numStyleLink w:val="Bulleted"/>
  </w:abstractNum>
  <w:abstractNum w:abstractNumId="44"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1080"/>
        </w:tabs>
        <w:ind w:left="792" w:hanging="432"/>
      </w:pPr>
      <w:rPr>
        <w:rFonts w:ascii="Verdana" w:hAnsi="Verdana" w:hint="default"/>
      </w:rPr>
    </w:lvl>
    <w:lvl w:ilvl="2">
      <w:start w:val="1"/>
      <w:numFmt w:val="decimal"/>
      <w:lvlText w:val="%1.%2.%3."/>
      <w:lvlJc w:val="left"/>
      <w:pPr>
        <w:tabs>
          <w:tab w:val="num" w:pos="1440"/>
        </w:tabs>
        <w:ind w:left="1224" w:hanging="504"/>
      </w:pPr>
      <w:rPr>
        <w:rFonts w:ascii="Verdana" w:hAnsi="Verdana" w:hint="default"/>
      </w:rPr>
    </w:lvl>
    <w:lvl w:ilvl="3">
      <w:start w:val="1"/>
      <w:numFmt w:val="decimal"/>
      <w:lvlText w:val="%1.%2.%3.%4."/>
      <w:lvlJc w:val="left"/>
      <w:pPr>
        <w:tabs>
          <w:tab w:val="num" w:pos="2160"/>
        </w:tabs>
        <w:ind w:left="1728" w:hanging="648"/>
      </w:pPr>
      <w:rPr>
        <w:rFonts w:ascii="Verdana" w:hAnsi="Verdana" w:hint="default"/>
      </w:rPr>
    </w:lvl>
    <w:lvl w:ilvl="4">
      <w:start w:val="1"/>
      <w:numFmt w:val="decimal"/>
      <w:lvlText w:val="%1.%2.%3.%4.%5."/>
      <w:lvlJc w:val="left"/>
      <w:pPr>
        <w:tabs>
          <w:tab w:val="num" w:pos="2880"/>
        </w:tabs>
        <w:ind w:left="2232" w:hanging="792"/>
      </w:pPr>
      <w:rPr>
        <w:rFonts w:ascii="Verdana" w:hAnsi="Verdana" w:hint="default"/>
      </w:rPr>
    </w:lvl>
    <w:lvl w:ilvl="5">
      <w:start w:val="1"/>
      <w:numFmt w:val="decimal"/>
      <w:lvlText w:val="%1.%2.%3.%4.%5.%6."/>
      <w:lvlJc w:val="left"/>
      <w:pPr>
        <w:tabs>
          <w:tab w:val="num" w:pos="3240"/>
        </w:tabs>
        <w:ind w:left="2736" w:hanging="936"/>
      </w:pPr>
      <w:rPr>
        <w:rFonts w:ascii="Verdana" w:hAnsi="Verdana" w:hint="default"/>
      </w:rPr>
    </w:lvl>
    <w:lvl w:ilvl="6">
      <w:start w:val="1"/>
      <w:numFmt w:val="decimal"/>
      <w:lvlText w:val="%1.%2.%3.%4.%5.%6.%7."/>
      <w:lvlJc w:val="left"/>
      <w:pPr>
        <w:tabs>
          <w:tab w:val="num" w:pos="3960"/>
        </w:tabs>
        <w:ind w:left="3240" w:hanging="1080"/>
      </w:pPr>
      <w:rPr>
        <w:rFonts w:ascii="Verdana" w:hAnsi="Verdana" w:hint="default"/>
      </w:rPr>
    </w:lvl>
    <w:lvl w:ilvl="7">
      <w:start w:val="1"/>
      <w:numFmt w:val="decimal"/>
      <w:lvlText w:val="%1.%2.%3.%4.%5.%6.%7.%8."/>
      <w:lvlJc w:val="left"/>
      <w:pPr>
        <w:tabs>
          <w:tab w:val="num" w:pos="4680"/>
        </w:tabs>
        <w:ind w:left="3744" w:hanging="1224"/>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num w:numId="1" w16cid:durableId="1458573177">
    <w:abstractNumId w:val="43"/>
  </w:num>
  <w:num w:numId="2" w16cid:durableId="482698899">
    <w:abstractNumId w:val="42"/>
  </w:num>
  <w:num w:numId="3" w16cid:durableId="1457485389">
    <w:abstractNumId w:val="28"/>
  </w:num>
  <w:num w:numId="4" w16cid:durableId="1830441584">
    <w:abstractNumId w:val="0"/>
  </w:num>
  <w:num w:numId="5" w16cid:durableId="1516384566">
    <w:abstractNumId w:val="4"/>
  </w:num>
  <w:num w:numId="6" w16cid:durableId="653143049">
    <w:abstractNumId w:val="2"/>
  </w:num>
  <w:num w:numId="7" w16cid:durableId="511601919">
    <w:abstractNumId w:val="3"/>
  </w:num>
  <w:num w:numId="8" w16cid:durableId="908463247">
    <w:abstractNumId w:val="1"/>
  </w:num>
  <w:num w:numId="9" w16cid:durableId="739640712">
    <w:abstractNumId w:val="38"/>
  </w:num>
  <w:num w:numId="10" w16cid:durableId="804591828">
    <w:abstractNumId w:val="18"/>
  </w:num>
  <w:num w:numId="11" w16cid:durableId="1147168966">
    <w:abstractNumId w:val="12"/>
  </w:num>
  <w:num w:numId="12" w16cid:durableId="2125028793">
    <w:abstractNumId w:val="23"/>
  </w:num>
  <w:num w:numId="13" w16cid:durableId="732627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6807671">
    <w:abstractNumId w:val="21"/>
  </w:num>
  <w:num w:numId="15" w16cid:durableId="301204505">
    <w:abstractNumId w:val="26"/>
  </w:num>
  <w:num w:numId="16" w16cid:durableId="927420371">
    <w:abstractNumId w:val="33"/>
  </w:num>
  <w:num w:numId="17" w16cid:durableId="310915475">
    <w:abstractNumId w:val="39"/>
  </w:num>
  <w:num w:numId="18" w16cid:durableId="904225075">
    <w:abstractNumId w:val="25"/>
  </w:num>
  <w:num w:numId="19" w16cid:durableId="1472212111">
    <w:abstractNumId w:val="40"/>
  </w:num>
  <w:num w:numId="20" w16cid:durableId="33891247">
    <w:abstractNumId w:val="9"/>
  </w:num>
  <w:num w:numId="21" w16cid:durableId="1283072334">
    <w:abstractNumId w:val="34"/>
  </w:num>
  <w:num w:numId="22" w16cid:durableId="322664773">
    <w:abstractNumId w:val="29"/>
  </w:num>
  <w:num w:numId="23" w16cid:durableId="89932925">
    <w:abstractNumId w:val="17"/>
  </w:num>
  <w:num w:numId="24" w16cid:durableId="1874346949">
    <w:abstractNumId w:val="32"/>
  </w:num>
  <w:num w:numId="25" w16cid:durableId="134593688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3302611">
    <w:abstractNumId w:val="22"/>
  </w:num>
  <w:num w:numId="27" w16cid:durableId="582179239">
    <w:abstractNumId w:val="44"/>
  </w:num>
  <w:num w:numId="28" w16cid:durableId="2047178584">
    <w:abstractNumId w:val="20"/>
  </w:num>
  <w:num w:numId="29" w16cid:durableId="1283997465">
    <w:abstractNumId w:val="10"/>
  </w:num>
  <w:num w:numId="30" w16cid:durableId="169762090">
    <w:abstractNumId w:val="16"/>
  </w:num>
  <w:num w:numId="31" w16cid:durableId="888418927">
    <w:abstractNumId w:val="19"/>
  </w:num>
  <w:num w:numId="32" w16cid:durableId="318703251">
    <w:abstractNumId w:val="36"/>
  </w:num>
  <w:num w:numId="33" w16cid:durableId="590696672">
    <w:abstractNumId w:val="31"/>
  </w:num>
  <w:num w:numId="34" w16cid:durableId="1512795337">
    <w:abstractNumId w:val="37"/>
  </w:num>
  <w:num w:numId="35" w16cid:durableId="508451625">
    <w:abstractNumId w:val="30"/>
  </w:num>
  <w:num w:numId="36" w16cid:durableId="127289566">
    <w:abstractNumId w:val="35"/>
  </w:num>
  <w:num w:numId="37" w16cid:durableId="1274051276">
    <w:abstractNumId w:val="14"/>
  </w:num>
  <w:num w:numId="38" w16cid:durableId="1708607202">
    <w:abstractNumId w:val="8"/>
  </w:num>
  <w:num w:numId="39" w16cid:durableId="1853641552">
    <w:abstractNumId w:val="41"/>
  </w:num>
  <w:num w:numId="40" w16cid:durableId="1989748882">
    <w:abstractNumId w:val="11"/>
  </w:num>
  <w:num w:numId="41" w16cid:durableId="1788424729">
    <w:abstractNumId w:val="24"/>
  </w:num>
  <w:num w:numId="42" w16cid:durableId="574167418">
    <w:abstractNumId w:val="13"/>
  </w:num>
  <w:num w:numId="43" w16cid:durableId="2023043640">
    <w:abstractNumId w:val="3"/>
    <w:lvlOverride w:ilvl="0">
      <w:startOverride w:val="1"/>
    </w:lvlOverride>
  </w:num>
  <w:num w:numId="44" w16cid:durableId="1306743543">
    <w:abstractNumId w:val="43"/>
  </w:num>
  <w:num w:numId="45" w16cid:durableId="2132355150">
    <w:abstractNumId w:val="6"/>
  </w:num>
  <w:num w:numId="46" w16cid:durableId="476844987">
    <w:abstractNumId w:val="27"/>
  </w:num>
  <w:num w:numId="47" w16cid:durableId="1249147840">
    <w:abstractNumId w:val="5"/>
  </w:num>
  <w:num w:numId="48" w16cid:durableId="941299752">
    <w:abstractNumId w:val="7"/>
  </w:num>
  <w:num w:numId="49" w16cid:durableId="131408683">
    <w:abstractNumId w:val="15"/>
  </w:num>
  <w:num w:numId="50" w16cid:durableId="755710104">
    <w:abstractNumId w:val="44"/>
  </w:num>
  <w:num w:numId="51" w16cid:durableId="1756516431">
    <w:abstractNumId w:val="20"/>
  </w:num>
  <w:num w:numId="52" w16cid:durableId="43219798">
    <w:abstractNumId w:val="3"/>
    <w:lvlOverride w:ilvl="0">
      <w:startOverride w:val="1"/>
    </w:lvlOverride>
  </w:num>
  <w:num w:numId="53" w16cid:durableId="183134374">
    <w:abstractNumId w:val="3"/>
    <w:lvlOverride w:ilvl="0">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oNotTrackMoves/>
  <w:defaultTabStop w:val="720"/>
  <w:characterSpacingControl w:val="doNotCompress"/>
  <w:hdrShapeDefaults>
    <o:shapedefaults v:ext="edit" spidmax="5121"/>
  </w:hdrShapeDefaults>
  <w:footnotePr>
    <w:footnote w:id="-1"/>
    <w:footnote w:id="0"/>
  </w:footnotePr>
  <w:endnotePr>
    <w:endnote w:id="-1"/>
    <w:endnote w:id="0"/>
  </w:endnotePr>
  <w:compat>
    <w:suppressSpBfAfterPgBrk/>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02947"/>
    <w:rsid w:val="000062B3"/>
    <w:rsid w:val="00014F0C"/>
    <w:rsid w:val="00020B84"/>
    <w:rsid w:val="0002696A"/>
    <w:rsid w:val="00030530"/>
    <w:rsid w:val="00037C95"/>
    <w:rsid w:val="000573B3"/>
    <w:rsid w:val="00062824"/>
    <w:rsid w:val="000714E5"/>
    <w:rsid w:val="000717C7"/>
    <w:rsid w:val="00071ECC"/>
    <w:rsid w:val="00085916"/>
    <w:rsid w:val="00086880"/>
    <w:rsid w:val="00094073"/>
    <w:rsid w:val="00094E95"/>
    <w:rsid w:val="000A1FDC"/>
    <w:rsid w:val="000A240D"/>
    <w:rsid w:val="000A4826"/>
    <w:rsid w:val="000A4CD3"/>
    <w:rsid w:val="000A5CAC"/>
    <w:rsid w:val="000B1B6A"/>
    <w:rsid w:val="000C1FDC"/>
    <w:rsid w:val="000C2FC9"/>
    <w:rsid w:val="000C39B7"/>
    <w:rsid w:val="000C3AB6"/>
    <w:rsid w:val="000C464B"/>
    <w:rsid w:val="000C5BC8"/>
    <w:rsid w:val="000C620E"/>
    <w:rsid w:val="000D0640"/>
    <w:rsid w:val="000D780B"/>
    <w:rsid w:val="000E0027"/>
    <w:rsid w:val="000F1D39"/>
    <w:rsid w:val="000F3EB1"/>
    <w:rsid w:val="000F744C"/>
    <w:rsid w:val="001035FE"/>
    <w:rsid w:val="00103874"/>
    <w:rsid w:val="00105E4C"/>
    <w:rsid w:val="00107272"/>
    <w:rsid w:val="00110A5D"/>
    <w:rsid w:val="001152AB"/>
    <w:rsid w:val="00121599"/>
    <w:rsid w:val="001300CD"/>
    <w:rsid w:val="00134668"/>
    <w:rsid w:val="001531F8"/>
    <w:rsid w:val="00163707"/>
    <w:rsid w:val="00165EA0"/>
    <w:rsid w:val="00173827"/>
    <w:rsid w:val="00185607"/>
    <w:rsid w:val="00190ADC"/>
    <w:rsid w:val="00193FB7"/>
    <w:rsid w:val="00196C5B"/>
    <w:rsid w:val="001A5BEF"/>
    <w:rsid w:val="001B5C32"/>
    <w:rsid w:val="001B71E9"/>
    <w:rsid w:val="001B7DF1"/>
    <w:rsid w:val="001C18D1"/>
    <w:rsid w:val="001C5458"/>
    <w:rsid w:val="001C6AEB"/>
    <w:rsid w:val="001E2177"/>
    <w:rsid w:val="001E5171"/>
    <w:rsid w:val="001F3747"/>
    <w:rsid w:val="0020111E"/>
    <w:rsid w:val="00205FD9"/>
    <w:rsid w:val="00216BBB"/>
    <w:rsid w:val="002209FE"/>
    <w:rsid w:val="00222316"/>
    <w:rsid w:val="002301C5"/>
    <w:rsid w:val="00230D7C"/>
    <w:rsid w:val="00241614"/>
    <w:rsid w:val="00242069"/>
    <w:rsid w:val="00242EC6"/>
    <w:rsid w:val="0024332B"/>
    <w:rsid w:val="00243408"/>
    <w:rsid w:val="0024589C"/>
    <w:rsid w:val="00246725"/>
    <w:rsid w:val="00254671"/>
    <w:rsid w:val="00254ABD"/>
    <w:rsid w:val="00261738"/>
    <w:rsid w:val="002623EB"/>
    <w:rsid w:val="002645FC"/>
    <w:rsid w:val="00272743"/>
    <w:rsid w:val="002736FF"/>
    <w:rsid w:val="002749A3"/>
    <w:rsid w:val="002758A6"/>
    <w:rsid w:val="00275B66"/>
    <w:rsid w:val="00275E17"/>
    <w:rsid w:val="002778E8"/>
    <w:rsid w:val="00282A3A"/>
    <w:rsid w:val="0028343E"/>
    <w:rsid w:val="00286A3B"/>
    <w:rsid w:val="002A3022"/>
    <w:rsid w:val="002B158B"/>
    <w:rsid w:val="002B5135"/>
    <w:rsid w:val="002B6086"/>
    <w:rsid w:val="002C1640"/>
    <w:rsid w:val="002C1FB2"/>
    <w:rsid w:val="002C7469"/>
    <w:rsid w:val="002C7C86"/>
    <w:rsid w:val="002C7F30"/>
    <w:rsid w:val="002D3F2E"/>
    <w:rsid w:val="002D51D9"/>
    <w:rsid w:val="002E2411"/>
    <w:rsid w:val="002E4DDB"/>
    <w:rsid w:val="002F052C"/>
    <w:rsid w:val="002F38CB"/>
    <w:rsid w:val="002F41A8"/>
    <w:rsid w:val="002F62EC"/>
    <w:rsid w:val="002F64C1"/>
    <w:rsid w:val="002F688D"/>
    <w:rsid w:val="002F6D85"/>
    <w:rsid w:val="002F74CC"/>
    <w:rsid w:val="00302ED3"/>
    <w:rsid w:val="00303515"/>
    <w:rsid w:val="0030671F"/>
    <w:rsid w:val="00306E33"/>
    <w:rsid w:val="00307201"/>
    <w:rsid w:val="00310A95"/>
    <w:rsid w:val="003116D0"/>
    <w:rsid w:val="00314B62"/>
    <w:rsid w:val="0031745F"/>
    <w:rsid w:val="00320438"/>
    <w:rsid w:val="003252FE"/>
    <w:rsid w:val="0032727F"/>
    <w:rsid w:val="0033290B"/>
    <w:rsid w:val="003371DF"/>
    <w:rsid w:val="00340BDD"/>
    <w:rsid w:val="00344BDB"/>
    <w:rsid w:val="003463FC"/>
    <w:rsid w:val="003543A2"/>
    <w:rsid w:val="003572AA"/>
    <w:rsid w:val="00365BEB"/>
    <w:rsid w:val="00367578"/>
    <w:rsid w:val="00367E1D"/>
    <w:rsid w:val="00375E18"/>
    <w:rsid w:val="00383E1C"/>
    <w:rsid w:val="00386884"/>
    <w:rsid w:val="00396AC2"/>
    <w:rsid w:val="00397DFB"/>
    <w:rsid w:val="003A51BE"/>
    <w:rsid w:val="003A6150"/>
    <w:rsid w:val="003B011A"/>
    <w:rsid w:val="003B458E"/>
    <w:rsid w:val="003B629E"/>
    <w:rsid w:val="003C2C28"/>
    <w:rsid w:val="003C3EBF"/>
    <w:rsid w:val="003D0B8D"/>
    <w:rsid w:val="003D3EBB"/>
    <w:rsid w:val="003E0DCE"/>
    <w:rsid w:val="003E2D9B"/>
    <w:rsid w:val="003E5059"/>
    <w:rsid w:val="004005DA"/>
    <w:rsid w:val="00400E97"/>
    <w:rsid w:val="004063AE"/>
    <w:rsid w:val="004077CE"/>
    <w:rsid w:val="0041515A"/>
    <w:rsid w:val="00424BC9"/>
    <w:rsid w:val="00430180"/>
    <w:rsid w:val="00430883"/>
    <w:rsid w:val="0043590E"/>
    <w:rsid w:val="00437CA2"/>
    <w:rsid w:val="00440946"/>
    <w:rsid w:val="00443B8D"/>
    <w:rsid w:val="00453603"/>
    <w:rsid w:val="004555F2"/>
    <w:rsid w:val="00455ED7"/>
    <w:rsid w:val="00462D55"/>
    <w:rsid w:val="0046590F"/>
    <w:rsid w:val="00467FB0"/>
    <w:rsid w:val="004704B8"/>
    <w:rsid w:val="00473E35"/>
    <w:rsid w:val="004746BC"/>
    <w:rsid w:val="004854D9"/>
    <w:rsid w:val="0048574C"/>
    <w:rsid w:val="00487ACC"/>
    <w:rsid w:val="00490E85"/>
    <w:rsid w:val="004A263C"/>
    <w:rsid w:val="004B04D7"/>
    <w:rsid w:val="004B11B5"/>
    <w:rsid w:val="004B1432"/>
    <w:rsid w:val="004B7924"/>
    <w:rsid w:val="004B7C67"/>
    <w:rsid w:val="004C03F3"/>
    <w:rsid w:val="004C467F"/>
    <w:rsid w:val="004C633F"/>
    <w:rsid w:val="004D7254"/>
    <w:rsid w:val="004D7B20"/>
    <w:rsid w:val="004E084E"/>
    <w:rsid w:val="004E7124"/>
    <w:rsid w:val="004F2160"/>
    <w:rsid w:val="00500D78"/>
    <w:rsid w:val="00503ACB"/>
    <w:rsid w:val="00513522"/>
    <w:rsid w:val="0051496A"/>
    <w:rsid w:val="00517A0A"/>
    <w:rsid w:val="005268B2"/>
    <w:rsid w:val="00531A5A"/>
    <w:rsid w:val="00531DBD"/>
    <w:rsid w:val="00533B70"/>
    <w:rsid w:val="00537226"/>
    <w:rsid w:val="00537D22"/>
    <w:rsid w:val="00537FF8"/>
    <w:rsid w:val="00541844"/>
    <w:rsid w:val="00547023"/>
    <w:rsid w:val="005547F8"/>
    <w:rsid w:val="00555B88"/>
    <w:rsid w:val="00561305"/>
    <w:rsid w:val="005628EE"/>
    <w:rsid w:val="005666E0"/>
    <w:rsid w:val="00570D2A"/>
    <w:rsid w:val="00571156"/>
    <w:rsid w:val="00576B39"/>
    <w:rsid w:val="00577EA0"/>
    <w:rsid w:val="00583660"/>
    <w:rsid w:val="005878A8"/>
    <w:rsid w:val="00587D1A"/>
    <w:rsid w:val="00591D58"/>
    <w:rsid w:val="005934C2"/>
    <w:rsid w:val="0059587E"/>
    <w:rsid w:val="005B02D1"/>
    <w:rsid w:val="005B4E8A"/>
    <w:rsid w:val="005B7962"/>
    <w:rsid w:val="005C360E"/>
    <w:rsid w:val="005D23E1"/>
    <w:rsid w:val="005D4904"/>
    <w:rsid w:val="005D58A5"/>
    <w:rsid w:val="005E2007"/>
    <w:rsid w:val="005E6FDF"/>
    <w:rsid w:val="005F0F39"/>
    <w:rsid w:val="00602362"/>
    <w:rsid w:val="00607603"/>
    <w:rsid w:val="00607FD9"/>
    <w:rsid w:val="006141BA"/>
    <w:rsid w:val="0062393E"/>
    <w:rsid w:val="0063571E"/>
    <w:rsid w:val="006407F2"/>
    <w:rsid w:val="00642053"/>
    <w:rsid w:val="006421D2"/>
    <w:rsid w:val="00642950"/>
    <w:rsid w:val="00646D5C"/>
    <w:rsid w:val="00647383"/>
    <w:rsid w:val="00652FED"/>
    <w:rsid w:val="00653984"/>
    <w:rsid w:val="00657948"/>
    <w:rsid w:val="0067228A"/>
    <w:rsid w:val="00673052"/>
    <w:rsid w:val="0067776F"/>
    <w:rsid w:val="00680D60"/>
    <w:rsid w:val="00681348"/>
    <w:rsid w:val="00683199"/>
    <w:rsid w:val="00687968"/>
    <w:rsid w:val="00696F78"/>
    <w:rsid w:val="006A321B"/>
    <w:rsid w:val="006A5606"/>
    <w:rsid w:val="006B3244"/>
    <w:rsid w:val="006B7891"/>
    <w:rsid w:val="006B7A8D"/>
    <w:rsid w:val="006B7F2E"/>
    <w:rsid w:val="006C2C7C"/>
    <w:rsid w:val="006D385B"/>
    <w:rsid w:val="006D44B0"/>
    <w:rsid w:val="006D6AFD"/>
    <w:rsid w:val="006E0CFA"/>
    <w:rsid w:val="006F150A"/>
    <w:rsid w:val="006F3274"/>
    <w:rsid w:val="007057B4"/>
    <w:rsid w:val="00711F83"/>
    <w:rsid w:val="007124A1"/>
    <w:rsid w:val="007168F1"/>
    <w:rsid w:val="007213F4"/>
    <w:rsid w:val="00723808"/>
    <w:rsid w:val="0072413E"/>
    <w:rsid w:val="00732ADC"/>
    <w:rsid w:val="007337C7"/>
    <w:rsid w:val="00736764"/>
    <w:rsid w:val="00737D7F"/>
    <w:rsid w:val="00741054"/>
    <w:rsid w:val="007468C1"/>
    <w:rsid w:val="00750FC1"/>
    <w:rsid w:val="00755129"/>
    <w:rsid w:val="00756050"/>
    <w:rsid w:val="00761958"/>
    <w:rsid w:val="0076531C"/>
    <w:rsid w:val="00765BFF"/>
    <w:rsid w:val="00767B1C"/>
    <w:rsid w:val="007738DA"/>
    <w:rsid w:val="00775C7D"/>
    <w:rsid w:val="007771A0"/>
    <w:rsid w:val="00781129"/>
    <w:rsid w:val="00783FC9"/>
    <w:rsid w:val="00787025"/>
    <w:rsid w:val="007963DC"/>
    <w:rsid w:val="007A46E6"/>
    <w:rsid w:val="007A78F9"/>
    <w:rsid w:val="007B0FAC"/>
    <w:rsid w:val="007B29BC"/>
    <w:rsid w:val="007B4153"/>
    <w:rsid w:val="007C4512"/>
    <w:rsid w:val="007D01B0"/>
    <w:rsid w:val="007D20C8"/>
    <w:rsid w:val="007D3AD7"/>
    <w:rsid w:val="007D3F0E"/>
    <w:rsid w:val="007E1D3B"/>
    <w:rsid w:val="007E1D7A"/>
    <w:rsid w:val="007E22FE"/>
    <w:rsid w:val="007E252E"/>
    <w:rsid w:val="007E292A"/>
    <w:rsid w:val="007E62C6"/>
    <w:rsid w:val="007F00E9"/>
    <w:rsid w:val="007F0A61"/>
    <w:rsid w:val="007F198F"/>
    <w:rsid w:val="008033CB"/>
    <w:rsid w:val="00810692"/>
    <w:rsid w:val="008137A7"/>
    <w:rsid w:val="00815CAD"/>
    <w:rsid w:val="00816624"/>
    <w:rsid w:val="008224CB"/>
    <w:rsid w:val="00830F43"/>
    <w:rsid w:val="0083403C"/>
    <w:rsid w:val="008354D5"/>
    <w:rsid w:val="00842E31"/>
    <w:rsid w:val="00850655"/>
    <w:rsid w:val="00853741"/>
    <w:rsid w:val="008640B7"/>
    <w:rsid w:val="00867B76"/>
    <w:rsid w:val="00872B40"/>
    <w:rsid w:val="008816FC"/>
    <w:rsid w:val="008837D0"/>
    <w:rsid w:val="00887C48"/>
    <w:rsid w:val="008A398D"/>
    <w:rsid w:val="008B344B"/>
    <w:rsid w:val="008B4ABA"/>
    <w:rsid w:val="008C2594"/>
    <w:rsid w:val="008D641E"/>
    <w:rsid w:val="008D68ED"/>
    <w:rsid w:val="008D7E2B"/>
    <w:rsid w:val="008E0BCA"/>
    <w:rsid w:val="008E132B"/>
    <w:rsid w:val="008E2C09"/>
    <w:rsid w:val="008E7BFF"/>
    <w:rsid w:val="008F1C7E"/>
    <w:rsid w:val="00902BCE"/>
    <w:rsid w:val="00905B39"/>
    <w:rsid w:val="0091169D"/>
    <w:rsid w:val="00914F87"/>
    <w:rsid w:val="009158C1"/>
    <w:rsid w:val="00915BE6"/>
    <w:rsid w:val="0092584A"/>
    <w:rsid w:val="0092689E"/>
    <w:rsid w:val="00934FD6"/>
    <w:rsid w:val="00941486"/>
    <w:rsid w:val="00942B75"/>
    <w:rsid w:val="00944C79"/>
    <w:rsid w:val="0095507A"/>
    <w:rsid w:val="009553A5"/>
    <w:rsid w:val="00955C33"/>
    <w:rsid w:val="0096004D"/>
    <w:rsid w:val="00962391"/>
    <w:rsid w:val="00962662"/>
    <w:rsid w:val="00976370"/>
    <w:rsid w:val="009849B2"/>
    <w:rsid w:val="009941F7"/>
    <w:rsid w:val="0099654C"/>
    <w:rsid w:val="009A1CF3"/>
    <w:rsid w:val="009A1F33"/>
    <w:rsid w:val="009A386C"/>
    <w:rsid w:val="009A4F9F"/>
    <w:rsid w:val="009A6CF6"/>
    <w:rsid w:val="009B2095"/>
    <w:rsid w:val="009B528D"/>
    <w:rsid w:val="009B76FC"/>
    <w:rsid w:val="009C0071"/>
    <w:rsid w:val="009C16F4"/>
    <w:rsid w:val="009C6688"/>
    <w:rsid w:val="009C7F7B"/>
    <w:rsid w:val="009D1CCE"/>
    <w:rsid w:val="009D1EF5"/>
    <w:rsid w:val="009D2062"/>
    <w:rsid w:val="009D6438"/>
    <w:rsid w:val="009F0453"/>
    <w:rsid w:val="009F4B5C"/>
    <w:rsid w:val="009F7C97"/>
    <w:rsid w:val="00A015E6"/>
    <w:rsid w:val="00A07957"/>
    <w:rsid w:val="00A11C44"/>
    <w:rsid w:val="00A158AE"/>
    <w:rsid w:val="00A170A2"/>
    <w:rsid w:val="00A1765A"/>
    <w:rsid w:val="00A22C6B"/>
    <w:rsid w:val="00A22CA4"/>
    <w:rsid w:val="00A2684D"/>
    <w:rsid w:val="00A26DC9"/>
    <w:rsid w:val="00A31BAF"/>
    <w:rsid w:val="00A31FC9"/>
    <w:rsid w:val="00A323B0"/>
    <w:rsid w:val="00A32CD7"/>
    <w:rsid w:val="00A34045"/>
    <w:rsid w:val="00A34A29"/>
    <w:rsid w:val="00A408BE"/>
    <w:rsid w:val="00A41B36"/>
    <w:rsid w:val="00A456A9"/>
    <w:rsid w:val="00A474DC"/>
    <w:rsid w:val="00A56493"/>
    <w:rsid w:val="00A66A43"/>
    <w:rsid w:val="00A67A80"/>
    <w:rsid w:val="00A7018B"/>
    <w:rsid w:val="00A84A7D"/>
    <w:rsid w:val="00A85C5C"/>
    <w:rsid w:val="00A920AF"/>
    <w:rsid w:val="00A968E4"/>
    <w:rsid w:val="00AA0EC1"/>
    <w:rsid w:val="00AA1190"/>
    <w:rsid w:val="00AA41FB"/>
    <w:rsid w:val="00AA43C3"/>
    <w:rsid w:val="00AA4CD8"/>
    <w:rsid w:val="00AA662B"/>
    <w:rsid w:val="00AA71A9"/>
    <w:rsid w:val="00AA73CA"/>
    <w:rsid w:val="00AB02BB"/>
    <w:rsid w:val="00AB5D51"/>
    <w:rsid w:val="00AD17A9"/>
    <w:rsid w:val="00AD2738"/>
    <w:rsid w:val="00AD7797"/>
    <w:rsid w:val="00AE1A2C"/>
    <w:rsid w:val="00AF0CE3"/>
    <w:rsid w:val="00AF26F0"/>
    <w:rsid w:val="00AF2A6B"/>
    <w:rsid w:val="00AF5CED"/>
    <w:rsid w:val="00B02B33"/>
    <w:rsid w:val="00B14980"/>
    <w:rsid w:val="00B14F7D"/>
    <w:rsid w:val="00B163D5"/>
    <w:rsid w:val="00B17450"/>
    <w:rsid w:val="00B21294"/>
    <w:rsid w:val="00B23A8B"/>
    <w:rsid w:val="00B270E8"/>
    <w:rsid w:val="00B277C4"/>
    <w:rsid w:val="00B3107E"/>
    <w:rsid w:val="00B31BCC"/>
    <w:rsid w:val="00B452FA"/>
    <w:rsid w:val="00B50B40"/>
    <w:rsid w:val="00B52E77"/>
    <w:rsid w:val="00B57971"/>
    <w:rsid w:val="00B64DDC"/>
    <w:rsid w:val="00B66BA4"/>
    <w:rsid w:val="00B72D48"/>
    <w:rsid w:val="00B75AB8"/>
    <w:rsid w:val="00B8541C"/>
    <w:rsid w:val="00B85D26"/>
    <w:rsid w:val="00B8760E"/>
    <w:rsid w:val="00B95039"/>
    <w:rsid w:val="00BB4554"/>
    <w:rsid w:val="00BB59C9"/>
    <w:rsid w:val="00BC1529"/>
    <w:rsid w:val="00BC25B3"/>
    <w:rsid w:val="00BC4A6D"/>
    <w:rsid w:val="00BC4EE0"/>
    <w:rsid w:val="00BD16A8"/>
    <w:rsid w:val="00BD370A"/>
    <w:rsid w:val="00BD3C23"/>
    <w:rsid w:val="00BD4B82"/>
    <w:rsid w:val="00BD4CB6"/>
    <w:rsid w:val="00BE2F89"/>
    <w:rsid w:val="00BE5A8A"/>
    <w:rsid w:val="00BF3712"/>
    <w:rsid w:val="00BF4C64"/>
    <w:rsid w:val="00C17875"/>
    <w:rsid w:val="00C21920"/>
    <w:rsid w:val="00C226AA"/>
    <w:rsid w:val="00C24ACF"/>
    <w:rsid w:val="00C30BA4"/>
    <w:rsid w:val="00C32D73"/>
    <w:rsid w:val="00C40E18"/>
    <w:rsid w:val="00C45EBE"/>
    <w:rsid w:val="00C52B93"/>
    <w:rsid w:val="00C55D80"/>
    <w:rsid w:val="00C600C2"/>
    <w:rsid w:val="00C639E4"/>
    <w:rsid w:val="00C63CFD"/>
    <w:rsid w:val="00C64C5E"/>
    <w:rsid w:val="00C67219"/>
    <w:rsid w:val="00C779E7"/>
    <w:rsid w:val="00C955FE"/>
    <w:rsid w:val="00C95D23"/>
    <w:rsid w:val="00CA4B07"/>
    <w:rsid w:val="00CA4CE9"/>
    <w:rsid w:val="00CA4EEA"/>
    <w:rsid w:val="00CA623C"/>
    <w:rsid w:val="00CB002E"/>
    <w:rsid w:val="00CB0CFA"/>
    <w:rsid w:val="00CB5212"/>
    <w:rsid w:val="00CC02C2"/>
    <w:rsid w:val="00CC2148"/>
    <w:rsid w:val="00CC55AA"/>
    <w:rsid w:val="00CD402E"/>
    <w:rsid w:val="00CE400B"/>
    <w:rsid w:val="00CE43C8"/>
    <w:rsid w:val="00CE68FF"/>
    <w:rsid w:val="00CF2E0A"/>
    <w:rsid w:val="00CF43BF"/>
    <w:rsid w:val="00CF52FC"/>
    <w:rsid w:val="00D005F4"/>
    <w:rsid w:val="00D023E5"/>
    <w:rsid w:val="00D11CFF"/>
    <w:rsid w:val="00D12553"/>
    <w:rsid w:val="00D12ED9"/>
    <w:rsid w:val="00D150CA"/>
    <w:rsid w:val="00D202B2"/>
    <w:rsid w:val="00D20DE3"/>
    <w:rsid w:val="00D2172F"/>
    <w:rsid w:val="00D30F62"/>
    <w:rsid w:val="00D3321C"/>
    <w:rsid w:val="00D417FA"/>
    <w:rsid w:val="00D45424"/>
    <w:rsid w:val="00D60211"/>
    <w:rsid w:val="00D65539"/>
    <w:rsid w:val="00D66262"/>
    <w:rsid w:val="00D6645D"/>
    <w:rsid w:val="00D7430A"/>
    <w:rsid w:val="00D74E28"/>
    <w:rsid w:val="00D80C8D"/>
    <w:rsid w:val="00D81C8D"/>
    <w:rsid w:val="00D81F16"/>
    <w:rsid w:val="00D821E1"/>
    <w:rsid w:val="00D9407D"/>
    <w:rsid w:val="00D953EE"/>
    <w:rsid w:val="00DA0A4B"/>
    <w:rsid w:val="00DA0AB9"/>
    <w:rsid w:val="00DA2BE3"/>
    <w:rsid w:val="00DA56F8"/>
    <w:rsid w:val="00DA6928"/>
    <w:rsid w:val="00DA72B5"/>
    <w:rsid w:val="00DB01EC"/>
    <w:rsid w:val="00DB1629"/>
    <w:rsid w:val="00DC0DDF"/>
    <w:rsid w:val="00DC4C8E"/>
    <w:rsid w:val="00DC6057"/>
    <w:rsid w:val="00DC6EBE"/>
    <w:rsid w:val="00DD12EB"/>
    <w:rsid w:val="00DD1BB2"/>
    <w:rsid w:val="00DE0DEF"/>
    <w:rsid w:val="00DE217B"/>
    <w:rsid w:val="00DE706E"/>
    <w:rsid w:val="00DF0983"/>
    <w:rsid w:val="00DF10A1"/>
    <w:rsid w:val="00DF1AF1"/>
    <w:rsid w:val="00DF44CC"/>
    <w:rsid w:val="00DF614F"/>
    <w:rsid w:val="00E016A4"/>
    <w:rsid w:val="00E03F63"/>
    <w:rsid w:val="00E04793"/>
    <w:rsid w:val="00E06282"/>
    <w:rsid w:val="00E06C7C"/>
    <w:rsid w:val="00E07DCF"/>
    <w:rsid w:val="00E07EF8"/>
    <w:rsid w:val="00E128B3"/>
    <w:rsid w:val="00E219F2"/>
    <w:rsid w:val="00E24590"/>
    <w:rsid w:val="00E27DDD"/>
    <w:rsid w:val="00E31EDB"/>
    <w:rsid w:val="00E33AFC"/>
    <w:rsid w:val="00E3666F"/>
    <w:rsid w:val="00E407EE"/>
    <w:rsid w:val="00E41495"/>
    <w:rsid w:val="00E43A9D"/>
    <w:rsid w:val="00E458BB"/>
    <w:rsid w:val="00E46CCB"/>
    <w:rsid w:val="00E52977"/>
    <w:rsid w:val="00E52DC5"/>
    <w:rsid w:val="00E53BD3"/>
    <w:rsid w:val="00E576F0"/>
    <w:rsid w:val="00E607FC"/>
    <w:rsid w:val="00E60FF5"/>
    <w:rsid w:val="00E6388F"/>
    <w:rsid w:val="00E65D34"/>
    <w:rsid w:val="00E6609E"/>
    <w:rsid w:val="00E6723A"/>
    <w:rsid w:val="00E701A7"/>
    <w:rsid w:val="00E7343A"/>
    <w:rsid w:val="00E83F8D"/>
    <w:rsid w:val="00E873E7"/>
    <w:rsid w:val="00E87C4C"/>
    <w:rsid w:val="00E9076D"/>
    <w:rsid w:val="00EA03B6"/>
    <w:rsid w:val="00EA05D4"/>
    <w:rsid w:val="00EA2227"/>
    <w:rsid w:val="00EA3067"/>
    <w:rsid w:val="00EB05A1"/>
    <w:rsid w:val="00EB1262"/>
    <w:rsid w:val="00ED243B"/>
    <w:rsid w:val="00ED25AF"/>
    <w:rsid w:val="00ED606C"/>
    <w:rsid w:val="00EE1612"/>
    <w:rsid w:val="00EF0085"/>
    <w:rsid w:val="00EF1979"/>
    <w:rsid w:val="00EF76F3"/>
    <w:rsid w:val="00EF7B19"/>
    <w:rsid w:val="00F10812"/>
    <w:rsid w:val="00F16A8F"/>
    <w:rsid w:val="00F31C73"/>
    <w:rsid w:val="00F33875"/>
    <w:rsid w:val="00F36C3C"/>
    <w:rsid w:val="00F40081"/>
    <w:rsid w:val="00F4660F"/>
    <w:rsid w:val="00F46FD9"/>
    <w:rsid w:val="00F55E88"/>
    <w:rsid w:val="00F62BCF"/>
    <w:rsid w:val="00F660E7"/>
    <w:rsid w:val="00F67DB7"/>
    <w:rsid w:val="00F764AD"/>
    <w:rsid w:val="00F8277B"/>
    <w:rsid w:val="00F832FD"/>
    <w:rsid w:val="00F857E8"/>
    <w:rsid w:val="00F94410"/>
    <w:rsid w:val="00F94684"/>
    <w:rsid w:val="00F9612D"/>
    <w:rsid w:val="00FA16AC"/>
    <w:rsid w:val="00FA20FA"/>
    <w:rsid w:val="00FA4402"/>
    <w:rsid w:val="00FB34CB"/>
    <w:rsid w:val="00FC2A1F"/>
    <w:rsid w:val="00FC62B1"/>
    <w:rsid w:val="00FD0461"/>
    <w:rsid w:val="00FD65C8"/>
    <w:rsid w:val="00FE0683"/>
    <w:rsid w:val="00FE7015"/>
    <w:rsid w:val="00FF0C49"/>
    <w:rsid w:val="00FF263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021C4F8"/>
  <w15:chartTrackingRefBased/>
  <w15:docId w15:val="{BDE87524-7C9D-4E1D-BE46-A69FE002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98" w:unhideWhenUsed="1" w:qFormat="1"/>
    <w:lsdException w:name="index 1" w:semiHidden="1" w:uiPriority="98"/>
    <w:lsdException w:name="index 2" w:semiHidden="1" w:uiPriority="98"/>
    <w:lsdException w:name="index 3" w:semiHidden="1" w:uiPriority="98"/>
    <w:lsdException w:name="index 4" w:semiHidden="1" w:uiPriority="98"/>
    <w:lsdException w:name="index 5" w:semiHidden="1" w:uiPriority="98"/>
    <w:lsdException w:name="index 6" w:semiHidden="1" w:uiPriority="98"/>
    <w:lsdException w:name="index 7" w:semiHidden="1" w:uiPriority="98"/>
    <w:lsdException w:name="index 8" w:semiHidden="1" w:uiPriority="98"/>
    <w:lsdException w:name="index 9" w:semiHidden="1" w:uiPriority="98"/>
    <w:lsdException w:name="toc 1" w:uiPriority="39"/>
    <w:lsdException w:name="toc 2" w:uiPriority="39"/>
    <w:lsdException w:name="toc 3" w:uiPriority="5"/>
    <w:lsdException w:name="toc 4" w:uiPriority="98"/>
    <w:lsdException w:name="toc 5" w:uiPriority="98"/>
    <w:lsdException w:name="toc 6" w:uiPriority="98"/>
    <w:lsdException w:name="toc 7" w:uiPriority="98"/>
    <w:lsdException w:name="toc 8" w:uiPriority="98"/>
    <w:lsdException w:name="toc 9" w:uiPriority="98"/>
    <w:lsdException w:name="Normal Indent" w:uiPriority="98"/>
    <w:lsdException w:name="footnote text" w:uiPriority="8"/>
    <w:lsdException w:name="annotation text" w:semiHidden="1"/>
    <w:lsdException w:name="header" w:uiPriority="8"/>
    <w:lsdException w:name="footer" w:uiPriority="8"/>
    <w:lsdException w:name="index heading" w:semiHidden="1" w:uiPriority="98"/>
    <w:lsdException w:name="caption" w:uiPriority="98" w:qFormat="1"/>
    <w:lsdException w:name="table of figures" w:uiPriority="98"/>
    <w:lsdException w:name="envelope address" w:uiPriority="98"/>
    <w:lsdException w:name="envelope return" w:uiPriority="98"/>
    <w:lsdException w:name="footnote reference" w:uiPriority="98"/>
    <w:lsdException w:name="annotation reference" w:semiHidden="1"/>
    <w:lsdException w:name="line number" w:semiHidden="1" w:uiPriority="98"/>
    <w:lsdException w:name="page number" w:uiPriority="98"/>
    <w:lsdException w:name="endnote reference" w:uiPriority="98"/>
    <w:lsdException w:name="endnote text" w:uiPriority="98"/>
    <w:lsdException w:name="macro" w:uiPriority="98"/>
    <w:lsdException w:name="List Bullet" w:uiPriority="1"/>
    <w:lsdException w:name="List Number" w:uiPriority="3"/>
    <w:lsdException w:name="List Bullet 2" w:uiPriority="1"/>
    <w:lsdException w:name="List Bullet 3" w:uiPriority="98"/>
    <w:lsdException w:name="List Bullet 4" w:uiPriority="98"/>
    <w:lsdException w:name="List Bullet 5" w:uiPriority="98"/>
    <w:lsdException w:name="List Number 2" w:uiPriority="3"/>
    <w:lsdException w:name="List Number 3" w:uiPriority="98"/>
    <w:lsdException w:name="List Number 4" w:uiPriority="98"/>
    <w:lsdException w:name="List Number 5" w:uiPriority="98"/>
    <w:lsdException w:name="Title" w:uiPriority="98" w:qFormat="1"/>
    <w:lsdException w:name="Closing" w:uiPriority="98"/>
    <w:lsdException w:name="Signature" w:semiHidden="1"/>
    <w:lsdException w:name="Body Text Indent" w:semiHidden="1" w:uiPriority="98"/>
    <w:lsdException w:name="List Continue" w:uiPriority="98"/>
    <w:lsdException w:name="List Continue 2" w:uiPriority="98"/>
    <w:lsdException w:name="List Continue 3" w:uiPriority="98"/>
    <w:lsdException w:name="List Continue 4" w:uiPriority="98"/>
    <w:lsdException w:name="List Continue 5" w:uiPriority="98"/>
    <w:lsdException w:name="Subtitle" w:semiHidden="1" w:uiPriority="98" w:qFormat="1"/>
    <w:lsdException w:name="Salutation" w:semiHidden="1" w:uiPriority="98"/>
    <w:lsdException w:name="Date" w:semiHidden="1" w:uiPriority="98"/>
    <w:lsdException w:name="Body Text First Indent" w:semiHidden="1" w:uiPriority="98"/>
    <w:lsdException w:name="Body Text First Indent 2" w:semiHidden="1" w:uiPriority="98"/>
    <w:lsdException w:name="Note Heading" w:semiHidden="1" w:uiPriority="98"/>
    <w:lsdException w:name="Body Text 2" w:semiHidden="1" w:uiPriority="98"/>
    <w:lsdException w:name="Body Text 3" w:semiHidden="1" w:uiPriority="98"/>
    <w:lsdException w:name="Body Text Indent 2" w:semiHidden="1" w:uiPriority="98"/>
    <w:lsdException w:name="Body Text Indent 3" w:semiHidden="1" w:uiPriority="98"/>
    <w:lsdException w:name="Block Text" w:uiPriority="98"/>
    <w:lsdException w:name="Hyperlink" w:uiPriority="99"/>
    <w:lsdException w:name="FollowedHyperlink" w:uiPriority="8"/>
    <w:lsdException w:name="Strong" w:uiPriority="3" w:qFormat="1"/>
    <w:lsdException w:name="Emphasis" w:uiPriority="3" w:qFormat="1"/>
    <w:lsdException w:name="Document Map" w:uiPriority="98"/>
    <w:lsdException w:name="Plain Text" w:semiHidden="1" w:uiPriority="98"/>
    <w:lsdException w:name="E-mail Signature" w:uiPriority="98"/>
    <w:lsdException w:name="Normal (Web)" w:uiPriority="98"/>
    <w:lsdException w:name="Normal Table" w:semiHidden="1" w:unhideWhenUsed="1"/>
    <w:lsdException w:name="annotation subject" w:semiHidden="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8"/>
    <w:lsdException w:name="Table Theme" w:semiHidden="1" w:unhideWhenUsed="1"/>
    <w:lsdException w:name="Placeholder Text" w:semiHidden="1" w:uiPriority="98"/>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8" w:qFormat="1"/>
    <w:lsdException w:name="Quote" w:semiHidden="1" w:uiPriority="98" w:qFormat="1"/>
    <w:lsdException w:name="Intense Quote" w:semiHidden="1"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98" w:qFormat="1"/>
    <w:lsdException w:name="Subtle Reference" w:semiHidden="1" w:uiPriority="98" w:qFormat="1"/>
    <w:lsdException w:name="Intense Reference" w:semiHidden="1" w:uiPriority="98" w:qFormat="1"/>
    <w:lsdException w:name="Book Title" w:semiHidden="1" w:uiPriority="98" w:qFormat="1"/>
    <w:lsdException w:name="Bibliography" w:semiHidden="1" w:uiPriority="98"/>
    <w:lsdException w:name="TOC Heading" w:semiHidden="1" w:uiPriority="9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qFormat/>
    <w:rsid w:val="00941486"/>
    <w:pPr>
      <w:spacing w:before="240" w:after="240"/>
    </w:pPr>
    <w:rPr>
      <w:rFonts w:ascii="Calibri" w:hAnsi="Calibri"/>
      <w:szCs w:val="24"/>
    </w:rPr>
  </w:style>
  <w:style w:type="paragraph" w:styleId="Heading1">
    <w:name w:val="heading 1"/>
    <w:next w:val="BodyText"/>
    <w:link w:val="Heading1Char"/>
    <w:uiPriority w:val="1"/>
    <w:qFormat/>
    <w:rsid w:val="00193FB7"/>
    <w:pPr>
      <w:keepLines/>
      <w:suppressAutoHyphens/>
      <w:spacing w:after="200"/>
      <w:jc w:val="center"/>
      <w:outlineLvl w:val="0"/>
    </w:pPr>
    <w:rPr>
      <w:rFonts w:ascii="Calibri" w:hAnsi="Calibri" w:cs="Arial"/>
      <w:bCs/>
      <w:sz w:val="56"/>
      <w:szCs w:val="56"/>
      <w:lang w:val="en-US"/>
    </w:rPr>
  </w:style>
  <w:style w:type="paragraph" w:styleId="Heading2">
    <w:name w:val="heading 2"/>
    <w:next w:val="BodyText"/>
    <w:link w:val="Heading2Char"/>
    <w:uiPriority w:val="1"/>
    <w:qFormat/>
    <w:rsid w:val="00AD2738"/>
    <w:pPr>
      <w:keepNext/>
      <w:keepLines/>
      <w:pageBreakBefore/>
      <w:tabs>
        <w:tab w:val="left" w:pos="454"/>
      </w:tabs>
      <w:suppressAutoHyphens/>
      <w:spacing w:after="800"/>
      <w:outlineLvl w:val="1"/>
    </w:pPr>
    <w:rPr>
      <w:rFonts w:ascii="Calibri" w:hAnsi="Calibri" w:cs="Arial"/>
      <w:bCs/>
      <w:color w:val="A22B38"/>
      <w:sz w:val="48"/>
      <w:szCs w:val="48"/>
    </w:rPr>
  </w:style>
  <w:style w:type="paragraph" w:styleId="Heading3">
    <w:name w:val="heading 3"/>
    <w:next w:val="BodyText"/>
    <w:link w:val="Heading3Char"/>
    <w:uiPriority w:val="1"/>
    <w:qFormat/>
    <w:rsid w:val="00711F83"/>
    <w:pPr>
      <w:keepNext/>
      <w:keepLines/>
      <w:tabs>
        <w:tab w:val="left" w:pos="397"/>
      </w:tabs>
      <w:suppressAutoHyphens/>
      <w:spacing w:before="200" w:after="200"/>
      <w:outlineLvl w:val="2"/>
    </w:pPr>
    <w:rPr>
      <w:rFonts w:ascii="Calibri" w:hAnsi="Calibri" w:cs="Arial"/>
      <w:b/>
      <w:bCs/>
      <w:sz w:val="32"/>
      <w:szCs w:val="26"/>
    </w:rPr>
  </w:style>
  <w:style w:type="paragraph" w:styleId="Heading4">
    <w:name w:val="heading 4"/>
    <w:next w:val="BodyText"/>
    <w:link w:val="Heading4Char"/>
    <w:uiPriority w:val="1"/>
    <w:qFormat/>
    <w:rsid w:val="00E9076D"/>
    <w:pPr>
      <w:keepNext/>
      <w:keepLines/>
      <w:numPr>
        <w:ilvl w:val="3"/>
        <w:numId w:val="11"/>
      </w:numPr>
      <w:suppressAutoHyphens/>
      <w:spacing w:before="200" w:after="200"/>
      <w:ind w:left="0"/>
      <w:outlineLvl w:val="3"/>
    </w:pPr>
    <w:rPr>
      <w:rFonts w:ascii="Calibri" w:hAnsi="Calibri"/>
      <w:b/>
      <w:bCs/>
      <w:color w:val="A22B38"/>
      <w:sz w:val="28"/>
      <w:szCs w:val="28"/>
    </w:rPr>
  </w:style>
  <w:style w:type="paragraph" w:styleId="Heading5">
    <w:name w:val="heading 5"/>
    <w:next w:val="BodyText"/>
    <w:link w:val="Heading5Char"/>
    <w:uiPriority w:val="1"/>
    <w:qFormat/>
    <w:rsid w:val="00561305"/>
    <w:pPr>
      <w:keepNext/>
      <w:keepLines/>
      <w:suppressAutoHyphens/>
      <w:spacing w:before="200" w:after="200"/>
      <w:outlineLvl w:val="4"/>
    </w:pPr>
    <w:rPr>
      <w:rFonts w:ascii="Calibri" w:hAnsi="Calibri"/>
      <w:b/>
      <w:bCs/>
      <w:iCs/>
      <w:sz w:val="24"/>
      <w:szCs w:val="26"/>
    </w:rPr>
  </w:style>
  <w:style w:type="paragraph" w:styleId="Heading6">
    <w:name w:val="heading 6"/>
    <w:basedOn w:val="Normal"/>
    <w:next w:val="Normal"/>
    <w:link w:val="Heading6Char"/>
    <w:uiPriority w:val="1"/>
    <w:qFormat/>
    <w:rsid w:val="003B011A"/>
    <w:pPr>
      <w:spacing w:after="120"/>
      <w:outlineLvl w:val="5"/>
    </w:pPr>
    <w:rPr>
      <w:rFonts w:eastAsia="MS Mincho"/>
      <w:b/>
      <w:bCs/>
      <w:sz w:val="22"/>
      <w:szCs w:val="22"/>
    </w:rPr>
  </w:style>
  <w:style w:type="paragraph" w:styleId="Heading7">
    <w:name w:val="heading 7"/>
    <w:next w:val="Normal"/>
    <w:link w:val="Heading7Char"/>
    <w:uiPriority w:val="1"/>
    <w:qFormat/>
    <w:rsid w:val="003B011A"/>
    <w:pPr>
      <w:spacing w:before="240" w:after="120"/>
      <w:outlineLvl w:val="6"/>
    </w:pPr>
    <w:rPr>
      <w:rFonts w:ascii="Calibri" w:hAnsi="Calibri" w:cs="Arial"/>
      <w:i/>
      <w:sz w:val="22"/>
      <w:szCs w:val="22"/>
    </w:rPr>
  </w:style>
  <w:style w:type="paragraph" w:styleId="Heading8">
    <w:name w:val="heading 8"/>
    <w:next w:val="Normal"/>
    <w:link w:val="Heading8Char"/>
    <w:uiPriority w:val="1"/>
    <w:qFormat/>
    <w:rsid w:val="00A34045"/>
    <w:pPr>
      <w:spacing w:before="240" w:after="60"/>
      <w:ind w:left="1440" w:hanging="432"/>
      <w:outlineLvl w:val="7"/>
    </w:pPr>
    <w:rPr>
      <w:rFonts w:ascii="Arial" w:hAnsi="Arial" w:cs="Arial"/>
      <w:i/>
      <w:iCs/>
      <w:sz w:val="24"/>
      <w:szCs w:val="24"/>
    </w:rPr>
  </w:style>
  <w:style w:type="paragraph" w:styleId="Heading9">
    <w:name w:val="heading 9"/>
    <w:next w:val="Normal"/>
    <w:link w:val="Heading9Char"/>
    <w:uiPriority w:val="98"/>
    <w:semiHidden/>
    <w:qFormat/>
    <w:rsid w:val="00A34045"/>
    <w:pPr>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2B40"/>
    <w:rPr>
      <w:rFonts w:ascii="Calibri" w:hAnsi="Calibri"/>
      <w:color w:val="0000FF"/>
      <w:u w:val="single"/>
      <w:lang w:val="en-AU"/>
    </w:rPr>
  </w:style>
  <w:style w:type="character" w:styleId="FollowedHyperlink">
    <w:name w:val="FollowedHyperlink"/>
    <w:uiPriority w:val="8"/>
    <w:rsid w:val="00872B40"/>
    <w:rPr>
      <w:color w:val="800080"/>
      <w:u w:val="single"/>
    </w:rPr>
  </w:style>
  <w:style w:type="character" w:customStyle="1" w:styleId="Heading2Char">
    <w:name w:val="Heading 2 Char"/>
    <w:link w:val="Heading2"/>
    <w:uiPriority w:val="1"/>
    <w:locked/>
    <w:rsid w:val="00AD2738"/>
    <w:rPr>
      <w:rFonts w:ascii="Calibri" w:hAnsi="Calibri" w:cs="Arial"/>
      <w:bCs/>
      <w:color w:val="A22B38"/>
      <w:sz w:val="48"/>
      <w:szCs w:val="48"/>
    </w:rPr>
  </w:style>
  <w:style w:type="character" w:customStyle="1" w:styleId="Heading3Char">
    <w:name w:val="Heading 3 Char"/>
    <w:link w:val="Heading3"/>
    <w:uiPriority w:val="1"/>
    <w:locked/>
    <w:rsid w:val="00711F83"/>
    <w:rPr>
      <w:rFonts w:ascii="Calibri" w:hAnsi="Calibri" w:cs="Arial"/>
      <w:b/>
      <w:bCs/>
      <w:sz w:val="32"/>
      <w:szCs w:val="26"/>
    </w:rPr>
  </w:style>
  <w:style w:type="character" w:customStyle="1" w:styleId="Heading4Char">
    <w:name w:val="Heading 4 Char"/>
    <w:link w:val="Heading4"/>
    <w:uiPriority w:val="1"/>
    <w:locked/>
    <w:rsid w:val="00E9076D"/>
    <w:rPr>
      <w:rFonts w:ascii="Calibri" w:hAnsi="Calibri"/>
      <w:b/>
      <w:bCs/>
      <w:color w:val="A22B38"/>
      <w:sz w:val="28"/>
      <w:szCs w:val="28"/>
    </w:rPr>
  </w:style>
  <w:style w:type="character" w:customStyle="1" w:styleId="Heading5Char">
    <w:name w:val="Heading 5 Char"/>
    <w:link w:val="Heading5"/>
    <w:uiPriority w:val="1"/>
    <w:locked/>
    <w:rsid w:val="00561305"/>
    <w:rPr>
      <w:rFonts w:ascii="Calibri" w:hAnsi="Calibri"/>
      <w:b/>
      <w:bCs/>
      <w:iCs/>
      <w:sz w:val="24"/>
      <w:szCs w:val="26"/>
    </w:rPr>
  </w:style>
  <w:style w:type="paragraph" w:styleId="TOC1">
    <w:name w:val="toc 1"/>
    <w:uiPriority w:val="39"/>
    <w:rsid w:val="00D821E1"/>
    <w:pPr>
      <w:tabs>
        <w:tab w:val="left" w:pos="340"/>
        <w:tab w:val="right" w:leader="dot" w:pos="7371"/>
      </w:tabs>
      <w:suppressAutoHyphens/>
      <w:spacing w:before="300" w:after="60"/>
    </w:pPr>
    <w:rPr>
      <w:rFonts w:ascii="Calibri" w:hAnsi="Calibri"/>
      <w:b/>
      <w:sz w:val="22"/>
      <w:lang w:eastAsia="en-US"/>
    </w:rPr>
  </w:style>
  <w:style w:type="paragraph" w:styleId="TOC2">
    <w:name w:val="toc 2"/>
    <w:uiPriority w:val="39"/>
    <w:rsid w:val="00D821E1"/>
    <w:pPr>
      <w:tabs>
        <w:tab w:val="left" w:pos="340"/>
        <w:tab w:val="right" w:leader="dot" w:pos="7371"/>
      </w:tabs>
      <w:suppressAutoHyphens/>
      <w:spacing w:before="60" w:after="60"/>
    </w:pPr>
    <w:rPr>
      <w:rFonts w:ascii="Calibri" w:hAnsi="Calibri"/>
      <w:noProof/>
      <w:sz w:val="22"/>
      <w:lang w:eastAsia="en-US"/>
    </w:rPr>
  </w:style>
  <w:style w:type="paragraph" w:styleId="TOC3">
    <w:name w:val="toc 3"/>
    <w:basedOn w:val="TOC2"/>
    <w:uiPriority w:val="5"/>
    <w:rsid w:val="00D81C8D"/>
    <w:pPr>
      <w:ind w:left="567"/>
    </w:pPr>
  </w:style>
  <w:style w:type="paragraph" w:styleId="Header">
    <w:name w:val="header"/>
    <w:link w:val="HeaderChar"/>
    <w:uiPriority w:val="8"/>
    <w:rsid w:val="007E252E"/>
    <w:pPr>
      <w:tabs>
        <w:tab w:val="left" w:pos="284"/>
        <w:tab w:val="right" w:pos="9639"/>
      </w:tabs>
      <w:suppressAutoHyphens/>
    </w:pPr>
    <w:rPr>
      <w:rFonts w:ascii="Calibri" w:hAnsi="Calibri"/>
      <w:noProof/>
    </w:rPr>
  </w:style>
  <w:style w:type="paragraph" w:styleId="Footer">
    <w:name w:val="footer"/>
    <w:basedOn w:val="Header"/>
    <w:link w:val="FooterChar"/>
    <w:uiPriority w:val="8"/>
    <w:rsid w:val="0024589C"/>
    <w:rPr>
      <w:sz w:val="18"/>
      <w:szCs w:val="18"/>
    </w:rPr>
  </w:style>
  <w:style w:type="paragraph" w:styleId="Title">
    <w:name w:val="Title"/>
    <w:next w:val="BodyText"/>
    <w:link w:val="TitleChar"/>
    <w:uiPriority w:val="98"/>
    <w:semiHidden/>
    <w:qFormat/>
    <w:rsid w:val="00F8277B"/>
    <w:pPr>
      <w:keepNext/>
      <w:keepLines/>
      <w:suppressAutoHyphens/>
      <w:spacing w:after="200"/>
      <w:outlineLvl w:val="0"/>
    </w:pPr>
    <w:rPr>
      <w:rFonts w:ascii="Calibri" w:hAnsi="Calibri" w:cs="Arial"/>
      <w:b/>
      <w:bCs/>
      <w:sz w:val="44"/>
      <w:szCs w:val="40"/>
    </w:rPr>
  </w:style>
  <w:style w:type="character" w:styleId="PageNumber">
    <w:name w:val="page number"/>
    <w:uiPriority w:val="98"/>
    <w:rPr>
      <w:rFonts w:ascii="Calibri" w:hAnsi="Calibri" w:hint="default"/>
      <w:sz w:val="16"/>
    </w:rPr>
  </w:style>
  <w:style w:type="paragraph" w:customStyle="1" w:styleId="TOCHeading1">
    <w:name w:val="TOC Heading1"/>
    <w:basedOn w:val="Heading2"/>
    <w:uiPriority w:val="11"/>
    <w:qFormat/>
    <w:rsid w:val="002A3022"/>
  </w:style>
  <w:style w:type="numbering" w:customStyle="1" w:styleId="Bulleted">
    <w:name w:val="Bulleted"/>
    <w:pPr>
      <w:numPr>
        <w:numId w:val="2"/>
      </w:numPr>
    </w:pPr>
  </w:style>
  <w:style w:type="paragraph" w:styleId="BodyText">
    <w:name w:val="Body Text"/>
    <w:link w:val="BodyTextChar"/>
    <w:uiPriority w:val="9"/>
    <w:rsid w:val="00941486"/>
    <w:pPr>
      <w:suppressAutoHyphens/>
      <w:spacing w:before="200" w:after="200"/>
    </w:pPr>
    <w:rPr>
      <w:rFonts w:ascii="Calibri" w:hAnsi="Calibri"/>
      <w:sz w:val="22"/>
    </w:rPr>
  </w:style>
  <w:style w:type="paragraph" w:customStyle="1" w:styleId="Figurecaption">
    <w:name w:val="Figure caption"/>
    <w:basedOn w:val="BodyAR"/>
    <w:uiPriority w:val="11"/>
    <w:qFormat/>
    <w:rsid w:val="00CB5212"/>
    <w:pPr>
      <w:spacing w:before="80"/>
    </w:pPr>
    <w:rPr>
      <w:i/>
    </w:rPr>
  </w:style>
  <w:style w:type="paragraph" w:styleId="ListBullet">
    <w:name w:val="List Bullet"/>
    <w:uiPriority w:val="1"/>
    <w:rsid w:val="00020B84"/>
    <w:pPr>
      <w:numPr>
        <w:numId w:val="5"/>
      </w:numPr>
      <w:suppressAutoHyphens/>
      <w:spacing w:before="60" w:after="60"/>
    </w:pPr>
    <w:rPr>
      <w:rFonts w:ascii="Calibri" w:hAnsi="Calibri"/>
      <w:sz w:val="22"/>
      <w:szCs w:val="24"/>
    </w:rPr>
  </w:style>
  <w:style w:type="paragraph" w:styleId="ListBullet2">
    <w:name w:val="List Bullet 2"/>
    <w:uiPriority w:val="1"/>
    <w:rsid w:val="00F8277B"/>
    <w:pPr>
      <w:numPr>
        <w:numId w:val="6"/>
      </w:numPr>
      <w:suppressAutoHyphens/>
    </w:pPr>
    <w:rPr>
      <w:rFonts w:ascii="Calibri" w:hAnsi="Calibri"/>
      <w:sz w:val="22"/>
      <w:szCs w:val="24"/>
    </w:rPr>
  </w:style>
  <w:style w:type="paragraph" w:styleId="ListNumber">
    <w:name w:val="List Number"/>
    <w:uiPriority w:val="3"/>
    <w:rsid w:val="00020B84"/>
    <w:pPr>
      <w:numPr>
        <w:numId w:val="7"/>
      </w:numPr>
      <w:spacing w:before="60" w:after="60"/>
    </w:pPr>
    <w:rPr>
      <w:rFonts w:ascii="Calibri" w:hAnsi="Calibri"/>
      <w:sz w:val="22"/>
      <w:szCs w:val="24"/>
    </w:rPr>
  </w:style>
  <w:style w:type="paragraph" w:styleId="ListNumber2">
    <w:name w:val="List Number 2"/>
    <w:uiPriority w:val="3"/>
    <w:rsid w:val="00F8277B"/>
    <w:pPr>
      <w:numPr>
        <w:numId w:val="8"/>
      </w:numPr>
    </w:pPr>
    <w:rPr>
      <w:rFonts w:ascii="Calibri" w:hAnsi="Calibri"/>
      <w:sz w:val="22"/>
      <w:szCs w:val="24"/>
    </w:rPr>
  </w:style>
  <w:style w:type="paragraph" w:customStyle="1" w:styleId="BodyARsmallspace">
    <w:name w:val="Body AR small space"/>
    <w:basedOn w:val="BodyAR"/>
    <w:uiPriority w:val="11"/>
    <w:qFormat/>
    <w:rsid w:val="00941486"/>
    <w:pPr>
      <w:spacing w:before="80" w:after="80"/>
    </w:pPr>
  </w:style>
  <w:style w:type="paragraph" w:styleId="ListNumber3">
    <w:name w:val="List Number 3"/>
    <w:basedOn w:val="Normal"/>
    <w:uiPriority w:val="98"/>
    <w:semiHidden/>
    <w:rsid w:val="00375E18"/>
    <w:pPr>
      <w:numPr>
        <w:numId w:val="4"/>
      </w:numPr>
      <w:contextualSpacing/>
    </w:pPr>
  </w:style>
  <w:style w:type="character" w:customStyle="1" w:styleId="BodyTextChar">
    <w:name w:val="Body Text Char"/>
    <w:link w:val="BodyText"/>
    <w:uiPriority w:val="9"/>
    <w:rsid w:val="00941486"/>
    <w:rPr>
      <w:rFonts w:ascii="Calibri" w:hAnsi="Calibri"/>
      <w:sz w:val="22"/>
    </w:rPr>
  </w:style>
  <w:style w:type="character" w:customStyle="1" w:styleId="Heading1Char">
    <w:name w:val="Heading 1 Char"/>
    <w:link w:val="Heading1"/>
    <w:uiPriority w:val="1"/>
    <w:rsid w:val="00941486"/>
    <w:rPr>
      <w:rFonts w:ascii="Calibri" w:hAnsi="Calibri" w:cs="Arial"/>
      <w:bCs/>
      <w:sz w:val="56"/>
      <w:szCs w:val="56"/>
      <w:lang w:val="en-US"/>
    </w:rPr>
  </w:style>
  <w:style w:type="paragraph" w:styleId="ListParagraph">
    <w:name w:val="List Paragraph"/>
    <w:basedOn w:val="Normal"/>
    <w:uiPriority w:val="98"/>
    <w:semiHidden/>
    <w:qFormat/>
    <w:rsid w:val="0020111E"/>
    <w:pPr>
      <w:widowControl w:val="0"/>
      <w:spacing w:before="0" w:after="200" w:line="276" w:lineRule="auto"/>
      <w:ind w:left="720"/>
    </w:pPr>
    <w:rPr>
      <w:rFonts w:eastAsia="Calibri"/>
      <w:sz w:val="22"/>
      <w:szCs w:val="22"/>
      <w:lang w:val="en-US" w:eastAsia="en-US"/>
    </w:rPr>
  </w:style>
  <w:style w:type="paragraph" w:styleId="TOC4">
    <w:name w:val="toc 4"/>
    <w:basedOn w:val="Normal"/>
    <w:next w:val="Normal"/>
    <w:autoRedefine/>
    <w:uiPriority w:val="98"/>
    <w:semiHidden/>
    <w:rsid w:val="0020111E"/>
    <w:pPr>
      <w:ind w:left="600"/>
    </w:pPr>
  </w:style>
  <w:style w:type="paragraph" w:styleId="TOC5">
    <w:name w:val="toc 5"/>
    <w:basedOn w:val="Normal"/>
    <w:next w:val="Normal"/>
    <w:autoRedefine/>
    <w:uiPriority w:val="98"/>
    <w:semiHidden/>
    <w:rsid w:val="0020111E"/>
    <w:pPr>
      <w:ind w:left="800"/>
    </w:pPr>
  </w:style>
  <w:style w:type="paragraph" w:styleId="TOC6">
    <w:name w:val="toc 6"/>
    <w:basedOn w:val="Normal"/>
    <w:next w:val="Normal"/>
    <w:autoRedefine/>
    <w:uiPriority w:val="98"/>
    <w:semiHidden/>
    <w:rsid w:val="0020111E"/>
    <w:pPr>
      <w:ind w:left="1000"/>
    </w:pPr>
  </w:style>
  <w:style w:type="paragraph" w:styleId="TOC7">
    <w:name w:val="toc 7"/>
    <w:basedOn w:val="Normal"/>
    <w:next w:val="Normal"/>
    <w:autoRedefine/>
    <w:uiPriority w:val="98"/>
    <w:semiHidden/>
    <w:rsid w:val="0020111E"/>
    <w:pPr>
      <w:ind w:left="1200"/>
    </w:pPr>
  </w:style>
  <w:style w:type="paragraph" w:styleId="TOC8">
    <w:name w:val="toc 8"/>
    <w:basedOn w:val="Normal"/>
    <w:next w:val="Normal"/>
    <w:autoRedefine/>
    <w:uiPriority w:val="98"/>
    <w:semiHidden/>
    <w:rsid w:val="0020111E"/>
    <w:pPr>
      <w:ind w:left="1400"/>
    </w:pPr>
  </w:style>
  <w:style w:type="paragraph" w:styleId="TOC9">
    <w:name w:val="toc 9"/>
    <w:basedOn w:val="Normal"/>
    <w:next w:val="Normal"/>
    <w:autoRedefine/>
    <w:uiPriority w:val="98"/>
    <w:semiHidden/>
    <w:rsid w:val="0020111E"/>
    <w:pPr>
      <w:ind w:left="1600"/>
    </w:pPr>
  </w:style>
  <w:style w:type="character" w:customStyle="1" w:styleId="TitleChar">
    <w:name w:val="Title Char"/>
    <w:link w:val="Title"/>
    <w:uiPriority w:val="98"/>
    <w:semiHidden/>
    <w:rsid w:val="00941486"/>
    <w:rPr>
      <w:rFonts w:ascii="Calibri" w:hAnsi="Calibri" w:cs="Arial"/>
      <w:b/>
      <w:bCs/>
      <w:sz w:val="44"/>
      <w:szCs w:val="40"/>
    </w:rPr>
  </w:style>
  <w:style w:type="character" w:customStyle="1" w:styleId="FooterChar">
    <w:name w:val="Footer Char"/>
    <w:link w:val="Footer"/>
    <w:uiPriority w:val="8"/>
    <w:rsid w:val="00941486"/>
    <w:rPr>
      <w:rFonts w:ascii="Calibri" w:hAnsi="Calibri"/>
      <w:sz w:val="18"/>
      <w:szCs w:val="18"/>
    </w:rPr>
  </w:style>
  <w:style w:type="character" w:customStyle="1" w:styleId="HeaderChar">
    <w:name w:val="Header Char"/>
    <w:link w:val="Header"/>
    <w:uiPriority w:val="8"/>
    <w:rsid w:val="007E252E"/>
    <w:rPr>
      <w:rFonts w:ascii="Calibri" w:hAnsi="Calibri"/>
      <w:noProof/>
    </w:rPr>
  </w:style>
  <w:style w:type="character" w:customStyle="1" w:styleId="Bold">
    <w:name w:val="Bold"/>
    <w:uiPriority w:val="8"/>
    <w:qFormat/>
    <w:rsid w:val="00941486"/>
    <w:rPr>
      <w:b/>
      <w:lang w:val="en-AU"/>
    </w:rPr>
  </w:style>
  <w:style w:type="paragraph" w:styleId="DocumentMap">
    <w:name w:val="Document Map"/>
    <w:basedOn w:val="Normal"/>
    <w:link w:val="DocumentMapChar"/>
    <w:uiPriority w:val="98"/>
    <w:semiHidden/>
    <w:rsid w:val="0024332B"/>
    <w:rPr>
      <w:rFonts w:ascii="Lucida Grande" w:hAnsi="Lucida Grande" w:cs="Lucida Grande"/>
      <w:sz w:val="24"/>
    </w:rPr>
  </w:style>
  <w:style w:type="character" w:customStyle="1" w:styleId="DocumentMapChar">
    <w:name w:val="Document Map Char"/>
    <w:link w:val="DocumentMap"/>
    <w:uiPriority w:val="98"/>
    <w:semiHidden/>
    <w:rsid w:val="00941486"/>
    <w:rPr>
      <w:rFonts w:ascii="Lucida Grande" w:hAnsi="Lucida Grande" w:cs="Lucida Grande"/>
      <w:sz w:val="24"/>
      <w:szCs w:val="24"/>
    </w:rPr>
  </w:style>
  <w:style w:type="paragraph" w:customStyle="1" w:styleId="TableTextAR">
    <w:name w:val="Table Text AR"/>
    <w:basedOn w:val="BodyAR"/>
    <w:uiPriority w:val="11"/>
    <w:qFormat/>
    <w:rsid w:val="0046590F"/>
    <w:pPr>
      <w:spacing w:before="80" w:after="80"/>
    </w:pPr>
  </w:style>
  <w:style w:type="table" w:styleId="TableGrid">
    <w:name w:val="Table Grid"/>
    <w:basedOn w:val="TableNormal"/>
    <w:rsid w:val="00761958"/>
    <w:rPr>
      <w:rFonts w:ascii="Calibri" w:hAnsi="Calibri"/>
      <w:sz w:val="22"/>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595959"/>
      </w:tcPr>
    </w:tblStylePr>
  </w:style>
  <w:style w:type="character" w:styleId="CommentReference">
    <w:name w:val="annotation reference"/>
    <w:semiHidden/>
    <w:rsid w:val="00941486"/>
    <w:rPr>
      <w:sz w:val="18"/>
      <w:szCs w:val="18"/>
    </w:rPr>
  </w:style>
  <w:style w:type="paragraph" w:styleId="CommentText">
    <w:name w:val="annotation text"/>
    <w:basedOn w:val="Normal"/>
    <w:link w:val="CommentTextChar"/>
    <w:semiHidden/>
    <w:rsid w:val="00941486"/>
    <w:rPr>
      <w:sz w:val="24"/>
    </w:rPr>
  </w:style>
  <w:style w:type="character" w:customStyle="1" w:styleId="CommentTextChar">
    <w:name w:val="Comment Text Char"/>
    <w:link w:val="CommentText"/>
    <w:semiHidden/>
    <w:rsid w:val="00941486"/>
    <w:rPr>
      <w:rFonts w:ascii="Calibri" w:hAnsi="Calibri"/>
      <w:sz w:val="24"/>
      <w:szCs w:val="24"/>
    </w:rPr>
  </w:style>
  <w:style w:type="paragraph" w:styleId="Revision">
    <w:name w:val="Revision"/>
    <w:hidden/>
    <w:uiPriority w:val="99"/>
    <w:semiHidden/>
    <w:rsid w:val="00314B62"/>
    <w:rPr>
      <w:rFonts w:ascii="Calibri" w:hAnsi="Calibri"/>
      <w:szCs w:val="24"/>
    </w:rPr>
  </w:style>
  <w:style w:type="paragraph" w:styleId="BalloonText">
    <w:name w:val="Balloon Text"/>
    <w:basedOn w:val="Normal"/>
    <w:link w:val="BalloonTextChar"/>
    <w:uiPriority w:val="98"/>
    <w:semiHidden/>
    <w:rsid w:val="00941486"/>
    <w:pPr>
      <w:spacing w:before="0" w:after="0"/>
    </w:pPr>
    <w:rPr>
      <w:rFonts w:ascii="Lucida Grande" w:hAnsi="Lucida Grande" w:cs="Lucida Grande"/>
      <w:sz w:val="18"/>
      <w:szCs w:val="18"/>
    </w:rPr>
  </w:style>
  <w:style w:type="character" w:customStyle="1" w:styleId="BalloonTextChar">
    <w:name w:val="Balloon Text Char"/>
    <w:link w:val="BalloonText"/>
    <w:uiPriority w:val="98"/>
    <w:semiHidden/>
    <w:rsid w:val="00941486"/>
    <w:rPr>
      <w:rFonts w:ascii="Lucida Grande" w:hAnsi="Lucida Grande" w:cs="Lucida Grande"/>
      <w:sz w:val="18"/>
      <w:szCs w:val="18"/>
    </w:rPr>
  </w:style>
  <w:style w:type="paragraph" w:styleId="Caption">
    <w:name w:val="caption"/>
    <w:basedOn w:val="BodyText"/>
    <w:next w:val="BodyText"/>
    <w:uiPriority w:val="98"/>
    <w:semiHidden/>
    <w:qFormat/>
    <w:rsid w:val="00AA4CD8"/>
    <w:pPr>
      <w:keepNext/>
      <w:keepLines/>
    </w:pPr>
    <w:rPr>
      <w:b/>
      <w:bCs/>
    </w:rPr>
  </w:style>
  <w:style w:type="paragraph" w:styleId="FootnoteText">
    <w:name w:val="footnote text"/>
    <w:basedOn w:val="BodyText"/>
    <w:link w:val="FootnoteTextChar"/>
    <w:uiPriority w:val="8"/>
    <w:rsid w:val="00F8277B"/>
    <w:pPr>
      <w:spacing w:before="60" w:after="60"/>
      <w:ind w:left="227" w:hanging="227"/>
    </w:pPr>
    <w:rPr>
      <w:sz w:val="20"/>
      <w:lang w:val="x-none"/>
    </w:rPr>
  </w:style>
  <w:style w:type="character" w:customStyle="1" w:styleId="FootnoteTextChar">
    <w:name w:val="Footnote Text Char"/>
    <w:link w:val="FootnoteText"/>
    <w:uiPriority w:val="8"/>
    <w:rsid w:val="00941486"/>
    <w:rPr>
      <w:rFonts w:ascii="Calibri" w:hAnsi="Calibri"/>
      <w:lang w:val="x-none"/>
    </w:rPr>
  </w:style>
  <w:style w:type="character" w:customStyle="1" w:styleId="Heading6Char">
    <w:name w:val="Heading 6 Char"/>
    <w:link w:val="Heading6"/>
    <w:uiPriority w:val="1"/>
    <w:rsid w:val="00941486"/>
    <w:rPr>
      <w:rFonts w:ascii="Calibri" w:eastAsia="MS Mincho" w:hAnsi="Calibri"/>
      <w:b/>
      <w:bCs/>
      <w:sz w:val="22"/>
      <w:szCs w:val="22"/>
    </w:rPr>
  </w:style>
  <w:style w:type="paragraph" w:styleId="List">
    <w:name w:val="List"/>
    <w:basedOn w:val="Normal"/>
    <w:uiPriority w:val="98"/>
    <w:semiHidden/>
    <w:rsid w:val="003572AA"/>
    <w:pPr>
      <w:ind w:left="283" w:hanging="283"/>
      <w:contextualSpacing/>
    </w:pPr>
  </w:style>
  <w:style w:type="paragraph" w:styleId="CommentSubject">
    <w:name w:val="annotation subject"/>
    <w:basedOn w:val="CommentText"/>
    <w:next w:val="CommentText"/>
    <w:link w:val="CommentSubjectChar"/>
    <w:semiHidden/>
    <w:rsid w:val="00941486"/>
    <w:rPr>
      <w:b/>
      <w:bCs/>
      <w:sz w:val="20"/>
      <w:szCs w:val="20"/>
    </w:rPr>
  </w:style>
  <w:style w:type="character" w:customStyle="1" w:styleId="CommentSubjectChar">
    <w:name w:val="Comment Subject Char"/>
    <w:link w:val="CommentSubject"/>
    <w:semiHidden/>
    <w:rsid w:val="00941486"/>
    <w:rPr>
      <w:rFonts w:ascii="Calibri" w:hAnsi="Calibri"/>
      <w:b/>
      <w:bCs/>
      <w:sz w:val="24"/>
      <w:szCs w:val="24"/>
    </w:rPr>
  </w:style>
  <w:style w:type="character" w:styleId="Strong">
    <w:name w:val="Strong"/>
    <w:uiPriority w:val="3"/>
    <w:qFormat/>
    <w:rsid w:val="00E83F8D"/>
    <w:rPr>
      <w:b/>
      <w:bCs/>
    </w:rPr>
  </w:style>
  <w:style w:type="paragraph" w:customStyle="1" w:styleId="NoStyle">
    <w:name w:val="No Style"/>
    <w:link w:val="NoStyleCharChar"/>
    <w:rsid w:val="00941486"/>
    <w:rPr>
      <w:rFonts w:ascii="Arial" w:eastAsia="Times" w:hAnsi="Arial" w:cs="Arial"/>
      <w:szCs w:val="30"/>
    </w:rPr>
  </w:style>
  <w:style w:type="character" w:styleId="Emphasis">
    <w:name w:val="Emphasis"/>
    <w:uiPriority w:val="3"/>
    <w:qFormat/>
    <w:rsid w:val="003D0B8D"/>
    <w:rPr>
      <w:i/>
      <w:iCs/>
    </w:rPr>
  </w:style>
  <w:style w:type="character" w:customStyle="1" w:styleId="NoStyleCharChar">
    <w:name w:val="No Style Char Char"/>
    <w:link w:val="NoStyle"/>
    <w:rsid w:val="00941486"/>
    <w:rPr>
      <w:rFonts w:ascii="Arial" w:eastAsia="Times" w:hAnsi="Arial" w:cs="Arial"/>
      <w:szCs w:val="30"/>
    </w:rPr>
  </w:style>
  <w:style w:type="character" w:customStyle="1" w:styleId="Heading7Char">
    <w:name w:val="Heading 7 Char"/>
    <w:link w:val="Heading7"/>
    <w:uiPriority w:val="1"/>
    <w:rsid w:val="00941486"/>
    <w:rPr>
      <w:rFonts w:ascii="Calibri" w:hAnsi="Calibri" w:cs="Arial"/>
      <w:i/>
      <w:sz w:val="22"/>
      <w:szCs w:val="22"/>
    </w:rPr>
  </w:style>
  <w:style w:type="character" w:customStyle="1" w:styleId="Heading8Char">
    <w:name w:val="Heading 8 Char"/>
    <w:link w:val="Heading8"/>
    <w:uiPriority w:val="1"/>
    <w:rsid w:val="00941486"/>
    <w:rPr>
      <w:rFonts w:ascii="Arial" w:hAnsi="Arial" w:cs="Arial"/>
      <w:i/>
      <w:iCs/>
      <w:sz w:val="24"/>
      <w:szCs w:val="24"/>
    </w:rPr>
  </w:style>
  <w:style w:type="character" w:customStyle="1" w:styleId="Heading9Char">
    <w:name w:val="Heading 9 Char"/>
    <w:link w:val="Heading9"/>
    <w:uiPriority w:val="98"/>
    <w:semiHidden/>
    <w:rsid w:val="00941486"/>
    <w:rPr>
      <w:rFonts w:ascii="Arial" w:hAnsi="Arial" w:cs="Arial"/>
      <w:sz w:val="22"/>
      <w:szCs w:val="22"/>
    </w:rPr>
  </w:style>
  <w:style w:type="paragraph" w:styleId="Signature">
    <w:name w:val="Signature"/>
    <w:basedOn w:val="Normal"/>
    <w:link w:val="SignatureChar"/>
    <w:uiPriority w:val="98"/>
    <w:semiHidden/>
    <w:rsid w:val="00941486"/>
    <w:pPr>
      <w:ind w:left="4252"/>
    </w:pPr>
    <w:rPr>
      <w:rFonts w:ascii="Arial" w:eastAsia="Calibri" w:hAnsi="Arial" w:cs="Arial"/>
      <w:color w:val="FF0000"/>
      <w:sz w:val="22"/>
      <w:szCs w:val="22"/>
      <w:u w:val="single"/>
    </w:rPr>
  </w:style>
  <w:style w:type="character" w:customStyle="1" w:styleId="SignatureChar">
    <w:name w:val="Signature Char"/>
    <w:link w:val="Signature"/>
    <w:uiPriority w:val="98"/>
    <w:semiHidden/>
    <w:rsid w:val="00941486"/>
    <w:rPr>
      <w:rFonts w:ascii="Arial" w:eastAsia="Calibri" w:hAnsi="Arial" w:cs="Arial"/>
      <w:color w:val="FF0000"/>
      <w:sz w:val="22"/>
      <w:szCs w:val="22"/>
      <w:u w:val="single"/>
    </w:rPr>
  </w:style>
  <w:style w:type="table" w:styleId="Table3Deffects1">
    <w:name w:val="Table 3D effects 1"/>
    <w:basedOn w:val="TableNormal"/>
    <w:rsid w:val="00941486"/>
    <w:rPr>
      <w:rFonts w:ascii="Arial"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41486"/>
    <w:rPr>
      <w:rFonts w:ascii="Arial"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41486"/>
    <w:rPr>
      <w:rFonts w:ascii="Arial"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1486"/>
    <w:rPr>
      <w:rFonts w:ascii="Arial"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1486"/>
    <w:rPr>
      <w:rFonts w:ascii="Arial"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1486"/>
    <w:rPr>
      <w:rFonts w:ascii="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1486"/>
    <w:rPr>
      <w:rFonts w:ascii="Arial"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1486"/>
    <w:rPr>
      <w:rFonts w:ascii="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1486"/>
    <w:rPr>
      <w:rFonts w:ascii="Arial"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1486"/>
    <w:rPr>
      <w:rFonts w:ascii="Arial"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1486"/>
    <w:rPr>
      <w:rFonts w:ascii="Arial"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1486"/>
    <w:rPr>
      <w:rFonts w:ascii="Arial"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1486"/>
    <w:rPr>
      <w:rFonts w:ascii="Arial"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1486"/>
    <w:rPr>
      <w:rFonts w:ascii="Arial"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1486"/>
    <w:rPr>
      <w:rFonts w:ascii="Arial"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1486"/>
    <w:rPr>
      <w:rFonts w:ascii="Arial"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1486"/>
    <w:rPr>
      <w:rFonts w:ascii="Arial"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94148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8"/>
    <w:semiHidden/>
    <w:rsid w:val="00A34045"/>
    <w:pPr>
      <w:spacing w:before="0" w:after="150"/>
    </w:pPr>
    <w:rPr>
      <w:rFonts w:ascii="Times New Roman" w:hAnsi="Times New Roman"/>
      <w:sz w:val="24"/>
    </w:rPr>
  </w:style>
  <w:style w:type="table" w:styleId="TableGrid2">
    <w:name w:val="Table Grid 2"/>
    <w:basedOn w:val="TableNormal"/>
    <w:rsid w:val="00941486"/>
    <w:rPr>
      <w:rFonts w:ascii="Arial"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1486"/>
    <w:rPr>
      <w:rFonts w:ascii="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1486"/>
    <w:rPr>
      <w:rFonts w:ascii="Arial"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1486"/>
    <w:rPr>
      <w:rFonts w:ascii="Arial"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1486"/>
    <w:rPr>
      <w:rFonts w:ascii="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1486"/>
    <w:rPr>
      <w:rFonts w:ascii="Arial"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1486"/>
    <w:rPr>
      <w:rFonts w:ascii="Arial"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41486"/>
    <w:rPr>
      <w:rFonts w:ascii="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1486"/>
    <w:rPr>
      <w:rFonts w:ascii="Arial"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1486"/>
    <w:rPr>
      <w:rFonts w:ascii="Arial"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uiPriority w:val="98"/>
    <w:rsid w:val="00A34045"/>
    <w:rPr>
      <w:vertAlign w:val="superscript"/>
    </w:rPr>
  </w:style>
  <w:style w:type="table" w:styleId="TableList4">
    <w:name w:val="Table List 4"/>
    <w:basedOn w:val="TableNormal"/>
    <w:rsid w:val="00941486"/>
    <w:rPr>
      <w:rFonts w:ascii="Arial"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1486"/>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1486"/>
    <w:rPr>
      <w:rFonts w:ascii="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1486"/>
    <w:rPr>
      <w:rFonts w:ascii="Arial" w:hAnsi="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1486"/>
    <w:rPr>
      <w:rFonts w:ascii="Arial" w:hAnsi="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ubtle1">
    <w:name w:val="Table Subtle 1"/>
    <w:basedOn w:val="TableNormal"/>
    <w:rsid w:val="00941486"/>
    <w:rPr>
      <w:rFonts w:ascii="Arial" w:hAnsi="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1486"/>
    <w:rPr>
      <w:rFonts w:ascii="Arial" w:hAnsi="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Head">
    <w:name w:val="Table Column Head"/>
    <w:basedOn w:val="TableTextAR"/>
    <w:uiPriority w:val="11"/>
    <w:qFormat/>
    <w:rsid w:val="00A170A2"/>
    <w:rPr>
      <w:b/>
      <w:color w:val="FFFFFF"/>
    </w:rPr>
  </w:style>
  <w:style w:type="paragraph" w:customStyle="1" w:styleId="BodyImage">
    <w:name w:val="Body Image"/>
    <w:basedOn w:val="BodyAR"/>
    <w:qFormat/>
    <w:rsid w:val="00941486"/>
    <w:pPr>
      <w:keepNext/>
      <w:keepLines/>
      <w:spacing w:after="80"/>
    </w:pPr>
  </w:style>
  <w:style w:type="paragraph" w:customStyle="1" w:styleId="TableTextARSmall">
    <w:name w:val="Table Text AR Small"/>
    <w:basedOn w:val="TableTextAR"/>
    <w:uiPriority w:val="11"/>
    <w:qFormat/>
    <w:rsid w:val="00941486"/>
    <w:pPr>
      <w:spacing w:before="60" w:after="60"/>
    </w:pPr>
    <w:rPr>
      <w:sz w:val="18"/>
    </w:rPr>
  </w:style>
  <w:style w:type="paragraph" w:customStyle="1" w:styleId="FooterLandscape">
    <w:name w:val="Footer Landscape"/>
    <w:basedOn w:val="Footer"/>
    <w:uiPriority w:val="11"/>
    <w:qFormat/>
    <w:rsid w:val="001531F8"/>
    <w:pPr>
      <w:tabs>
        <w:tab w:val="clear" w:pos="9639"/>
        <w:tab w:val="right" w:pos="15706"/>
      </w:tabs>
    </w:pPr>
  </w:style>
  <w:style w:type="paragraph" w:styleId="BlockText">
    <w:name w:val="Block Text"/>
    <w:basedOn w:val="Normal"/>
    <w:uiPriority w:val="98"/>
    <w:semiHidden/>
    <w:rsid w:val="00941486"/>
    <w:pPr>
      <w:spacing w:after="120"/>
      <w:ind w:left="1440" w:right="1440"/>
    </w:pPr>
    <w:rPr>
      <w:rFonts w:ascii="Arial" w:eastAsia="Calibri" w:hAnsi="Arial" w:cs="Arial"/>
      <w:color w:val="FF0000"/>
      <w:sz w:val="22"/>
      <w:szCs w:val="22"/>
      <w:u w:val="single"/>
    </w:rPr>
  </w:style>
  <w:style w:type="paragraph" w:styleId="Closing">
    <w:name w:val="Closing"/>
    <w:basedOn w:val="Normal"/>
    <w:link w:val="ClosingChar"/>
    <w:uiPriority w:val="98"/>
    <w:semiHidden/>
    <w:rsid w:val="00094E95"/>
    <w:pPr>
      <w:ind w:left="4252"/>
    </w:pPr>
    <w:rPr>
      <w:rFonts w:ascii="Arial" w:eastAsia="Calibri" w:hAnsi="Arial" w:cs="Arial"/>
      <w:color w:val="FF0000"/>
      <w:sz w:val="22"/>
      <w:szCs w:val="22"/>
      <w:u w:val="single"/>
    </w:rPr>
  </w:style>
  <w:style w:type="character" w:customStyle="1" w:styleId="ClosingChar">
    <w:name w:val="Closing Char"/>
    <w:link w:val="Closing"/>
    <w:uiPriority w:val="98"/>
    <w:semiHidden/>
    <w:rsid w:val="00941486"/>
    <w:rPr>
      <w:rFonts w:ascii="Arial" w:eastAsia="Calibri" w:hAnsi="Arial" w:cs="Arial"/>
      <w:color w:val="FF0000"/>
      <w:sz w:val="22"/>
      <w:szCs w:val="22"/>
      <w:u w:val="single"/>
    </w:rPr>
  </w:style>
  <w:style w:type="numbering" w:styleId="111111">
    <w:name w:val="Outline List 2"/>
    <w:basedOn w:val="NoList"/>
    <w:rsid w:val="00941486"/>
    <w:pPr>
      <w:numPr>
        <w:numId w:val="27"/>
      </w:numPr>
    </w:pPr>
  </w:style>
  <w:style w:type="numbering" w:styleId="1ai">
    <w:name w:val="Outline List 1"/>
    <w:basedOn w:val="NoList"/>
    <w:rsid w:val="00941486"/>
    <w:pPr>
      <w:numPr>
        <w:numId w:val="28"/>
      </w:numPr>
    </w:pPr>
  </w:style>
  <w:style w:type="paragraph" w:styleId="E-mailSignature">
    <w:name w:val="E-mail Signature"/>
    <w:basedOn w:val="Normal"/>
    <w:link w:val="E-mailSignatureChar"/>
    <w:uiPriority w:val="98"/>
    <w:semiHidden/>
    <w:rsid w:val="00094E95"/>
    <w:rPr>
      <w:rFonts w:ascii="Arial" w:eastAsia="Calibri" w:hAnsi="Arial" w:cs="Arial"/>
      <w:color w:val="FF0000"/>
      <w:sz w:val="22"/>
      <w:szCs w:val="22"/>
      <w:u w:val="single"/>
    </w:rPr>
  </w:style>
  <w:style w:type="character" w:customStyle="1" w:styleId="E-mailSignatureChar">
    <w:name w:val="E-mail Signature Char"/>
    <w:link w:val="E-mailSignature"/>
    <w:uiPriority w:val="98"/>
    <w:semiHidden/>
    <w:rsid w:val="00941486"/>
    <w:rPr>
      <w:rFonts w:ascii="Arial" w:eastAsia="Calibri" w:hAnsi="Arial" w:cs="Arial"/>
      <w:color w:val="FF0000"/>
      <w:sz w:val="22"/>
      <w:szCs w:val="22"/>
      <w:u w:val="single"/>
    </w:rPr>
  </w:style>
  <w:style w:type="character" w:styleId="EndnoteReference">
    <w:name w:val="endnote reference"/>
    <w:uiPriority w:val="98"/>
    <w:semiHidden/>
    <w:rsid w:val="00094E95"/>
    <w:rPr>
      <w:rFonts w:ascii="Arial" w:hAnsi="Arial" w:cs="Arial"/>
      <w:color w:val="FF0000"/>
      <w:sz w:val="32"/>
      <w:u w:val="single"/>
      <w:vertAlign w:val="superscript"/>
    </w:rPr>
  </w:style>
  <w:style w:type="paragraph" w:styleId="EndnoteText">
    <w:name w:val="endnote text"/>
    <w:basedOn w:val="Normal"/>
    <w:link w:val="EndnoteTextChar"/>
    <w:uiPriority w:val="98"/>
    <w:semiHidden/>
    <w:rsid w:val="00094E95"/>
    <w:rPr>
      <w:rFonts w:ascii="Arial" w:eastAsia="Calibri" w:hAnsi="Arial" w:cs="Arial"/>
      <w:color w:val="FF0000"/>
      <w:sz w:val="22"/>
      <w:szCs w:val="22"/>
      <w:u w:val="single"/>
    </w:rPr>
  </w:style>
  <w:style w:type="character" w:customStyle="1" w:styleId="EndnoteTextChar">
    <w:name w:val="Endnote Text Char"/>
    <w:link w:val="EndnoteText"/>
    <w:uiPriority w:val="98"/>
    <w:semiHidden/>
    <w:rsid w:val="00941486"/>
    <w:rPr>
      <w:rFonts w:ascii="Arial" w:eastAsia="Calibri" w:hAnsi="Arial" w:cs="Arial"/>
      <w:color w:val="FF0000"/>
      <w:sz w:val="22"/>
      <w:szCs w:val="22"/>
      <w:u w:val="single"/>
    </w:rPr>
  </w:style>
  <w:style w:type="paragraph" w:styleId="EnvelopeAddress">
    <w:name w:val="envelope address"/>
    <w:basedOn w:val="Normal"/>
    <w:uiPriority w:val="98"/>
    <w:semiHidden/>
    <w:rsid w:val="00094E95"/>
    <w:pPr>
      <w:framePr w:w="7920" w:h="1980" w:hRule="exact" w:hSpace="180" w:wrap="auto" w:hAnchor="page" w:xAlign="center" w:yAlign="bottom"/>
      <w:ind w:left="2880"/>
    </w:pPr>
    <w:rPr>
      <w:rFonts w:ascii="Arial" w:eastAsia="Calibri" w:hAnsi="Arial" w:cs="Arial"/>
      <w:color w:val="FF0000"/>
      <w:sz w:val="22"/>
      <w:u w:val="single"/>
    </w:rPr>
  </w:style>
  <w:style w:type="character" w:styleId="HTMLAcronym">
    <w:name w:val="HTML Acronym"/>
    <w:uiPriority w:val="98"/>
    <w:semiHidden/>
    <w:rsid w:val="00094E95"/>
    <w:rPr>
      <w:rFonts w:ascii="Arial" w:hAnsi="Arial" w:cs="Arial"/>
      <w:b/>
      <w:color w:val="FF0000"/>
      <w:sz w:val="32"/>
      <w:u w:val="single"/>
    </w:rPr>
  </w:style>
  <w:style w:type="paragraph" w:styleId="HTMLAddress">
    <w:name w:val="HTML Address"/>
    <w:basedOn w:val="Normal"/>
    <w:link w:val="HTMLAddressChar"/>
    <w:uiPriority w:val="98"/>
    <w:semiHidden/>
    <w:rsid w:val="00094E95"/>
    <w:rPr>
      <w:rFonts w:ascii="Arial" w:eastAsia="Calibri" w:hAnsi="Arial" w:cs="Arial"/>
      <w:i/>
      <w:iCs/>
      <w:color w:val="FF0000"/>
      <w:sz w:val="22"/>
      <w:szCs w:val="22"/>
      <w:u w:val="single"/>
    </w:rPr>
  </w:style>
  <w:style w:type="character" w:customStyle="1" w:styleId="HTMLAddressChar">
    <w:name w:val="HTML Address Char"/>
    <w:link w:val="HTMLAddress"/>
    <w:uiPriority w:val="98"/>
    <w:semiHidden/>
    <w:rsid w:val="00941486"/>
    <w:rPr>
      <w:rFonts w:ascii="Arial" w:eastAsia="Calibri" w:hAnsi="Arial" w:cs="Arial"/>
      <w:i/>
      <w:iCs/>
      <w:color w:val="FF0000"/>
      <w:sz w:val="22"/>
      <w:szCs w:val="22"/>
      <w:u w:val="single"/>
    </w:rPr>
  </w:style>
  <w:style w:type="character" w:styleId="HTMLCite">
    <w:name w:val="HTML Cite"/>
    <w:uiPriority w:val="98"/>
    <w:semiHidden/>
    <w:rsid w:val="00094E95"/>
    <w:rPr>
      <w:rFonts w:ascii="Arial" w:hAnsi="Arial" w:cs="Arial"/>
      <w:i/>
      <w:iCs/>
      <w:color w:val="FF0000"/>
      <w:sz w:val="32"/>
      <w:u w:val="single"/>
    </w:rPr>
  </w:style>
  <w:style w:type="character" w:styleId="HTMLCode">
    <w:name w:val="HTML Code"/>
    <w:uiPriority w:val="98"/>
    <w:semiHidden/>
    <w:rsid w:val="00094E95"/>
    <w:rPr>
      <w:rFonts w:ascii="Arial" w:hAnsi="Arial" w:cs="Arial"/>
      <w:color w:val="FF0000"/>
      <w:sz w:val="32"/>
      <w:szCs w:val="20"/>
      <w:u w:val="single"/>
    </w:rPr>
  </w:style>
  <w:style w:type="character" w:styleId="HTMLDefinition">
    <w:name w:val="HTML Definition"/>
    <w:uiPriority w:val="98"/>
    <w:semiHidden/>
    <w:rsid w:val="00094E95"/>
    <w:rPr>
      <w:rFonts w:ascii="Arial" w:hAnsi="Arial" w:cs="Arial"/>
      <w:i/>
      <w:iCs/>
      <w:color w:val="FF0000"/>
      <w:sz w:val="32"/>
      <w:u w:val="single"/>
    </w:rPr>
  </w:style>
  <w:style w:type="character" w:styleId="HTMLKeyboard">
    <w:name w:val="HTML Keyboard"/>
    <w:uiPriority w:val="98"/>
    <w:semiHidden/>
    <w:rsid w:val="00094E95"/>
    <w:rPr>
      <w:rFonts w:ascii="Arial" w:hAnsi="Arial" w:cs="Arial"/>
      <w:color w:val="FF0000"/>
      <w:sz w:val="32"/>
      <w:szCs w:val="20"/>
      <w:u w:val="single"/>
    </w:rPr>
  </w:style>
  <w:style w:type="paragraph" w:styleId="HTMLPreformatted">
    <w:name w:val="HTML Preformatted"/>
    <w:basedOn w:val="Normal"/>
    <w:link w:val="HTMLPreformattedChar"/>
    <w:uiPriority w:val="98"/>
    <w:semiHidden/>
    <w:rsid w:val="00094E95"/>
    <w:rPr>
      <w:rFonts w:ascii="Arial" w:eastAsia="Calibri" w:hAnsi="Arial" w:cs="Arial"/>
      <w:color w:val="FF0000"/>
      <w:sz w:val="22"/>
      <w:szCs w:val="22"/>
      <w:u w:val="single"/>
    </w:rPr>
  </w:style>
  <w:style w:type="character" w:customStyle="1" w:styleId="HTMLPreformattedChar">
    <w:name w:val="HTML Preformatted Char"/>
    <w:link w:val="HTMLPreformatted"/>
    <w:uiPriority w:val="98"/>
    <w:semiHidden/>
    <w:rsid w:val="00941486"/>
    <w:rPr>
      <w:rFonts w:ascii="Arial" w:eastAsia="Calibri" w:hAnsi="Arial" w:cs="Arial"/>
      <w:color w:val="FF0000"/>
      <w:sz w:val="22"/>
      <w:szCs w:val="22"/>
      <w:u w:val="single"/>
    </w:rPr>
  </w:style>
  <w:style w:type="character" w:styleId="HTMLSample">
    <w:name w:val="HTML Sample"/>
    <w:uiPriority w:val="98"/>
    <w:semiHidden/>
    <w:rsid w:val="00094E95"/>
    <w:rPr>
      <w:rFonts w:ascii="Arial" w:hAnsi="Arial" w:cs="Arial"/>
      <w:color w:val="FF0000"/>
      <w:sz w:val="32"/>
      <w:u w:val="single"/>
    </w:rPr>
  </w:style>
  <w:style w:type="character" w:styleId="HTMLTypewriter">
    <w:name w:val="HTML Typewriter"/>
    <w:uiPriority w:val="98"/>
    <w:semiHidden/>
    <w:rsid w:val="00094E95"/>
    <w:rPr>
      <w:rFonts w:ascii="Arial" w:hAnsi="Arial" w:cs="Arial"/>
      <w:color w:val="FF0000"/>
      <w:sz w:val="32"/>
      <w:szCs w:val="20"/>
      <w:u w:val="single"/>
    </w:rPr>
  </w:style>
  <w:style w:type="character" w:styleId="HTMLVariable">
    <w:name w:val="HTML Variable"/>
    <w:uiPriority w:val="98"/>
    <w:semiHidden/>
    <w:rsid w:val="00094E95"/>
    <w:rPr>
      <w:rFonts w:ascii="Arial" w:hAnsi="Arial" w:cs="Arial"/>
      <w:i/>
      <w:iCs/>
      <w:color w:val="FF0000"/>
      <w:sz w:val="32"/>
      <w:u w:val="single"/>
    </w:rPr>
  </w:style>
  <w:style w:type="paragraph" w:styleId="EnvelopeReturn">
    <w:name w:val="envelope return"/>
    <w:basedOn w:val="Normal"/>
    <w:uiPriority w:val="98"/>
    <w:semiHidden/>
    <w:rsid w:val="00094E95"/>
    <w:rPr>
      <w:rFonts w:ascii="Arial" w:eastAsia="Calibri" w:hAnsi="Arial" w:cs="Arial"/>
      <w:color w:val="FF0000"/>
      <w:sz w:val="22"/>
      <w:szCs w:val="22"/>
      <w:u w:val="single"/>
    </w:rPr>
  </w:style>
  <w:style w:type="paragraph" w:styleId="List2">
    <w:name w:val="List 2"/>
    <w:basedOn w:val="Normal"/>
    <w:uiPriority w:val="98"/>
    <w:semiHidden/>
    <w:rsid w:val="00094E95"/>
    <w:pPr>
      <w:ind w:left="566" w:hanging="283"/>
    </w:pPr>
    <w:rPr>
      <w:rFonts w:ascii="Arial" w:eastAsia="Calibri" w:hAnsi="Arial" w:cs="Arial"/>
      <w:color w:val="FF0000"/>
      <w:sz w:val="22"/>
      <w:szCs w:val="22"/>
      <w:u w:val="single"/>
    </w:rPr>
  </w:style>
  <w:style w:type="paragraph" w:styleId="List3">
    <w:name w:val="List 3"/>
    <w:basedOn w:val="Normal"/>
    <w:uiPriority w:val="98"/>
    <w:semiHidden/>
    <w:rsid w:val="00094E95"/>
    <w:pPr>
      <w:ind w:left="849" w:hanging="283"/>
    </w:pPr>
    <w:rPr>
      <w:rFonts w:ascii="Arial" w:eastAsia="Calibri" w:hAnsi="Arial" w:cs="Arial"/>
      <w:color w:val="FF0000"/>
      <w:sz w:val="22"/>
      <w:szCs w:val="22"/>
      <w:u w:val="single"/>
    </w:rPr>
  </w:style>
  <w:style w:type="paragraph" w:styleId="List4">
    <w:name w:val="List 4"/>
    <w:basedOn w:val="Normal"/>
    <w:uiPriority w:val="98"/>
    <w:semiHidden/>
    <w:rsid w:val="00094E95"/>
    <w:pPr>
      <w:ind w:left="1132" w:hanging="283"/>
    </w:pPr>
    <w:rPr>
      <w:rFonts w:ascii="Arial" w:eastAsia="Calibri" w:hAnsi="Arial" w:cs="Arial"/>
      <w:color w:val="FF0000"/>
      <w:sz w:val="22"/>
      <w:szCs w:val="22"/>
      <w:u w:val="single"/>
    </w:rPr>
  </w:style>
  <w:style w:type="paragraph" w:styleId="List5">
    <w:name w:val="List 5"/>
    <w:basedOn w:val="Normal"/>
    <w:uiPriority w:val="98"/>
    <w:semiHidden/>
    <w:rsid w:val="00094E95"/>
    <w:pPr>
      <w:ind w:left="1415" w:hanging="283"/>
    </w:pPr>
    <w:rPr>
      <w:rFonts w:ascii="Arial" w:eastAsia="Calibri" w:hAnsi="Arial" w:cs="Arial"/>
      <w:color w:val="FF0000"/>
      <w:sz w:val="22"/>
      <w:szCs w:val="22"/>
      <w:u w:val="single"/>
    </w:rPr>
  </w:style>
  <w:style w:type="paragraph" w:styleId="ListBullet3">
    <w:name w:val="List Bullet 3"/>
    <w:basedOn w:val="Normal"/>
    <w:uiPriority w:val="98"/>
    <w:semiHidden/>
    <w:rsid w:val="00094E95"/>
    <w:pPr>
      <w:tabs>
        <w:tab w:val="num" w:pos="926"/>
      </w:tabs>
      <w:ind w:left="926" w:hanging="360"/>
    </w:pPr>
    <w:rPr>
      <w:rFonts w:ascii="Arial" w:eastAsia="Calibri" w:hAnsi="Arial" w:cs="Arial"/>
      <w:color w:val="FF0000"/>
      <w:sz w:val="22"/>
      <w:szCs w:val="22"/>
      <w:u w:val="single"/>
    </w:rPr>
  </w:style>
  <w:style w:type="paragraph" w:styleId="ListBullet4">
    <w:name w:val="List Bullet 4"/>
    <w:basedOn w:val="Normal"/>
    <w:uiPriority w:val="98"/>
    <w:semiHidden/>
    <w:rsid w:val="00094E95"/>
    <w:pPr>
      <w:tabs>
        <w:tab w:val="num" w:pos="1209"/>
      </w:tabs>
      <w:ind w:left="1209" w:hanging="360"/>
    </w:pPr>
    <w:rPr>
      <w:rFonts w:ascii="Arial" w:eastAsia="Calibri" w:hAnsi="Arial" w:cs="Arial"/>
      <w:color w:val="FF0000"/>
      <w:sz w:val="22"/>
      <w:szCs w:val="22"/>
      <w:u w:val="single"/>
    </w:rPr>
  </w:style>
  <w:style w:type="paragraph" w:styleId="ListBullet5">
    <w:name w:val="List Bullet 5"/>
    <w:basedOn w:val="Normal"/>
    <w:uiPriority w:val="98"/>
    <w:semiHidden/>
    <w:rsid w:val="00094E95"/>
    <w:pPr>
      <w:tabs>
        <w:tab w:val="num" w:pos="1492"/>
      </w:tabs>
      <w:ind w:left="1492" w:hanging="360"/>
    </w:pPr>
    <w:rPr>
      <w:rFonts w:ascii="Arial" w:eastAsia="Calibri" w:hAnsi="Arial" w:cs="Arial"/>
      <w:color w:val="FF0000"/>
      <w:sz w:val="22"/>
      <w:szCs w:val="22"/>
      <w:u w:val="single"/>
    </w:rPr>
  </w:style>
  <w:style w:type="paragraph" w:styleId="ListContinue">
    <w:name w:val="List Continue"/>
    <w:basedOn w:val="Normal"/>
    <w:uiPriority w:val="98"/>
    <w:semiHidden/>
    <w:rsid w:val="00094E95"/>
    <w:pPr>
      <w:spacing w:after="120"/>
      <w:ind w:left="283"/>
    </w:pPr>
    <w:rPr>
      <w:rFonts w:ascii="Arial" w:eastAsia="Calibri" w:hAnsi="Arial" w:cs="Arial"/>
      <w:color w:val="FF0000"/>
      <w:sz w:val="22"/>
      <w:szCs w:val="22"/>
      <w:u w:val="single"/>
    </w:rPr>
  </w:style>
  <w:style w:type="paragraph" w:styleId="ListContinue2">
    <w:name w:val="List Continue 2"/>
    <w:basedOn w:val="Normal"/>
    <w:uiPriority w:val="98"/>
    <w:semiHidden/>
    <w:rsid w:val="00094E95"/>
    <w:pPr>
      <w:spacing w:after="120"/>
      <w:ind w:left="566"/>
    </w:pPr>
    <w:rPr>
      <w:rFonts w:ascii="Arial" w:eastAsia="Calibri" w:hAnsi="Arial" w:cs="Arial"/>
      <w:color w:val="FF0000"/>
      <w:sz w:val="22"/>
      <w:szCs w:val="22"/>
      <w:u w:val="single"/>
    </w:rPr>
  </w:style>
  <w:style w:type="paragraph" w:styleId="ListContinue3">
    <w:name w:val="List Continue 3"/>
    <w:basedOn w:val="Normal"/>
    <w:uiPriority w:val="98"/>
    <w:semiHidden/>
    <w:rsid w:val="00094E95"/>
    <w:pPr>
      <w:spacing w:after="120"/>
      <w:ind w:left="849"/>
    </w:pPr>
    <w:rPr>
      <w:rFonts w:ascii="Arial" w:eastAsia="Calibri" w:hAnsi="Arial" w:cs="Arial"/>
      <w:color w:val="FF0000"/>
      <w:sz w:val="22"/>
      <w:szCs w:val="22"/>
      <w:u w:val="single"/>
    </w:rPr>
  </w:style>
  <w:style w:type="paragraph" w:styleId="ListContinue4">
    <w:name w:val="List Continue 4"/>
    <w:basedOn w:val="Normal"/>
    <w:uiPriority w:val="98"/>
    <w:semiHidden/>
    <w:rsid w:val="00094E95"/>
    <w:pPr>
      <w:spacing w:after="120"/>
      <w:ind w:left="1132"/>
    </w:pPr>
    <w:rPr>
      <w:rFonts w:ascii="Arial" w:eastAsia="Calibri" w:hAnsi="Arial" w:cs="Arial"/>
      <w:color w:val="FF0000"/>
      <w:sz w:val="22"/>
      <w:szCs w:val="22"/>
      <w:u w:val="single"/>
    </w:rPr>
  </w:style>
  <w:style w:type="paragraph" w:styleId="ListContinue5">
    <w:name w:val="List Continue 5"/>
    <w:basedOn w:val="Normal"/>
    <w:uiPriority w:val="98"/>
    <w:semiHidden/>
    <w:rsid w:val="00094E95"/>
    <w:pPr>
      <w:spacing w:after="120"/>
      <w:ind w:left="1415"/>
    </w:pPr>
    <w:rPr>
      <w:rFonts w:ascii="Arial" w:eastAsia="Calibri" w:hAnsi="Arial" w:cs="Arial"/>
      <w:color w:val="FF0000"/>
      <w:sz w:val="22"/>
      <w:szCs w:val="22"/>
      <w:u w:val="single"/>
    </w:rPr>
  </w:style>
  <w:style w:type="paragraph" w:styleId="ListNumber4">
    <w:name w:val="List Number 4"/>
    <w:basedOn w:val="Normal"/>
    <w:uiPriority w:val="98"/>
    <w:semiHidden/>
    <w:rsid w:val="00094E95"/>
    <w:pPr>
      <w:tabs>
        <w:tab w:val="num" w:pos="1209"/>
      </w:tabs>
      <w:ind w:left="1209" w:hanging="360"/>
    </w:pPr>
    <w:rPr>
      <w:rFonts w:ascii="Arial" w:eastAsia="Calibri" w:hAnsi="Arial" w:cs="Arial"/>
      <w:color w:val="FF0000"/>
      <w:sz w:val="22"/>
      <w:szCs w:val="22"/>
      <w:u w:val="single"/>
    </w:rPr>
  </w:style>
  <w:style w:type="paragraph" w:styleId="ListNumber5">
    <w:name w:val="List Number 5"/>
    <w:basedOn w:val="Normal"/>
    <w:uiPriority w:val="98"/>
    <w:semiHidden/>
    <w:rsid w:val="00094E95"/>
    <w:pPr>
      <w:tabs>
        <w:tab w:val="num" w:pos="1492"/>
      </w:tabs>
      <w:ind w:left="1492" w:hanging="360"/>
    </w:pPr>
    <w:rPr>
      <w:rFonts w:ascii="Arial" w:eastAsia="Calibri" w:hAnsi="Arial" w:cs="Arial"/>
      <w:color w:val="FF0000"/>
      <w:sz w:val="22"/>
      <w:szCs w:val="22"/>
      <w:u w:val="single"/>
    </w:rPr>
  </w:style>
  <w:style w:type="paragraph" w:styleId="MacroText">
    <w:name w:val="macro"/>
    <w:link w:val="MacroTextChar"/>
    <w:uiPriority w:val="98"/>
    <w:semiHidden/>
    <w:rsid w:val="00094E95"/>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character" w:customStyle="1" w:styleId="MacroTextChar">
    <w:name w:val="Macro Text Char"/>
    <w:link w:val="MacroText"/>
    <w:uiPriority w:val="98"/>
    <w:semiHidden/>
    <w:rsid w:val="00941486"/>
    <w:rPr>
      <w:rFonts w:ascii="Arial" w:hAnsi="Arial" w:cs="Arial"/>
      <w:color w:val="FF0000"/>
      <w:sz w:val="32"/>
      <w:u w:val="single"/>
      <w:lang w:eastAsia="en-US"/>
    </w:rPr>
  </w:style>
  <w:style w:type="paragraph" w:styleId="MessageHeader">
    <w:name w:val="Message Header"/>
    <w:basedOn w:val="Normal"/>
    <w:link w:val="MessageHeaderChar"/>
    <w:uiPriority w:val="98"/>
    <w:semiHidden/>
    <w:rsid w:val="00094E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color w:val="FF0000"/>
      <w:sz w:val="22"/>
      <w:u w:val="single"/>
    </w:rPr>
  </w:style>
  <w:style w:type="character" w:customStyle="1" w:styleId="MessageHeaderChar">
    <w:name w:val="Message Header Char"/>
    <w:link w:val="MessageHeader"/>
    <w:uiPriority w:val="98"/>
    <w:semiHidden/>
    <w:rsid w:val="00941486"/>
    <w:rPr>
      <w:rFonts w:ascii="Arial" w:eastAsia="Calibri" w:hAnsi="Arial" w:cs="Arial"/>
      <w:color w:val="FF0000"/>
      <w:sz w:val="22"/>
      <w:szCs w:val="24"/>
      <w:u w:val="single"/>
      <w:shd w:val="pct20" w:color="auto" w:fill="auto"/>
    </w:rPr>
  </w:style>
  <w:style w:type="paragraph" w:styleId="NormalIndent">
    <w:name w:val="Normal Indent"/>
    <w:basedOn w:val="Normal"/>
    <w:uiPriority w:val="98"/>
    <w:semiHidden/>
    <w:rsid w:val="00094E95"/>
    <w:pPr>
      <w:ind w:left="720"/>
    </w:pPr>
    <w:rPr>
      <w:rFonts w:ascii="Arial" w:eastAsia="Calibri" w:hAnsi="Arial" w:cs="Arial"/>
      <w:color w:val="FF0000"/>
      <w:sz w:val="22"/>
      <w:szCs w:val="22"/>
      <w:u w:val="single"/>
    </w:rPr>
  </w:style>
  <w:style w:type="paragraph" w:styleId="TableofAuthorities">
    <w:name w:val="table of authorities"/>
    <w:basedOn w:val="Normal"/>
    <w:next w:val="Normal"/>
    <w:uiPriority w:val="98"/>
    <w:semiHidden/>
    <w:rsid w:val="00094E95"/>
    <w:pPr>
      <w:ind w:left="320" w:hanging="320"/>
    </w:pPr>
    <w:rPr>
      <w:rFonts w:ascii="Arial" w:eastAsia="Calibri" w:hAnsi="Arial" w:cs="Arial"/>
      <w:color w:val="FF0000"/>
      <w:sz w:val="22"/>
      <w:szCs w:val="22"/>
      <w:u w:val="single"/>
    </w:rPr>
  </w:style>
  <w:style w:type="paragraph" w:styleId="TableofFigures">
    <w:name w:val="table of figures"/>
    <w:next w:val="BodyText"/>
    <w:uiPriority w:val="98"/>
    <w:semiHidden/>
    <w:rsid w:val="00094E95"/>
    <w:pPr>
      <w:tabs>
        <w:tab w:val="left" w:pos="1710"/>
        <w:tab w:val="right" w:leader="dot" w:pos="9923"/>
      </w:tabs>
      <w:ind w:left="1701" w:right="567" w:hanging="907"/>
    </w:pPr>
    <w:rPr>
      <w:rFonts w:ascii="Arial" w:eastAsia="Times" w:hAnsi="Arial" w:cs="Arial"/>
      <w:noProof/>
      <w:lang w:eastAsia="en-US"/>
    </w:rPr>
  </w:style>
  <w:style w:type="table" w:styleId="TableProfessional">
    <w:name w:val="Table Professional"/>
    <w:basedOn w:val="TableNormal"/>
    <w:rsid w:val="00094E95"/>
    <w:rPr>
      <w:rFonts w:ascii="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4E95"/>
    <w:rPr>
      <w:rFonts w:ascii="Arial"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4E95"/>
    <w:rPr>
      <w:rFonts w:ascii="Arial" w:hAnsi="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4E95"/>
    <w:rPr>
      <w:rFonts w:ascii="Arial"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3">
    <w:name w:val="Table Web 3"/>
    <w:basedOn w:val="TableNormal"/>
    <w:rsid w:val="00094E95"/>
    <w:rPr>
      <w:rFonts w:ascii="Arial"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094E95"/>
    <w:pPr>
      <w:spacing w:before="120"/>
    </w:pPr>
    <w:rPr>
      <w:rFonts w:ascii="Arial" w:eastAsia="Calibri" w:hAnsi="Arial" w:cs="Arial"/>
      <w:b/>
      <w:bCs/>
      <w:color w:val="FF0000"/>
      <w:sz w:val="22"/>
      <w:u w:val="single"/>
    </w:rPr>
  </w:style>
  <w:style w:type="paragraph" w:styleId="NoSpacing">
    <w:name w:val="No Spacing"/>
    <w:uiPriority w:val="98"/>
    <w:semiHidden/>
    <w:qFormat/>
    <w:rsid w:val="00094E95"/>
    <w:rPr>
      <w:rFonts w:ascii="Arial" w:eastAsia="Calibri" w:hAnsi="Arial" w:cs="Arial"/>
      <w:sz w:val="22"/>
      <w:szCs w:val="22"/>
    </w:rPr>
  </w:style>
  <w:style w:type="paragraph" w:customStyle="1" w:styleId="BodyAR">
    <w:name w:val="Body AR"/>
    <w:qFormat/>
    <w:rsid w:val="00941486"/>
    <w:pPr>
      <w:suppressAutoHyphens/>
      <w:spacing w:before="200" w:after="200"/>
    </w:pPr>
    <w:rPr>
      <w:rFonts w:ascii="Calibri" w:hAnsi="Calibri"/>
      <w:sz w:val="22"/>
    </w:rPr>
  </w:style>
  <w:style w:type="paragraph" w:customStyle="1" w:styleId="Figureinline">
    <w:name w:val="Figure inline"/>
    <w:basedOn w:val="BodyAR"/>
    <w:qFormat/>
    <w:rsid w:val="00FF0C49"/>
    <w:pPr>
      <w:keepNext/>
      <w:keepLines/>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8996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mer.vic.gov.au/annualreport" TargetMode="External"/><Relationship Id="rId18" Type="http://schemas.openxmlformats.org/officeDocument/2006/relationships/header" Target="header1.xml"/><Relationship Id="rId26" Type="http://schemas.openxmlformats.org/officeDocument/2006/relationships/image" Target="media/image13.png"/><Relationship Id="rId39" Type="http://schemas.openxmlformats.org/officeDocument/2006/relationships/footer" Target="footer5.xml"/><Relationship Id="rId21" Type="http://schemas.openxmlformats.org/officeDocument/2006/relationships/image" Target="media/image8.png"/><Relationship Id="rId34" Type="http://schemas.openxmlformats.org/officeDocument/2006/relationships/hyperlink" Target="http://www.youtube.com/consumervi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png"/><Relationship Id="rId32" Type="http://schemas.openxmlformats.org/officeDocument/2006/relationships/hyperlink" Target="https://www.facebook.com/ConsumerAffairsVictoria" TargetMode="External"/><Relationship Id="rId37" Type="http://schemas.openxmlformats.org/officeDocument/2006/relationships/hyperlink" Target="http://creativecommons.org/licenses/by/3.0/a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http://www.consumer.vic.gov.au" TargetMode="External"/><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hyperlink" Target="http://www.consumer.vic.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4.xml"/><Relationship Id="rId35" Type="http://schemas.openxmlformats.org/officeDocument/2006/relationships/hyperlink" Target="http://consumer.vic.gov.a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www.consumer.vic.gov.au/annualreport" TargetMode="External"/><Relationship Id="rId25" Type="http://schemas.openxmlformats.org/officeDocument/2006/relationships/image" Target="media/image12.png"/><Relationship Id="rId33" Type="http://schemas.openxmlformats.org/officeDocument/2006/relationships/hyperlink" Target="https://twitter.com/consumervic"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E4028-67E6-4C3C-BF99-4F7FB094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6355</Words>
  <Characters>29617</Characters>
  <Application>Microsoft Office Word</Application>
  <DocSecurity>0</DocSecurity>
  <Lines>658</Lines>
  <Paragraphs>339</Paragraphs>
  <ScaleCrop>false</ScaleCrop>
  <HeadingPairs>
    <vt:vector size="2" baseType="variant">
      <vt:variant>
        <vt:lpstr>Title</vt:lpstr>
      </vt:variant>
      <vt:variant>
        <vt:i4>1</vt:i4>
      </vt:variant>
    </vt:vector>
  </HeadingPairs>
  <TitlesOfParts>
    <vt:vector size="1" baseType="lpstr">
      <vt:lpstr>Consumer Affairs Victoria: Report on Operations 2014-15 - Making markets fair</vt:lpstr>
    </vt:vector>
  </TitlesOfParts>
  <Company/>
  <LinksUpToDate>false</LinksUpToDate>
  <CharactersWithSpaces>35633</CharactersWithSpaces>
  <SharedDoc>false</SharedDoc>
  <HyperlinkBase/>
  <HLinks>
    <vt:vector size="198" baseType="variant">
      <vt:variant>
        <vt:i4>327753</vt:i4>
      </vt:variant>
      <vt:variant>
        <vt:i4>171</vt:i4>
      </vt:variant>
      <vt:variant>
        <vt:i4>0</vt:i4>
      </vt:variant>
      <vt:variant>
        <vt:i4>5</vt:i4>
      </vt:variant>
      <vt:variant>
        <vt:lpwstr>http://creativecommons.org/licenses/by/3.0/au</vt:lpwstr>
      </vt:variant>
      <vt:variant>
        <vt:lpwstr/>
      </vt:variant>
      <vt:variant>
        <vt:i4>7012406</vt:i4>
      </vt:variant>
      <vt:variant>
        <vt:i4>168</vt:i4>
      </vt:variant>
      <vt:variant>
        <vt:i4>0</vt:i4>
      </vt:variant>
      <vt:variant>
        <vt:i4>5</vt:i4>
      </vt:variant>
      <vt:variant>
        <vt:lpwstr>http://www.consumer.vic.gov.au/</vt:lpwstr>
      </vt:variant>
      <vt:variant>
        <vt:lpwstr/>
      </vt:variant>
      <vt:variant>
        <vt:i4>7012463</vt:i4>
      </vt:variant>
      <vt:variant>
        <vt:i4>165</vt:i4>
      </vt:variant>
      <vt:variant>
        <vt:i4>0</vt:i4>
      </vt:variant>
      <vt:variant>
        <vt:i4>5</vt:i4>
      </vt:variant>
      <vt:variant>
        <vt:lpwstr>http://consumer.vic.gov.au/</vt:lpwstr>
      </vt:variant>
      <vt:variant>
        <vt:lpwstr/>
      </vt:variant>
      <vt:variant>
        <vt:i4>3211309</vt:i4>
      </vt:variant>
      <vt:variant>
        <vt:i4>162</vt:i4>
      </vt:variant>
      <vt:variant>
        <vt:i4>0</vt:i4>
      </vt:variant>
      <vt:variant>
        <vt:i4>5</vt:i4>
      </vt:variant>
      <vt:variant>
        <vt:lpwstr>http://www.youtube.com/consumervic</vt:lpwstr>
      </vt:variant>
      <vt:variant>
        <vt:lpwstr/>
      </vt:variant>
      <vt:variant>
        <vt:i4>7536702</vt:i4>
      </vt:variant>
      <vt:variant>
        <vt:i4>159</vt:i4>
      </vt:variant>
      <vt:variant>
        <vt:i4>0</vt:i4>
      </vt:variant>
      <vt:variant>
        <vt:i4>5</vt:i4>
      </vt:variant>
      <vt:variant>
        <vt:lpwstr>https://twitter.com/consumervic</vt:lpwstr>
      </vt:variant>
      <vt:variant>
        <vt:lpwstr/>
      </vt:variant>
      <vt:variant>
        <vt:i4>4718659</vt:i4>
      </vt:variant>
      <vt:variant>
        <vt:i4>156</vt:i4>
      </vt:variant>
      <vt:variant>
        <vt:i4>0</vt:i4>
      </vt:variant>
      <vt:variant>
        <vt:i4>5</vt:i4>
      </vt:variant>
      <vt:variant>
        <vt:lpwstr>https://www.facebook.com/ConsumerAffairsVictoria</vt:lpwstr>
      </vt:variant>
      <vt:variant>
        <vt:lpwstr/>
      </vt:variant>
      <vt:variant>
        <vt:i4>7012406</vt:i4>
      </vt:variant>
      <vt:variant>
        <vt:i4>153</vt:i4>
      </vt:variant>
      <vt:variant>
        <vt:i4>0</vt:i4>
      </vt:variant>
      <vt:variant>
        <vt:i4>5</vt:i4>
      </vt:variant>
      <vt:variant>
        <vt:lpwstr>http://www.consumer.vic.gov.au/</vt:lpwstr>
      </vt:variant>
      <vt:variant>
        <vt:lpwstr/>
      </vt:variant>
      <vt:variant>
        <vt:i4>7667812</vt:i4>
      </vt:variant>
      <vt:variant>
        <vt:i4>150</vt:i4>
      </vt:variant>
      <vt:variant>
        <vt:i4>0</vt:i4>
      </vt:variant>
      <vt:variant>
        <vt:i4>5</vt:i4>
      </vt:variant>
      <vt:variant>
        <vt:lpwstr>http://www.consumer.vic.gov.au/annualreport</vt:lpwstr>
      </vt:variant>
      <vt:variant>
        <vt:lpwstr/>
      </vt:variant>
      <vt:variant>
        <vt:i4>1179706</vt:i4>
      </vt:variant>
      <vt:variant>
        <vt:i4>143</vt:i4>
      </vt:variant>
      <vt:variant>
        <vt:i4>0</vt:i4>
      </vt:variant>
      <vt:variant>
        <vt:i4>5</vt:i4>
      </vt:variant>
      <vt:variant>
        <vt:lpwstr/>
      </vt:variant>
      <vt:variant>
        <vt:lpwstr>_Toc432081471</vt:lpwstr>
      </vt:variant>
      <vt:variant>
        <vt:i4>1179706</vt:i4>
      </vt:variant>
      <vt:variant>
        <vt:i4>137</vt:i4>
      </vt:variant>
      <vt:variant>
        <vt:i4>0</vt:i4>
      </vt:variant>
      <vt:variant>
        <vt:i4>5</vt:i4>
      </vt:variant>
      <vt:variant>
        <vt:lpwstr/>
      </vt:variant>
      <vt:variant>
        <vt:lpwstr>_Toc432081470</vt:lpwstr>
      </vt:variant>
      <vt:variant>
        <vt:i4>1245242</vt:i4>
      </vt:variant>
      <vt:variant>
        <vt:i4>131</vt:i4>
      </vt:variant>
      <vt:variant>
        <vt:i4>0</vt:i4>
      </vt:variant>
      <vt:variant>
        <vt:i4>5</vt:i4>
      </vt:variant>
      <vt:variant>
        <vt:lpwstr/>
      </vt:variant>
      <vt:variant>
        <vt:lpwstr>_Toc432081469</vt:lpwstr>
      </vt:variant>
      <vt:variant>
        <vt:i4>1245242</vt:i4>
      </vt:variant>
      <vt:variant>
        <vt:i4>125</vt:i4>
      </vt:variant>
      <vt:variant>
        <vt:i4>0</vt:i4>
      </vt:variant>
      <vt:variant>
        <vt:i4>5</vt:i4>
      </vt:variant>
      <vt:variant>
        <vt:lpwstr/>
      </vt:variant>
      <vt:variant>
        <vt:lpwstr>_Toc432081468</vt:lpwstr>
      </vt:variant>
      <vt:variant>
        <vt:i4>1245242</vt:i4>
      </vt:variant>
      <vt:variant>
        <vt:i4>119</vt:i4>
      </vt:variant>
      <vt:variant>
        <vt:i4>0</vt:i4>
      </vt:variant>
      <vt:variant>
        <vt:i4>5</vt:i4>
      </vt:variant>
      <vt:variant>
        <vt:lpwstr/>
      </vt:variant>
      <vt:variant>
        <vt:lpwstr>_Toc432081467</vt:lpwstr>
      </vt:variant>
      <vt:variant>
        <vt:i4>1245242</vt:i4>
      </vt:variant>
      <vt:variant>
        <vt:i4>113</vt:i4>
      </vt:variant>
      <vt:variant>
        <vt:i4>0</vt:i4>
      </vt:variant>
      <vt:variant>
        <vt:i4>5</vt:i4>
      </vt:variant>
      <vt:variant>
        <vt:lpwstr/>
      </vt:variant>
      <vt:variant>
        <vt:lpwstr>_Toc432081466</vt:lpwstr>
      </vt:variant>
      <vt:variant>
        <vt:i4>1245242</vt:i4>
      </vt:variant>
      <vt:variant>
        <vt:i4>107</vt:i4>
      </vt:variant>
      <vt:variant>
        <vt:i4>0</vt:i4>
      </vt:variant>
      <vt:variant>
        <vt:i4>5</vt:i4>
      </vt:variant>
      <vt:variant>
        <vt:lpwstr/>
      </vt:variant>
      <vt:variant>
        <vt:lpwstr>_Toc432081465</vt:lpwstr>
      </vt:variant>
      <vt:variant>
        <vt:i4>1245242</vt:i4>
      </vt:variant>
      <vt:variant>
        <vt:i4>101</vt:i4>
      </vt:variant>
      <vt:variant>
        <vt:i4>0</vt:i4>
      </vt:variant>
      <vt:variant>
        <vt:i4>5</vt:i4>
      </vt:variant>
      <vt:variant>
        <vt:lpwstr/>
      </vt:variant>
      <vt:variant>
        <vt:lpwstr>_Toc432081464</vt:lpwstr>
      </vt:variant>
      <vt:variant>
        <vt:i4>1245242</vt:i4>
      </vt:variant>
      <vt:variant>
        <vt:i4>95</vt:i4>
      </vt:variant>
      <vt:variant>
        <vt:i4>0</vt:i4>
      </vt:variant>
      <vt:variant>
        <vt:i4>5</vt:i4>
      </vt:variant>
      <vt:variant>
        <vt:lpwstr/>
      </vt:variant>
      <vt:variant>
        <vt:lpwstr>_Toc432081463</vt:lpwstr>
      </vt:variant>
      <vt:variant>
        <vt:i4>1245242</vt:i4>
      </vt:variant>
      <vt:variant>
        <vt:i4>89</vt:i4>
      </vt:variant>
      <vt:variant>
        <vt:i4>0</vt:i4>
      </vt:variant>
      <vt:variant>
        <vt:i4>5</vt:i4>
      </vt:variant>
      <vt:variant>
        <vt:lpwstr/>
      </vt:variant>
      <vt:variant>
        <vt:lpwstr>_Toc432081462</vt:lpwstr>
      </vt:variant>
      <vt:variant>
        <vt:i4>1245242</vt:i4>
      </vt:variant>
      <vt:variant>
        <vt:i4>83</vt:i4>
      </vt:variant>
      <vt:variant>
        <vt:i4>0</vt:i4>
      </vt:variant>
      <vt:variant>
        <vt:i4>5</vt:i4>
      </vt:variant>
      <vt:variant>
        <vt:lpwstr/>
      </vt:variant>
      <vt:variant>
        <vt:lpwstr>_Toc432081461</vt:lpwstr>
      </vt:variant>
      <vt:variant>
        <vt:i4>1245242</vt:i4>
      </vt:variant>
      <vt:variant>
        <vt:i4>77</vt:i4>
      </vt:variant>
      <vt:variant>
        <vt:i4>0</vt:i4>
      </vt:variant>
      <vt:variant>
        <vt:i4>5</vt:i4>
      </vt:variant>
      <vt:variant>
        <vt:lpwstr/>
      </vt:variant>
      <vt:variant>
        <vt:lpwstr>_Toc432081460</vt:lpwstr>
      </vt:variant>
      <vt:variant>
        <vt:i4>1048634</vt:i4>
      </vt:variant>
      <vt:variant>
        <vt:i4>71</vt:i4>
      </vt:variant>
      <vt:variant>
        <vt:i4>0</vt:i4>
      </vt:variant>
      <vt:variant>
        <vt:i4>5</vt:i4>
      </vt:variant>
      <vt:variant>
        <vt:lpwstr/>
      </vt:variant>
      <vt:variant>
        <vt:lpwstr>_Toc432081459</vt:lpwstr>
      </vt:variant>
      <vt:variant>
        <vt:i4>1048634</vt:i4>
      </vt:variant>
      <vt:variant>
        <vt:i4>65</vt:i4>
      </vt:variant>
      <vt:variant>
        <vt:i4>0</vt:i4>
      </vt:variant>
      <vt:variant>
        <vt:i4>5</vt:i4>
      </vt:variant>
      <vt:variant>
        <vt:lpwstr/>
      </vt:variant>
      <vt:variant>
        <vt:lpwstr>_Toc432081458</vt:lpwstr>
      </vt:variant>
      <vt:variant>
        <vt:i4>1048634</vt:i4>
      </vt:variant>
      <vt:variant>
        <vt:i4>59</vt:i4>
      </vt:variant>
      <vt:variant>
        <vt:i4>0</vt:i4>
      </vt:variant>
      <vt:variant>
        <vt:i4>5</vt:i4>
      </vt:variant>
      <vt:variant>
        <vt:lpwstr/>
      </vt:variant>
      <vt:variant>
        <vt:lpwstr>_Toc432081457</vt:lpwstr>
      </vt:variant>
      <vt:variant>
        <vt:i4>1048634</vt:i4>
      </vt:variant>
      <vt:variant>
        <vt:i4>53</vt:i4>
      </vt:variant>
      <vt:variant>
        <vt:i4>0</vt:i4>
      </vt:variant>
      <vt:variant>
        <vt:i4>5</vt:i4>
      </vt:variant>
      <vt:variant>
        <vt:lpwstr/>
      </vt:variant>
      <vt:variant>
        <vt:lpwstr>_Toc432081456</vt:lpwstr>
      </vt:variant>
      <vt:variant>
        <vt:i4>1048634</vt:i4>
      </vt:variant>
      <vt:variant>
        <vt:i4>47</vt:i4>
      </vt:variant>
      <vt:variant>
        <vt:i4>0</vt:i4>
      </vt:variant>
      <vt:variant>
        <vt:i4>5</vt:i4>
      </vt:variant>
      <vt:variant>
        <vt:lpwstr/>
      </vt:variant>
      <vt:variant>
        <vt:lpwstr>_Toc432081455</vt:lpwstr>
      </vt:variant>
      <vt:variant>
        <vt:i4>1048634</vt:i4>
      </vt:variant>
      <vt:variant>
        <vt:i4>41</vt:i4>
      </vt:variant>
      <vt:variant>
        <vt:i4>0</vt:i4>
      </vt:variant>
      <vt:variant>
        <vt:i4>5</vt:i4>
      </vt:variant>
      <vt:variant>
        <vt:lpwstr/>
      </vt:variant>
      <vt:variant>
        <vt:lpwstr>_Toc432081454</vt:lpwstr>
      </vt:variant>
      <vt:variant>
        <vt:i4>1048634</vt:i4>
      </vt:variant>
      <vt:variant>
        <vt:i4>35</vt:i4>
      </vt:variant>
      <vt:variant>
        <vt:i4>0</vt:i4>
      </vt:variant>
      <vt:variant>
        <vt:i4>5</vt:i4>
      </vt:variant>
      <vt:variant>
        <vt:lpwstr/>
      </vt:variant>
      <vt:variant>
        <vt:lpwstr>_Toc432081453</vt:lpwstr>
      </vt:variant>
      <vt:variant>
        <vt:i4>1048634</vt:i4>
      </vt:variant>
      <vt:variant>
        <vt:i4>29</vt:i4>
      </vt:variant>
      <vt:variant>
        <vt:i4>0</vt:i4>
      </vt:variant>
      <vt:variant>
        <vt:i4>5</vt:i4>
      </vt:variant>
      <vt:variant>
        <vt:lpwstr/>
      </vt:variant>
      <vt:variant>
        <vt:lpwstr>_Toc432081452</vt:lpwstr>
      </vt:variant>
      <vt:variant>
        <vt:i4>1048634</vt:i4>
      </vt:variant>
      <vt:variant>
        <vt:i4>23</vt:i4>
      </vt:variant>
      <vt:variant>
        <vt:i4>0</vt:i4>
      </vt:variant>
      <vt:variant>
        <vt:i4>5</vt:i4>
      </vt:variant>
      <vt:variant>
        <vt:lpwstr/>
      </vt:variant>
      <vt:variant>
        <vt:lpwstr>_Toc432081451</vt:lpwstr>
      </vt:variant>
      <vt:variant>
        <vt:i4>1048634</vt:i4>
      </vt:variant>
      <vt:variant>
        <vt:i4>17</vt:i4>
      </vt:variant>
      <vt:variant>
        <vt:i4>0</vt:i4>
      </vt:variant>
      <vt:variant>
        <vt:i4>5</vt:i4>
      </vt:variant>
      <vt:variant>
        <vt:lpwstr/>
      </vt:variant>
      <vt:variant>
        <vt:lpwstr>_Toc432081450</vt:lpwstr>
      </vt:variant>
      <vt:variant>
        <vt:i4>1114170</vt:i4>
      </vt:variant>
      <vt:variant>
        <vt:i4>11</vt:i4>
      </vt:variant>
      <vt:variant>
        <vt:i4>0</vt:i4>
      </vt:variant>
      <vt:variant>
        <vt:i4>5</vt:i4>
      </vt:variant>
      <vt:variant>
        <vt:lpwstr/>
      </vt:variant>
      <vt:variant>
        <vt:lpwstr>_Toc432081449</vt:lpwstr>
      </vt:variant>
      <vt:variant>
        <vt:i4>1114170</vt:i4>
      </vt:variant>
      <vt:variant>
        <vt:i4>5</vt:i4>
      </vt:variant>
      <vt:variant>
        <vt:i4>0</vt:i4>
      </vt:variant>
      <vt:variant>
        <vt:i4>5</vt:i4>
      </vt:variant>
      <vt:variant>
        <vt:lpwstr/>
      </vt:variant>
      <vt:variant>
        <vt:lpwstr>_Toc432081448</vt:lpwstr>
      </vt:variant>
      <vt:variant>
        <vt:i4>7667812</vt:i4>
      </vt:variant>
      <vt:variant>
        <vt:i4>0</vt:i4>
      </vt:variant>
      <vt:variant>
        <vt:i4>0</vt:i4>
      </vt:variant>
      <vt:variant>
        <vt:i4>5</vt:i4>
      </vt:variant>
      <vt:variant>
        <vt:lpwstr>http://www.consumer.vic.gov.au/annualreport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Affairs Victoria: Report on Operations 2014-15 - Making markets fair</dc:title>
  <dc:subject/>
  <dc:creator>Consumer Affairs Victoria</dc:creator>
  <cp:keywords/>
  <cp:lastModifiedBy>David M Darragh (DGS)</cp:lastModifiedBy>
  <cp:revision>2</cp:revision>
  <cp:lastPrinted>2015-10-08T03:43:00Z</cp:lastPrinted>
  <dcterms:created xsi:type="dcterms:W3CDTF">2026-04-21T04:17:00Z</dcterms:created>
  <dcterms:modified xsi:type="dcterms:W3CDTF">2026-04-21T04:17:00Z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
  </property>
  <property fmtid="{D5CDD505-2E9C-101B-9397-08002B2CF9AE}" pid="4" name="MSIP_Label_7158ebbd-6c5e-441f-bfc9-4eb8c11e3978_Enabled">
    <vt:lpwstr>true</vt:lpwstr>
  </property>
  <property fmtid="{D5CDD505-2E9C-101B-9397-08002B2CF9AE}" pid="5" name="MSIP_Label_7158ebbd-6c5e-441f-bfc9-4eb8c11e3978_SetDate">
    <vt:lpwstr>2026-04-21T04:17:14Z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b51209a7-8d5e-4ae1-97aa-3fce09760d7d</vt:lpwstr>
  </property>
  <property fmtid="{D5CDD505-2E9C-101B-9397-08002B2CF9AE}" pid="10" name="MSIP_Label_7158ebbd-6c5e-441f-bfc9-4eb8c11e3978_ContentBits">
    <vt:lpwstr>2</vt:lpwstr>
  </property>
  <property fmtid="{D5CDD505-2E9C-101B-9397-08002B2CF9AE}" pid="11" name="MSIP_Label_7158ebbd-6c5e-441f-bfc9-4eb8c11e3978_Tag">
    <vt:lpwstr>10, 0, 1, 1</vt:lpwstr>
  </property>
</Properties>
</file>