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D4FA1" w14:textId="6057EBF0" w:rsidR="00C90E80" w:rsidRPr="00062049" w:rsidRDefault="00C90E80" w:rsidP="00E15E1B">
      <w:pPr>
        <w:pStyle w:val="Heading1"/>
        <w:spacing w:before="4400" w:after="8400"/>
      </w:pPr>
      <w:r w:rsidRPr="001B396A">
        <w:t>Annual</w:t>
      </w:r>
      <w:r w:rsidR="00ED6A34" w:rsidRPr="001B396A">
        <w:t xml:space="preserve"> </w:t>
      </w:r>
      <w:r w:rsidRPr="001B396A">
        <w:t>Report</w:t>
      </w:r>
      <w:r w:rsidR="00ED6A34" w:rsidRPr="001B396A">
        <w:t xml:space="preserve"> </w:t>
      </w:r>
      <w:r w:rsidRPr="001B396A">
        <w:t>201</w:t>
      </w:r>
      <w:r w:rsidR="00B4504C" w:rsidRPr="001B396A">
        <w:t>8</w:t>
      </w:r>
      <w:r w:rsidR="00232A4C" w:rsidRPr="001B396A">
        <w:t>–</w:t>
      </w:r>
      <w:r w:rsidRPr="001B396A">
        <w:t>1</w:t>
      </w:r>
      <w:r w:rsidR="00B4504C" w:rsidRPr="001B396A">
        <w:t>9</w:t>
      </w:r>
    </w:p>
    <w:p w14:paraId="1564C41C" w14:textId="77777777" w:rsidR="00062049" w:rsidRPr="003D521F" w:rsidRDefault="002D316F" w:rsidP="00FF30B8">
      <w:pPr>
        <w:pStyle w:val="BodyText"/>
        <w:jc w:val="right"/>
      </w:pPr>
      <w:r>
        <w:rPr>
          <w:noProof/>
          <w:lang w:eastAsia="en-AU"/>
        </w:rPr>
        <w:drawing>
          <wp:inline distT="0" distB="0" distL="0" distR="0" wp14:anchorId="0DE8F0AD" wp14:editId="15A39AE9">
            <wp:extent cx="1889157" cy="525145"/>
            <wp:effectExtent l="0" t="0" r="0" b="825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89157" cy="525145"/>
                    </a:xfrm>
                    <a:prstGeom prst="rect">
                      <a:avLst/>
                    </a:prstGeom>
                    <a:noFill/>
                    <a:ln>
                      <a:noFill/>
                    </a:ln>
                  </pic:spPr>
                </pic:pic>
              </a:graphicData>
            </a:graphic>
          </wp:inline>
        </w:drawing>
      </w:r>
    </w:p>
    <w:p w14:paraId="2D3280E4" w14:textId="77777777" w:rsidR="00A41E9C" w:rsidRDefault="00A41E9C" w:rsidP="00C02F22">
      <w:pPr>
        <w:pStyle w:val="BodyText"/>
        <w:ind w:right="2268"/>
      </w:pPr>
      <w:r>
        <w:lastRenderedPageBreak/>
        <w:t>Consumer Affairs Victoria acknowledges the Aboriginal and Torres Strait Islander people as the Traditional Custodians of the land. The department also acknowledges and pays respect to their Elders, past and present.</w:t>
      </w:r>
    </w:p>
    <w:p w14:paraId="05877EC0" w14:textId="77777777" w:rsidR="00A41E9C" w:rsidRDefault="00A41E9C" w:rsidP="00A41E9C">
      <w:pPr>
        <w:pStyle w:val="BodyText"/>
      </w:pPr>
      <w:r>
        <w:t xml:space="preserve">Authorised and published </w:t>
      </w:r>
      <w:r>
        <w:br/>
        <w:t>by the Victorian Government,</w:t>
      </w:r>
      <w:r>
        <w:br/>
        <w:t>1 Treasury Place, Melbourne.</w:t>
      </w:r>
    </w:p>
    <w:p w14:paraId="3A165003" w14:textId="77777777" w:rsidR="00A41E9C" w:rsidRDefault="00A41E9C" w:rsidP="00A41E9C">
      <w:pPr>
        <w:pStyle w:val="BodyText"/>
      </w:pPr>
      <w:r>
        <w:t>October 2019</w:t>
      </w:r>
    </w:p>
    <w:p w14:paraId="050848C7" w14:textId="77777777" w:rsidR="00A41E9C" w:rsidRDefault="00A41E9C" w:rsidP="00A41E9C">
      <w:pPr>
        <w:pStyle w:val="BodyText"/>
      </w:pPr>
      <w:r>
        <w:t>ISSN 2209-5489</w:t>
      </w:r>
    </w:p>
    <w:p w14:paraId="53337A0B" w14:textId="577A0184" w:rsidR="00455A12" w:rsidRDefault="00455A12" w:rsidP="00455A12">
      <w:pPr>
        <w:pStyle w:val="BodyText"/>
        <w:rPr>
          <w:szCs w:val="20"/>
          <w:lang w:eastAsia="en-AU"/>
        </w:rPr>
      </w:pPr>
      <w:r>
        <w:rPr>
          <w:noProof/>
        </w:rPr>
        <w:drawing>
          <wp:inline distT="0" distB="0" distL="0" distR="0" wp14:anchorId="61F37099" wp14:editId="7A1A213C">
            <wp:extent cx="1337310" cy="179705"/>
            <wp:effectExtent l="0" t="0" r="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310" cy="179705"/>
                    </a:xfrm>
                    <a:prstGeom prst="rect">
                      <a:avLst/>
                    </a:prstGeom>
                    <a:noFill/>
                    <a:ln>
                      <a:noFill/>
                    </a:ln>
                  </pic:spPr>
                </pic:pic>
              </a:graphicData>
            </a:graphic>
          </wp:inline>
        </w:drawing>
      </w:r>
    </w:p>
    <w:p w14:paraId="1195F528" w14:textId="78FCEFEF" w:rsidR="00A41E9C" w:rsidRDefault="00A41E9C" w:rsidP="00C02F22">
      <w:pPr>
        <w:pStyle w:val="BodyText"/>
        <w:ind w:right="1985"/>
      </w:pPr>
      <w:r>
        <w:t xml:space="preserve">Unless indicated otherwise, this work is made available under the terms of the Creative Commons Attribution 4.0 International licence. To view a copy of this licence, visit </w:t>
      </w:r>
      <w:hyperlink r:id="rId11" w:history="1">
        <w:r w:rsidRPr="00BB1C65">
          <w:rPr>
            <w:rStyle w:val="Hyperlink"/>
          </w:rPr>
          <w:t>creativecommons.org/licenses/by/4.0</w:t>
        </w:r>
      </w:hyperlink>
      <w:r>
        <w:t>. It is a condition of this Creative Commons Attribution 4.0 Licence that you give credit to the original author, who is the State of Victoria.</w:t>
      </w:r>
    </w:p>
    <w:p w14:paraId="40EAB5B4" w14:textId="77777777" w:rsidR="00A41E9C" w:rsidRPr="00BB1C65" w:rsidRDefault="00A41E9C" w:rsidP="00A41E9C">
      <w:pPr>
        <w:pStyle w:val="Heading2"/>
        <w:pageBreakBefore w:val="0"/>
        <w:spacing w:before="240" w:after="120"/>
        <w:rPr>
          <w:b/>
          <w:bCs w:val="0"/>
          <w:sz w:val="24"/>
          <w:szCs w:val="24"/>
        </w:rPr>
      </w:pPr>
      <w:bookmarkStart w:id="0" w:name="_Toc21600809"/>
      <w:r w:rsidRPr="00BB1C65">
        <w:rPr>
          <w:b/>
          <w:bCs w:val="0"/>
          <w:sz w:val="24"/>
          <w:szCs w:val="24"/>
        </w:rPr>
        <w:t>Accessibility</w:t>
      </w:r>
      <w:bookmarkEnd w:id="0"/>
    </w:p>
    <w:p w14:paraId="0749A0BF" w14:textId="25B11EEB" w:rsidR="00A41E9C" w:rsidRDefault="00A41E9C" w:rsidP="00A41E9C">
      <w:pPr>
        <w:pStyle w:val="BodyText"/>
      </w:pPr>
      <w:r>
        <w:t xml:space="preserve">If you would like to receive this publication in an accessible format, </w:t>
      </w:r>
      <w:r w:rsidR="00C02F22">
        <w:br/>
      </w:r>
      <w:r>
        <w:t xml:space="preserve">please visit </w:t>
      </w:r>
      <w:hyperlink r:id="rId12" w:history="1">
        <w:r w:rsidRPr="00BB1C65">
          <w:rPr>
            <w:rStyle w:val="Hyperlink"/>
          </w:rPr>
          <w:t>consumer.vic.gov.au</w:t>
        </w:r>
      </w:hyperlink>
      <w:r>
        <w:t>.</w:t>
      </w:r>
    </w:p>
    <w:p w14:paraId="2EA87782" w14:textId="77777777" w:rsidR="00A41E9C" w:rsidRDefault="00A41E9C" w:rsidP="00A41E9C">
      <w:pPr>
        <w:pStyle w:val="BodyText"/>
      </w:pPr>
      <w:r>
        <w:t xml:space="preserve">Printed by </w:t>
      </w:r>
      <w:proofErr w:type="spellStart"/>
      <w:r>
        <w:t>Doculink</w:t>
      </w:r>
      <w:proofErr w:type="spellEnd"/>
      <w:r>
        <w:t>, Port Melbourne on 100% recycled paper</w:t>
      </w:r>
    </w:p>
    <w:p w14:paraId="0FFD91F1" w14:textId="77777777" w:rsidR="00A41E9C" w:rsidRDefault="00A41E9C" w:rsidP="00A41E9C">
      <w:pPr>
        <w:pStyle w:val="BodyText"/>
      </w:pPr>
      <w:r>
        <w:t>Ordered to be published</w:t>
      </w:r>
      <w:r>
        <w:br/>
        <w:t>Victorian Government Printer</w:t>
      </w:r>
      <w:r>
        <w:br/>
        <w:t>October 2019</w:t>
      </w:r>
      <w:r>
        <w:br/>
        <w:t>No 54 Session 2018–19</w:t>
      </w:r>
    </w:p>
    <w:p w14:paraId="7F0B3FD9" w14:textId="77777777" w:rsidR="008E1660" w:rsidRDefault="008E1660" w:rsidP="008E1660">
      <w:pPr>
        <w:pStyle w:val="Heading2"/>
      </w:pPr>
      <w:bookmarkStart w:id="1" w:name="_Toc21600810"/>
      <w:r>
        <w:lastRenderedPageBreak/>
        <w:t>Contents</w:t>
      </w:r>
      <w:bookmarkEnd w:id="1"/>
    </w:p>
    <w:p w14:paraId="3611A6F1" w14:textId="773024EB" w:rsidR="00555997" w:rsidRDefault="009569B2">
      <w:pPr>
        <w:pStyle w:val="TOC1"/>
        <w:rPr>
          <w:rFonts w:asciiTheme="minorHAnsi" w:eastAsiaTheme="minorEastAsia" w:hAnsiTheme="minorHAnsi" w:cstheme="minorBidi"/>
          <w:b w:val="0"/>
          <w:noProof/>
          <w:sz w:val="22"/>
          <w:lang w:eastAsia="en-AU"/>
        </w:rPr>
      </w:pPr>
      <w:r>
        <w:fldChar w:fldCharType="begin"/>
      </w:r>
      <w:r>
        <w:instrText xml:space="preserve"> TOC \h \z \u \t "Heading 2,1,Heading 3,2,TOC heading,2" </w:instrText>
      </w:r>
      <w:r>
        <w:fldChar w:fldCharType="separate"/>
      </w:r>
      <w:hyperlink w:anchor="_Toc21600809" w:history="1">
        <w:r w:rsidR="00555997" w:rsidRPr="00276F91">
          <w:rPr>
            <w:rStyle w:val="Hyperlink"/>
            <w:noProof/>
          </w:rPr>
          <w:t>Accessibility</w:t>
        </w:r>
        <w:r w:rsidR="00555997">
          <w:rPr>
            <w:noProof/>
            <w:webHidden/>
          </w:rPr>
          <w:tab/>
        </w:r>
        <w:r w:rsidR="00555997">
          <w:rPr>
            <w:noProof/>
            <w:webHidden/>
          </w:rPr>
          <w:fldChar w:fldCharType="begin"/>
        </w:r>
        <w:r w:rsidR="00555997">
          <w:rPr>
            <w:noProof/>
            <w:webHidden/>
          </w:rPr>
          <w:instrText xml:space="preserve"> PAGEREF _Toc21600809 \h </w:instrText>
        </w:r>
        <w:r w:rsidR="00555997">
          <w:rPr>
            <w:noProof/>
            <w:webHidden/>
          </w:rPr>
        </w:r>
        <w:r w:rsidR="00555997">
          <w:rPr>
            <w:noProof/>
            <w:webHidden/>
          </w:rPr>
          <w:fldChar w:fldCharType="separate"/>
        </w:r>
        <w:r w:rsidR="00555997">
          <w:rPr>
            <w:noProof/>
            <w:webHidden/>
          </w:rPr>
          <w:t>2</w:t>
        </w:r>
        <w:r w:rsidR="00555997">
          <w:rPr>
            <w:noProof/>
            <w:webHidden/>
          </w:rPr>
          <w:fldChar w:fldCharType="end"/>
        </w:r>
      </w:hyperlink>
    </w:p>
    <w:p w14:paraId="5E3E2997" w14:textId="3DE59752" w:rsidR="00555997" w:rsidRDefault="0063484E">
      <w:pPr>
        <w:pStyle w:val="TOC1"/>
        <w:rPr>
          <w:rFonts w:asciiTheme="minorHAnsi" w:eastAsiaTheme="minorEastAsia" w:hAnsiTheme="minorHAnsi" w:cstheme="minorBidi"/>
          <w:b w:val="0"/>
          <w:noProof/>
          <w:sz w:val="22"/>
          <w:lang w:eastAsia="en-AU"/>
        </w:rPr>
      </w:pPr>
      <w:hyperlink w:anchor="_Toc21600810" w:history="1">
        <w:r w:rsidR="00555997" w:rsidRPr="00276F91">
          <w:rPr>
            <w:rStyle w:val="Hyperlink"/>
            <w:noProof/>
          </w:rPr>
          <w:t>Contents</w:t>
        </w:r>
        <w:r w:rsidR="00555997">
          <w:rPr>
            <w:noProof/>
            <w:webHidden/>
          </w:rPr>
          <w:tab/>
        </w:r>
        <w:r w:rsidR="00555997">
          <w:rPr>
            <w:noProof/>
            <w:webHidden/>
          </w:rPr>
          <w:fldChar w:fldCharType="begin"/>
        </w:r>
        <w:r w:rsidR="00555997">
          <w:rPr>
            <w:noProof/>
            <w:webHidden/>
          </w:rPr>
          <w:instrText xml:space="preserve"> PAGEREF _Toc21600810 \h </w:instrText>
        </w:r>
        <w:r w:rsidR="00555997">
          <w:rPr>
            <w:noProof/>
            <w:webHidden/>
          </w:rPr>
        </w:r>
        <w:r w:rsidR="00555997">
          <w:rPr>
            <w:noProof/>
            <w:webHidden/>
          </w:rPr>
          <w:fldChar w:fldCharType="separate"/>
        </w:r>
        <w:r w:rsidR="00555997">
          <w:rPr>
            <w:noProof/>
            <w:webHidden/>
          </w:rPr>
          <w:t>3</w:t>
        </w:r>
        <w:r w:rsidR="00555997">
          <w:rPr>
            <w:noProof/>
            <w:webHidden/>
          </w:rPr>
          <w:fldChar w:fldCharType="end"/>
        </w:r>
      </w:hyperlink>
    </w:p>
    <w:p w14:paraId="11CE6EFC" w14:textId="43CA93EA" w:rsidR="00555997" w:rsidRDefault="0063484E">
      <w:pPr>
        <w:pStyle w:val="TOC1"/>
        <w:rPr>
          <w:rFonts w:asciiTheme="minorHAnsi" w:eastAsiaTheme="minorEastAsia" w:hAnsiTheme="minorHAnsi" w:cstheme="minorBidi"/>
          <w:b w:val="0"/>
          <w:noProof/>
          <w:sz w:val="22"/>
          <w:lang w:eastAsia="en-AU"/>
        </w:rPr>
      </w:pPr>
      <w:hyperlink w:anchor="_Toc21600811" w:history="1">
        <w:r w:rsidR="00555997" w:rsidRPr="00276F91">
          <w:rPr>
            <w:rStyle w:val="Hyperlink"/>
            <w:noProof/>
          </w:rPr>
          <w:t>Letter to the Minister</w:t>
        </w:r>
        <w:r w:rsidR="00555997">
          <w:rPr>
            <w:noProof/>
            <w:webHidden/>
          </w:rPr>
          <w:tab/>
        </w:r>
        <w:r w:rsidR="00555997">
          <w:rPr>
            <w:noProof/>
            <w:webHidden/>
          </w:rPr>
          <w:fldChar w:fldCharType="begin"/>
        </w:r>
        <w:r w:rsidR="00555997">
          <w:rPr>
            <w:noProof/>
            <w:webHidden/>
          </w:rPr>
          <w:instrText xml:space="preserve"> PAGEREF _Toc21600811 \h </w:instrText>
        </w:r>
        <w:r w:rsidR="00555997">
          <w:rPr>
            <w:noProof/>
            <w:webHidden/>
          </w:rPr>
        </w:r>
        <w:r w:rsidR="00555997">
          <w:rPr>
            <w:noProof/>
            <w:webHidden/>
          </w:rPr>
          <w:fldChar w:fldCharType="separate"/>
        </w:r>
        <w:r w:rsidR="00555997">
          <w:rPr>
            <w:noProof/>
            <w:webHidden/>
          </w:rPr>
          <w:t>4</w:t>
        </w:r>
        <w:r w:rsidR="00555997">
          <w:rPr>
            <w:noProof/>
            <w:webHidden/>
          </w:rPr>
          <w:fldChar w:fldCharType="end"/>
        </w:r>
      </w:hyperlink>
    </w:p>
    <w:p w14:paraId="378466F4" w14:textId="7496E980" w:rsidR="00555997" w:rsidRDefault="0063484E">
      <w:pPr>
        <w:pStyle w:val="TOC1"/>
        <w:rPr>
          <w:rFonts w:asciiTheme="minorHAnsi" w:eastAsiaTheme="minorEastAsia" w:hAnsiTheme="minorHAnsi" w:cstheme="minorBidi"/>
          <w:b w:val="0"/>
          <w:noProof/>
          <w:sz w:val="22"/>
          <w:lang w:eastAsia="en-AU"/>
        </w:rPr>
      </w:pPr>
      <w:hyperlink w:anchor="_Toc21600812" w:history="1">
        <w:r w:rsidR="00555997" w:rsidRPr="00276F91">
          <w:rPr>
            <w:rStyle w:val="Hyperlink"/>
            <w:noProof/>
          </w:rPr>
          <w:t>Director’s foreword</w:t>
        </w:r>
        <w:r w:rsidR="00555997">
          <w:rPr>
            <w:noProof/>
            <w:webHidden/>
          </w:rPr>
          <w:tab/>
        </w:r>
        <w:r w:rsidR="00555997">
          <w:rPr>
            <w:noProof/>
            <w:webHidden/>
          </w:rPr>
          <w:fldChar w:fldCharType="begin"/>
        </w:r>
        <w:r w:rsidR="00555997">
          <w:rPr>
            <w:noProof/>
            <w:webHidden/>
          </w:rPr>
          <w:instrText xml:space="preserve"> PAGEREF _Toc21600812 \h </w:instrText>
        </w:r>
        <w:r w:rsidR="00555997">
          <w:rPr>
            <w:noProof/>
            <w:webHidden/>
          </w:rPr>
        </w:r>
        <w:r w:rsidR="00555997">
          <w:rPr>
            <w:noProof/>
            <w:webHidden/>
          </w:rPr>
          <w:fldChar w:fldCharType="separate"/>
        </w:r>
        <w:r w:rsidR="00555997">
          <w:rPr>
            <w:noProof/>
            <w:webHidden/>
          </w:rPr>
          <w:t>5</w:t>
        </w:r>
        <w:r w:rsidR="00555997">
          <w:rPr>
            <w:noProof/>
            <w:webHidden/>
          </w:rPr>
          <w:fldChar w:fldCharType="end"/>
        </w:r>
      </w:hyperlink>
    </w:p>
    <w:p w14:paraId="6D6E7B53" w14:textId="13FC6C42" w:rsidR="00555997" w:rsidRDefault="0063484E">
      <w:pPr>
        <w:pStyle w:val="TOC1"/>
        <w:rPr>
          <w:rFonts w:asciiTheme="minorHAnsi" w:eastAsiaTheme="minorEastAsia" w:hAnsiTheme="minorHAnsi" w:cstheme="minorBidi"/>
          <w:b w:val="0"/>
          <w:noProof/>
          <w:sz w:val="22"/>
          <w:lang w:eastAsia="en-AU"/>
        </w:rPr>
      </w:pPr>
      <w:hyperlink w:anchor="_Toc21600813" w:history="1">
        <w:r w:rsidR="00555997" w:rsidRPr="00276F91">
          <w:rPr>
            <w:rStyle w:val="Hyperlink"/>
            <w:noProof/>
          </w:rPr>
          <w:t>About us</w:t>
        </w:r>
        <w:r w:rsidR="00555997">
          <w:rPr>
            <w:noProof/>
            <w:webHidden/>
          </w:rPr>
          <w:tab/>
        </w:r>
        <w:r w:rsidR="00555997">
          <w:rPr>
            <w:noProof/>
            <w:webHidden/>
          </w:rPr>
          <w:fldChar w:fldCharType="begin"/>
        </w:r>
        <w:r w:rsidR="00555997">
          <w:rPr>
            <w:noProof/>
            <w:webHidden/>
          </w:rPr>
          <w:instrText xml:space="preserve"> PAGEREF _Toc21600813 \h </w:instrText>
        </w:r>
        <w:r w:rsidR="00555997">
          <w:rPr>
            <w:noProof/>
            <w:webHidden/>
          </w:rPr>
        </w:r>
        <w:r w:rsidR="00555997">
          <w:rPr>
            <w:noProof/>
            <w:webHidden/>
          </w:rPr>
          <w:fldChar w:fldCharType="separate"/>
        </w:r>
        <w:r w:rsidR="00555997">
          <w:rPr>
            <w:noProof/>
            <w:webHidden/>
          </w:rPr>
          <w:t>7</w:t>
        </w:r>
        <w:r w:rsidR="00555997">
          <w:rPr>
            <w:noProof/>
            <w:webHidden/>
          </w:rPr>
          <w:fldChar w:fldCharType="end"/>
        </w:r>
      </w:hyperlink>
    </w:p>
    <w:p w14:paraId="427E1371" w14:textId="5C0264D4" w:rsidR="00555997" w:rsidRDefault="0063484E">
      <w:pPr>
        <w:pStyle w:val="TOC2"/>
        <w:rPr>
          <w:rFonts w:asciiTheme="minorHAnsi" w:eastAsiaTheme="minorEastAsia" w:hAnsiTheme="minorHAnsi" w:cstheme="minorBidi"/>
          <w:sz w:val="22"/>
          <w:lang w:eastAsia="en-AU"/>
        </w:rPr>
      </w:pPr>
      <w:hyperlink w:anchor="_Toc21600814" w:history="1">
        <w:r w:rsidR="00555997" w:rsidRPr="00276F91">
          <w:rPr>
            <w:rStyle w:val="Hyperlink"/>
          </w:rPr>
          <w:t>Our values</w:t>
        </w:r>
        <w:r w:rsidR="00555997">
          <w:rPr>
            <w:webHidden/>
          </w:rPr>
          <w:tab/>
        </w:r>
        <w:r w:rsidR="00555997">
          <w:rPr>
            <w:webHidden/>
          </w:rPr>
          <w:fldChar w:fldCharType="begin"/>
        </w:r>
        <w:r w:rsidR="00555997">
          <w:rPr>
            <w:webHidden/>
          </w:rPr>
          <w:instrText xml:space="preserve"> PAGEREF _Toc21600814 \h </w:instrText>
        </w:r>
        <w:r w:rsidR="00555997">
          <w:rPr>
            <w:webHidden/>
          </w:rPr>
        </w:r>
        <w:r w:rsidR="00555997">
          <w:rPr>
            <w:webHidden/>
          </w:rPr>
          <w:fldChar w:fldCharType="separate"/>
        </w:r>
        <w:r w:rsidR="00555997">
          <w:rPr>
            <w:webHidden/>
          </w:rPr>
          <w:t>7</w:t>
        </w:r>
        <w:r w:rsidR="00555997">
          <w:rPr>
            <w:webHidden/>
          </w:rPr>
          <w:fldChar w:fldCharType="end"/>
        </w:r>
      </w:hyperlink>
    </w:p>
    <w:p w14:paraId="79BCAC4A" w14:textId="453FE692" w:rsidR="00555997" w:rsidRDefault="0063484E">
      <w:pPr>
        <w:pStyle w:val="TOC2"/>
        <w:rPr>
          <w:rFonts w:asciiTheme="minorHAnsi" w:eastAsiaTheme="minorEastAsia" w:hAnsiTheme="minorHAnsi" w:cstheme="minorBidi"/>
          <w:sz w:val="22"/>
          <w:lang w:eastAsia="en-AU"/>
        </w:rPr>
      </w:pPr>
      <w:hyperlink w:anchor="_Toc21600815" w:history="1">
        <w:r w:rsidR="00555997" w:rsidRPr="00276F91">
          <w:rPr>
            <w:rStyle w:val="Hyperlink"/>
          </w:rPr>
          <w:t>Our vision</w:t>
        </w:r>
        <w:r w:rsidR="00555997">
          <w:rPr>
            <w:webHidden/>
          </w:rPr>
          <w:tab/>
        </w:r>
        <w:r w:rsidR="00555997">
          <w:rPr>
            <w:webHidden/>
          </w:rPr>
          <w:fldChar w:fldCharType="begin"/>
        </w:r>
        <w:r w:rsidR="00555997">
          <w:rPr>
            <w:webHidden/>
          </w:rPr>
          <w:instrText xml:space="preserve"> PAGEREF _Toc21600815 \h </w:instrText>
        </w:r>
        <w:r w:rsidR="00555997">
          <w:rPr>
            <w:webHidden/>
          </w:rPr>
        </w:r>
        <w:r w:rsidR="00555997">
          <w:rPr>
            <w:webHidden/>
          </w:rPr>
          <w:fldChar w:fldCharType="separate"/>
        </w:r>
        <w:r w:rsidR="00555997">
          <w:rPr>
            <w:webHidden/>
          </w:rPr>
          <w:t>7</w:t>
        </w:r>
        <w:r w:rsidR="00555997">
          <w:rPr>
            <w:webHidden/>
          </w:rPr>
          <w:fldChar w:fldCharType="end"/>
        </w:r>
      </w:hyperlink>
    </w:p>
    <w:p w14:paraId="562A95B5" w14:textId="608989BD" w:rsidR="00555997" w:rsidRDefault="0063484E">
      <w:pPr>
        <w:pStyle w:val="TOC2"/>
        <w:rPr>
          <w:rFonts w:asciiTheme="minorHAnsi" w:eastAsiaTheme="minorEastAsia" w:hAnsiTheme="minorHAnsi" w:cstheme="minorBidi"/>
          <w:sz w:val="22"/>
          <w:lang w:eastAsia="en-AU"/>
        </w:rPr>
      </w:pPr>
      <w:hyperlink w:anchor="_Toc21600816" w:history="1">
        <w:r w:rsidR="00555997" w:rsidRPr="00276F91">
          <w:rPr>
            <w:rStyle w:val="Hyperlink"/>
          </w:rPr>
          <w:t>Our outcomes</w:t>
        </w:r>
        <w:r w:rsidR="00555997">
          <w:rPr>
            <w:webHidden/>
          </w:rPr>
          <w:tab/>
        </w:r>
        <w:r w:rsidR="00555997">
          <w:rPr>
            <w:webHidden/>
          </w:rPr>
          <w:fldChar w:fldCharType="begin"/>
        </w:r>
        <w:r w:rsidR="00555997">
          <w:rPr>
            <w:webHidden/>
          </w:rPr>
          <w:instrText xml:space="preserve"> PAGEREF _Toc21600816 \h </w:instrText>
        </w:r>
        <w:r w:rsidR="00555997">
          <w:rPr>
            <w:webHidden/>
          </w:rPr>
        </w:r>
        <w:r w:rsidR="00555997">
          <w:rPr>
            <w:webHidden/>
          </w:rPr>
          <w:fldChar w:fldCharType="separate"/>
        </w:r>
        <w:r w:rsidR="00555997">
          <w:rPr>
            <w:webHidden/>
          </w:rPr>
          <w:t>7</w:t>
        </w:r>
        <w:r w:rsidR="00555997">
          <w:rPr>
            <w:webHidden/>
          </w:rPr>
          <w:fldChar w:fldCharType="end"/>
        </w:r>
      </w:hyperlink>
    </w:p>
    <w:p w14:paraId="3ABE204A" w14:textId="769C0B43" w:rsidR="00555997" w:rsidRDefault="0063484E">
      <w:pPr>
        <w:pStyle w:val="TOC2"/>
        <w:rPr>
          <w:rFonts w:asciiTheme="minorHAnsi" w:eastAsiaTheme="minorEastAsia" w:hAnsiTheme="minorHAnsi" w:cstheme="minorBidi"/>
          <w:sz w:val="22"/>
          <w:lang w:eastAsia="en-AU"/>
        </w:rPr>
      </w:pPr>
      <w:hyperlink w:anchor="_Toc21600817" w:history="1">
        <w:r w:rsidR="00555997" w:rsidRPr="00276F91">
          <w:rPr>
            <w:rStyle w:val="Hyperlink"/>
          </w:rPr>
          <w:t>Our functions</w:t>
        </w:r>
        <w:r w:rsidR="00555997">
          <w:rPr>
            <w:webHidden/>
          </w:rPr>
          <w:tab/>
        </w:r>
        <w:r w:rsidR="00555997">
          <w:rPr>
            <w:webHidden/>
          </w:rPr>
          <w:fldChar w:fldCharType="begin"/>
        </w:r>
        <w:r w:rsidR="00555997">
          <w:rPr>
            <w:webHidden/>
          </w:rPr>
          <w:instrText xml:space="preserve"> PAGEREF _Toc21600817 \h </w:instrText>
        </w:r>
        <w:r w:rsidR="00555997">
          <w:rPr>
            <w:webHidden/>
          </w:rPr>
        </w:r>
        <w:r w:rsidR="00555997">
          <w:rPr>
            <w:webHidden/>
          </w:rPr>
          <w:fldChar w:fldCharType="separate"/>
        </w:r>
        <w:r w:rsidR="00555997">
          <w:rPr>
            <w:webHidden/>
          </w:rPr>
          <w:t>7</w:t>
        </w:r>
        <w:r w:rsidR="00555997">
          <w:rPr>
            <w:webHidden/>
          </w:rPr>
          <w:fldChar w:fldCharType="end"/>
        </w:r>
      </w:hyperlink>
    </w:p>
    <w:p w14:paraId="2AE98110" w14:textId="7FC45577" w:rsidR="00555997" w:rsidRDefault="0063484E">
      <w:pPr>
        <w:pStyle w:val="TOC2"/>
        <w:rPr>
          <w:rFonts w:asciiTheme="minorHAnsi" w:eastAsiaTheme="minorEastAsia" w:hAnsiTheme="minorHAnsi" w:cstheme="minorBidi"/>
          <w:sz w:val="22"/>
          <w:lang w:eastAsia="en-AU"/>
        </w:rPr>
      </w:pPr>
      <w:hyperlink w:anchor="_Toc21600818" w:history="1">
        <w:r w:rsidR="00555997" w:rsidRPr="00276F91">
          <w:rPr>
            <w:rStyle w:val="Hyperlink"/>
          </w:rPr>
          <w:t>Our regulatory approach</w:t>
        </w:r>
        <w:r w:rsidR="00555997">
          <w:rPr>
            <w:webHidden/>
          </w:rPr>
          <w:tab/>
        </w:r>
        <w:r w:rsidR="00555997">
          <w:rPr>
            <w:webHidden/>
          </w:rPr>
          <w:fldChar w:fldCharType="begin"/>
        </w:r>
        <w:r w:rsidR="00555997">
          <w:rPr>
            <w:webHidden/>
          </w:rPr>
          <w:instrText xml:space="preserve"> PAGEREF _Toc21600818 \h </w:instrText>
        </w:r>
        <w:r w:rsidR="00555997">
          <w:rPr>
            <w:webHidden/>
          </w:rPr>
        </w:r>
        <w:r w:rsidR="00555997">
          <w:rPr>
            <w:webHidden/>
          </w:rPr>
          <w:fldChar w:fldCharType="separate"/>
        </w:r>
        <w:r w:rsidR="00555997">
          <w:rPr>
            <w:webHidden/>
          </w:rPr>
          <w:t>8</w:t>
        </w:r>
        <w:r w:rsidR="00555997">
          <w:rPr>
            <w:webHidden/>
          </w:rPr>
          <w:fldChar w:fldCharType="end"/>
        </w:r>
      </w:hyperlink>
    </w:p>
    <w:p w14:paraId="5B0915E8" w14:textId="46B16673" w:rsidR="00555997" w:rsidRDefault="0063484E">
      <w:pPr>
        <w:pStyle w:val="TOC1"/>
        <w:rPr>
          <w:rFonts w:asciiTheme="minorHAnsi" w:eastAsiaTheme="minorEastAsia" w:hAnsiTheme="minorHAnsi" w:cstheme="minorBidi"/>
          <w:b w:val="0"/>
          <w:noProof/>
          <w:sz w:val="22"/>
          <w:lang w:eastAsia="en-AU"/>
        </w:rPr>
      </w:pPr>
      <w:hyperlink w:anchor="_Toc21600819" w:history="1">
        <w:r w:rsidR="00555997" w:rsidRPr="00276F91">
          <w:rPr>
            <w:rStyle w:val="Hyperlink"/>
            <w:noProof/>
          </w:rPr>
          <w:t>Our performance</w:t>
        </w:r>
        <w:r w:rsidR="00555997">
          <w:rPr>
            <w:noProof/>
            <w:webHidden/>
          </w:rPr>
          <w:tab/>
        </w:r>
        <w:r w:rsidR="00555997">
          <w:rPr>
            <w:noProof/>
            <w:webHidden/>
          </w:rPr>
          <w:fldChar w:fldCharType="begin"/>
        </w:r>
        <w:r w:rsidR="00555997">
          <w:rPr>
            <w:noProof/>
            <w:webHidden/>
          </w:rPr>
          <w:instrText xml:space="preserve"> PAGEREF _Toc21600819 \h </w:instrText>
        </w:r>
        <w:r w:rsidR="00555997">
          <w:rPr>
            <w:noProof/>
            <w:webHidden/>
          </w:rPr>
        </w:r>
        <w:r w:rsidR="00555997">
          <w:rPr>
            <w:noProof/>
            <w:webHidden/>
          </w:rPr>
          <w:fldChar w:fldCharType="separate"/>
        </w:r>
        <w:r w:rsidR="00555997">
          <w:rPr>
            <w:noProof/>
            <w:webHidden/>
          </w:rPr>
          <w:t>10</w:t>
        </w:r>
        <w:r w:rsidR="00555997">
          <w:rPr>
            <w:noProof/>
            <w:webHidden/>
          </w:rPr>
          <w:fldChar w:fldCharType="end"/>
        </w:r>
      </w:hyperlink>
    </w:p>
    <w:p w14:paraId="069A4FFC" w14:textId="2B57F03D" w:rsidR="00555997" w:rsidRDefault="0063484E">
      <w:pPr>
        <w:pStyle w:val="TOC1"/>
        <w:rPr>
          <w:rFonts w:asciiTheme="minorHAnsi" w:eastAsiaTheme="minorEastAsia" w:hAnsiTheme="minorHAnsi" w:cstheme="minorBidi"/>
          <w:b w:val="0"/>
          <w:noProof/>
          <w:sz w:val="22"/>
          <w:lang w:eastAsia="en-AU"/>
        </w:rPr>
      </w:pPr>
      <w:hyperlink w:anchor="_Toc21600820" w:history="1">
        <w:r w:rsidR="00555997" w:rsidRPr="00276F91">
          <w:rPr>
            <w:rStyle w:val="Hyperlink"/>
            <w:noProof/>
          </w:rPr>
          <w:t>Our achievements</w:t>
        </w:r>
        <w:r w:rsidR="00555997">
          <w:rPr>
            <w:noProof/>
            <w:webHidden/>
          </w:rPr>
          <w:tab/>
        </w:r>
        <w:r w:rsidR="00555997">
          <w:rPr>
            <w:noProof/>
            <w:webHidden/>
          </w:rPr>
          <w:fldChar w:fldCharType="begin"/>
        </w:r>
        <w:r w:rsidR="00555997">
          <w:rPr>
            <w:noProof/>
            <w:webHidden/>
          </w:rPr>
          <w:instrText xml:space="preserve"> PAGEREF _Toc21600820 \h </w:instrText>
        </w:r>
        <w:r w:rsidR="00555997">
          <w:rPr>
            <w:noProof/>
            <w:webHidden/>
          </w:rPr>
        </w:r>
        <w:r w:rsidR="00555997">
          <w:rPr>
            <w:noProof/>
            <w:webHidden/>
          </w:rPr>
          <w:fldChar w:fldCharType="separate"/>
        </w:r>
        <w:r w:rsidR="00555997">
          <w:rPr>
            <w:noProof/>
            <w:webHidden/>
          </w:rPr>
          <w:t>12</w:t>
        </w:r>
        <w:r w:rsidR="00555997">
          <w:rPr>
            <w:noProof/>
            <w:webHidden/>
          </w:rPr>
          <w:fldChar w:fldCharType="end"/>
        </w:r>
      </w:hyperlink>
    </w:p>
    <w:p w14:paraId="68FB1CD5" w14:textId="144FBBCD" w:rsidR="00555997" w:rsidRDefault="0063484E">
      <w:pPr>
        <w:pStyle w:val="TOC2"/>
        <w:rPr>
          <w:rFonts w:asciiTheme="minorHAnsi" w:eastAsiaTheme="minorEastAsia" w:hAnsiTheme="minorHAnsi" w:cstheme="minorBidi"/>
          <w:sz w:val="22"/>
          <w:lang w:eastAsia="en-AU"/>
        </w:rPr>
      </w:pPr>
      <w:hyperlink w:anchor="_Toc21600821" w:history="1">
        <w:r w:rsidR="00555997" w:rsidRPr="00276F91">
          <w:rPr>
            <w:rStyle w:val="Hyperlink"/>
          </w:rPr>
          <w:t>Outcome 1 – Businesses comply with consumer laws</w:t>
        </w:r>
        <w:r w:rsidR="00555997">
          <w:rPr>
            <w:webHidden/>
          </w:rPr>
          <w:tab/>
        </w:r>
        <w:r w:rsidR="00555997">
          <w:rPr>
            <w:webHidden/>
          </w:rPr>
          <w:fldChar w:fldCharType="begin"/>
        </w:r>
        <w:r w:rsidR="00555997">
          <w:rPr>
            <w:webHidden/>
          </w:rPr>
          <w:instrText xml:space="preserve"> PAGEREF _Toc21600821 \h </w:instrText>
        </w:r>
        <w:r w:rsidR="00555997">
          <w:rPr>
            <w:webHidden/>
          </w:rPr>
        </w:r>
        <w:r w:rsidR="00555997">
          <w:rPr>
            <w:webHidden/>
          </w:rPr>
          <w:fldChar w:fldCharType="separate"/>
        </w:r>
        <w:r w:rsidR="00555997">
          <w:rPr>
            <w:webHidden/>
          </w:rPr>
          <w:t>12</w:t>
        </w:r>
        <w:r w:rsidR="00555997">
          <w:rPr>
            <w:webHidden/>
          </w:rPr>
          <w:fldChar w:fldCharType="end"/>
        </w:r>
      </w:hyperlink>
    </w:p>
    <w:p w14:paraId="048E109E" w14:textId="1EB0EB36" w:rsidR="00555997" w:rsidRDefault="0063484E">
      <w:pPr>
        <w:pStyle w:val="TOC2"/>
        <w:rPr>
          <w:rFonts w:asciiTheme="minorHAnsi" w:eastAsiaTheme="minorEastAsia" w:hAnsiTheme="minorHAnsi" w:cstheme="minorBidi"/>
          <w:sz w:val="22"/>
          <w:lang w:eastAsia="en-AU"/>
        </w:rPr>
      </w:pPr>
      <w:hyperlink w:anchor="_Toc21600822" w:history="1">
        <w:r w:rsidR="00555997" w:rsidRPr="00276F91">
          <w:rPr>
            <w:rStyle w:val="Hyperlink"/>
          </w:rPr>
          <w:t>Outcome 2 – Victorians exercise their consumer rights</w:t>
        </w:r>
        <w:r w:rsidR="00555997">
          <w:rPr>
            <w:webHidden/>
          </w:rPr>
          <w:tab/>
        </w:r>
        <w:r w:rsidR="00555997">
          <w:rPr>
            <w:webHidden/>
          </w:rPr>
          <w:fldChar w:fldCharType="begin"/>
        </w:r>
        <w:r w:rsidR="00555997">
          <w:rPr>
            <w:webHidden/>
          </w:rPr>
          <w:instrText xml:space="preserve"> PAGEREF _Toc21600822 \h </w:instrText>
        </w:r>
        <w:r w:rsidR="00555997">
          <w:rPr>
            <w:webHidden/>
          </w:rPr>
        </w:r>
        <w:r w:rsidR="00555997">
          <w:rPr>
            <w:webHidden/>
          </w:rPr>
          <w:fldChar w:fldCharType="separate"/>
        </w:r>
        <w:r w:rsidR="00555997">
          <w:rPr>
            <w:webHidden/>
          </w:rPr>
          <w:t>19</w:t>
        </w:r>
        <w:r w:rsidR="00555997">
          <w:rPr>
            <w:webHidden/>
          </w:rPr>
          <w:fldChar w:fldCharType="end"/>
        </w:r>
      </w:hyperlink>
    </w:p>
    <w:p w14:paraId="59202CD4" w14:textId="5C0718B3" w:rsidR="00555997" w:rsidRDefault="0063484E">
      <w:pPr>
        <w:pStyle w:val="TOC2"/>
        <w:rPr>
          <w:rFonts w:asciiTheme="minorHAnsi" w:eastAsiaTheme="minorEastAsia" w:hAnsiTheme="minorHAnsi" w:cstheme="minorBidi"/>
          <w:sz w:val="22"/>
          <w:lang w:eastAsia="en-AU"/>
        </w:rPr>
      </w:pPr>
      <w:hyperlink w:anchor="_Toc21600823" w:history="1">
        <w:r w:rsidR="00555997" w:rsidRPr="00276F91">
          <w:rPr>
            <w:rStyle w:val="Hyperlink"/>
          </w:rPr>
          <w:t>Outcome 3 – A fair and safe rental market</w:t>
        </w:r>
        <w:r w:rsidR="00555997">
          <w:rPr>
            <w:webHidden/>
          </w:rPr>
          <w:tab/>
        </w:r>
        <w:r w:rsidR="00555997">
          <w:rPr>
            <w:webHidden/>
          </w:rPr>
          <w:fldChar w:fldCharType="begin"/>
        </w:r>
        <w:r w:rsidR="00555997">
          <w:rPr>
            <w:webHidden/>
          </w:rPr>
          <w:instrText xml:space="preserve"> PAGEREF _Toc21600823 \h </w:instrText>
        </w:r>
        <w:r w:rsidR="00555997">
          <w:rPr>
            <w:webHidden/>
          </w:rPr>
        </w:r>
        <w:r w:rsidR="00555997">
          <w:rPr>
            <w:webHidden/>
          </w:rPr>
          <w:fldChar w:fldCharType="separate"/>
        </w:r>
        <w:r w:rsidR="00555997">
          <w:rPr>
            <w:webHidden/>
          </w:rPr>
          <w:t>23</w:t>
        </w:r>
        <w:r w:rsidR="00555997">
          <w:rPr>
            <w:webHidden/>
          </w:rPr>
          <w:fldChar w:fldCharType="end"/>
        </w:r>
      </w:hyperlink>
    </w:p>
    <w:p w14:paraId="42649A08" w14:textId="704F17D6" w:rsidR="00555997" w:rsidRDefault="0063484E">
      <w:pPr>
        <w:pStyle w:val="TOC1"/>
        <w:rPr>
          <w:rFonts w:asciiTheme="minorHAnsi" w:eastAsiaTheme="minorEastAsia" w:hAnsiTheme="minorHAnsi" w:cstheme="minorBidi"/>
          <w:b w:val="0"/>
          <w:noProof/>
          <w:sz w:val="22"/>
          <w:lang w:eastAsia="en-AU"/>
        </w:rPr>
      </w:pPr>
      <w:hyperlink w:anchor="_Toc21600824" w:history="1">
        <w:r w:rsidR="00555997" w:rsidRPr="00276F91">
          <w:rPr>
            <w:rStyle w:val="Hyperlink"/>
            <w:noProof/>
          </w:rPr>
          <w:t>Trust funds managed by Consumer Affairs Victoria</w:t>
        </w:r>
        <w:r w:rsidR="00555997">
          <w:rPr>
            <w:noProof/>
            <w:webHidden/>
          </w:rPr>
          <w:tab/>
        </w:r>
        <w:r w:rsidR="00555997">
          <w:rPr>
            <w:noProof/>
            <w:webHidden/>
          </w:rPr>
          <w:fldChar w:fldCharType="begin"/>
        </w:r>
        <w:r w:rsidR="00555997">
          <w:rPr>
            <w:noProof/>
            <w:webHidden/>
          </w:rPr>
          <w:instrText xml:space="preserve"> PAGEREF _Toc21600824 \h </w:instrText>
        </w:r>
        <w:r w:rsidR="00555997">
          <w:rPr>
            <w:noProof/>
            <w:webHidden/>
          </w:rPr>
        </w:r>
        <w:r w:rsidR="00555997">
          <w:rPr>
            <w:noProof/>
            <w:webHidden/>
          </w:rPr>
          <w:fldChar w:fldCharType="separate"/>
        </w:r>
        <w:r w:rsidR="00555997">
          <w:rPr>
            <w:noProof/>
            <w:webHidden/>
          </w:rPr>
          <w:t>29</w:t>
        </w:r>
        <w:r w:rsidR="00555997">
          <w:rPr>
            <w:noProof/>
            <w:webHidden/>
          </w:rPr>
          <w:fldChar w:fldCharType="end"/>
        </w:r>
      </w:hyperlink>
    </w:p>
    <w:p w14:paraId="2875F6A8" w14:textId="36B209A8" w:rsidR="00555997" w:rsidRDefault="0063484E">
      <w:pPr>
        <w:pStyle w:val="TOC1"/>
        <w:rPr>
          <w:rFonts w:asciiTheme="minorHAnsi" w:eastAsiaTheme="minorEastAsia" w:hAnsiTheme="minorHAnsi" w:cstheme="minorBidi"/>
          <w:b w:val="0"/>
          <w:noProof/>
          <w:sz w:val="22"/>
          <w:lang w:eastAsia="en-AU"/>
        </w:rPr>
      </w:pPr>
      <w:hyperlink w:anchor="_Toc21600825" w:history="1">
        <w:r w:rsidR="00555997" w:rsidRPr="00276F91">
          <w:rPr>
            <w:rStyle w:val="Hyperlink"/>
            <w:noProof/>
          </w:rPr>
          <w:t>Reducing red tape</w:t>
        </w:r>
        <w:r w:rsidR="00555997">
          <w:rPr>
            <w:noProof/>
            <w:webHidden/>
          </w:rPr>
          <w:tab/>
        </w:r>
        <w:r w:rsidR="00555997">
          <w:rPr>
            <w:noProof/>
            <w:webHidden/>
          </w:rPr>
          <w:fldChar w:fldCharType="begin"/>
        </w:r>
        <w:r w:rsidR="00555997">
          <w:rPr>
            <w:noProof/>
            <w:webHidden/>
          </w:rPr>
          <w:instrText xml:space="preserve"> PAGEREF _Toc21600825 \h </w:instrText>
        </w:r>
        <w:r w:rsidR="00555997">
          <w:rPr>
            <w:noProof/>
            <w:webHidden/>
          </w:rPr>
        </w:r>
        <w:r w:rsidR="00555997">
          <w:rPr>
            <w:noProof/>
            <w:webHidden/>
          </w:rPr>
          <w:fldChar w:fldCharType="separate"/>
        </w:r>
        <w:r w:rsidR="00555997">
          <w:rPr>
            <w:noProof/>
            <w:webHidden/>
          </w:rPr>
          <w:t>30</w:t>
        </w:r>
        <w:r w:rsidR="00555997">
          <w:rPr>
            <w:noProof/>
            <w:webHidden/>
          </w:rPr>
          <w:fldChar w:fldCharType="end"/>
        </w:r>
      </w:hyperlink>
    </w:p>
    <w:p w14:paraId="50844506" w14:textId="1BD8EB8F" w:rsidR="00555997" w:rsidRDefault="0063484E">
      <w:pPr>
        <w:pStyle w:val="TOC1"/>
        <w:rPr>
          <w:rFonts w:asciiTheme="minorHAnsi" w:eastAsiaTheme="minorEastAsia" w:hAnsiTheme="minorHAnsi" w:cstheme="minorBidi"/>
          <w:b w:val="0"/>
          <w:noProof/>
          <w:sz w:val="22"/>
          <w:lang w:eastAsia="en-AU"/>
        </w:rPr>
      </w:pPr>
      <w:hyperlink w:anchor="_Toc21600826" w:history="1">
        <w:r w:rsidR="00555997" w:rsidRPr="00276F91">
          <w:rPr>
            <w:rStyle w:val="Hyperlink"/>
            <w:noProof/>
          </w:rPr>
          <w:t>Financial information 2018–19</w:t>
        </w:r>
        <w:r w:rsidR="00555997">
          <w:rPr>
            <w:noProof/>
            <w:webHidden/>
          </w:rPr>
          <w:tab/>
        </w:r>
        <w:r w:rsidR="00555997">
          <w:rPr>
            <w:noProof/>
            <w:webHidden/>
          </w:rPr>
          <w:fldChar w:fldCharType="begin"/>
        </w:r>
        <w:r w:rsidR="00555997">
          <w:rPr>
            <w:noProof/>
            <w:webHidden/>
          </w:rPr>
          <w:instrText xml:space="preserve"> PAGEREF _Toc21600826 \h </w:instrText>
        </w:r>
        <w:r w:rsidR="00555997">
          <w:rPr>
            <w:noProof/>
            <w:webHidden/>
          </w:rPr>
        </w:r>
        <w:r w:rsidR="00555997">
          <w:rPr>
            <w:noProof/>
            <w:webHidden/>
          </w:rPr>
          <w:fldChar w:fldCharType="separate"/>
        </w:r>
        <w:r w:rsidR="00555997">
          <w:rPr>
            <w:noProof/>
            <w:webHidden/>
          </w:rPr>
          <w:t>31</w:t>
        </w:r>
        <w:r w:rsidR="00555997">
          <w:rPr>
            <w:noProof/>
            <w:webHidden/>
          </w:rPr>
          <w:fldChar w:fldCharType="end"/>
        </w:r>
      </w:hyperlink>
    </w:p>
    <w:p w14:paraId="7D58E7A5" w14:textId="2DEC1FCC" w:rsidR="00555997" w:rsidRDefault="0063484E">
      <w:pPr>
        <w:pStyle w:val="TOC1"/>
        <w:rPr>
          <w:rFonts w:asciiTheme="minorHAnsi" w:eastAsiaTheme="minorEastAsia" w:hAnsiTheme="minorHAnsi" w:cstheme="minorBidi"/>
          <w:b w:val="0"/>
          <w:noProof/>
          <w:sz w:val="22"/>
          <w:lang w:eastAsia="en-AU"/>
        </w:rPr>
      </w:pPr>
      <w:hyperlink w:anchor="_Toc21600827" w:history="1">
        <w:r w:rsidR="00555997" w:rsidRPr="00276F91">
          <w:rPr>
            <w:rStyle w:val="Hyperlink"/>
            <w:noProof/>
          </w:rPr>
          <w:t>Acts and regulations commenced or revoked in 2018–19</w:t>
        </w:r>
        <w:r w:rsidR="00555997">
          <w:rPr>
            <w:noProof/>
            <w:webHidden/>
          </w:rPr>
          <w:tab/>
        </w:r>
        <w:r w:rsidR="00555997">
          <w:rPr>
            <w:noProof/>
            <w:webHidden/>
          </w:rPr>
          <w:fldChar w:fldCharType="begin"/>
        </w:r>
        <w:r w:rsidR="00555997">
          <w:rPr>
            <w:noProof/>
            <w:webHidden/>
          </w:rPr>
          <w:instrText xml:space="preserve"> PAGEREF _Toc21600827 \h </w:instrText>
        </w:r>
        <w:r w:rsidR="00555997">
          <w:rPr>
            <w:noProof/>
            <w:webHidden/>
          </w:rPr>
        </w:r>
        <w:r w:rsidR="00555997">
          <w:rPr>
            <w:noProof/>
            <w:webHidden/>
          </w:rPr>
          <w:fldChar w:fldCharType="separate"/>
        </w:r>
        <w:r w:rsidR="00555997">
          <w:rPr>
            <w:noProof/>
            <w:webHidden/>
          </w:rPr>
          <w:t>32</w:t>
        </w:r>
        <w:r w:rsidR="00555997">
          <w:rPr>
            <w:noProof/>
            <w:webHidden/>
          </w:rPr>
          <w:fldChar w:fldCharType="end"/>
        </w:r>
      </w:hyperlink>
    </w:p>
    <w:p w14:paraId="56BB976E" w14:textId="696335E1" w:rsidR="00555997" w:rsidRDefault="0063484E">
      <w:pPr>
        <w:pStyle w:val="TOC2"/>
        <w:rPr>
          <w:rFonts w:asciiTheme="minorHAnsi" w:eastAsiaTheme="minorEastAsia" w:hAnsiTheme="minorHAnsi" w:cstheme="minorBidi"/>
          <w:sz w:val="22"/>
          <w:lang w:eastAsia="en-AU"/>
        </w:rPr>
      </w:pPr>
      <w:hyperlink w:anchor="_Toc21600828" w:history="1">
        <w:r w:rsidR="00555997" w:rsidRPr="00276F91">
          <w:rPr>
            <w:rStyle w:val="Hyperlink"/>
          </w:rPr>
          <w:t>Acts passed</w:t>
        </w:r>
        <w:r w:rsidR="00555997">
          <w:rPr>
            <w:webHidden/>
          </w:rPr>
          <w:tab/>
        </w:r>
        <w:r w:rsidR="00555997">
          <w:rPr>
            <w:webHidden/>
          </w:rPr>
          <w:fldChar w:fldCharType="begin"/>
        </w:r>
        <w:r w:rsidR="00555997">
          <w:rPr>
            <w:webHidden/>
          </w:rPr>
          <w:instrText xml:space="preserve"> PAGEREF _Toc21600828 \h </w:instrText>
        </w:r>
        <w:r w:rsidR="00555997">
          <w:rPr>
            <w:webHidden/>
          </w:rPr>
        </w:r>
        <w:r w:rsidR="00555997">
          <w:rPr>
            <w:webHidden/>
          </w:rPr>
          <w:fldChar w:fldCharType="separate"/>
        </w:r>
        <w:r w:rsidR="00555997">
          <w:rPr>
            <w:webHidden/>
          </w:rPr>
          <w:t>32</w:t>
        </w:r>
        <w:r w:rsidR="00555997">
          <w:rPr>
            <w:webHidden/>
          </w:rPr>
          <w:fldChar w:fldCharType="end"/>
        </w:r>
      </w:hyperlink>
    </w:p>
    <w:p w14:paraId="75AD45C7" w14:textId="59D5CB06" w:rsidR="00555997" w:rsidRDefault="0063484E">
      <w:pPr>
        <w:pStyle w:val="TOC2"/>
        <w:rPr>
          <w:rFonts w:asciiTheme="minorHAnsi" w:eastAsiaTheme="minorEastAsia" w:hAnsiTheme="minorHAnsi" w:cstheme="minorBidi"/>
          <w:sz w:val="22"/>
          <w:lang w:eastAsia="en-AU"/>
        </w:rPr>
      </w:pPr>
      <w:hyperlink w:anchor="_Toc21600829" w:history="1">
        <w:r w:rsidR="00555997" w:rsidRPr="00276F91">
          <w:rPr>
            <w:rStyle w:val="Hyperlink"/>
          </w:rPr>
          <w:t>Regulations commenced</w:t>
        </w:r>
        <w:r w:rsidR="00555997">
          <w:rPr>
            <w:webHidden/>
          </w:rPr>
          <w:tab/>
        </w:r>
        <w:r w:rsidR="00555997">
          <w:rPr>
            <w:webHidden/>
          </w:rPr>
          <w:fldChar w:fldCharType="begin"/>
        </w:r>
        <w:r w:rsidR="00555997">
          <w:rPr>
            <w:webHidden/>
          </w:rPr>
          <w:instrText xml:space="preserve"> PAGEREF _Toc21600829 \h </w:instrText>
        </w:r>
        <w:r w:rsidR="00555997">
          <w:rPr>
            <w:webHidden/>
          </w:rPr>
        </w:r>
        <w:r w:rsidR="00555997">
          <w:rPr>
            <w:webHidden/>
          </w:rPr>
          <w:fldChar w:fldCharType="separate"/>
        </w:r>
        <w:r w:rsidR="00555997">
          <w:rPr>
            <w:webHidden/>
          </w:rPr>
          <w:t>32</w:t>
        </w:r>
        <w:r w:rsidR="00555997">
          <w:rPr>
            <w:webHidden/>
          </w:rPr>
          <w:fldChar w:fldCharType="end"/>
        </w:r>
      </w:hyperlink>
    </w:p>
    <w:p w14:paraId="135AD5F0" w14:textId="288D6F75" w:rsidR="00555997" w:rsidRDefault="0063484E">
      <w:pPr>
        <w:pStyle w:val="TOC2"/>
        <w:rPr>
          <w:rFonts w:asciiTheme="minorHAnsi" w:eastAsiaTheme="minorEastAsia" w:hAnsiTheme="minorHAnsi" w:cstheme="minorBidi"/>
          <w:sz w:val="22"/>
          <w:lang w:eastAsia="en-AU"/>
        </w:rPr>
      </w:pPr>
      <w:hyperlink w:anchor="_Toc21600830" w:history="1">
        <w:r w:rsidR="00555997" w:rsidRPr="00276F91">
          <w:rPr>
            <w:rStyle w:val="Hyperlink"/>
          </w:rPr>
          <w:t>Regulations revoked</w:t>
        </w:r>
        <w:r w:rsidR="00555997">
          <w:rPr>
            <w:webHidden/>
          </w:rPr>
          <w:tab/>
        </w:r>
        <w:r w:rsidR="00555997">
          <w:rPr>
            <w:webHidden/>
          </w:rPr>
          <w:fldChar w:fldCharType="begin"/>
        </w:r>
        <w:r w:rsidR="00555997">
          <w:rPr>
            <w:webHidden/>
          </w:rPr>
          <w:instrText xml:space="preserve"> PAGEREF _Toc21600830 \h </w:instrText>
        </w:r>
        <w:r w:rsidR="00555997">
          <w:rPr>
            <w:webHidden/>
          </w:rPr>
        </w:r>
        <w:r w:rsidR="00555997">
          <w:rPr>
            <w:webHidden/>
          </w:rPr>
          <w:fldChar w:fldCharType="separate"/>
        </w:r>
        <w:r w:rsidR="00555997">
          <w:rPr>
            <w:webHidden/>
          </w:rPr>
          <w:t>33</w:t>
        </w:r>
        <w:r w:rsidR="00555997">
          <w:rPr>
            <w:webHidden/>
          </w:rPr>
          <w:fldChar w:fldCharType="end"/>
        </w:r>
      </w:hyperlink>
    </w:p>
    <w:p w14:paraId="1ECE085E" w14:textId="722396AC" w:rsidR="00555997" w:rsidRDefault="0063484E">
      <w:pPr>
        <w:pStyle w:val="TOC1"/>
        <w:rPr>
          <w:rFonts w:asciiTheme="minorHAnsi" w:eastAsiaTheme="minorEastAsia" w:hAnsiTheme="minorHAnsi" w:cstheme="minorBidi"/>
          <w:b w:val="0"/>
          <w:noProof/>
          <w:sz w:val="22"/>
          <w:lang w:eastAsia="en-AU"/>
        </w:rPr>
      </w:pPr>
      <w:hyperlink w:anchor="_Toc21600831" w:history="1">
        <w:r w:rsidR="00555997" w:rsidRPr="00276F91">
          <w:rPr>
            <w:rStyle w:val="Hyperlink"/>
            <w:noProof/>
          </w:rPr>
          <w:t>Appendix</w:t>
        </w:r>
        <w:r w:rsidR="00555997">
          <w:rPr>
            <w:noProof/>
            <w:webHidden/>
          </w:rPr>
          <w:tab/>
        </w:r>
        <w:r w:rsidR="00555997">
          <w:rPr>
            <w:noProof/>
            <w:webHidden/>
          </w:rPr>
          <w:fldChar w:fldCharType="begin"/>
        </w:r>
        <w:r w:rsidR="00555997">
          <w:rPr>
            <w:noProof/>
            <w:webHidden/>
          </w:rPr>
          <w:instrText xml:space="preserve"> PAGEREF _Toc21600831 \h </w:instrText>
        </w:r>
        <w:r w:rsidR="00555997">
          <w:rPr>
            <w:noProof/>
            <w:webHidden/>
          </w:rPr>
        </w:r>
        <w:r w:rsidR="00555997">
          <w:rPr>
            <w:noProof/>
            <w:webHidden/>
          </w:rPr>
          <w:fldChar w:fldCharType="separate"/>
        </w:r>
        <w:r w:rsidR="00555997">
          <w:rPr>
            <w:noProof/>
            <w:webHidden/>
          </w:rPr>
          <w:t>34</w:t>
        </w:r>
        <w:r w:rsidR="00555997">
          <w:rPr>
            <w:noProof/>
            <w:webHidden/>
          </w:rPr>
          <w:fldChar w:fldCharType="end"/>
        </w:r>
      </w:hyperlink>
    </w:p>
    <w:p w14:paraId="6123D01E" w14:textId="51E11867" w:rsidR="00555997" w:rsidRDefault="0063484E">
      <w:pPr>
        <w:pStyle w:val="TOC1"/>
        <w:rPr>
          <w:rFonts w:asciiTheme="minorHAnsi" w:eastAsiaTheme="minorEastAsia" w:hAnsiTheme="minorHAnsi" w:cstheme="minorBidi"/>
          <w:b w:val="0"/>
          <w:noProof/>
          <w:sz w:val="22"/>
          <w:lang w:eastAsia="en-AU"/>
        </w:rPr>
      </w:pPr>
      <w:hyperlink w:anchor="_Toc21600832" w:history="1">
        <w:r w:rsidR="00555997" w:rsidRPr="00276F91">
          <w:rPr>
            <w:rStyle w:val="Hyperlink"/>
            <w:noProof/>
          </w:rPr>
          <w:t>Consumer Affairs Victoria</w:t>
        </w:r>
        <w:r w:rsidR="00555997">
          <w:rPr>
            <w:noProof/>
            <w:webHidden/>
          </w:rPr>
          <w:tab/>
        </w:r>
        <w:r w:rsidR="00555997">
          <w:rPr>
            <w:noProof/>
            <w:webHidden/>
          </w:rPr>
          <w:fldChar w:fldCharType="begin"/>
        </w:r>
        <w:r w:rsidR="00555997">
          <w:rPr>
            <w:noProof/>
            <w:webHidden/>
          </w:rPr>
          <w:instrText xml:space="preserve"> PAGEREF _Toc21600832 \h </w:instrText>
        </w:r>
        <w:r w:rsidR="00555997">
          <w:rPr>
            <w:noProof/>
            <w:webHidden/>
          </w:rPr>
        </w:r>
        <w:r w:rsidR="00555997">
          <w:rPr>
            <w:noProof/>
            <w:webHidden/>
          </w:rPr>
          <w:fldChar w:fldCharType="separate"/>
        </w:r>
        <w:r w:rsidR="00555997">
          <w:rPr>
            <w:noProof/>
            <w:webHidden/>
          </w:rPr>
          <w:t>36</w:t>
        </w:r>
        <w:r w:rsidR="00555997">
          <w:rPr>
            <w:noProof/>
            <w:webHidden/>
          </w:rPr>
          <w:fldChar w:fldCharType="end"/>
        </w:r>
      </w:hyperlink>
    </w:p>
    <w:p w14:paraId="6779D866" w14:textId="3595274E" w:rsidR="008E1660" w:rsidRDefault="009569B2" w:rsidP="008E1660">
      <w:pPr>
        <w:pStyle w:val="BodyText"/>
      </w:pPr>
      <w:r>
        <w:fldChar w:fldCharType="end"/>
      </w:r>
    </w:p>
    <w:p w14:paraId="675F17C9" w14:textId="0E4D27FB" w:rsidR="00ED6A34" w:rsidRDefault="00ED6A34" w:rsidP="00BB1C65">
      <w:pPr>
        <w:pStyle w:val="Heading2"/>
      </w:pPr>
      <w:bookmarkStart w:id="2" w:name="_Toc21600811"/>
      <w:r>
        <w:lastRenderedPageBreak/>
        <w:t>Letter to the Minister</w:t>
      </w:r>
      <w:bookmarkEnd w:id="2"/>
    </w:p>
    <w:p w14:paraId="6371573E" w14:textId="43231A14" w:rsidR="00ED6A34" w:rsidRDefault="001B396A" w:rsidP="009C226D">
      <w:pPr>
        <w:pStyle w:val="BodyText"/>
      </w:pPr>
      <w:r>
        <w:rPr>
          <w:noProof/>
        </w:rPr>
        <w:drawing>
          <wp:inline distT="0" distB="0" distL="0" distR="0" wp14:anchorId="34AC4ACE" wp14:editId="12B04311">
            <wp:extent cx="1800000" cy="1791000"/>
            <wp:effectExtent l="0" t="0" r="0" b="0"/>
            <wp:docPr id="2" name="Picture 2" descr="The Hon. Marlene Kairouz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lene Kairouz.jpg"/>
                    <pic:cNvPicPr/>
                  </pic:nvPicPr>
                  <pic:blipFill>
                    <a:blip r:embed="rId13">
                      <a:extLst>
                        <a:ext uri="{28A0092B-C50C-407E-A947-70E740481C1C}">
                          <a14:useLocalDpi xmlns:a14="http://schemas.microsoft.com/office/drawing/2010/main" val="0"/>
                        </a:ext>
                      </a:extLst>
                    </a:blip>
                    <a:stretch>
                      <a:fillRect/>
                    </a:stretch>
                  </pic:blipFill>
                  <pic:spPr>
                    <a:xfrm>
                      <a:off x="0" y="0"/>
                      <a:ext cx="1800000" cy="1791000"/>
                    </a:xfrm>
                    <a:prstGeom prst="rect">
                      <a:avLst/>
                    </a:prstGeom>
                  </pic:spPr>
                </pic:pic>
              </a:graphicData>
            </a:graphic>
          </wp:inline>
        </w:drawing>
      </w:r>
    </w:p>
    <w:p w14:paraId="6B1426A3" w14:textId="2E48E63E" w:rsidR="00ED6A34" w:rsidRDefault="00ED6A34" w:rsidP="009C226D">
      <w:pPr>
        <w:pStyle w:val="BodyText"/>
      </w:pPr>
      <w:r w:rsidRPr="002352A5">
        <w:rPr>
          <w:rStyle w:val="Strong"/>
        </w:rPr>
        <w:t xml:space="preserve">The Hon. Marlene </w:t>
      </w:r>
      <w:proofErr w:type="spellStart"/>
      <w:r w:rsidRPr="002352A5">
        <w:rPr>
          <w:rStyle w:val="Strong"/>
        </w:rPr>
        <w:t>Kairouz</w:t>
      </w:r>
      <w:proofErr w:type="spellEnd"/>
      <w:r w:rsidRPr="002352A5">
        <w:rPr>
          <w:rStyle w:val="Strong"/>
        </w:rPr>
        <w:t xml:space="preserve"> MP</w:t>
      </w:r>
      <w:r w:rsidR="009C226D">
        <w:rPr>
          <w:rStyle w:val="Strong"/>
        </w:rPr>
        <w:br/>
      </w:r>
      <w:r>
        <w:t xml:space="preserve">Minister for Consumer Affairs, </w:t>
      </w:r>
      <w:r>
        <w:br/>
        <w:t>Gaming and Liquor Regulation</w:t>
      </w:r>
    </w:p>
    <w:p w14:paraId="7F1B2DA0" w14:textId="4E80FE7E" w:rsidR="00ED6A34" w:rsidRDefault="00ED6A34" w:rsidP="00A75F3C">
      <w:pPr>
        <w:pStyle w:val="BodyText"/>
      </w:pPr>
      <w:r>
        <w:t>Dear Minister,</w:t>
      </w:r>
    </w:p>
    <w:p w14:paraId="50B2616A" w14:textId="2C5D0F01" w:rsidR="00ED6A34" w:rsidRDefault="00ED6A34" w:rsidP="00A75F3C">
      <w:pPr>
        <w:pStyle w:val="BodyText"/>
      </w:pPr>
      <w:r>
        <w:t xml:space="preserve">In accordance with the </w:t>
      </w:r>
      <w:r w:rsidRPr="00F3632D">
        <w:rPr>
          <w:rStyle w:val="Emphasis"/>
        </w:rPr>
        <w:t xml:space="preserve">Australian Consumer Law and </w:t>
      </w:r>
      <w:proofErr w:type="gramStart"/>
      <w:r w:rsidRPr="00F3632D">
        <w:rPr>
          <w:rStyle w:val="Emphasis"/>
        </w:rPr>
        <w:t>Fair Trading</w:t>
      </w:r>
      <w:proofErr w:type="gramEnd"/>
      <w:r w:rsidRPr="00F3632D">
        <w:rPr>
          <w:rStyle w:val="Emphasis"/>
        </w:rPr>
        <w:t xml:space="preserve"> Act 2012</w:t>
      </w:r>
      <w:r>
        <w:t xml:space="preserve">, the </w:t>
      </w:r>
      <w:r w:rsidRPr="00F3632D">
        <w:rPr>
          <w:rStyle w:val="Emphasis"/>
        </w:rPr>
        <w:t>Credit (Administration) Act 1984</w:t>
      </w:r>
      <w:r>
        <w:t xml:space="preserve"> and the </w:t>
      </w:r>
      <w:r w:rsidRPr="00F3632D">
        <w:rPr>
          <w:rStyle w:val="Emphasis"/>
        </w:rPr>
        <w:t>Veterans Act 2005</w:t>
      </w:r>
      <w:r>
        <w:t>, I am pleased to present the Consumer Affairs Victoria Annual Report for the year ending 30 June 2019.</w:t>
      </w:r>
    </w:p>
    <w:p w14:paraId="664FF6F2" w14:textId="1786DCD7" w:rsidR="00ED6A34" w:rsidRDefault="00ED6A34" w:rsidP="00A75F3C">
      <w:pPr>
        <w:pStyle w:val="BodyText"/>
      </w:pPr>
      <w:r>
        <w:t>Yours sincerely,</w:t>
      </w:r>
    </w:p>
    <w:p w14:paraId="24C1A125" w14:textId="3DEFD038" w:rsidR="00ED6A34" w:rsidRDefault="0063484E" w:rsidP="00A75F3C">
      <w:pPr>
        <w:pStyle w:val="BodyTextSmallSpace"/>
      </w:pPr>
      <w:r>
        <w:pict w14:anchorId="30D48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m Jenkin signature" style="width:95.25pt;height:30pt">
            <v:imagedata r:id="rId14" o:title=""/>
          </v:shape>
        </w:pict>
      </w:r>
    </w:p>
    <w:p w14:paraId="334FCC41" w14:textId="54F56629" w:rsidR="00ED6A34" w:rsidRPr="002352A5" w:rsidRDefault="00ED6A34" w:rsidP="00A75F3C">
      <w:pPr>
        <w:pStyle w:val="BodyTextSmallSpace"/>
        <w:rPr>
          <w:rStyle w:val="Strong"/>
        </w:rPr>
      </w:pPr>
      <w:r w:rsidRPr="002352A5">
        <w:rPr>
          <w:rStyle w:val="Strong"/>
        </w:rPr>
        <w:t>Sam Jenkin</w:t>
      </w:r>
    </w:p>
    <w:p w14:paraId="175B9BDA" w14:textId="57899C27" w:rsidR="00ED6A34" w:rsidRDefault="00ED6A34" w:rsidP="00A75F3C">
      <w:pPr>
        <w:pStyle w:val="BodyText"/>
      </w:pPr>
      <w:r>
        <w:t>Executive Director Regulatory Services &amp;</w:t>
      </w:r>
      <w:r>
        <w:br/>
        <w:t>Director, Consumer Affairs Victoria</w:t>
      </w:r>
    </w:p>
    <w:p w14:paraId="3076C38D" w14:textId="70F967AF" w:rsidR="00ED6A34" w:rsidRDefault="00ED6A34" w:rsidP="00BB1C65">
      <w:pPr>
        <w:pStyle w:val="Heading2"/>
      </w:pPr>
      <w:bookmarkStart w:id="3" w:name="_Toc21600812"/>
      <w:r>
        <w:lastRenderedPageBreak/>
        <w:t>Director’s foreword</w:t>
      </w:r>
      <w:bookmarkEnd w:id="3"/>
    </w:p>
    <w:p w14:paraId="51DD5C1A" w14:textId="462ECAF3" w:rsidR="00455A12" w:rsidRDefault="00455A12" w:rsidP="00A75F3C">
      <w:pPr>
        <w:pStyle w:val="BodyText"/>
      </w:pPr>
      <w:r>
        <w:rPr>
          <w:noProof/>
        </w:rPr>
        <w:drawing>
          <wp:inline distT="0" distB="0" distL="0" distR="0" wp14:anchorId="0C2C9363" wp14:editId="20D03A94">
            <wp:extent cx="1800000" cy="1800000"/>
            <wp:effectExtent l="0" t="0" r="0" b="0"/>
            <wp:docPr id="4" name="Picture 4" descr="Sam Jenk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Jenkin.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738CB64" w14:textId="7E991591" w:rsidR="00ED6A34" w:rsidRDefault="00ED6A34" w:rsidP="00A75F3C">
      <w:pPr>
        <w:pStyle w:val="BodyText"/>
      </w:pPr>
      <w:r>
        <w:t xml:space="preserve">Consumer Affairs Victoria’s work in 2018–19 has been underpinned by the introduction of our three-year Strategic Plan, focused on achieving our vision of a fair and competitive marketplace in Victoria, and delivering key outcomes for the community. We have also introduced a regulatory excellence framework to embed the principles of ‘we serve the public, we connect, we </w:t>
      </w:r>
      <w:proofErr w:type="gramStart"/>
      <w:r>
        <w:t>lead</w:t>
      </w:r>
      <w:proofErr w:type="gramEnd"/>
      <w:r>
        <w:t xml:space="preserve"> and we excel’ in everything we do.</w:t>
      </w:r>
    </w:p>
    <w:p w14:paraId="38DFACFF" w14:textId="6F0CD22A" w:rsidR="00ED6A34" w:rsidRDefault="00ED6A34" w:rsidP="00A75F3C">
      <w:pPr>
        <w:pStyle w:val="BodyText"/>
      </w:pPr>
      <w:r>
        <w:t>We began implementing the Victorian Government’s ambitious reforms to the Victorian rental market, to strengthen the rights of renters in houses, caravan parks and crisis accommodation across the state.</w:t>
      </w:r>
    </w:p>
    <w:p w14:paraId="77FC7B2A" w14:textId="23ACFE94" w:rsidR="00ED6A34" w:rsidRDefault="00ED6A34" w:rsidP="00A75F3C">
      <w:pPr>
        <w:pStyle w:val="BodyText"/>
      </w:pPr>
      <w:r>
        <w:t xml:space="preserve">The package of more than 130 reforms under the </w:t>
      </w:r>
      <w:r w:rsidRPr="00F3632D">
        <w:rPr>
          <w:rStyle w:val="Emphasis"/>
        </w:rPr>
        <w:t>Residential Tenancies Amendment Act 2018</w:t>
      </w:r>
      <w:r>
        <w:t xml:space="preserve"> is the culmination of three years’ </w:t>
      </w:r>
      <w:proofErr w:type="gramStart"/>
      <w:r>
        <w:t>work, and</w:t>
      </w:r>
      <w:proofErr w:type="gramEnd"/>
      <w:r>
        <w:t xml:space="preserve"> will change the rental landscape for the more than one in four Victorians who currently rent their home.</w:t>
      </w:r>
    </w:p>
    <w:p w14:paraId="2C0DF3DE" w14:textId="04DE7832" w:rsidR="00ED6A34" w:rsidRDefault="00ED6A34" w:rsidP="00A75F3C">
      <w:pPr>
        <w:pStyle w:val="BodyText"/>
      </w:pPr>
      <w:r>
        <w:t>Some reforms have already been implemented. These include:</w:t>
      </w:r>
    </w:p>
    <w:p w14:paraId="2E515DFF" w14:textId="75EC6F05" w:rsidR="00ED6A34" w:rsidRDefault="00ED6A34" w:rsidP="00A75F3C">
      <w:pPr>
        <w:pStyle w:val="ListBullet"/>
      </w:pPr>
      <w:r>
        <w:t>suppression of crisis accommodation addresses to protect family violence victim survivors</w:t>
      </w:r>
    </w:p>
    <w:p w14:paraId="028FCB05" w14:textId="17799AAA" w:rsidR="00ED6A34" w:rsidRDefault="00ED6A34" w:rsidP="00A75F3C">
      <w:pPr>
        <w:pStyle w:val="ListBullet"/>
      </w:pPr>
      <w:r>
        <w:t>introduction of long-term lease agreements, and</w:t>
      </w:r>
    </w:p>
    <w:p w14:paraId="616C27F3" w14:textId="2A6CBF91" w:rsidR="00ED6A34" w:rsidRDefault="00ED6A34" w:rsidP="00A75F3C">
      <w:pPr>
        <w:pStyle w:val="ListBullet"/>
      </w:pPr>
      <w:r>
        <w:t>compensation rights for caravan park residents.</w:t>
      </w:r>
    </w:p>
    <w:p w14:paraId="0D458AC5" w14:textId="47BCC8B8" w:rsidR="00ED6A34" w:rsidRDefault="00ED6A34" w:rsidP="00A75F3C">
      <w:pPr>
        <w:pStyle w:val="BodyText"/>
      </w:pPr>
      <w:r>
        <w:t>Over the next 12 months, we will focus our efforts on delivering the full package of reforms by July 2020.</w:t>
      </w:r>
    </w:p>
    <w:p w14:paraId="3FE96ADA" w14:textId="4BF4AFA0" w:rsidR="00ED6A34" w:rsidRDefault="00ED6A34" w:rsidP="00A75F3C">
      <w:pPr>
        <w:pStyle w:val="BodyText"/>
      </w:pPr>
      <w:r>
        <w:t xml:space="preserve">This year, we continued to make it easier for Victorian businesses to interact with us and comply with the law by expanding our </w:t>
      </w:r>
      <w:proofErr w:type="spellStart"/>
      <w:r>
        <w:t>myCAV</w:t>
      </w:r>
      <w:proofErr w:type="spellEnd"/>
      <w:r>
        <w:t xml:space="preserve"> online registration and licensing platform to </w:t>
      </w:r>
      <w:proofErr w:type="gramStart"/>
      <w:r>
        <w:t>owners</w:t>
      </w:r>
      <w:proofErr w:type="gramEnd"/>
      <w:r>
        <w:t xml:space="preserve"> corporation managers and conveyancers. We also continued to focus on educating the Victorian community, responding to 296,000 calls and assisting more than 3.6 million website visitors.</w:t>
      </w:r>
    </w:p>
    <w:p w14:paraId="78B50B61" w14:textId="15FF9130" w:rsidR="00ED6A34" w:rsidRDefault="00ED6A34" w:rsidP="00A75F3C">
      <w:pPr>
        <w:pStyle w:val="BodyText"/>
      </w:pPr>
      <w:r>
        <w:t>We acted strongly to hold businesses and individuals accountable when they broke the law.</w:t>
      </w:r>
    </w:p>
    <w:p w14:paraId="54826E71" w14:textId="0D76C715" w:rsidR="00ED6A34" w:rsidRDefault="00ED6A34" w:rsidP="00A75F3C">
      <w:pPr>
        <w:pStyle w:val="BodyText"/>
      </w:pPr>
      <w:r>
        <w:t>We achieved significant court outcomes in matters involving estate agent underquoting, misuse of real estate trust account money, and unlicensed motor car trading. We also removed more than 45,700 dangerous products from sale and took enforcement action against the businesses selling them.</w:t>
      </w:r>
    </w:p>
    <w:p w14:paraId="2AD3B59A" w14:textId="17CB070D" w:rsidR="00ED6A34" w:rsidRDefault="00ED6A34" w:rsidP="00A75F3C">
      <w:pPr>
        <w:pStyle w:val="BodyText"/>
      </w:pPr>
      <w:r>
        <w:t>The projects and work highlighted in this year’s annual report reflect our staff’s passion and commitment to regulatory excellence and achieving our vision under our Strategic Plan. I would like to take this opportunity to recognise their integral role in our achievements over the past 12 months.</w:t>
      </w:r>
    </w:p>
    <w:p w14:paraId="16EA928A" w14:textId="52937AF9" w:rsidR="00ED6A34" w:rsidRDefault="00ED6A34" w:rsidP="00A75F3C">
      <w:pPr>
        <w:pStyle w:val="BodyText"/>
      </w:pPr>
      <w:r>
        <w:lastRenderedPageBreak/>
        <w:t>In what is my first annual report as Director, I would also like to acknowledge the significant role of my predecessor – Simon Cohen, Deputy Secretary, Regulation (Department of Justice and Community Safety) – in our success in 2018–19. His vision while Director of Consumer Affairs Victoria will continue to guide our work for years to come.</w:t>
      </w:r>
    </w:p>
    <w:p w14:paraId="40047773" w14:textId="46CCFC36" w:rsidR="00ED6A34" w:rsidRDefault="0063484E" w:rsidP="00A75F3C">
      <w:pPr>
        <w:pStyle w:val="BodyTextSmallSpace"/>
      </w:pPr>
      <w:r>
        <w:pict w14:anchorId="64AA8227">
          <v:shape id="_x0000_i1026" type="#_x0000_t75" alt="Sam Jenkin signature" style="width:95.25pt;height:30pt">
            <v:imagedata r:id="rId14" o:title=""/>
          </v:shape>
        </w:pict>
      </w:r>
    </w:p>
    <w:p w14:paraId="06673CEA" w14:textId="2F5B33E4" w:rsidR="00ED6A34" w:rsidRPr="002352A5" w:rsidRDefault="00ED6A34" w:rsidP="00A75F3C">
      <w:pPr>
        <w:pStyle w:val="BodyTextSmallSpace"/>
        <w:rPr>
          <w:rStyle w:val="Strong"/>
        </w:rPr>
      </w:pPr>
      <w:r w:rsidRPr="002352A5">
        <w:rPr>
          <w:rStyle w:val="Strong"/>
        </w:rPr>
        <w:t>Sam Jenkin</w:t>
      </w:r>
    </w:p>
    <w:p w14:paraId="41989115" w14:textId="257899EE" w:rsidR="00ED6A34" w:rsidRDefault="00ED6A34" w:rsidP="00A75F3C">
      <w:pPr>
        <w:pStyle w:val="BodyText"/>
      </w:pPr>
      <w:r>
        <w:t>Executive Director, Regulatory Services &amp;</w:t>
      </w:r>
      <w:r>
        <w:br/>
        <w:t>Director, Consumer Affairs Victoria</w:t>
      </w:r>
    </w:p>
    <w:p w14:paraId="1502B5B0" w14:textId="4577CFE3" w:rsidR="00ED6A34" w:rsidRDefault="00ED6A34" w:rsidP="00BB1C65">
      <w:pPr>
        <w:pStyle w:val="Heading2"/>
      </w:pPr>
      <w:bookmarkStart w:id="4" w:name="_Toc21600813"/>
      <w:r>
        <w:lastRenderedPageBreak/>
        <w:t>About us</w:t>
      </w:r>
      <w:bookmarkEnd w:id="4"/>
    </w:p>
    <w:p w14:paraId="2400D95C" w14:textId="2B914ED4" w:rsidR="00ED6A34" w:rsidRDefault="00ED6A34" w:rsidP="00A75F3C">
      <w:pPr>
        <w:pStyle w:val="BodyText"/>
      </w:pPr>
      <w:r>
        <w:t>We are Victoria’s consumer affairs regulator, operating within the national consumer protection framework. We are part of the Regulation group of the Department of Justice and Community Safety (DJCS).</w:t>
      </w:r>
    </w:p>
    <w:p w14:paraId="4F9F6FA5" w14:textId="47A5C5AE" w:rsidR="00ED6A34" w:rsidRDefault="00ED6A34" w:rsidP="00BB1C65">
      <w:pPr>
        <w:pStyle w:val="Heading3"/>
      </w:pPr>
      <w:bookmarkStart w:id="5" w:name="_Toc21600814"/>
      <w:r>
        <w:t>Our values</w:t>
      </w:r>
      <w:bookmarkEnd w:id="5"/>
    </w:p>
    <w:p w14:paraId="328AE2E3" w14:textId="1123E167" w:rsidR="00ED6A34" w:rsidRDefault="00ED6A34" w:rsidP="00A75F3C">
      <w:pPr>
        <w:pStyle w:val="BodyText"/>
      </w:pPr>
      <w:r>
        <w:t>As part of DJCS, we promote and embrace the department’s values of:</w:t>
      </w:r>
    </w:p>
    <w:p w14:paraId="152EDF0E" w14:textId="72F88325" w:rsidR="00ED6A34" w:rsidRDefault="00ED6A34" w:rsidP="00A75F3C">
      <w:pPr>
        <w:pStyle w:val="ListBullet"/>
      </w:pPr>
      <w:r>
        <w:t>working together</w:t>
      </w:r>
    </w:p>
    <w:p w14:paraId="422FE597" w14:textId="01EFB8D4" w:rsidR="00ED6A34" w:rsidRDefault="00ED6A34" w:rsidP="00A75F3C">
      <w:pPr>
        <w:pStyle w:val="ListBullet"/>
      </w:pPr>
      <w:r>
        <w:t>making it happen</w:t>
      </w:r>
    </w:p>
    <w:p w14:paraId="4287B2F6" w14:textId="61185E14" w:rsidR="00ED6A34" w:rsidRDefault="00ED6A34" w:rsidP="00A75F3C">
      <w:pPr>
        <w:pStyle w:val="ListBullet"/>
      </w:pPr>
      <w:r>
        <w:t>respecting other people</w:t>
      </w:r>
    </w:p>
    <w:p w14:paraId="6AE970CA" w14:textId="4E99ADC3" w:rsidR="00ED6A34" w:rsidRDefault="00ED6A34" w:rsidP="00A75F3C">
      <w:pPr>
        <w:pStyle w:val="ListBullet"/>
      </w:pPr>
      <w:r>
        <w:t>serving the community</w:t>
      </w:r>
    </w:p>
    <w:p w14:paraId="1898E507" w14:textId="6DD41585" w:rsidR="00ED6A34" w:rsidRDefault="00ED6A34" w:rsidP="00A75F3C">
      <w:pPr>
        <w:pStyle w:val="ListBullet"/>
      </w:pPr>
      <w:r>
        <w:t>acting with integrity.</w:t>
      </w:r>
    </w:p>
    <w:p w14:paraId="3C9709E5" w14:textId="05F504A5" w:rsidR="00ED6A34" w:rsidRDefault="00ED6A34" w:rsidP="00A75F3C">
      <w:pPr>
        <w:pStyle w:val="BodyText"/>
      </w:pPr>
      <w:r>
        <w:t>These values inform the way we do business and are demonstrated every day through the actions of our staff.</w:t>
      </w:r>
    </w:p>
    <w:p w14:paraId="0963738E" w14:textId="1362B59B" w:rsidR="00ED6A34" w:rsidRDefault="00ED6A34" w:rsidP="00BB1C65">
      <w:pPr>
        <w:pStyle w:val="Heading3"/>
      </w:pPr>
      <w:bookmarkStart w:id="6" w:name="_Toc21600815"/>
      <w:r>
        <w:t>Our vision</w:t>
      </w:r>
      <w:bookmarkEnd w:id="6"/>
    </w:p>
    <w:p w14:paraId="4754CE80" w14:textId="7C414B89" w:rsidR="00ED6A34" w:rsidRDefault="00ED6A34" w:rsidP="00A75F3C">
      <w:pPr>
        <w:pStyle w:val="BodyText"/>
      </w:pPr>
      <w:r>
        <w:t>A fair and competitive marketplace in Victoria.</w:t>
      </w:r>
    </w:p>
    <w:p w14:paraId="1B82DC05" w14:textId="28B6D416" w:rsidR="00ED6A34" w:rsidRDefault="00ED6A34" w:rsidP="00BB1C65">
      <w:pPr>
        <w:pStyle w:val="Heading3"/>
      </w:pPr>
      <w:bookmarkStart w:id="7" w:name="_Toc21600816"/>
      <w:r>
        <w:t>Our outcomes</w:t>
      </w:r>
      <w:bookmarkEnd w:id="7"/>
    </w:p>
    <w:p w14:paraId="063F654A" w14:textId="257D9C05" w:rsidR="00ED6A34" w:rsidRDefault="00ED6A34" w:rsidP="00A75F3C">
      <w:pPr>
        <w:pStyle w:val="ListBullet"/>
      </w:pPr>
      <w:r>
        <w:t>Businesses comply with consumer laws.</w:t>
      </w:r>
    </w:p>
    <w:p w14:paraId="491D8792" w14:textId="15C3607D" w:rsidR="00ED6A34" w:rsidRDefault="00ED6A34" w:rsidP="00A75F3C">
      <w:pPr>
        <w:pStyle w:val="ListBullet"/>
      </w:pPr>
      <w:r>
        <w:t>Victorians exercise their consumer rights.</w:t>
      </w:r>
    </w:p>
    <w:p w14:paraId="0CE6D504" w14:textId="2CD72D30" w:rsidR="00ED6A34" w:rsidRDefault="00ED6A34" w:rsidP="00A75F3C">
      <w:pPr>
        <w:pStyle w:val="ListBullet"/>
      </w:pPr>
      <w:r>
        <w:t>A fair and safe rental market for Victorians.</w:t>
      </w:r>
    </w:p>
    <w:p w14:paraId="0E86C04A" w14:textId="0A3642A1" w:rsidR="00ED6A34" w:rsidRDefault="00ED6A34" w:rsidP="00BB1C65">
      <w:pPr>
        <w:pStyle w:val="Heading3"/>
      </w:pPr>
      <w:bookmarkStart w:id="8" w:name="_Toc21600817"/>
      <w:r>
        <w:t>Our functions</w:t>
      </w:r>
      <w:bookmarkEnd w:id="8"/>
    </w:p>
    <w:p w14:paraId="628B9572" w14:textId="0F3F52DA" w:rsidR="00ED6A34" w:rsidRDefault="00ED6A34" w:rsidP="00A75F3C">
      <w:pPr>
        <w:pStyle w:val="BodyText"/>
      </w:pPr>
      <w:r>
        <w:t>We help Victorians to be responsible and informed businesses and consumers. To do this we:</w:t>
      </w:r>
    </w:p>
    <w:p w14:paraId="1FF129F5" w14:textId="03FBE7CB" w:rsidR="00ED6A34" w:rsidRDefault="00ED6A34" w:rsidP="00A75F3C">
      <w:pPr>
        <w:pStyle w:val="ListBullet"/>
      </w:pPr>
      <w:r>
        <w:t>provide information and advice to consumers, renters, businesses and rental providers about their rights, responsibilities and changes to relevant laws</w:t>
      </w:r>
    </w:p>
    <w:p w14:paraId="01E352EE" w14:textId="0327CADC" w:rsidR="00ED6A34" w:rsidRDefault="00ED6A34" w:rsidP="00A75F3C">
      <w:pPr>
        <w:pStyle w:val="ListBullet"/>
      </w:pPr>
      <w:r>
        <w:t>register and license certain businesses and occupations</w:t>
      </w:r>
    </w:p>
    <w:p w14:paraId="08F12D69" w14:textId="440DA991" w:rsidR="00ED6A34" w:rsidRDefault="00ED6A34" w:rsidP="00A75F3C">
      <w:pPr>
        <w:pStyle w:val="ListBullet"/>
      </w:pPr>
      <w:r>
        <w:t>enforce compliance with consumer laws</w:t>
      </w:r>
    </w:p>
    <w:p w14:paraId="2767CA6C" w14:textId="03AB848E" w:rsidR="00ED6A34" w:rsidRDefault="00ED6A34" w:rsidP="00A75F3C">
      <w:pPr>
        <w:pStyle w:val="ListBullet"/>
      </w:pPr>
      <w:r>
        <w:t>review and advise the Victorian Government on the consumer protection framework.</w:t>
      </w:r>
    </w:p>
    <w:p w14:paraId="53CD6153" w14:textId="5260F476" w:rsidR="00ED6A34" w:rsidRDefault="00ED6A34" w:rsidP="00A75F3C">
      <w:pPr>
        <w:pStyle w:val="BodyText"/>
      </w:pPr>
      <w:r>
        <w:t>We also provide administrative support to several statutory offices and bodies. These include the:</w:t>
      </w:r>
    </w:p>
    <w:p w14:paraId="091B7E6A" w14:textId="3C035BC3" w:rsidR="00ED6A34" w:rsidRDefault="00ED6A34" w:rsidP="00A75F3C">
      <w:pPr>
        <w:pStyle w:val="ListBullet"/>
      </w:pPr>
      <w:r>
        <w:t>Business Licensing Authority</w:t>
      </w:r>
    </w:p>
    <w:p w14:paraId="7ECD6EC9" w14:textId="7FAFBBB3" w:rsidR="00ED6A34" w:rsidRDefault="00ED6A34" w:rsidP="00A75F3C">
      <w:pPr>
        <w:pStyle w:val="ListBullet"/>
      </w:pPr>
      <w:r>
        <w:t>Estate Agents Council</w:t>
      </w:r>
    </w:p>
    <w:p w14:paraId="2A2023C2" w14:textId="643F3FF6" w:rsidR="00ED6A34" w:rsidRDefault="00ED6A34" w:rsidP="00A75F3C">
      <w:pPr>
        <w:pStyle w:val="ListBullet"/>
      </w:pPr>
      <w:r>
        <w:t>Motor Car Traders Claims Committee, and</w:t>
      </w:r>
    </w:p>
    <w:p w14:paraId="2E08A45E" w14:textId="05B0D757" w:rsidR="00ED6A34" w:rsidRDefault="00ED6A34" w:rsidP="00A75F3C">
      <w:pPr>
        <w:pStyle w:val="ListBullet"/>
      </w:pPr>
      <w:r>
        <w:t>Residential Tenancies Bond Authority.</w:t>
      </w:r>
    </w:p>
    <w:p w14:paraId="1C966A4A" w14:textId="1A6B851E" w:rsidR="00ED6A34" w:rsidRDefault="00ED6A34" w:rsidP="00BB1C65">
      <w:pPr>
        <w:pStyle w:val="Heading3"/>
      </w:pPr>
      <w:bookmarkStart w:id="9" w:name="_Toc21600818"/>
      <w:r>
        <w:lastRenderedPageBreak/>
        <w:t>Our regulatory approach</w:t>
      </w:r>
      <w:bookmarkEnd w:id="9"/>
    </w:p>
    <w:p w14:paraId="51785EF1" w14:textId="4513A662" w:rsidR="00ED6A34" w:rsidRDefault="00ED6A34" w:rsidP="00A75F3C">
      <w:pPr>
        <w:pStyle w:val="BodyText"/>
      </w:pPr>
      <w:r>
        <w:t>Our regulatory approach is intelligence-led, risk-based and outcome-focused. This enables us to target the conduct posing the highest risk to Victorians, making the best use of our available resources. Our compliance operating model ensures the approach is embedded in our day-to-day work.</w:t>
      </w:r>
    </w:p>
    <w:p w14:paraId="11DF1706" w14:textId="77777777" w:rsidR="00ED6A34" w:rsidRDefault="00ED6A34" w:rsidP="00BB1C65">
      <w:pPr>
        <w:pStyle w:val="Heading4"/>
      </w:pPr>
      <w:r>
        <w:t>Intelligence-led</w:t>
      </w:r>
    </w:p>
    <w:p w14:paraId="368301FE" w14:textId="52BB6890" w:rsidR="00ED6A34" w:rsidRDefault="00ED6A34" w:rsidP="00A75F3C">
      <w:pPr>
        <w:pStyle w:val="BodyText"/>
      </w:pPr>
      <w:r>
        <w:t>A core element of our regulatory approach is the effective use of intelligence to inform decision-making.</w:t>
      </w:r>
    </w:p>
    <w:p w14:paraId="5AF04BAF" w14:textId="59614CCC" w:rsidR="00ED6A34" w:rsidRDefault="00ED6A34" w:rsidP="00A75F3C">
      <w:pPr>
        <w:pStyle w:val="BodyText"/>
      </w:pPr>
      <w:r>
        <w:t>Intelligence gathered in the course of our regulatory operations is supplemented by other sources, including:</w:t>
      </w:r>
    </w:p>
    <w:p w14:paraId="4F944D51" w14:textId="182F5A02" w:rsidR="00ED6A34" w:rsidRDefault="00ED6A34" w:rsidP="00A75F3C">
      <w:pPr>
        <w:pStyle w:val="ListBullet"/>
      </w:pPr>
      <w:r>
        <w:t>national information shared among Australian Consumer Law (ACL) regulators</w:t>
      </w:r>
    </w:p>
    <w:p w14:paraId="076706FA" w14:textId="781C47A7" w:rsidR="00ED6A34" w:rsidRDefault="00ED6A34" w:rsidP="00A75F3C">
      <w:pPr>
        <w:pStyle w:val="ListBullet"/>
      </w:pPr>
      <w:r>
        <w:t>local councils</w:t>
      </w:r>
    </w:p>
    <w:p w14:paraId="1683638A" w14:textId="6CB12FBF" w:rsidR="00ED6A34" w:rsidRDefault="00ED6A34" w:rsidP="00A75F3C">
      <w:pPr>
        <w:pStyle w:val="ListBullet"/>
      </w:pPr>
      <w:r>
        <w:t>law enforcement organisations</w:t>
      </w:r>
    </w:p>
    <w:p w14:paraId="498E59E2" w14:textId="5CBEB2D8" w:rsidR="00ED6A34" w:rsidRDefault="00ED6A34" w:rsidP="00A75F3C">
      <w:pPr>
        <w:pStyle w:val="ListBullet"/>
      </w:pPr>
      <w:r>
        <w:t>industry stakeholders</w:t>
      </w:r>
    </w:p>
    <w:p w14:paraId="751B0824" w14:textId="00E8B470" w:rsidR="00ED6A34" w:rsidRDefault="00ED6A34" w:rsidP="00A75F3C">
      <w:pPr>
        <w:pStyle w:val="ListBullet"/>
      </w:pPr>
      <w:r>
        <w:t>online forums and social media</w:t>
      </w:r>
    </w:p>
    <w:p w14:paraId="29145380" w14:textId="6AA3E5BD" w:rsidR="00ED6A34" w:rsidRDefault="00ED6A34" w:rsidP="00A75F3C">
      <w:pPr>
        <w:pStyle w:val="ListBullet"/>
      </w:pPr>
      <w:r>
        <w:t>business reporting requirements.</w:t>
      </w:r>
    </w:p>
    <w:p w14:paraId="0BD42A3F" w14:textId="2C172CA7" w:rsidR="00ED6A34" w:rsidRDefault="00ED6A34" w:rsidP="00A75F3C">
      <w:pPr>
        <w:pStyle w:val="BodyText"/>
      </w:pPr>
      <w:r>
        <w:t>For example, information provided from auditors’ reports on estate agent trust accounts alerts us to businesses that may have problematic practices, allowing us to prioritise inspection activity.</w:t>
      </w:r>
    </w:p>
    <w:p w14:paraId="65657712" w14:textId="06A35853" w:rsidR="00ED6A34" w:rsidRDefault="00ED6A34" w:rsidP="00A75F3C">
      <w:pPr>
        <w:pStyle w:val="BodyText"/>
      </w:pPr>
      <w:r>
        <w:t xml:space="preserve">We also receive reports from consumers and their representatives about business conduct or potential breaches of the law. While we do not pursue </w:t>
      </w:r>
      <w:proofErr w:type="gramStart"/>
      <w:r>
        <w:t>all of</w:t>
      </w:r>
      <w:proofErr w:type="gramEnd"/>
      <w:r>
        <w:t xml:space="preserve"> these individually, we use them as an important source of intelligence to help assess risks and take action as appropriate.</w:t>
      </w:r>
    </w:p>
    <w:p w14:paraId="0095D29F" w14:textId="77777777" w:rsidR="00ED6A34" w:rsidRDefault="00ED6A34" w:rsidP="00BB1C65">
      <w:pPr>
        <w:pStyle w:val="Heading4"/>
      </w:pPr>
      <w:r>
        <w:t>Risk-based</w:t>
      </w:r>
    </w:p>
    <w:p w14:paraId="0EBDD284" w14:textId="14D09D92" w:rsidR="00ED6A34" w:rsidRDefault="00ED6A34" w:rsidP="00A75F3C">
      <w:pPr>
        <w:pStyle w:val="BodyText"/>
      </w:pPr>
      <w:r>
        <w:t>Where possible, we aim to identify and treat risks before they lead to actual consumer harm.</w:t>
      </w:r>
    </w:p>
    <w:p w14:paraId="2341C0A3" w14:textId="6A30C0FC" w:rsidR="00ED6A34" w:rsidRDefault="00ED6A34" w:rsidP="00A75F3C">
      <w:pPr>
        <w:pStyle w:val="BodyText"/>
      </w:pPr>
      <w:r>
        <w:t>Regulatory risks are market behaviours that:</w:t>
      </w:r>
    </w:p>
    <w:p w14:paraId="2C87F26A" w14:textId="1A0C82E9" w:rsidR="00ED6A34" w:rsidRDefault="00ED6A34" w:rsidP="00A75F3C">
      <w:pPr>
        <w:pStyle w:val="ListBullet"/>
      </w:pPr>
      <w:r>
        <w:t>represent non-compliance with the laws we administer</w:t>
      </w:r>
    </w:p>
    <w:p w14:paraId="766B8962" w14:textId="3D1F6E19" w:rsidR="00ED6A34" w:rsidRDefault="00ED6A34" w:rsidP="00A75F3C">
      <w:pPr>
        <w:pStyle w:val="ListBullet"/>
      </w:pPr>
      <w:r>
        <w:t>present potential or realised consumer harm</w:t>
      </w:r>
    </w:p>
    <w:p w14:paraId="168277FE" w14:textId="54086BD7" w:rsidR="00ED6A34" w:rsidRDefault="00ED6A34" w:rsidP="00A75F3C">
      <w:pPr>
        <w:pStyle w:val="ListBullet"/>
      </w:pPr>
      <w:r>
        <w:t>impact on our ability to be an effective regulator</w:t>
      </w:r>
    </w:p>
    <w:p w14:paraId="2641FF0D" w14:textId="622459EE" w:rsidR="00ED6A34" w:rsidRDefault="00ED6A34" w:rsidP="00A75F3C">
      <w:pPr>
        <w:pStyle w:val="ListBullet"/>
      </w:pPr>
      <w:r>
        <w:t>require a regulatory response due to public concern.</w:t>
      </w:r>
    </w:p>
    <w:p w14:paraId="4CE25CE7" w14:textId="3250FC17" w:rsidR="00ED6A34" w:rsidRDefault="00ED6A34" w:rsidP="00A75F3C">
      <w:pPr>
        <w:pStyle w:val="BodyText"/>
      </w:pPr>
      <w:r>
        <w:t>We put our effort where it counts and target the areas of greatest risk and harm.</w:t>
      </w:r>
    </w:p>
    <w:p w14:paraId="2312F930" w14:textId="51CC03F9" w:rsidR="00ED6A34" w:rsidRDefault="00ED6A34" w:rsidP="00A75F3C">
      <w:pPr>
        <w:pStyle w:val="BodyText"/>
      </w:pPr>
      <w:r>
        <w:t>We monitor markets and use evidence to shape a targeted compliance program, focusing on those issues that pose the highest risk to Victorians. Risks can be posed by:</w:t>
      </w:r>
    </w:p>
    <w:p w14:paraId="29EE762A" w14:textId="052ED88D" w:rsidR="00ED6A34" w:rsidRDefault="00ED6A34" w:rsidP="00A75F3C">
      <w:pPr>
        <w:pStyle w:val="ListBullet"/>
      </w:pPr>
      <w:r>
        <w:t>a product</w:t>
      </w:r>
    </w:p>
    <w:p w14:paraId="3C37E6ED" w14:textId="03621A9F" w:rsidR="00ED6A34" w:rsidRDefault="00ED6A34" w:rsidP="00A75F3C">
      <w:pPr>
        <w:pStyle w:val="ListBullet"/>
      </w:pPr>
      <w:r>
        <w:t>a business’s conduct</w:t>
      </w:r>
    </w:p>
    <w:p w14:paraId="47A2D861" w14:textId="0A8D54D0" w:rsidR="00ED6A34" w:rsidRDefault="00ED6A34" w:rsidP="00A75F3C">
      <w:pPr>
        <w:pStyle w:val="ListBullet"/>
      </w:pPr>
      <w:r>
        <w:t>a new or emerging business practice</w:t>
      </w:r>
    </w:p>
    <w:p w14:paraId="4D53E99D" w14:textId="36B946F7" w:rsidR="00ED6A34" w:rsidRDefault="00ED6A34" w:rsidP="00A75F3C">
      <w:pPr>
        <w:pStyle w:val="ListBullet"/>
      </w:pPr>
      <w:r>
        <w:t>the conduct or business model of an entire industry.</w:t>
      </w:r>
    </w:p>
    <w:p w14:paraId="273606DA" w14:textId="77777777" w:rsidR="00ED6A34" w:rsidRDefault="00ED6A34" w:rsidP="00BB1C65">
      <w:pPr>
        <w:pStyle w:val="Heading4"/>
      </w:pPr>
      <w:r>
        <w:lastRenderedPageBreak/>
        <w:t>Outcome-focused</w:t>
      </w:r>
    </w:p>
    <w:p w14:paraId="5EB1925D" w14:textId="464B7DF9" w:rsidR="00ED6A34" w:rsidRDefault="00ED6A34" w:rsidP="00A75F3C">
      <w:pPr>
        <w:pStyle w:val="BodyText"/>
      </w:pPr>
      <w:r>
        <w:t>We use a range of compliance tools, underpinned by a compliance strategy that ultimately seeks to affect market outcomes. We make decisions on compliance actions to achieve outcomes that deter unlawful conduct and promote future compliance.</w:t>
      </w:r>
    </w:p>
    <w:p w14:paraId="5D48EA53" w14:textId="21884FE8" w:rsidR="00ED6A34" w:rsidRDefault="00ED6A34" w:rsidP="00A75F3C">
      <w:pPr>
        <w:pStyle w:val="BodyText"/>
      </w:pPr>
      <w:r>
        <w:t xml:space="preserve">We take enforcement action to serve the public interest. We exercise discretion, focusing on actions that benefit all consumers. We do not </w:t>
      </w:r>
      <w:proofErr w:type="gramStart"/>
      <w:r>
        <w:t>take action</w:t>
      </w:r>
      <w:proofErr w:type="gramEnd"/>
      <w:r>
        <w:t xml:space="preserve"> on behalf of individuals to obtain redress.</w:t>
      </w:r>
    </w:p>
    <w:p w14:paraId="51526B9C" w14:textId="40119954" w:rsidR="00ED6A34" w:rsidRDefault="00ED6A34" w:rsidP="00A75F3C">
      <w:pPr>
        <w:pStyle w:val="BodyText"/>
      </w:pPr>
      <w:r>
        <w:t>The nature of the problem and the desired outcome determine which compliance and enforcement approach we use. Where appropriate, we seek voluntary compliance.</w:t>
      </w:r>
    </w:p>
    <w:p w14:paraId="61F72A5E" w14:textId="45CC74AE" w:rsidR="00ED6A34" w:rsidRDefault="00ED6A34" w:rsidP="00A75F3C">
      <w:pPr>
        <w:pStyle w:val="BodyText"/>
      </w:pPr>
      <w:r>
        <w:t>Importantly, we have a full range of tools, including civil and criminal actions, infringements and public warnings to protect the Victorian community by holding businesses accountable for unlawful conduct.</w:t>
      </w:r>
    </w:p>
    <w:p w14:paraId="62214B29" w14:textId="09809D6D" w:rsidR="00ED6A34" w:rsidRDefault="00ED6A34" w:rsidP="00BB1C65">
      <w:pPr>
        <w:pStyle w:val="Heading2"/>
      </w:pPr>
      <w:bookmarkStart w:id="10" w:name="_Toc21600819"/>
      <w:r>
        <w:lastRenderedPageBreak/>
        <w:t>Our performance</w:t>
      </w:r>
      <w:bookmarkEnd w:id="10"/>
    </w:p>
    <w:p w14:paraId="324D5D21" w14:textId="3DB591D8" w:rsidR="00ED6A34" w:rsidRDefault="00ED6A34" w:rsidP="00A75F3C">
      <w:pPr>
        <w:pStyle w:val="BodyText"/>
      </w:pPr>
      <w:r>
        <w:t xml:space="preserve">This year, our performance was measured against target outputs specified in Budget Paper 3 </w:t>
      </w:r>
      <w:r w:rsidR="009C226D">
        <w:br/>
      </w:r>
      <w:r>
        <w:t>2018–19.</w:t>
      </w:r>
    </w:p>
    <w:p w14:paraId="5CFA90C8" w14:textId="2FD97DB5" w:rsidR="00ED6A34" w:rsidRDefault="00ED6A34" w:rsidP="00A75F3C">
      <w:pPr>
        <w:pStyle w:val="BodyText"/>
      </w:pPr>
      <w:r>
        <w:t>Outputs are those goods and services provided to government by departments, agencies and statutory bodies, and through funding provided to others, such as community agencies.</w:t>
      </w:r>
    </w:p>
    <w:p w14:paraId="64302E09" w14:textId="77777777" w:rsidR="00455A12" w:rsidRDefault="00455A12" w:rsidP="00455A12">
      <w:pPr>
        <w:pStyle w:val="BodyText"/>
        <w:rPr>
          <w:szCs w:val="20"/>
        </w:rPr>
      </w:pPr>
      <w:r>
        <w:br w:type="page"/>
      </w:r>
    </w:p>
    <w:p w14:paraId="139121AD" w14:textId="7EBE437E" w:rsidR="00ED6A34" w:rsidRDefault="00ED6A34" w:rsidP="00006DE3">
      <w:pPr>
        <w:pStyle w:val="Caption"/>
      </w:pPr>
      <w:r>
        <w:lastRenderedPageBreak/>
        <w:t>Table 1: Performance against targets for output measures</w:t>
      </w:r>
    </w:p>
    <w:tbl>
      <w:tblPr>
        <w:tblStyle w:val="TableGrid"/>
        <w:tblW w:w="9072" w:type="dxa"/>
        <w:tblLayout w:type="fixed"/>
        <w:tblLook w:val="06A0" w:firstRow="1" w:lastRow="0" w:firstColumn="1" w:lastColumn="0" w:noHBand="1" w:noVBand="1"/>
      </w:tblPr>
      <w:tblGrid>
        <w:gridCol w:w="3627"/>
        <w:gridCol w:w="1089"/>
        <w:gridCol w:w="1089"/>
        <w:gridCol w:w="1089"/>
        <w:gridCol w:w="1089"/>
        <w:gridCol w:w="1089"/>
      </w:tblGrid>
      <w:tr w:rsidR="00ED6A34" w14:paraId="1B50C4AC" w14:textId="77777777" w:rsidTr="00C02F22">
        <w:trPr>
          <w:cnfStyle w:val="100000000000" w:firstRow="1" w:lastRow="0" w:firstColumn="0" w:lastColumn="0" w:oddVBand="0" w:evenVBand="0" w:oddHBand="0" w:evenHBand="0" w:firstRowFirstColumn="0" w:firstRowLastColumn="0" w:lastRowFirstColumn="0" w:lastRowLastColumn="0"/>
          <w:trHeight w:val="68"/>
          <w:tblHeader/>
        </w:trPr>
        <w:tc>
          <w:tcPr>
            <w:tcW w:w="3402" w:type="dxa"/>
          </w:tcPr>
          <w:p w14:paraId="41C5953B" w14:textId="77777777" w:rsidR="00ED6A34" w:rsidRDefault="00ED6A34" w:rsidP="006F4C0B">
            <w:pPr>
              <w:pStyle w:val="TableColHead"/>
            </w:pPr>
          </w:p>
        </w:tc>
        <w:tc>
          <w:tcPr>
            <w:tcW w:w="1021" w:type="dxa"/>
          </w:tcPr>
          <w:p w14:paraId="53FAD8CA" w14:textId="57F94FF5" w:rsidR="00ED6A34" w:rsidRDefault="00ED6A34" w:rsidP="003725FC">
            <w:pPr>
              <w:pStyle w:val="TableColHeadRight"/>
            </w:pPr>
            <w:r>
              <w:t>Unit of measure</w:t>
            </w:r>
          </w:p>
        </w:tc>
        <w:tc>
          <w:tcPr>
            <w:tcW w:w="1021" w:type="dxa"/>
          </w:tcPr>
          <w:p w14:paraId="595BADD9" w14:textId="6C5E1318" w:rsidR="00ED6A34" w:rsidRDefault="00ED6A34" w:rsidP="003725FC">
            <w:pPr>
              <w:pStyle w:val="TableColHeadRight"/>
            </w:pPr>
            <w:r>
              <w:t>2016–17 Actual</w:t>
            </w:r>
          </w:p>
        </w:tc>
        <w:tc>
          <w:tcPr>
            <w:tcW w:w="1021" w:type="dxa"/>
          </w:tcPr>
          <w:p w14:paraId="2D295053" w14:textId="19DCDE40" w:rsidR="00ED6A34" w:rsidRDefault="00ED6A34" w:rsidP="003725FC">
            <w:pPr>
              <w:pStyle w:val="TableColHeadRight"/>
            </w:pPr>
            <w:r>
              <w:t>2017–18 Actual</w:t>
            </w:r>
          </w:p>
        </w:tc>
        <w:tc>
          <w:tcPr>
            <w:tcW w:w="1021" w:type="dxa"/>
          </w:tcPr>
          <w:p w14:paraId="24FB489C" w14:textId="43E3C658" w:rsidR="00ED6A34" w:rsidRDefault="00ED6A34" w:rsidP="003725FC">
            <w:pPr>
              <w:pStyle w:val="TableColHeadRight"/>
            </w:pPr>
            <w:r>
              <w:t>2018–19 Target</w:t>
            </w:r>
          </w:p>
        </w:tc>
        <w:tc>
          <w:tcPr>
            <w:tcW w:w="1021" w:type="dxa"/>
          </w:tcPr>
          <w:p w14:paraId="571D54F3" w14:textId="7FF06968" w:rsidR="00ED6A34" w:rsidRDefault="00ED6A34" w:rsidP="003725FC">
            <w:pPr>
              <w:pStyle w:val="TableColHeadRight"/>
            </w:pPr>
            <w:r>
              <w:t>2018–19 Actual</w:t>
            </w:r>
          </w:p>
        </w:tc>
      </w:tr>
      <w:tr w:rsidR="00ED6A34" w14:paraId="7FBACB74" w14:textId="77777777" w:rsidTr="00C02F22">
        <w:trPr>
          <w:trHeight w:val="68"/>
        </w:trPr>
        <w:tc>
          <w:tcPr>
            <w:tcW w:w="3402" w:type="dxa"/>
            <w:gridSpan w:val="6"/>
            <w:shd w:val="clear" w:color="auto" w:fill="B2D5F0"/>
          </w:tcPr>
          <w:p w14:paraId="0495BE86" w14:textId="77777777" w:rsidR="00ED6A34" w:rsidRDefault="00ED6A34" w:rsidP="00006DE3">
            <w:pPr>
              <w:pStyle w:val="TableTextBold"/>
            </w:pPr>
            <w:r>
              <w:t>Quantity</w:t>
            </w:r>
          </w:p>
        </w:tc>
      </w:tr>
      <w:tr w:rsidR="00ED6A34" w14:paraId="7879A357" w14:textId="77777777" w:rsidTr="00C02F22">
        <w:trPr>
          <w:trHeight w:val="68"/>
        </w:trPr>
        <w:tc>
          <w:tcPr>
            <w:tcW w:w="3402" w:type="dxa"/>
          </w:tcPr>
          <w:p w14:paraId="3C1C2ADC" w14:textId="589E4908" w:rsidR="00ED6A34" w:rsidRDefault="00ED6A34" w:rsidP="00006DE3">
            <w:pPr>
              <w:pStyle w:val="TableText"/>
            </w:pPr>
            <w:r>
              <w:t>Information and advice provided to consumers, tenants and businesses: through telephone service</w:t>
            </w:r>
          </w:p>
        </w:tc>
        <w:tc>
          <w:tcPr>
            <w:tcW w:w="1021" w:type="dxa"/>
          </w:tcPr>
          <w:p w14:paraId="1FA50E5E" w14:textId="77777777" w:rsidR="00ED6A34" w:rsidRDefault="00ED6A34" w:rsidP="00006DE3">
            <w:pPr>
              <w:pStyle w:val="TableText"/>
            </w:pPr>
            <w:r>
              <w:t>number</w:t>
            </w:r>
          </w:p>
        </w:tc>
        <w:tc>
          <w:tcPr>
            <w:tcW w:w="1021" w:type="dxa"/>
          </w:tcPr>
          <w:p w14:paraId="1A24FAD3" w14:textId="77777777" w:rsidR="00ED6A34" w:rsidRDefault="00ED6A34" w:rsidP="00006DE3">
            <w:pPr>
              <w:pStyle w:val="TableTextRight"/>
            </w:pPr>
            <w:r>
              <w:t>325,773</w:t>
            </w:r>
          </w:p>
        </w:tc>
        <w:tc>
          <w:tcPr>
            <w:tcW w:w="1021" w:type="dxa"/>
          </w:tcPr>
          <w:p w14:paraId="17B73FDB" w14:textId="77777777" w:rsidR="00ED6A34" w:rsidRDefault="00ED6A34" w:rsidP="00006DE3">
            <w:pPr>
              <w:pStyle w:val="TableTextRight"/>
            </w:pPr>
            <w:r>
              <w:t>304,048</w:t>
            </w:r>
          </w:p>
        </w:tc>
        <w:tc>
          <w:tcPr>
            <w:tcW w:w="1021" w:type="dxa"/>
          </w:tcPr>
          <w:p w14:paraId="6C1967CF" w14:textId="77777777" w:rsidR="00ED6A34" w:rsidRDefault="00ED6A34" w:rsidP="00006DE3">
            <w:pPr>
              <w:pStyle w:val="TableTextRight"/>
            </w:pPr>
            <w:r>
              <w:t>297,000</w:t>
            </w:r>
          </w:p>
        </w:tc>
        <w:tc>
          <w:tcPr>
            <w:tcW w:w="1021" w:type="dxa"/>
          </w:tcPr>
          <w:p w14:paraId="25B05355" w14:textId="77777777" w:rsidR="00ED6A34" w:rsidRDefault="00ED6A34" w:rsidP="00006DE3">
            <w:pPr>
              <w:pStyle w:val="TableTextRight"/>
            </w:pPr>
            <w:r>
              <w:t>295,955</w:t>
            </w:r>
          </w:p>
        </w:tc>
      </w:tr>
      <w:tr w:rsidR="00ED6A34" w14:paraId="03581DC1" w14:textId="77777777" w:rsidTr="00C02F22">
        <w:trPr>
          <w:trHeight w:val="68"/>
        </w:trPr>
        <w:tc>
          <w:tcPr>
            <w:tcW w:w="3402" w:type="dxa"/>
          </w:tcPr>
          <w:p w14:paraId="6D7C3B09" w14:textId="0C078EC5" w:rsidR="00ED6A34" w:rsidRDefault="00ED6A34" w:rsidP="00006DE3">
            <w:pPr>
              <w:pStyle w:val="TableText"/>
            </w:pPr>
            <w:r>
              <w:t>Information and advice provided to consumers, tenants and businesses: through other services including written correspondence, face-to-face and dispute assistance</w:t>
            </w:r>
            <w:r w:rsidRPr="00A54548">
              <w:rPr>
                <w:rStyle w:val="FootnoteReference"/>
              </w:rPr>
              <w:footnoteReference w:id="2"/>
            </w:r>
          </w:p>
        </w:tc>
        <w:tc>
          <w:tcPr>
            <w:tcW w:w="1021" w:type="dxa"/>
          </w:tcPr>
          <w:p w14:paraId="51F1C0FA" w14:textId="77777777" w:rsidR="00ED6A34" w:rsidRDefault="00ED6A34" w:rsidP="00006DE3">
            <w:pPr>
              <w:pStyle w:val="TableText"/>
            </w:pPr>
            <w:r>
              <w:t>number</w:t>
            </w:r>
          </w:p>
        </w:tc>
        <w:tc>
          <w:tcPr>
            <w:tcW w:w="1021" w:type="dxa"/>
          </w:tcPr>
          <w:p w14:paraId="428528A3" w14:textId="77777777" w:rsidR="00ED6A34" w:rsidRDefault="00ED6A34" w:rsidP="00006DE3">
            <w:pPr>
              <w:pStyle w:val="TableTextRight"/>
            </w:pPr>
            <w:r>
              <w:t>114,176</w:t>
            </w:r>
          </w:p>
        </w:tc>
        <w:tc>
          <w:tcPr>
            <w:tcW w:w="1021" w:type="dxa"/>
          </w:tcPr>
          <w:p w14:paraId="0974CBB0" w14:textId="77777777" w:rsidR="00ED6A34" w:rsidRDefault="00ED6A34" w:rsidP="00006DE3">
            <w:pPr>
              <w:pStyle w:val="TableTextRight"/>
            </w:pPr>
            <w:r>
              <w:t>118,309</w:t>
            </w:r>
          </w:p>
        </w:tc>
        <w:tc>
          <w:tcPr>
            <w:tcW w:w="1021" w:type="dxa"/>
          </w:tcPr>
          <w:p w14:paraId="60B6C393" w14:textId="77777777" w:rsidR="00ED6A34" w:rsidRDefault="00ED6A34" w:rsidP="00006DE3">
            <w:pPr>
              <w:pStyle w:val="TableTextRight"/>
            </w:pPr>
            <w:r>
              <w:t>129,400</w:t>
            </w:r>
          </w:p>
        </w:tc>
        <w:tc>
          <w:tcPr>
            <w:tcW w:w="1021" w:type="dxa"/>
          </w:tcPr>
          <w:p w14:paraId="5E79D7C9" w14:textId="77777777" w:rsidR="00ED6A34" w:rsidRDefault="00ED6A34" w:rsidP="00006DE3">
            <w:pPr>
              <w:pStyle w:val="TableTextRight"/>
            </w:pPr>
            <w:r>
              <w:t>115,479</w:t>
            </w:r>
          </w:p>
        </w:tc>
      </w:tr>
      <w:tr w:rsidR="00ED6A34" w14:paraId="2C5FDC4E" w14:textId="77777777" w:rsidTr="00C02F22">
        <w:trPr>
          <w:trHeight w:val="68"/>
        </w:trPr>
        <w:tc>
          <w:tcPr>
            <w:tcW w:w="3402" w:type="dxa"/>
          </w:tcPr>
          <w:p w14:paraId="667A1F85" w14:textId="329CD27B" w:rsidR="00ED6A34" w:rsidRDefault="00ED6A34" w:rsidP="00006DE3">
            <w:pPr>
              <w:pStyle w:val="TableText"/>
            </w:pPr>
            <w:r>
              <w:t>Number of court and administrative actions</w:t>
            </w:r>
            <w:r w:rsidRPr="00A54548">
              <w:rPr>
                <w:rStyle w:val="FootnoteReference"/>
              </w:rPr>
              <w:footnoteReference w:id="3"/>
            </w:r>
          </w:p>
        </w:tc>
        <w:tc>
          <w:tcPr>
            <w:tcW w:w="1021" w:type="dxa"/>
          </w:tcPr>
          <w:p w14:paraId="76182A2C" w14:textId="77777777" w:rsidR="00ED6A34" w:rsidRDefault="00ED6A34" w:rsidP="00006DE3">
            <w:pPr>
              <w:pStyle w:val="TableText"/>
            </w:pPr>
            <w:r>
              <w:t>number</w:t>
            </w:r>
          </w:p>
        </w:tc>
        <w:tc>
          <w:tcPr>
            <w:tcW w:w="1021" w:type="dxa"/>
          </w:tcPr>
          <w:p w14:paraId="1816D9AA" w14:textId="77777777" w:rsidR="00ED6A34" w:rsidRDefault="00ED6A34">
            <w:pPr>
              <w:spacing w:line="240" w:lineRule="auto"/>
              <w:rPr>
                <w:rFonts w:ascii="VIC-SemiBold" w:hAnsi="VIC-SemiBold" w:cstheme="minorBidi"/>
              </w:rPr>
            </w:pPr>
          </w:p>
        </w:tc>
        <w:tc>
          <w:tcPr>
            <w:tcW w:w="1021" w:type="dxa"/>
          </w:tcPr>
          <w:p w14:paraId="3FA91604" w14:textId="77777777" w:rsidR="00ED6A34" w:rsidRDefault="00ED6A34">
            <w:pPr>
              <w:spacing w:line="240" w:lineRule="auto"/>
              <w:rPr>
                <w:rFonts w:ascii="VIC-SemiBold" w:hAnsi="VIC-SemiBold" w:cstheme="minorBidi"/>
              </w:rPr>
            </w:pPr>
          </w:p>
        </w:tc>
        <w:tc>
          <w:tcPr>
            <w:tcW w:w="1021" w:type="dxa"/>
          </w:tcPr>
          <w:p w14:paraId="54BE6753" w14:textId="77777777" w:rsidR="00ED6A34" w:rsidRDefault="00ED6A34" w:rsidP="00006DE3">
            <w:pPr>
              <w:pStyle w:val="TableTextRight"/>
            </w:pPr>
            <w:r>
              <w:t>700</w:t>
            </w:r>
          </w:p>
        </w:tc>
        <w:tc>
          <w:tcPr>
            <w:tcW w:w="1021" w:type="dxa"/>
          </w:tcPr>
          <w:p w14:paraId="278ECD1F" w14:textId="77777777" w:rsidR="00ED6A34" w:rsidRDefault="00ED6A34" w:rsidP="00006DE3">
            <w:pPr>
              <w:pStyle w:val="TableTextRight"/>
            </w:pPr>
            <w:r>
              <w:t>1,309</w:t>
            </w:r>
          </w:p>
        </w:tc>
      </w:tr>
      <w:tr w:rsidR="00ED6A34" w14:paraId="17E9A1CF" w14:textId="77777777" w:rsidTr="00C02F22">
        <w:trPr>
          <w:trHeight w:val="68"/>
        </w:trPr>
        <w:tc>
          <w:tcPr>
            <w:tcW w:w="3402" w:type="dxa"/>
          </w:tcPr>
          <w:p w14:paraId="74935F18" w14:textId="1BB29AC9" w:rsidR="00ED6A34" w:rsidRDefault="00ED6A34" w:rsidP="00006DE3">
            <w:pPr>
              <w:pStyle w:val="TableText"/>
            </w:pPr>
            <w:r>
              <w:t>Transactions undertaken: registration and licensing</w:t>
            </w:r>
            <w:r w:rsidRPr="00A54548">
              <w:rPr>
                <w:rStyle w:val="FootnoteReference"/>
              </w:rPr>
              <w:footnoteReference w:id="4"/>
            </w:r>
          </w:p>
        </w:tc>
        <w:tc>
          <w:tcPr>
            <w:tcW w:w="1021" w:type="dxa"/>
          </w:tcPr>
          <w:p w14:paraId="54B415DA" w14:textId="77777777" w:rsidR="00ED6A34" w:rsidRDefault="00ED6A34" w:rsidP="00006DE3">
            <w:pPr>
              <w:pStyle w:val="TableText"/>
            </w:pPr>
            <w:r>
              <w:t>number</w:t>
            </w:r>
          </w:p>
        </w:tc>
        <w:tc>
          <w:tcPr>
            <w:tcW w:w="1021" w:type="dxa"/>
          </w:tcPr>
          <w:p w14:paraId="1BB72909" w14:textId="77777777" w:rsidR="00ED6A34" w:rsidRDefault="00ED6A34" w:rsidP="00006DE3">
            <w:pPr>
              <w:pStyle w:val="TableTextRight"/>
            </w:pPr>
            <w:r>
              <w:t>84,154</w:t>
            </w:r>
          </w:p>
        </w:tc>
        <w:tc>
          <w:tcPr>
            <w:tcW w:w="1021" w:type="dxa"/>
          </w:tcPr>
          <w:p w14:paraId="5CADF3C4" w14:textId="77777777" w:rsidR="00ED6A34" w:rsidRDefault="00ED6A34" w:rsidP="00006DE3">
            <w:pPr>
              <w:pStyle w:val="TableTextRight"/>
            </w:pPr>
            <w:r>
              <w:t>93,186</w:t>
            </w:r>
          </w:p>
        </w:tc>
        <w:tc>
          <w:tcPr>
            <w:tcW w:w="1021" w:type="dxa"/>
          </w:tcPr>
          <w:p w14:paraId="186D9A92" w14:textId="77777777" w:rsidR="00ED6A34" w:rsidRDefault="00ED6A34" w:rsidP="00006DE3">
            <w:pPr>
              <w:pStyle w:val="TableTextRight"/>
            </w:pPr>
            <w:r>
              <w:t>87,100</w:t>
            </w:r>
          </w:p>
        </w:tc>
        <w:tc>
          <w:tcPr>
            <w:tcW w:w="1021" w:type="dxa"/>
          </w:tcPr>
          <w:p w14:paraId="3FCF89E3" w14:textId="77777777" w:rsidR="00ED6A34" w:rsidRDefault="00ED6A34" w:rsidP="00006DE3">
            <w:pPr>
              <w:pStyle w:val="TableTextRight"/>
            </w:pPr>
            <w:r>
              <w:t>94,826</w:t>
            </w:r>
          </w:p>
        </w:tc>
      </w:tr>
      <w:tr w:rsidR="00ED6A34" w14:paraId="37E710B7" w14:textId="77777777" w:rsidTr="00C02F22">
        <w:trPr>
          <w:trHeight w:val="68"/>
        </w:trPr>
        <w:tc>
          <w:tcPr>
            <w:tcW w:w="3402" w:type="dxa"/>
          </w:tcPr>
          <w:p w14:paraId="78F13B97" w14:textId="50A21272" w:rsidR="00ED6A34" w:rsidRDefault="00ED6A34" w:rsidP="00006DE3">
            <w:pPr>
              <w:pStyle w:val="TableText"/>
            </w:pPr>
            <w:r>
              <w:t>Transactions undertaken: Residential Tenancies Bond Authority (RTBA)</w:t>
            </w:r>
          </w:p>
        </w:tc>
        <w:tc>
          <w:tcPr>
            <w:tcW w:w="1021" w:type="dxa"/>
          </w:tcPr>
          <w:p w14:paraId="5988154D" w14:textId="77777777" w:rsidR="00ED6A34" w:rsidRDefault="00ED6A34" w:rsidP="00006DE3">
            <w:pPr>
              <w:pStyle w:val="TableText"/>
            </w:pPr>
            <w:r>
              <w:t>number</w:t>
            </w:r>
          </w:p>
        </w:tc>
        <w:tc>
          <w:tcPr>
            <w:tcW w:w="1021" w:type="dxa"/>
          </w:tcPr>
          <w:p w14:paraId="54A61824" w14:textId="77777777" w:rsidR="00ED6A34" w:rsidRDefault="00ED6A34" w:rsidP="00006DE3">
            <w:pPr>
              <w:pStyle w:val="TableTextRight"/>
            </w:pPr>
            <w:r>
              <w:t>454,238</w:t>
            </w:r>
          </w:p>
        </w:tc>
        <w:tc>
          <w:tcPr>
            <w:tcW w:w="1021" w:type="dxa"/>
          </w:tcPr>
          <w:p w14:paraId="02F90FDF" w14:textId="77777777" w:rsidR="00ED6A34" w:rsidRDefault="00ED6A34" w:rsidP="00006DE3">
            <w:pPr>
              <w:pStyle w:val="TableTextRight"/>
            </w:pPr>
            <w:r>
              <w:t>461,137</w:t>
            </w:r>
          </w:p>
        </w:tc>
        <w:tc>
          <w:tcPr>
            <w:tcW w:w="1021" w:type="dxa"/>
          </w:tcPr>
          <w:p w14:paraId="27E29BFB" w14:textId="77777777" w:rsidR="00ED6A34" w:rsidRDefault="00ED6A34" w:rsidP="00006DE3">
            <w:pPr>
              <w:pStyle w:val="TableTextRight"/>
            </w:pPr>
            <w:r>
              <w:t>475,000</w:t>
            </w:r>
          </w:p>
        </w:tc>
        <w:tc>
          <w:tcPr>
            <w:tcW w:w="1021" w:type="dxa"/>
          </w:tcPr>
          <w:p w14:paraId="3B86A7FB" w14:textId="77777777" w:rsidR="00ED6A34" w:rsidRDefault="00ED6A34" w:rsidP="00006DE3">
            <w:pPr>
              <w:pStyle w:val="TableTextRight"/>
            </w:pPr>
            <w:r>
              <w:t>467,431</w:t>
            </w:r>
          </w:p>
        </w:tc>
      </w:tr>
      <w:tr w:rsidR="00ED6A34" w14:paraId="0140C8AA" w14:textId="77777777" w:rsidTr="00C02F22">
        <w:trPr>
          <w:trHeight w:val="68"/>
        </w:trPr>
        <w:tc>
          <w:tcPr>
            <w:tcW w:w="3402" w:type="dxa"/>
          </w:tcPr>
          <w:p w14:paraId="36790FBA" w14:textId="59693701" w:rsidR="00ED6A34" w:rsidRDefault="00ED6A34" w:rsidP="00006DE3">
            <w:pPr>
              <w:pStyle w:val="TableText"/>
            </w:pPr>
            <w:r>
              <w:t>Victims of family violence assisted with financial counselling</w:t>
            </w:r>
            <w:r w:rsidRPr="00A54548">
              <w:rPr>
                <w:rStyle w:val="FootnoteReference"/>
              </w:rPr>
              <w:footnoteReference w:id="5"/>
            </w:r>
          </w:p>
        </w:tc>
        <w:tc>
          <w:tcPr>
            <w:tcW w:w="1021" w:type="dxa"/>
          </w:tcPr>
          <w:p w14:paraId="5D5D24D7" w14:textId="77777777" w:rsidR="00ED6A34" w:rsidRDefault="00ED6A34" w:rsidP="00006DE3">
            <w:pPr>
              <w:pStyle w:val="TableText"/>
            </w:pPr>
            <w:r>
              <w:t>number</w:t>
            </w:r>
          </w:p>
        </w:tc>
        <w:tc>
          <w:tcPr>
            <w:tcW w:w="1021" w:type="dxa"/>
          </w:tcPr>
          <w:p w14:paraId="595B36E1" w14:textId="77777777" w:rsidR="00ED6A34" w:rsidRDefault="00ED6A34">
            <w:pPr>
              <w:spacing w:line="240" w:lineRule="auto"/>
              <w:rPr>
                <w:rFonts w:ascii="VIC-SemiBold" w:hAnsi="VIC-SemiBold" w:cstheme="minorBidi"/>
              </w:rPr>
            </w:pPr>
          </w:p>
        </w:tc>
        <w:tc>
          <w:tcPr>
            <w:tcW w:w="1021" w:type="dxa"/>
          </w:tcPr>
          <w:p w14:paraId="1B55295C" w14:textId="77777777" w:rsidR="00ED6A34" w:rsidRDefault="00ED6A34" w:rsidP="00006DE3">
            <w:pPr>
              <w:pStyle w:val="TableTextRight"/>
            </w:pPr>
            <w:r>
              <w:t>2,421</w:t>
            </w:r>
          </w:p>
        </w:tc>
        <w:tc>
          <w:tcPr>
            <w:tcW w:w="1021" w:type="dxa"/>
          </w:tcPr>
          <w:p w14:paraId="2D207D2C" w14:textId="77777777" w:rsidR="00ED6A34" w:rsidRDefault="00ED6A34" w:rsidP="00006DE3">
            <w:pPr>
              <w:pStyle w:val="TableTextRight"/>
            </w:pPr>
            <w:r>
              <w:t>2,250</w:t>
            </w:r>
          </w:p>
        </w:tc>
        <w:tc>
          <w:tcPr>
            <w:tcW w:w="1021" w:type="dxa"/>
          </w:tcPr>
          <w:p w14:paraId="526ED727" w14:textId="77777777" w:rsidR="00ED6A34" w:rsidRDefault="00ED6A34" w:rsidP="00006DE3">
            <w:pPr>
              <w:pStyle w:val="TableTextRight"/>
            </w:pPr>
            <w:r>
              <w:t>3,024</w:t>
            </w:r>
          </w:p>
        </w:tc>
      </w:tr>
      <w:tr w:rsidR="00ED6A34" w14:paraId="758BC71D" w14:textId="77777777" w:rsidTr="00C02F22">
        <w:trPr>
          <w:trHeight w:val="68"/>
        </w:trPr>
        <w:tc>
          <w:tcPr>
            <w:tcW w:w="3402" w:type="dxa"/>
          </w:tcPr>
          <w:p w14:paraId="2D5EDEE7" w14:textId="7B298E3E" w:rsidR="00ED6A34" w:rsidRDefault="00ED6A34" w:rsidP="00006DE3">
            <w:pPr>
              <w:pStyle w:val="TableText"/>
            </w:pPr>
            <w:r>
              <w:t>Dispute resolution services provided by Domestic Building Dispute Resolution Victoria</w:t>
            </w:r>
          </w:p>
        </w:tc>
        <w:tc>
          <w:tcPr>
            <w:tcW w:w="1021" w:type="dxa"/>
          </w:tcPr>
          <w:p w14:paraId="2B99FFCA" w14:textId="77777777" w:rsidR="00ED6A34" w:rsidRDefault="00ED6A34" w:rsidP="00006DE3">
            <w:pPr>
              <w:pStyle w:val="TableText"/>
            </w:pPr>
            <w:r>
              <w:t>number</w:t>
            </w:r>
          </w:p>
        </w:tc>
        <w:tc>
          <w:tcPr>
            <w:tcW w:w="1021" w:type="dxa"/>
          </w:tcPr>
          <w:p w14:paraId="4DF6AC61" w14:textId="77777777" w:rsidR="00ED6A34" w:rsidRDefault="00ED6A34">
            <w:pPr>
              <w:spacing w:line="240" w:lineRule="auto"/>
              <w:rPr>
                <w:rFonts w:ascii="VIC-SemiBold" w:hAnsi="VIC-SemiBold" w:cstheme="minorBidi"/>
              </w:rPr>
            </w:pPr>
          </w:p>
        </w:tc>
        <w:tc>
          <w:tcPr>
            <w:tcW w:w="1021" w:type="dxa"/>
          </w:tcPr>
          <w:p w14:paraId="0B3FEC15" w14:textId="77777777" w:rsidR="00ED6A34" w:rsidRDefault="00ED6A34" w:rsidP="00006DE3">
            <w:pPr>
              <w:pStyle w:val="TableTextRight"/>
            </w:pPr>
            <w:r>
              <w:t>5,981</w:t>
            </w:r>
          </w:p>
        </w:tc>
        <w:tc>
          <w:tcPr>
            <w:tcW w:w="1021" w:type="dxa"/>
          </w:tcPr>
          <w:p w14:paraId="2E508D8A" w14:textId="77777777" w:rsidR="00ED6A34" w:rsidRDefault="00ED6A34" w:rsidP="00006DE3">
            <w:pPr>
              <w:pStyle w:val="TableTextRight"/>
            </w:pPr>
            <w:r>
              <w:t>6,000</w:t>
            </w:r>
          </w:p>
        </w:tc>
        <w:tc>
          <w:tcPr>
            <w:tcW w:w="1021" w:type="dxa"/>
          </w:tcPr>
          <w:p w14:paraId="6352AB8A" w14:textId="77777777" w:rsidR="00ED6A34" w:rsidRDefault="00ED6A34" w:rsidP="00006DE3">
            <w:pPr>
              <w:pStyle w:val="TableTextRight"/>
            </w:pPr>
            <w:r>
              <w:t>6,003</w:t>
            </w:r>
          </w:p>
        </w:tc>
      </w:tr>
      <w:tr w:rsidR="00ED6A34" w14:paraId="7786EE8B" w14:textId="77777777" w:rsidTr="00C02F22">
        <w:trPr>
          <w:trHeight w:val="68"/>
        </w:trPr>
        <w:tc>
          <w:tcPr>
            <w:tcW w:w="3402" w:type="dxa"/>
            <w:gridSpan w:val="6"/>
            <w:shd w:val="clear" w:color="auto" w:fill="B2D5F0"/>
          </w:tcPr>
          <w:p w14:paraId="0E6298A7" w14:textId="77777777" w:rsidR="00ED6A34" w:rsidRDefault="00ED6A34" w:rsidP="00006DE3">
            <w:pPr>
              <w:pStyle w:val="TableTextBold"/>
            </w:pPr>
            <w:r>
              <w:t>Quality</w:t>
            </w:r>
          </w:p>
        </w:tc>
      </w:tr>
      <w:tr w:rsidR="00ED6A34" w14:paraId="4A178EF2" w14:textId="77777777" w:rsidTr="00C02F22">
        <w:trPr>
          <w:trHeight w:val="68"/>
        </w:trPr>
        <w:tc>
          <w:tcPr>
            <w:tcW w:w="3402" w:type="dxa"/>
            <w:tcBorders>
              <w:bottom w:val="single" w:sz="4" w:space="0" w:color="FFFFFF"/>
            </w:tcBorders>
          </w:tcPr>
          <w:p w14:paraId="0E7A4D53" w14:textId="2AD78EA9" w:rsidR="00ED6A34" w:rsidRDefault="00ED6A34" w:rsidP="00006DE3">
            <w:pPr>
              <w:pStyle w:val="TableText"/>
            </w:pPr>
            <w:r>
              <w:t>Rate of compliance with key consumer laws</w:t>
            </w:r>
            <w:r>
              <w:rPr>
                <w:vertAlign w:val="superscript"/>
              </w:rPr>
              <w:footnoteReference w:id="6"/>
            </w:r>
            <w:r>
              <w:t xml:space="preserve"> </w:t>
            </w:r>
          </w:p>
        </w:tc>
        <w:tc>
          <w:tcPr>
            <w:tcW w:w="1021" w:type="dxa"/>
            <w:tcBorders>
              <w:bottom w:val="single" w:sz="4" w:space="0" w:color="FFFFFF"/>
            </w:tcBorders>
          </w:tcPr>
          <w:p w14:paraId="04F52254" w14:textId="5A2158B4" w:rsidR="00ED6A34" w:rsidRDefault="00ED6A34" w:rsidP="00006DE3">
            <w:pPr>
              <w:pStyle w:val="TableText"/>
            </w:pPr>
            <w:r>
              <w:t>per cent</w:t>
            </w:r>
          </w:p>
        </w:tc>
        <w:tc>
          <w:tcPr>
            <w:tcW w:w="1021" w:type="dxa"/>
            <w:tcBorders>
              <w:bottom w:val="single" w:sz="4" w:space="0" w:color="FFFFFF"/>
            </w:tcBorders>
          </w:tcPr>
          <w:p w14:paraId="4B329455" w14:textId="77777777" w:rsidR="00ED6A34" w:rsidRDefault="00ED6A34" w:rsidP="00006DE3">
            <w:pPr>
              <w:pStyle w:val="TableTextRight"/>
            </w:pPr>
            <w:r>
              <w:t>98.2</w:t>
            </w:r>
          </w:p>
        </w:tc>
        <w:tc>
          <w:tcPr>
            <w:tcW w:w="1021" w:type="dxa"/>
            <w:tcBorders>
              <w:bottom w:val="single" w:sz="4" w:space="0" w:color="FFFFFF"/>
            </w:tcBorders>
          </w:tcPr>
          <w:p w14:paraId="6E7153F9" w14:textId="77777777" w:rsidR="00ED6A34" w:rsidRDefault="00ED6A34" w:rsidP="00006DE3">
            <w:pPr>
              <w:pStyle w:val="TableTextRight"/>
            </w:pPr>
            <w:r>
              <w:t>99.3</w:t>
            </w:r>
          </w:p>
        </w:tc>
        <w:tc>
          <w:tcPr>
            <w:tcW w:w="1021" w:type="dxa"/>
            <w:tcBorders>
              <w:bottom w:val="single" w:sz="4" w:space="0" w:color="FFFFFF"/>
            </w:tcBorders>
          </w:tcPr>
          <w:p w14:paraId="0CAF6229" w14:textId="77777777" w:rsidR="00ED6A34" w:rsidRDefault="00ED6A34" w:rsidP="00006DE3">
            <w:pPr>
              <w:pStyle w:val="TableTextRight"/>
            </w:pPr>
            <w:r>
              <w:t>95</w:t>
            </w:r>
          </w:p>
        </w:tc>
        <w:tc>
          <w:tcPr>
            <w:tcW w:w="1021" w:type="dxa"/>
            <w:tcBorders>
              <w:bottom w:val="single" w:sz="4" w:space="0" w:color="FFFFFF"/>
            </w:tcBorders>
          </w:tcPr>
          <w:p w14:paraId="3F55652F" w14:textId="77777777" w:rsidR="00ED6A34" w:rsidRDefault="00ED6A34" w:rsidP="00006DE3">
            <w:pPr>
              <w:pStyle w:val="TableTextRight"/>
            </w:pPr>
            <w:r>
              <w:t>91.5</w:t>
            </w:r>
          </w:p>
        </w:tc>
      </w:tr>
      <w:tr w:rsidR="00ED6A34" w14:paraId="48088BC5" w14:textId="77777777" w:rsidTr="00C02F22">
        <w:trPr>
          <w:trHeight w:val="68"/>
        </w:trPr>
        <w:tc>
          <w:tcPr>
            <w:tcW w:w="3402" w:type="dxa"/>
            <w:gridSpan w:val="6"/>
            <w:shd w:val="clear" w:color="auto" w:fill="B2D5F0"/>
          </w:tcPr>
          <w:p w14:paraId="04D3AFB6" w14:textId="77777777" w:rsidR="00ED6A34" w:rsidRDefault="00ED6A34" w:rsidP="00006DE3">
            <w:pPr>
              <w:pStyle w:val="TableTextBold"/>
            </w:pPr>
            <w:r>
              <w:t>Timeliness</w:t>
            </w:r>
          </w:p>
        </w:tc>
      </w:tr>
      <w:tr w:rsidR="00ED6A34" w14:paraId="505A2FB8" w14:textId="77777777" w:rsidTr="00C02F22">
        <w:trPr>
          <w:trHeight w:val="68"/>
        </w:trPr>
        <w:tc>
          <w:tcPr>
            <w:tcW w:w="3402" w:type="dxa"/>
          </w:tcPr>
          <w:p w14:paraId="0AE6D651" w14:textId="0F95DA5E" w:rsidR="00ED6A34" w:rsidRDefault="00ED6A34" w:rsidP="00006DE3">
            <w:pPr>
              <w:pStyle w:val="TableText"/>
            </w:pPr>
            <w:r>
              <w:t>Regulatory functions delivered within agreed time frames</w:t>
            </w:r>
          </w:p>
        </w:tc>
        <w:tc>
          <w:tcPr>
            <w:tcW w:w="1021" w:type="dxa"/>
          </w:tcPr>
          <w:p w14:paraId="54B89B6B" w14:textId="75217A55" w:rsidR="00ED6A34" w:rsidRDefault="00ED6A34" w:rsidP="00006DE3">
            <w:pPr>
              <w:pStyle w:val="TableText"/>
            </w:pPr>
            <w:r>
              <w:t>per cent</w:t>
            </w:r>
          </w:p>
        </w:tc>
        <w:tc>
          <w:tcPr>
            <w:tcW w:w="1021" w:type="dxa"/>
          </w:tcPr>
          <w:p w14:paraId="492F4857" w14:textId="77777777" w:rsidR="00ED6A34" w:rsidRDefault="00ED6A34" w:rsidP="00006DE3">
            <w:pPr>
              <w:pStyle w:val="TableTextRight"/>
            </w:pPr>
            <w:r>
              <w:t>93.8</w:t>
            </w:r>
          </w:p>
        </w:tc>
        <w:tc>
          <w:tcPr>
            <w:tcW w:w="1021" w:type="dxa"/>
          </w:tcPr>
          <w:p w14:paraId="35F6FDBC" w14:textId="77777777" w:rsidR="00ED6A34" w:rsidRDefault="00ED6A34" w:rsidP="00006DE3">
            <w:pPr>
              <w:pStyle w:val="TableTextRight"/>
            </w:pPr>
            <w:r>
              <w:t>97.7</w:t>
            </w:r>
          </w:p>
        </w:tc>
        <w:tc>
          <w:tcPr>
            <w:tcW w:w="1021" w:type="dxa"/>
          </w:tcPr>
          <w:p w14:paraId="5F70DDC0" w14:textId="77777777" w:rsidR="00ED6A34" w:rsidRDefault="00ED6A34" w:rsidP="00006DE3">
            <w:pPr>
              <w:pStyle w:val="TableTextRight"/>
            </w:pPr>
            <w:r>
              <w:t>95</w:t>
            </w:r>
          </w:p>
        </w:tc>
        <w:tc>
          <w:tcPr>
            <w:tcW w:w="1021" w:type="dxa"/>
          </w:tcPr>
          <w:p w14:paraId="07F80165" w14:textId="77777777" w:rsidR="00ED6A34" w:rsidRDefault="00ED6A34" w:rsidP="00006DE3">
            <w:pPr>
              <w:pStyle w:val="TableTextRight"/>
            </w:pPr>
            <w:r>
              <w:t>97.8</w:t>
            </w:r>
          </w:p>
        </w:tc>
      </w:tr>
      <w:tr w:rsidR="00ED6A34" w14:paraId="3115FC5D" w14:textId="77777777" w:rsidTr="00C02F22">
        <w:trPr>
          <w:trHeight w:val="68"/>
        </w:trPr>
        <w:tc>
          <w:tcPr>
            <w:tcW w:w="3402" w:type="dxa"/>
          </w:tcPr>
          <w:p w14:paraId="2EE5903E" w14:textId="63DDA66F" w:rsidR="00ED6A34" w:rsidRDefault="00ED6A34" w:rsidP="00455A12">
            <w:pPr>
              <w:pStyle w:val="TableText"/>
            </w:pPr>
            <w:r>
              <w:t>Proportion of high priority breaches resulting in regulatory response</w:t>
            </w:r>
            <w:r w:rsidRPr="00A54548">
              <w:rPr>
                <w:rStyle w:val="FootnoteReference"/>
              </w:rPr>
              <w:footnoteReference w:id="7"/>
            </w:r>
          </w:p>
        </w:tc>
        <w:tc>
          <w:tcPr>
            <w:tcW w:w="1021" w:type="dxa"/>
          </w:tcPr>
          <w:p w14:paraId="37DB71AA" w14:textId="3E44ADAF" w:rsidR="00ED6A34" w:rsidRDefault="00ED6A34" w:rsidP="00006DE3">
            <w:pPr>
              <w:pStyle w:val="TableText"/>
            </w:pPr>
            <w:r>
              <w:t>per cent</w:t>
            </w:r>
          </w:p>
        </w:tc>
        <w:tc>
          <w:tcPr>
            <w:tcW w:w="1021" w:type="dxa"/>
          </w:tcPr>
          <w:p w14:paraId="78A46A1C" w14:textId="77777777" w:rsidR="00ED6A34" w:rsidRDefault="00ED6A34">
            <w:pPr>
              <w:spacing w:line="240" w:lineRule="auto"/>
              <w:rPr>
                <w:rFonts w:ascii="VIC-SemiBold" w:hAnsi="VIC-SemiBold" w:cstheme="minorBidi"/>
              </w:rPr>
            </w:pPr>
          </w:p>
        </w:tc>
        <w:tc>
          <w:tcPr>
            <w:tcW w:w="1021" w:type="dxa"/>
          </w:tcPr>
          <w:p w14:paraId="5687AED4" w14:textId="77777777" w:rsidR="00ED6A34" w:rsidRDefault="00ED6A34">
            <w:pPr>
              <w:spacing w:line="240" w:lineRule="auto"/>
              <w:rPr>
                <w:rFonts w:ascii="VIC-SemiBold" w:hAnsi="VIC-SemiBold" w:cstheme="minorBidi"/>
              </w:rPr>
            </w:pPr>
          </w:p>
        </w:tc>
        <w:tc>
          <w:tcPr>
            <w:tcW w:w="1021" w:type="dxa"/>
          </w:tcPr>
          <w:p w14:paraId="2E4AE231" w14:textId="77777777" w:rsidR="00ED6A34" w:rsidRDefault="00ED6A34" w:rsidP="00006DE3">
            <w:pPr>
              <w:pStyle w:val="TableTextRight"/>
            </w:pPr>
            <w:r>
              <w:t>100</w:t>
            </w:r>
          </w:p>
        </w:tc>
        <w:tc>
          <w:tcPr>
            <w:tcW w:w="1021" w:type="dxa"/>
          </w:tcPr>
          <w:p w14:paraId="09D45037" w14:textId="77777777" w:rsidR="00ED6A34" w:rsidRDefault="00ED6A34" w:rsidP="00006DE3">
            <w:pPr>
              <w:pStyle w:val="TableTextRight"/>
            </w:pPr>
            <w:r>
              <w:t>100</w:t>
            </w:r>
          </w:p>
        </w:tc>
      </w:tr>
      <w:tr w:rsidR="00ED6A34" w14:paraId="33C5F22C" w14:textId="77777777" w:rsidTr="00C02F22">
        <w:trPr>
          <w:trHeight w:val="68"/>
        </w:trPr>
        <w:tc>
          <w:tcPr>
            <w:tcW w:w="3402" w:type="dxa"/>
            <w:gridSpan w:val="6"/>
            <w:shd w:val="clear" w:color="auto" w:fill="B2D5F0"/>
          </w:tcPr>
          <w:p w14:paraId="337F3FF9" w14:textId="77777777" w:rsidR="00ED6A34" w:rsidRDefault="00ED6A34" w:rsidP="00006DE3">
            <w:pPr>
              <w:pStyle w:val="TableTextBold"/>
            </w:pPr>
            <w:r>
              <w:t>Cost</w:t>
            </w:r>
          </w:p>
        </w:tc>
      </w:tr>
      <w:tr w:rsidR="00ED6A34" w14:paraId="53659C5E" w14:textId="77777777" w:rsidTr="00C02F22">
        <w:trPr>
          <w:trHeight w:val="68"/>
        </w:trPr>
        <w:tc>
          <w:tcPr>
            <w:tcW w:w="3402" w:type="dxa"/>
          </w:tcPr>
          <w:p w14:paraId="4BE85D19" w14:textId="52939CA9" w:rsidR="00ED6A34" w:rsidRDefault="00ED6A34" w:rsidP="00006DE3">
            <w:pPr>
              <w:pStyle w:val="TableText"/>
            </w:pPr>
            <w:r>
              <w:t>Total output cost</w:t>
            </w:r>
            <w:r w:rsidR="000F63E3">
              <w:rPr>
                <w:rStyle w:val="FootnoteReference"/>
              </w:rPr>
              <w:footnoteReference w:id="8"/>
            </w:r>
          </w:p>
        </w:tc>
        <w:tc>
          <w:tcPr>
            <w:tcW w:w="1021" w:type="dxa"/>
          </w:tcPr>
          <w:p w14:paraId="2C485D21" w14:textId="1CB61F62" w:rsidR="00ED6A34" w:rsidRDefault="00ED6A34" w:rsidP="00006DE3">
            <w:pPr>
              <w:pStyle w:val="TableText"/>
            </w:pPr>
            <w:r>
              <w:t>$ million</w:t>
            </w:r>
          </w:p>
        </w:tc>
        <w:tc>
          <w:tcPr>
            <w:tcW w:w="1021" w:type="dxa"/>
          </w:tcPr>
          <w:p w14:paraId="6F2974AE" w14:textId="77777777" w:rsidR="00ED6A34" w:rsidRDefault="00ED6A34" w:rsidP="00006DE3">
            <w:pPr>
              <w:pStyle w:val="TableTextRight"/>
            </w:pPr>
            <w:r>
              <w:t>134.4</w:t>
            </w:r>
          </w:p>
        </w:tc>
        <w:tc>
          <w:tcPr>
            <w:tcW w:w="1021" w:type="dxa"/>
          </w:tcPr>
          <w:p w14:paraId="246E322C" w14:textId="77777777" w:rsidR="00ED6A34" w:rsidRDefault="00ED6A34" w:rsidP="00006DE3">
            <w:pPr>
              <w:pStyle w:val="TableTextRight"/>
            </w:pPr>
            <w:r>
              <w:t>140.6</w:t>
            </w:r>
          </w:p>
        </w:tc>
        <w:tc>
          <w:tcPr>
            <w:tcW w:w="1021" w:type="dxa"/>
          </w:tcPr>
          <w:p w14:paraId="3287784F" w14:textId="77777777" w:rsidR="00ED6A34" w:rsidRDefault="00ED6A34" w:rsidP="00006DE3">
            <w:pPr>
              <w:pStyle w:val="TableTextRight"/>
            </w:pPr>
            <w:r>
              <w:t>149.8</w:t>
            </w:r>
          </w:p>
        </w:tc>
        <w:tc>
          <w:tcPr>
            <w:tcW w:w="1021" w:type="dxa"/>
          </w:tcPr>
          <w:p w14:paraId="121F3CA1" w14:textId="14EDD749" w:rsidR="00ED6A34" w:rsidRDefault="000F63E3" w:rsidP="00006DE3">
            <w:pPr>
              <w:pStyle w:val="TableTextRight"/>
            </w:pPr>
            <w:r>
              <w:t>146.9</w:t>
            </w:r>
          </w:p>
        </w:tc>
      </w:tr>
    </w:tbl>
    <w:p w14:paraId="56CDA60E" w14:textId="24EC8692" w:rsidR="00ED6A34" w:rsidRDefault="00ED6A34" w:rsidP="00BB1C65">
      <w:pPr>
        <w:pStyle w:val="Heading2"/>
      </w:pPr>
      <w:bookmarkStart w:id="12" w:name="_Toc21600820"/>
      <w:r>
        <w:lastRenderedPageBreak/>
        <w:t>Our achievements</w:t>
      </w:r>
      <w:bookmarkEnd w:id="12"/>
    </w:p>
    <w:p w14:paraId="2A6849C5" w14:textId="327054C5" w:rsidR="00ED6A34" w:rsidRDefault="00ED6A34" w:rsidP="00A75F3C">
      <w:pPr>
        <w:pStyle w:val="BodyText"/>
      </w:pPr>
      <w:r>
        <w:t>Our achievements are presented under each of our outcomes, including data on our outputs and case studies highlighting our work.</w:t>
      </w:r>
    </w:p>
    <w:p w14:paraId="7DE2C681" w14:textId="62B17012" w:rsidR="00ED6A34" w:rsidRDefault="00ED6A34" w:rsidP="00BB1C65">
      <w:pPr>
        <w:pStyle w:val="Heading3"/>
      </w:pPr>
      <w:bookmarkStart w:id="13" w:name="_Toc21600821"/>
      <w:r>
        <w:t>Outcome 1 – Businesses comply with consumer laws</w:t>
      </w:r>
      <w:bookmarkEnd w:id="13"/>
    </w:p>
    <w:p w14:paraId="7FE64F0D" w14:textId="748BCEFF" w:rsidR="00ED6A34" w:rsidRDefault="00ED6A34" w:rsidP="00A75F3C">
      <w:pPr>
        <w:pStyle w:val="BodyText"/>
      </w:pPr>
      <w:r>
        <w:t>The key to achieving a fair and competitive marketplace is ensuring businesses comply with consumer laws. We focus on achieving high levels of business compliance by working with relevant industry bodies and other partners. We continue to support businesses to be compliant by giving them information and resources. Under our integrated, risk-based approach to compliance, we act quickly against businesses and organisations that are causing the most harm, to protect consumers before there is significant detriment.</w:t>
      </w:r>
    </w:p>
    <w:p w14:paraId="4173A03B" w14:textId="77777777" w:rsidR="00ED6A34" w:rsidRDefault="00ED6A34" w:rsidP="00BB1C65">
      <w:pPr>
        <w:pStyle w:val="Heading4"/>
      </w:pPr>
      <w:r>
        <w:t>Highlights</w:t>
      </w:r>
    </w:p>
    <w:p w14:paraId="0BD6D0AD" w14:textId="193AA5B8" w:rsidR="00ED6A34" w:rsidRDefault="00ED6A34" w:rsidP="00A75F3C">
      <w:pPr>
        <w:pStyle w:val="BodyText"/>
      </w:pPr>
      <w:r>
        <w:t>In 2018–19, we used a range of regulatory tools to address poor conduct by businesses and significant breaches of consumer protection laws. Table 2 provides an overview of our actions in meeting this outcome.</w:t>
      </w:r>
    </w:p>
    <w:p w14:paraId="4B103D23" w14:textId="605735C9" w:rsidR="00ED6A34" w:rsidRDefault="00ED6A34" w:rsidP="00A75F3C">
      <w:pPr>
        <w:pStyle w:val="BodyText"/>
      </w:pPr>
      <w:r>
        <w:t xml:space="preserve">We continued to make it easier for businesses to comply with their obligations, with our online licensing and registration system, </w:t>
      </w:r>
      <w:proofErr w:type="spellStart"/>
      <w:r>
        <w:t>myCAV</w:t>
      </w:r>
      <w:proofErr w:type="spellEnd"/>
      <w:r>
        <w:t xml:space="preserve">, expanding to include conveyancers and </w:t>
      </w:r>
      <w:proofErr w:type="gramStart"/>
      <w:r>
        <w:t>owners</w:t>
      </w:r>
      <w:proofErr w:type="gramEnd"/>
      <w:r>
        <w:t xml:space="preserve"> corporation managers.</w:t>
      </w:r>
    </w:p>
    <w:p w14:paraId="49063BB6" w14:textId="5B669AFD" w:rsidR="00ED6A34" w:rsidRDefault="00ED6A34" w:rsidP="00A75F3C">
      <w:pPr>
        <w:pStyle w:val="BodyText"/>
      </w:pPr>
      <w:r>
        <w:t>Our underquoting campaign reminded estate agents of their obligations under the new laws, supporting them to be compliant.</w:t>
      </w:r>
    </w:p>
    <w:p w14:paraId="0F2D8059" w14:textId="355F02E6" w:rsidR="00ED6A34" w:rsidRDefault="00ED6A34" w:rsidP="00A75F3C">
      <w:pPr>
        <w:pStyle w:val="BodyText"/>
      </w:pPr>
      <w:r>
        <w:t xml:space="preserve">We had </w:t>
      </w:r>
      <w:proofErr w:type="gramStart"/>
      <w:r>
        <w:t>a number of</w:t>
      </w:r>
      <w:proofErr w:type="gramEnd"/>
      <w:r>
        <w:t xml:space="preserve"> important outcomes in the Federal Court, including a $720,000 penalty to Melbourne South Eastern Real Estate Pty Ltd for engaging in misleading or deceptive conduct in property sales.</w:t>
      </w:r>
    </w:p>
    <w:p w14:paraId="5FA197E5" w14:textId="61FFFA44" w:rsidR="00ED6A34" w:rsidRDefault="00ED6A34" w:rsidP="00A75F3C">
      <w:pPr>
        <w:pStyle w:val="BodyText"/>
      </w:pPr>
      <w:r>
        <w:t>Our case against Judy Nguyen, the sole director of JNT Law Investments Pty Ltd was finalised, resulting in a prison sentence.</w:t>
      </w:r>
    </w:p>
    <w:p w14:paraId="554D038F" w14:textId="491F0784" w:rsidR="00ED6A34" w:rsidRDefault="00ED6A34" w:rsidP="00A75F3C">
      <w:pPr>
        <w:pStyle w:val="BodyText"/>
      </w:pPr>
      <w:r>
        <w:t>We responded quickly to emerging product safety issues, removing more than 45,700 non-compliant products.</w:t>
      </w:r>
    </w:p>
    <w:p w14:paraId="37D0AFD5" w14:textId="77777777" w:rsidR="00483EF3" w:rsidRPr="00483EF3" w:rsidRDefault="00483EF3" w:rsidP="00483EF3">
      <w:pPr>
        <w:pStyle w:val="BodyText"/>
      </w:pPr>
      <w:r w:rsidRPr="00483EF3">
        <w:br w:type="page"/>
      </w:r>
    </w:p>
    <w:p w14:paraId="068E56DA" w14:textId="2056AA51" w:rsidR="00ED6A34" w:rsidRDefault="00ED6A34" w:rsidP="00006DE3">
      <w:pPr>
        <w:pStyle w:val="Caption"/>
      </w:pPr>
      <w:r>
        <w:lastRenderedPageBreak/>
        <w:t>Table 2: Compliance, and registration and licensing activities</w:t>
      </w:r>
      <w:r w:rsidRPr="00A54548">
        <w:rPr>
          <w:rStyle w:val="FootnoteReference"/>
        </w:rPr>
        <w:footnoteReference w:id="9"/>
      </w:r>
    </w:p>
    <w:tbl>
      <w:tblPr>
        <w:tblStyle w:val="TableGrid"/>
        <w:tblW w:w="9072" w:type="dxa"/>
        <w:tblLayout w:type="fixed"/>
        <w:tblLook w:val="06A0" w:firstRow="1" w:lastRow="0" w:firstColumn="1" w:lastColumn="0" w:noHBand="1" w:noVBand="1"/>
      </w:tblPr>
      <w:tblGrid>
        <w:gridCol w:w="5805"/>
        <w:gridCol w:w="1089"/>
        <w:gridCol w:w="1089"/>
        <w:gridCol w:w="1089"/>
      </w:tblGrid>
      <w:tr w:rsidR="00ED6A34" w14:paraId="39BA5A01" w14:textId="77777777" w:rsidTr="00483EF3">
        <w:trPr>
          <w:cnfStyle w:val="100000000000" w:firstRow="1" w:lastRow="0" w:firstColumn="0" w:lastColumn="0" w:oddVBand="0" w:evenVBand="0" w:oddHBand="0" w:evenHBand="0" w:firstRowFirstColumn="0" w:firstRowLastColumn="0" w:lastRowFirstColumn="0" w:lastRowLastColumn="0"/>
          <w:trHeight w:val="60"/>
          <w:tblHeader/>
        </w:trPr>
        <w:tc>
          <w:tcPr>
            <w:tcW w:w="5443" w:type="dxa"/>
          </w:tcPr>
          <w:p w14:paraId="1DA68AC4" w14:textId="77777777" w:rsidR="00ED6A34" w:rsidRDefault="00ED6A34">
            <w:pPr>
              <w:spacing w:line="240" w:lineRule="auto"/>
              <w:rPr>
                <w:rFonts w:ascii="VIC-SemiBold" w:hAnsi="VIC-SemiBold" w:cstheme="minorBidi"/>
              </w:rPr>
            </w:pPr>
          </w:p>
        </w:tc>
        <w:tc>
          <w:tcPr>
            <w:tcW w:w="1021" w:type="dxa"/>
          </w:tcPr>
          <w:p w14:paraId="19264311" w14:textId="77777777" w:rsidR="00ED6A34" w:rsidRDefault="00ED6A34" w:rsidP="00006DE3">
            <w:pPr>
              <w:pStyle w:val="TableColHeadRight"/>
            </w:pPr>
            <w:r>
              <w:t>2016–17</w:t>
            </w:r>
          </w:p>
        </w:tc>
        <w:tc>
          <w:tcPr>
            <w:tcW w:w="1021" w:type="dxa"/>
          </w:tcPr>
          <w:p w14:paraId="6BE7B00D" w14:textId="77777777" w:rsidR="00ED6A34" w:rsidRDefault="00ED6A34" w:rsidP="00006DE3">
            <w:pPr>
              <w:pStyle w:val="TableColHeadRight"/>
            </w:pPr>
            <w:r>
              <w:t>2017–18</w:t>
            </w:r>
          </w:p>
        </w:tc>
        <w:tc>
          <w:tcPr>
            <w:tcW w:w="1021" w:type="dxa"/>
          </w:tcPr>
          <w:p w14:paraId="3259CA80" w14:textId="77777777" w:rsidR="00ED6A34" w:rsidRDefault="00ED6A34" w:rsidP="00006DE3">
            <w:pPr>
              <w:pStyle w:val="TableColHeadRight"/>
            </w:pPr>
            <w:r>
              <w:t>2018–19</w:t>
            </w:r>
          </w:p>
        </w:tc>
      </w:tr>
      <w:tr w:rsidR="00ED6A34" w14:paraId="6BA71A04" w14:textId="77777777" w:rsidTr="00483EF3">
        <w:trPr>
          <w:trHeight w:val="60"/>
        </w:trPr>
        <w:tc>
          <w:tcPr>
            <w:tcW w:w="5443" w:type="dxa"/>
            <w:gridSpan w:val="4"/>
            <w:shd w:val="clear" w:color="auto" w:fill="B2D5F0"/>
          </w:tcPr>
          <w:p w14:paraId="3D1BB979" w14:textId="77777777" w:rsidR="00ED6A34" w:rsidRDefault="00ED6A34" w:rsidP="00006DE3">
            <w:pPr>
              <w:pStyle w:val="TableTextBold"/>
            </w:pPr>
            <w:r>
              <w:t>Compliance</w:t>
            </w:r>
          </w:p>
        </w:tc>
      </w:tr>
      <w:tr w:rsidR="00ED6A34" w14:paraId="52CB1EC9" w14:textId="77777777" w:rsidTr="00483EF3">
        <w:trPr>
          <w:trHeight w:val="60"/>
        </w:trPr>
        <w:tc>
          <w:tcPr>
            <w:tcW w:w="5443" w:type="dxa"/>
          </w:tcPr>
          <w:p w14:paraId="049DFB1A" w14:textId="77777777" w:rsidR="00ED6A34" w:rsidRDefault="00ED6A34" w:rsidP="00006DE3">
            <w:pPr>
              <w:pStyle w:val="TableText"/>
            </w:pPr>
            <w:r>
              <w:t>Inspections</w:t>
            </w:r>
          </w:p>
        </w:tc>
        <w:tc>
          <w:tcPr>
            <w:tcW w:w="1021" w:type="dxa"/>
          </w:tcPr>
          <w:p w14:paraId="3BB6BA6F" w14:textId="77777777" w:rsidR="00ED6A34" w:rsidRDefault="00ED6A34" w:rsidP="00006DE3">
            <w:pPr>
              <w:pStyle w:val="TableTextRight"/>
            </w:pPr>
            <w:r>
              <w:t>5,769</w:t>
            </w:r>
          </w:p>
        </w:tc>
        <w:tc>
          <w:tcPr>
            <w:tcW w:w="1021" w:type="dxa"/>
          </w:tcPr>
          <w:p w14:paraId="6C1B11AF" w14:textId="77777777" w:rsidR="00ED6A34" w:rsidRDefault="00ED6A34" w:rsidP="00006DE3">
            <w:pPr>
              <w:pStyle w:val="TableTextRight"/>
            </w:pPr>
            <w:r>
              <w:t>5,972</w:t>
            </w:r>
          </w:p>
        </w:tc>
        <w:tc>
          <w:tcPr>
            <w:tcW w:w="1021" w:type="dxa"/>
          </w:tcPr>
          <w:p w14:paraId="65824CD9" w14:textId="77777777" w:rsidR="00ED6A34" w:rsidRDefault="00ED6A34" w:rsidP="00006DE3">
            <w:pPr>
              <w:pStyle w:val="TableTextRight"/>
            </w:pPr>
            <w:r>
              <w:t>4,324</w:t>
            </w:r>
          </w:p>
        </w:tc>
      </w:tr>
      <w:tr w:rsidR="00ED6A34" w14:paraId="70CE4F24" w14:textId="77777777" w:rsidTr="00483EF3">
        <w:trPr>
          <w:trHeight w:val="60"/>
        </w:trPr>
        <w:tc>
          <w:tcPr>
            <w:tcW w:w="5443" w:type="dxa"/>
          </w:tcPr>
          <w:p w14:paraId="5568EBD2" w14:textId="77777777" w:rsidR="00ED6A34" w:rsidRDefault="00ED6A34" w:rsidP="00006DE3">
            <w:pPr>
              <w:pStyle w:val="TableText"/>
            </w:pPr>
            <w:r>
              <w:t>Investigations</w:t>
            </w:r>
          </w:p>
        </w:tc>
        <w:tc>
          <w:tcPr>
            <w:tcW w:w="1021" w:type="dxa"/>
          </w:tcPr>
          <w:p w14:paraId="352BB939" w14:textId="77777777" w:rsidR="00ED6A34" w:rsidRDefault="00ED6A34" w:rsidP="00006DE3">
            <w:pPr>
              <w:pStyle w:val="TableTextRight"/>
            </w:pPr>
            <w:r>
              <w:t>105</w:t>
            </w:r>
          </w:p>
        </w:tc>
        <w:tc>
          <w:tcPr>
            <w:tcW w:w="1021" w:type="dxa"/>
          </w:tcPr>
          <w:p w14:paraId="696D82B1" w14:textId="77777777" w:rsidR="00ED6A34" w:rsidRDefault="00ED6A34" w:rsidP="00006DE3">
            <w:pPr>
              <w:pStyle w:val="TableTextRight"/>
            </w:pPr>
            <w:r>
              <w:t>71</w:t>
            </w:r>
          </w:p>
        </w:tc>
        <w:tc>
          <w:tcPr>
            <w:tcW w:w="1021" w:type="dxa"/>
          </w:tcPr>
          <w:p w14:paraId="293BA8FA" w14:textId="77777777" w:rsidR="00ED6A34" w:rsidRDefault="00ED6A34" w:rsidP="00006DE3">
            <w:pPr>
              <w:pStyle w:val="TableTextRight"/>
            </w:pPr>
            <w:r>
              <w:t>90</w:t>
            </w:r>
          </w:p>
        </w:tc>
      </w:tr>
      <w:tr w:rsidR="00ED6A34" w14:paraId="19F5044A" w14:textId="77777777" w:rsidTr="00483EF3">
        <w:trPr>
          <w:trHeight w:val="60"/>
        </w:trPr>
        <w:tc>
          <w:tcPr>
            <w:tcW w:w="5443" w:type="dxa"/>
          </w:tcPr>
          <w:p w14:paraId="35BF0D7E" w14:textId="16D965F7" w:rsidR="00ED6A34" w:rsidRDefault="00ED6A34" w:rsidP="00006DE3">
            <w:pPr>
              <w:pStyle w:val="TableText"/>
            </w:pPr>
            <w:r>
              <w:t>Official warnings</w:t>
            </w:r>
            <w:r w:rsidRPr="00A54548">
              <w:rPr>
                <w:rStyle w:val="FootnoteReference"/>
              </w:rPr>
              <w:footnoteReference w:id="10"/>
            </w:r>
          </w:p>
        </w:tc>
        <w:tc>
          <w:tcPr>
            <w:tcW w:w="1021" w:type="dxa"/>
          </w:tcPr>
          <w:p w14:paraId="7D756686" w14:textId="77777777" w:rsidR="00ED6A34" w:rsidRDefault="00ED6A34" w:rsidP="00006DE3">
            <w:pPr>
              <w:pStyle w:val="TableTextRight"/>
            </w:pPr>
            <w:r>
              <w:t>6</w:t>
            </w:r>
          </w:p>
        </w:tc>
        <w:tc>
          <w:tcPr>
            <w:tcW w:w="1021" w:type="dxa"/>
          </w:tcPr>
          <w:p w14:paraId="1BEB1506" w14:textId="77777777" w:rsidR="00ED6A34" w:rsidRDefault="00ED6A34" w:rsidP="00006DE3">
            <w:pPr>
              <w:pStyle w:val="TableTextRight"/>
            </w:pPr>
            <w:r>
              <w:t>112</w:t>
            </w:r>
          </w:p>
        </w:tc>
        <w:tc>
          <w:tcPr>
            <w:tcW w:w="1021" w:type="dxa"/>
          </w:tcPr>
          <w:p w14:paraId="249241DA" w14:textId="77777777" w:rsidR="00ED6A34" w:rsidRDefault="00ED6A34" w:rsidP="00006DE3">
            <w:pPr>
              <w:pStyle w:val="TableTextRight"/>
            </w:pPr>
            <w:r>
              <w:t>947</w:t>
            </w:r>
          </w:p>
        </w:tc>
      </w:tr>
      <w:tr w:rsidR="00ED6A34" w14:paraId="0ED3517C" w14:textId="77777777" w:rsidTr="00483EF3">
        <w:trPr>
          <w:trHeight w:val="60"/>
        </w:trPr>
        <w:tc>
          <w:tcPr>
            <w:tcW w:w="5443" w:type="dxa"/>
          </w:tcPr>
          <w:p w14:paraId="67B25848" w14:textId="28E0074E" w:rsidR="00ED6A34" w:rsidRDefault="00ED6A34" w:rsidP="00006DE3">
            <w:pPr>
              <w:pStyle w:val="TableText"/>
            </w:pPr>
            <w:r>
              <w:t>Infringement notices</w:t>
            </w:r>
            <w:r w:rsidRPr="00A54548">
              <w:rPr>
                <w:rStyle w:val="FootnoteReference"/>
              </w:rPr>
              <w:footnoteReference w:id="11"/>
            </w:r>
          </w:p>
        </w:tc>
        <w:tc>
          <w:tcPr>
            <w:tcW w:w="1021" w:type="dxa"/>
          </w:tcPr>
          <w:p w14:paraId="3FF1B459" w14:textId="77777777" w:rsidR="00ED6A34" w:rsidRDefault="00ED6A34" w:rsidP="00006DE3">
            <w:pPr>
              <w:pStyle w:val="TableTextRight"/>
            </w:pPr>
            <w:r>
              <w:t>154</w:t>
            </w:r>
          </w:p>
        </w:tc>
        <w:tc>
          <w:tcPr>
            <w:tcW w:w="1021" w:type="dxa"/>
          </w:tcPr>
          <w:p w14:paraId="36A08D47" w14:textId="77777777" w:rsidR="00ED6A34" w:rsidRDefault="00ED6A34" w:rsidP="00006DE3">
            <w:pPr>
              <w:pStyle w:val="TableTextRight"/>
            </w:pPr>
            <w:r>
              <w:t>64</w:t>
            </w:r>
          </w:p>
        </w:tc>
        <w:tc>
          <w:tcPr>
            <w:tcW w:w="1021" w:type="dxa"/>
          </w:tcPr>
          <w:p w14:paraId="4858B98E" w14:textId="77777777" w:rsidR="00ED6A34" w:rsidRDefault="00ED6A34" w:rsidP="00006DE3">
            <w:pPr>
              <w:pStyle w:val="TableTextRight"/>
            </w:pPr>
            <w:r>
              <w:t>198</w:t>
            </w:r>
          </w:p>
        </w:tc>
      </w:tr>
      <w:tr w:rsidR="00ED6A34" w14:paraId="0B33C418" w14:textId="77777777" w:rsidTr="00483EF3">
        <w:trPr>
          <w:trHeight w:val="60"/>
        </w:trPr>
        <w:tc>
          <w:tcPr>
            <w:tcW w:w="5443" w:type="dxa"/>
          </w:tcPr>
          <w:p w14:paraId="5BE9ADCE" w14:textId="32DFAC46" w:rsidR="00ED6A34" w:rsidRDefault="00ED6A34" w:rsidP="00006DE3">
            <w:pPr>
              <w:pStyle w:val="TableText"/>
            </w:pPr>
            <w:r>
              <w:t>Parties signed to enforceable undertakings</w:t>
            </w:r>
          </w:p>
        </w:tc>
        <w:tc>
          <w:tcPr>
            <w:tcW w:w="1021" w:type="dxa"/>
          </w:tcPr>
          <w:p w14:paraId="2EBD94AC" w14:textId="77777777" w:rsidR="00ED6A34" w:rsidRDefault="00ED6A34" w:rsidP="00006DE3">
            <w:pPr>
              <w:pStyle w:val="TableTextRight"/>
            </w:pPr>
            <w:r>
              <w:t>22</w:t>
            </w:r>
          </w:p>
        </w:tc>
        <w:tc>
          <w:tcPr>
            <w:tcW w:w="1021" w:type="dxa"/>
          </w:tcPr>
          <w:p w14:paraId="39FD6659" w14:textId="77777777" w:rsidR="00ED6A34" w:rsidRDefault="00ED6A34" w:rsidP="00006DE3">
            <w:pPr>
              <w:pStyle w:val="TableTextRight"/>
            </w:pPr>
            <w:r>
              <w:t>8</w:t>
            </w:r>
          </w:p>
        </w:tc>
        <w:tc>
          <w:tcPr>
            <w:tcW w:w="1021" w:type="dxa"/>
          </w:tcPr>
          <w:p w14:paraId="494C3255" w14:textId="77777777" w:rsidR="00ED6A34" w:rsidRDefault="00ED6A34" w:rsidP="00006DE3">
            <w:pPr>
              <w:pStyle w:val="TableTextRight"/>
            </w:pPr>
            <w:r>
              <w:t>5</w:t>
            </w:r>
          </w:p>
        </w:tc>
      </w:tr>
      <w:tr w:rsidR="00ED6A34" w14:paraId="2CD64224" w14:textId="77777777" w:rsidTr="00483EF3">
        <w:trPr>
          <w:trHeight w:val="60"/>
        </w:trPr>
        <w:tc>
          <w:tcPr>
            <w:tcW w:w="5443" w:type="dxa"/>
          </w:tcPr>
          <w:p w14:paraId="5BF67EB2" w14:textId="2211ACD8" w:rsidR="00ED6A34" w:rsidRDefault="00ED6A34" w:rsidP="00006DE3">
            <w:pPr>
              <w:pStyle w:val="TableText"/>
            </w:pPr>
            <w:r>
              <w:t>Parties to civil proceedings</w:t>
            </w:r>
          </w:p>
        </w:tc>
        <w:tc>
          <w:tcPr>
            <w:tcW w:w="1021" w:type="dxa"/>
          </w:tcPr>
          <w:p w14:paraId="1A67526D" w14:textId="77777777" w:rsidR="00ED6A34" w:rsidRDefault="00ED6A34" w:rsidP="00006DE3">
            <w:pPr>
              <w:pStyle w:val="TableTextRight"/>
            </w:pPr>
            <w:r>
              <w:t>41</w:t>
            </w:r>
          </w:p>
        </w:tc>
        <w:tc>
          <w:tcPr>
            <w:tcW w:w="1021" w:type="dxa"/>
          </w:tcPr>
          <w:p w14:paraId="08D1D852" w14:textId="77777777" w:rsidR="00ED6A34" w:rsidRDefault="00ED6A34" w:rsidP="00006DE3">
            <w:pPr>
              <w:pStyle w:val="TableTextRight"/>
            </w:pPr>
            <w:r>
              <w:t>35</w:t>
            </w:r>
          </w:p>
        </w:tc>
        <w:tc>
          <w:tcPr>
            <w:tcW w:w="1021" w:type="dxa"/>
          </w:tcPr>
          <w:p w14:paraId="75648885" w14:textId="77777777" w:rsidR="00ED6A34" w:rsidRDefault="00ED6A34" w:rsidP="00006DE3">
            <w:pPr>
              <w:pStyle w:val="TableTextRight"/>
            </w:pPr>
            <w:r>
              <w:t>19</w:t>
            </w:r>
          </w:p>
        </w:tc>
      </w:tr>
      <w:tr w:rsidR="00ED6A34" w14:paraId="74B37AF3" w14:textId="77777777" w:rsidTr="00483EF3">
        <w:trPr>
          <w:trHeight w:val="60"/>
        </w:trPr>
        <w:tc>
          <w:tcPr>
            <w:tcW w:w="5443" w:type="dxa"/>
          </w:tcPr>
          <w:p w14:paraId="32B4213E" w14:textId="2A17DAE0" w:rsidR="00ED6A34" w:rsidRDefault="00ED6A34" w:rsidP="00006DE3">
            <w:pPr>
              <w:pStyle w:val="TableText"/>
            </w:pPr>
            <w:r>
              <w:t>Parties to criminal proceedings, appeals and re-hearings</w:t>
            </w:r>
          </w:p>
        </w:tc>
        <w:tc>
          <w:tcPr>
            <w:tcW w:w="1021" w:type="dxa"/>
          </w:tcPr>
          <w:p w14:paraId="436C09E9" w14:textId="77777777" w:rsidR="00ED6A34" w:rsidRDefault="00ED6A34" w:rsidP="00006DE3">
            <w:pPr>
              <w:pStyle w:val="TableTextRight"/>
            </w:pPr>
            <w:r>
              <w:t>18</w:t>
            </w:r>
          </w:p>
        </w:tc>
        <w:tc>
          <w:tcPr>
            <w:tcW w:w="1021" w:type="dxa"/>
          </w:tcPr>
          <w:p w14:paraId="22C506F0" w14:textId="77777777" w:rsidR="00ED6A34" w:rsidRDefault="00ED6A34" w:rsidP="00006DE3">
            <w:pPr>
              <w:pStyle w:val="TableTextRight"/>
            </w:pPr>
            <w:r>
              <w:t>6</w:t>
            </w:r>
          </w:p>
        </w:tc>
        <w:tc>
          <w:tcPr>
            <w:tcW w:w="1021" w:type="dxa"/>
          </w:tcPr>
          <w:p w14:paraId="7BA7F01D" w14:textId="77777777" w:rsidR="00ED6A34" w:rsidRDefault="00ED6A34" w:rsidP="00006DE3">
            <w:pPr>
              <w:pStyle w:val="TableTextRight"/>
            </w:pPr>
            <w:r>
              <w:t>9</w:t>
            </w:r>
          </w:p>
        </w:tc>
      </w:tr>
      <w:tr w:rsidR="00ED6A34" w14:paraId="76283654" w14:textId="77777777" w:rsidTr="00483EF3">
        <w:trPr>
          <w:trHeight w:val="60"/>
        </w:trPr>
        <w:tc>
          <w:tcPr>
            <w:tcW w:w="5443" w:type="dxa"/>
            <w:gridSpan w:val="4"/>
            <w:shd w:val="clear" w:color="auto" w:fill="B2D5F0"/>
          </w:tcPr>
          <w:p w14:paraId="2480A434" w14:textId="7B3A808C" w:rsidR="00ED6A34" w:rsidRDefault="00ED6A34" w:rsidP="00006DE3">
            <w:pPr>
              <w:pStyle w:val="TableTextBold"/>
            </w:pPr>
            <w:r>
              <w:t>Registration and licensing</w:t>
            </w:r>
          </w:p>
        </w:tc>
      </w:tr>
      <w:tr w:rsidR="00ED6A34" w14:paraId="3C755B49" w14:textId="77777777" w:rsidTr="00483EF3">
        <w:trPr>
          <w:trHeight w:val="60"/>
        </w:trPr>
        <w:tc>
          <w:tcPr>
            <w:tcW w:w="5443" w:type="dxa"/>
          </w:tcPr>
          <w:p w14:paraId="7FB933BE" w14:textId="54D8E798" w:rsidR="00ED6A34" w:rsidRDefault="00ED6A34" w:rsidP="00006DE3">
            <w:pPr>
              <w:pStyle w:val="TableText"/>
            </w:pPr>
            <w:r>
              <w:t>Annual returns, updates or cancellations processed for incorporated associations, fundraisers and co-operatives</w:t>
            </w:r>
          </w:p>
        </w:tc>
        <w:tc>
          <w:tcPr>
            <w:tcW w:w="1021" w:type="dxa"/>
          </w:tcPr>
          <w:p w14:paraId="7F02EA58" w14:textId="77777777" w:rsidR="00ED6A34" w:rsidRDefault="00ED6A34" w:rsidP="00006DE3">
            <w:pPr>
              <w:pStyle w:val="TableTextRight"/>
            </w:pPr>
            <w:r>
              <w:t>51,157</w:t>
            </w:r>
          </w:p>
        </w:tc>
        <w:tc>
          <w:tcPr>
            <w:tcW w:w="1021" w:type="dxa"/>
          </w:tcPr>
          <w:p w14:paraId="2DE52895" w14:textId="77777777" w:rsidR="00ED6A34" w:rsidRDefault="00ED6A34" w:rsidP="00006DE3">
            <w:pPr>
              <w:pStyle w:val="TableTextRight"/>
            </w:pPr>
            <w:r>
              <w:t>55,217</w:t>
            </w:r>
          </w:p>
        </w:tc>
        <w:tc>
          <w:tcPr>
            <w:tcW w:w="1021" w:type="dxa"/>
          </w:tcPr>
          <w:p w14:paraId="4B52A449" w14:textId="77777777" w:rsidR="00ED6A34" w:rsidRDefault="00ED6A34" w:rsidP="00006DE3">
            <w:pPr>
              <w:pStyle w:val="TableTextRight"/>
            </w:pPr>
            <w:r>
              <w:t>54,786</w:t>
            </w:r>
          </w:p>
        </w:tc>
      </w:tr>
      <w:tr w:rsidR="00ED6A34" w14:paraId="6D7A08E1" w14:textId="77777777" w:rsidTr="00483EF3">
        <w:trPr>
          <w:trHeight w:val="60"/>
        </w:trPr>
        <w:tc>
          <w:tcPr>
            <w:tcW w:w="5443" w:type="dxa"/>
          </w:tcPr>
          <w:p w14:paraId="7D3BE665" w14:textId="3A521CF3" w:rsidR="00ED6A34" w:rsidRDefault="00ED6A34" w:rsidP="00006DE3">
            <w:pPr>
              <w:pStyle w:val="TableText"/>
            </w:pPr>
            <w:r>
              <w:t>Total registration and licensing transactions</w:t>
            </w:r>
            <w:r w:rsidRPr="00A54548">
              <w:rPr>
                <w:rStyle w:val="FootnoteReference"/>
              </w:rPr>
              <w:footnoteReference w:id="12"/>
            </w:r>
          </w:p>
        </w:tc>
        <w:tc>
          <w:tcPr>
            <w:tcW w:w="1021" w:type="dxa"/>
          </w:tcPr>
          <w:p w14:paraId="7E029996" w14:textId="77777777" w:rsidR="00ED6A34" w:rsidRDefault="00ED6A34" w:rsidP="00006DE3">
            <w:pPr>
              <w:pStyle w:val="TableTextRight"/>
            </w:pPr>
            <w:r>
              <w:t>84,154</w:t>
            </w:r>
          </w:p>
        </w:tc>
        <w:tc>
          <w:tcPr>
            <w:tcW w:w="1021" w:type="dxa"/>
          </w:tcPr>
          <w:p w14:paraId="44CB1B15" w14:textId="77777777" w:rsidR="00ED6A34" w:rsidRDefault="00ED6A34" w:rsidP="00006DE3">
            <w:pPr>
              <w:pStyle w:val="TableTextRight"/>
            </w:pPr>
            <w:r>
              <w:t>91,135</w:t>
            </w:r>
          </w:p>
        </w:tc>
        <w:tc>
          <w:tcPr>
            <w:tcW w:w="1021" w:type="dxa"/>
          </w:tcPr>
          <w:p w14:paraId="3EDADDC1" w14:textId="77777777" w:rsidR="00ED6A34" w:rsidRDefault="00ED6A34" w:rsidP="00006DE3">
            <w:pPr>
              <w:pStyle w:val="TableTextRight"/>
            </w:pPr>
            <w:r>
              <w:t>94,826</w:t>
            </w:r>
          </w:p>
        </w:tc>
      </w:tr>
    </w:tbl>
    <w:p w14:paraId="6F78ED61" w14:textId="3AB0772C" w:rsidR="00ED6A34" w:rsidRDefault="00ED6A34" w:rsidP="00483EF3">
      <w:pPr>
        <w:pStyle w:val="Heading4"/>
        <w:pageBreakBefore/>
      </w:pPr>
      <w:r>
        <w:lastRenderedPageBreak/>
        <w:t>Registers we administer</w:t>
      </w:r>
    </w:p>
    <w:p w14:paraId="0D37A5E4" w14:textId="470F5C0E" w:rsidR="00ED6A34" w:rsidRDefault="00ED6A34" w:rsidP="00A75F3C">
      <w:pPr>
        <w:pStyle w:val="BodyText"/>
      </w:pPr>
      <w:r>
        <w:t>These are outlined in Table 3.</w:t>
      </w:r>
    </w:p>
    <w:p w14:paraId="2AE3D4DA" w14:textId="5DAC7DDD" w:rsidR="00ED6A34" w:rsidRDefault="00ED6A34" w:rsidP="00006DE3">
      <w:pPr>
        <w:pStyle w:val="Caption"/>
      </w:pPr>
      <w:r>
        <w:t>Table 3: Registers administered by Consumer Affairs Victoria</w:t>
      </w:r>
    </w:p>
    <w:tbl>
      <w:tblPr>
        <w:tblStyle w:val="TableGrid"/>
        <w:tblW w:w="9072" w:type="dxa"/>
        <w:tblLayout w:type="fixed"/>
        <w:tblLook w:val="06A0" w:firstRow="1" w:lastRow="0" w:firstColumn="1" w:lastColumn="0" w:noHBand="1" w:noVBand="1"/>
      </w:tblPr>
      <w:tblGrid>
        <w:gridCol w:w="2904"/>
        <w:gridCol w:w="1028"/>
        <w:gridCol w:w="1028"/>
        <w:gridCol w:w="1028"/>
        <w:gridCol w:w="1028"/>
        <w:gridCol w:w="1028"/>
        <w:gridCol w:w="1028"/>
      </w:tblGrid>
      <w:tr w:rsidR="00ED6A34" w14:paraId="17F73C26" w14:textId="77777777" w:rsidTr="00483EF3">
        <w:trPr>
          <w:cnfStyle w:val="100000000000" w:firstRow="1" w:lastRow="0" w:firstColumn="0" w:lastColumn="0" w:oddVBand="0" w:evenVBand="0" w:oddHBand="0" w:evenHBand="0" w:firstRowFirstColumn="0" w:firstRowLastColumn="0" w:lastRowFirstColumn="0" w:lastRowLastColumn="0"/>
          <w:trHeight w:val="68"/>
          <w:tblHeader/>
        </w:trPr>
        <w:tc>
          <w:tcPr>
            <w:tcW w:w="2381" w:type="dxa"/>
            <w:vMerge w:val="restart"/>
          </w:tcPr>
          <w:p w14:paraId="01696B71" w14:textId="77777777" w:rsidR="00ED6A34" w:rsidRDefault="00ED6A34">
            <w:pPr>
              <w:spacing w:line="240" w:lineRule="auto"/>
              <w:rPr>
                <w:rFonts w:ascii="VIC-SemiBold" w:hAnsi="VIC-SemiBold" w:cstheme="minorBidi"/>
              </w:rPr>
            </w:pPr>
          </w:p>
        </w:tc>
        <w:tc>
          <w:tcPr>
            <w:tcW w:w="964" w:type="dxa"/>
            <w:gridSpan w:val="3"/>
          </w:tcPr>
          <w:p w14:paraId="444B8306" w14:textId="1F329D44" w:rsidR="00ED6A34" w:rsidRDefault="00ED6A34" w:rsidP="00006DE3">
            <w:pPr>
              <w:pStyle w:val="TableColHead"/>
            </w:pPr>
            <w:r>
              <w:t>New applications lodged</w:t>
            </w:r>
          </w:p>
        </w:tc>
        <w:tc>
          <w:tcPr>
            <w:tcW w:w="964" w:type="dxa"/>
            <w:gridSpan w:val="3"/>
          </w:tcPr>
          <w:p w14:paraId="1FEE6722" w14:textId="0EA14FA2" w:rsidR="00ED6A34" w:rsidRDefault="00ED6A34" w:rsidP="00006DE3">
            <w:pPr>
              <w:pStyle w:val="TableColHead"/>
            </w:pPr>
            <w:r>
              <w:t>Total on register</w:t>
            </w:r>
          </w:p>
        </w:tc>
      </w:tr>
      <w:tr w:rsidR="00ED6A34" w14:paraId="0A6D71E3" w14:textId="77777777" w:rsidTr="00483EF3">
        <w:trPr>
          <w:cnfStyle w:val="100000000000" w:firstRow="1" w:lastRow="0" w:firstColumn="0" w:lastColumn="0" w:oddVBand="0" w:evenVBand="0" w:oddHBand="0" w:evenHBand="0" w:firstRowFirstColumn="0" w:firstRowLastColumn="0" w:lastRowFirstColumn="0" w:lastRowLastColumn="0"/>
          <w:trHeight w:val="68"/>
          <w:tblHeader/>
        </w:trPr>
        <w:tc>
          <w:tcPr>
            <w:tcW w:w="2381" w:type="dxa"/>
            <w:vMerge/>
          </w:tcPr>
          <w:p w14:paraId="02CB4B82" w14:textId="77777777" w:rsidR="00ED6A34" w:rsidRDefault="00ED6A34">
            <w:pPr>
              <w:spacing w:line="240" w:lineRule="auto"/>
              <w:rPr>
                <w:rFonts w:ascii="VIC-SemiBold" w:hAnsi="VIC-SemiBold" w:cstheme="minorBidi"/>
              </w:rPr>
            </w:pPr>
          </w:p>
        </w:tc>
        <w:tc>
          <w:tcPr>
            <w:tcW w:w="964" w:type="dxa"/>
          </w:tcPr>
          <w:p w14:paraId="4C1C7B90" w14:textId="77777777" w:rsidR="00ED6A34" w:rsidRDefault="00ED6A34" w:rsidP="00006DE3">
            <w:pPr>
              <w:pStyle w:val="TableColHeadRight"/>
            </w:pPr>
            <w:r>
              <w:t>2016–17</w:t>
            </w:r>
          </w:p>
        </w:tc>
        <w:tc>
          <w:tcPr>
            <w:tcW w:w="964" w:type="dxa"/>
          </w:tcPr>
          <w:p w14:paraId="7BBD2C23" w14:textId="77777777" w:rsidR="00ED6A34" w:rsidRDefault="00ED6A34" w:rsidP="00006DE3">
            <w:pPr>
              <w:pStyle w:val="TableColHeadRight"/>
            </w:pPr>
            <w:r>
              <w:t>2017–18</w:t>
            </w:r>
          </w:p>
        </w:tc>
        <w:tc>
          <w:tcPr>
            <w:tcW w:w="964" w:type="dxa"/>
          </w:tcPr>
          <w:p w14:paraId="23532FFB" w14:textId="77777777" w:rsidR="00ED6A34" w:rsidRDefault="00ED6A34" w:rsidP="00006DE3">
            <w:pPr>
              <w:pStyle w:val="TableColHeadRight"/>
            </w:pPr>
            <w:r>
              <w:t>2018–19</w:t>
            </w:r>
          </w:p>
        </w:tc>
        <w:tc>
          <w:tcPr>
            <w:tcW w:w="964" w:type="dxa"/>
          </w:tcPr>
          <w:p w14:paraId="49646E00" w14:textId="77777777" w:rsidR="00ED6A34" w:rsidRDefault="00ED6A34" w:rsidP="00006DE3">
            <w:pPr>
              <w:pStyle w:val="TableColHeadRight"/>
            </w:pPr>
            <w:r>
              <w:t>2016–17</w:t>
            </w:r>
          </w:p>
        </w:tc>
        <w:tc>
          <w:tcPr>
            <w:tcW w:w="964" w:type="dxa"/>
          </w:tcPr>
          <w:p w14:paraId="2CDCCA39" w14:textId="77777777" w:rsidR="00ED6A34" w:rsidRDefault="00ED6A34" w:rsidP="00006DE3">
            <w:pPr>
              <w:pStyle w:val="TableColHeadRight"/>
            </w:pPr>
            <w:r>
              <w:t>2017–18</w:t>
            </w:r>
          </w:p>
        </w:tc>
        <w:tc>
          <w:tcPr>
            <w:tcW w:w="964" w:type="dxa"/>
          </w:tcPr>
          <w:p w14:paraId="2D46A67A" w14:textId="77777777" w:rsidR="00ED6A34" w:rsidRDefault="00ED6A34" w:rsidP="00006DE3">
            <w:pPr>
              <w:pStyle w:val="TableColHeadRight"/>
            </w:pPr>
            <w:r>
              <w:t>2018–19</w:t>
            </w:r>
          </w:p>
        </w:tc>
      </w:tr>
      <w:tr w:rsidR="00ED6A34" w14:paraId="791A8B8E" w14:textId="77777777" w:rsidTr="00483EF3">
        <w:trPr>
          <w:trHeight w:val="68"/>
        </w:trPr>
        <w:tc>
          <w:tcPr>
            <w:tcW w:w="2722" w:type="dxa"/>
          </w:tcPr>
          <w:p w14:paraId="23B6C398" w14:textId="78848DDC" w:rsidR="00ED6A34" w:rsidRDefault="00ED6A34" w:rsidP="00006DE3">
            <w:pPr>
              <w:pStyle w:val="TableText"/>
            </w:pPr>
            <w:r>
              <w:t>Estate agents</w:t>
            </w:r>
          </w:p>
        </w:tc>
        <w:tc>
          <w:tcPr>
            <w:tcW w:w="964" w:type="dxa"/>
          </w:tcPr>
          <w:p w14:paraId="357A658D" w14:textId="77777777" w:rsidR="00ED6A34" w:rsidRDefault="00ED6A34" w:rsidP="00006DE3">
            <w:pPr>
              <w:pStyle w:val="TableTextRight"/>
            </w:pPr>
            <w:r>
              <w:t>1,581</w:t>
            </w:r>
          </w:p>
        </w:tc>
        <w:tc>
          <w:tcPr>
            <w:tcW w:w="964" w:type="dxa"/>
          </w:tcPr>
          <w:p w14:paraId="3396A911" w14:textId="77777777" w:rsidR="00ED6A34" w:rsidRDefault="00ED6A34" w:rsidP="00006DE3">
            <w:pPr>
              <w:pStyle w:val="TableTextRight"/>
            </w:pPr>
            <w:r>
              <w:t>1,800</w:t>
            </w:r>
          </w:p>
        </w:tc>
        <w:tc>
          <w:tcPr>
            <w:tcW w:w="964" w:type="dxa"/>
          </w:tcPr>
          <w:p w14:paraId="35E0B8A9" w14:textId="77777777" w:rsidR="00ED6A34" w:rsidRDefault="00ED6A34" w:rsidP="00006DE3">
            <w:pPr>
              <w:pStyle w:val="TableTextRight"/>
            </w:pPr>
            <w:r>
              <w:t>1,850</w:t>
            </w:r>
          </w:p>
        </w:tc>
        <w:tc>
          <w:tcPr>
            <w:tcW w:w="964" w:type="dxa"/>
          </w:tcPr>
          <w:p w14:paraId="0918E9D0" w14:textId="77777777" w:rsidR="00ED6A34" w:rsidRDefault="00ED6A34" w:rsidP="00006DE3">
            <w:pPr>
              <w:pStyle w:val="TableTextRight"/>
            </w:pPr>
            <w:r>
              <w:t>13,230</w:t>
            </w:r>
          </w:p>
        </w:tc>
        <w:tc>
          <w:tcPr>
            <w:tcW w:w="964" w:type="dxa"/>
          </w:tcPr>
          <w:p w14:paraId="1BCE8FCE" w14:textId="77777777" w:rsidR="00ED6A34" w:rsidRDefault="00ED6A34" w:rsidP="00006DE3">
            <w:pPr>
              <w:pStyle w:val="TableTextRight"/>
            </w:pPr>
            <w:r>
              <w:t>14,133</w:t>
            </w:r>
          </w:p>
        </w:tc>
        <w:tc>
          <w:tcPr>
            <w:tcW w:w="964" w:type="dxa"/>
          </w:tcPr>
          <w:p w14:paraId="5E6F9100" w14:textId="77777777" w:rsidR="00ED6A34" w:rsidRDefault="00ED6A34" w:rsidP="00006DE3">
            <w:pPr>
              <w:pStyle w:val="TableTextRight"/>
            </w:pPr>
            <w:r>
              <w:t>15,039</w:t>
            </w:r>
          </w:p>
        </w:tc>
      </w:tr>
      <w:tr w:rsidR="00ED6A34" w14:paraId="607B9742" w14:textId="77777777" w:rsidTr="00483EF3">
        <w:trPr>
          <w:trHeight w:val="68"/>
        </w:trPr>
        <w:tc>
          <w:tcPr>
            <w:tcW w:w="2722" w:type="dxa"/>
          </w:tcPr>
          <w:p w14:paraId="0A68CFA2" w14:textId="5F96E8FA" w:rsidR="00ED6A34" w:rsidRDefault="00ED6A34" w:rsidP="00006DE3">
            <w:pPr>
              <w:pStyle w:val="TableText"/>
            </w:pPr>
            <w:r>
              <w:t>Motor car traders</w:t>
            </w:r>
          </w:p>
        </w:tc>
        <w:tc>
          <w:tcPr>
            <w:tcW w:w="964" w:type="dxa"/>
          </w:tcPr>
          <w:p w14:paraId="71F235DE" w14:textId="77777777" w:rsidR="00ED6A34" w:rsidRDefault="00ED6A34" w:rsidP="00006DE3">
            <w:pPr>
              <w:pStyle w:val="TableTextRight"/>
            </w:pPr>
            <w:r>
              <w:t>158</w:t>
            </w:r>
          </w:p>
        </w:tc>
        <w:tc>
          <w:tcPr>
            <w:tcW w:w="964" w:type="dxa"/>
          </w:tcPr>
          <w:p w14:paraId="74097271" w14:textId="77777777" w:rsidR="00ED6A34" w:rsidRDefault="00ED6A34" w:rsidP="00006DE3">
            <w:pPr>
              <w:pStyle w:val="TableTextRight"/>
            </w:pPr>
            <w:r>
              <w:t>143</w:t>
            </w:r>
          </w:p>
        </w:tc>
        <w:tc>
          <w:tcPr>
            <w:tcW w:w="964" w:type="dxa"/>
          </w:tcPr>
          <w:p w14:paraId="29784F5D" w14:textId="77777777" w:rsidR="00ED6A34" w:rsidRDefault="00ED6A34" w:rsidP="00006DE3">
            <w:pPr>
              <w:pStyle w:val="TableTextRight"/>
            </w:pPr>
            <w:r>
              <w:t>111</w:t>
            </w:r>
          </w:p>
        </w:tc>
        <w:tc>
          <w:tcPr>
            <w:tcW w:w="964" w:type="dxa"/>
          </w:tcPr>
          <w:p w14:paraId="0789756F" w14:textId="77777777" w:rsidR="00ED6A34" w:rsidRDefault="00ED6A34" w:rsidP="00006DE3">
            <w:pPr>
              <w:pStyle w:val="TableTextRight"/>
            </w:pPr>
            <w:r>
              <w:t>2,056</w:t>
            </w:r>
          </w:p>
        </w:tc>
        <w:tc>
          <w:tcPr>
            <w:tcW w:w="964" w:type="dxa"/>
          </w:tcPr>
          <w:p w14:paraId="3F6AE436" w14:textId="77777777" w:rsidR="00ED6A34" w:rsidRDefault="00ED6A34" w:rsidP="00006DE3">
            <w:pPr>
              <w:pStyle w:val="TableTextRight"/>
            </w:pPr>
            <w:r>
              <w:t>2,008</w:t>
            </w:r>
          </w:p>
        </w:tc>
        <w:tc>
          <w:tcPr>
            <w:tcW w:w="964" w:type="dxa"/>
          </w:tcPr>
          <w:p w14:paraId="02C1D100" w14:textId="77777777" w:rsidR="00ED6A34" w:rsidRDefault="00ED6A34" w:rsidP="00006DE3">
            <w:pPr>
              <w:pStyle w:val="TableTextRight"/>
            </w:pPr>
            <w:r>
              <w:t>1,983</w:t>
            </w:r>
          </w:p>
        </w:tc>
      </w:tr>
      <w:tr w:rsidR="00ED6A34" w14:paraId="360A0211" w14:textId="77777777" w:rsidTr="00483EF3">
        <w:trPr>
          <w:trHeight w:val="68"/>
        </w:trPr>
        <w:tc>
          <w:tcPr>
            <w:tcW w:w="2722" w:type="dxa"/>
          </w:tcPr>
          <w:p w14:paraId="0066A9E8" w14:textId="0780C9FD" w:rsidR="00ED6A34" w:rsidRDefault="00ED6A34" w:rsidP="00006DE3">
            <w:pPr>
              <w:pStyle w:val="TableText"/>
            </w:pPr>
            <w:r>
              <w:t>Incorporated associations</w:t>
            </w:r>
          </w:p>
        </w:tc>
        <w:tc>
          <w:tcPr>
            <w:tcW w:w="964" w:type="dxa"/>
          </w:tcPr>
          <w:p w14:paraId="7D90D51C" w14:textId="77777777" w:rsidR="00ED6A34" w:rsidRDefault="00ED6A34" w:rsidP="00006DE3">
            <w:pPr>
              <w:pStyle w:val="TableTextRight"/>
            </w:pPr>
            <w:r>
              <w:t>1,837</w:t>
            </w:r>
          </w:p>
        </w:tc>
        <w:tc>
          <w:tcPr>
            <w:tcW w:w="964" w:type="dxa"/>
          </w:tcPr>
          <w:p w14:paraId="384C9D58" w14:textId="77777777" w:rsidR="00ED6A34" w:rsidRDefault="00ED6A34" w:rsidP="00006DE3">
            <w:pPr>
              <w:pStyle w:val="TableTextRight"/>
            </w:pPr>
            <w:r>
              <w:t>2,006</w:t>
            </w:r>
          </w:p>
        </w:tc>
        <w:tc>
          <w:tcPr>
            <w:tcW w:w="964" w:type="dxa"/>
          </w:tcPr>
          <w:p w14:paraId="6E3CF8BB" w14:textId="77777777" w:rsidR="00ED6A34" w:rsidRDefault="00ED6A34" w:rsidP="00006DE3">
            <w:pPr>
              <w:pStyle w:val="TableTextRight"/>
            </w:pPr>
            <w:r>
              <w:t>2,226</w:t>
            </w:r>
          </w:p>
        </w:tc>
        <w:tc>
          <w:tcPr>
            <w:tcW w:w="964" w:type="dxa"/>
          </w:tcPr>
          <w:p w14:paraId="341F0DE1" w14:textId="77777777" w:rsidR="00ED6A34" w:rsidRDefault="00ED6A34" w:rsidP="00006DE3">
            <w:pPr>
              <w:pStyle w:val="TableTextRight"/>
            </w:pPr>
            <w:r>
              <w:t>41,212</w:t>
            </w:r>
          </w:p>
        </w:tc>
        <w:tc>
          <w:tcPr>
            <w:tcW w:w="964" w:type="dxa"/>
          </w:tcPr>
          <w:p w14:paraId="2664329A" w14:textId="77777777" w:rsidR="00ED6A34" w:rsidRDefault="00ED6A34" w:rsidP="00006DE3">
            <w:pPr>
              <w:pStyle w:val="TableTextRight"/>
            </w:pPr>
            <w:r>
              <w:t>41,296</w:t>
            </w:r>
          </w:p>
        </w:tc>
        <w:tc>
          <w:tcPr>
            <w:tcW w:w="964" w:type="dxa"/>
          </w:tcPr>
          <w:p w14:paraId="6CF60AD2" w14:textId="77777777" w:rsidR="00ED6A34" w:rsidRDefault="00ED6A34" w:rsidP="00006DE3">
            <w:pPr>
              <w:pStyle w:val="TableTextRight"/>
            </w:pPr>
            <w:r>
              <w:t>40,813</w:t>
            </w:r>
          </w:p>
        </w:tc>
      </w:tr>
      <w:tr w:rsidR="00ED6A34" w14:paraId="2D50C880" w14:textId="77777777" w:rsidTr="00483EF3">
        <w:trPr>
          <w:trHeight w:val="68"/>
        </w:trPr>
        <w:tc>
          <w:tcPr>
            <w:tcW w:w="2722" w:type="dxa"/>
          </w:tcPr>
          <w:p w14:paraId="38FE0FAE" w14:textId="77777777" w:rsidR="00ED6A34" w:rsidRDefault="00ED6A34" w:rsidP="00006DE3">
            <w:pPr>
              <w:pStyle w:val="TableText"/>
            </w:pPr>
            <w:r>
              <w:t>Co-operatives</w:t>
            </w:r>
          </w:p>
        </w:tc>
        <w:tc>
          <w:tcPr>
            <w:tcW w:w="964" w:type="dxa"/>
          </w:tcPr>
          <w:p w14:paraId="05AC6752" w14:textId="77777777" w:rsidR="00ED6A34" w:rsidRDefault="00ED6A34" w:rsidP="00006DE3">
            <w:pPr>
              <w:pStyle w:val="TableTextRight"/>
            </w:pPr>
            <w:r>
              <w:t>25</w:t>
            </w:r>
          </w:p>
        </w:tc>
        <w:tc>
          <w:tcPr>
            <w:tcW w:w="964" w:type="dxa"/>
          </w:tcPr>
          <w:p w14:paraId="420477DA" w14:textId="77777777" w:rsidR="00ED6A34" w:rsidRDefault="00ED6A34" w:rsidP="00006DE3">
            <w:pPr>
              <w:pStyle w:val="TableTextRight"/>
            </w:pPr>
            <w:r>
              <w:t>33</w:t>
            </w:r>
          </w:p>
        </w:tc>
        <w:tc>
          <w:tcPr>
            <w:tcW w:w="964" w:type="dxa"/>
          </w:tcPr>
          <w:p w14:paraId="4076AF7A" w14:textId="77777777" w:rsidR="00ED6A34" w:rsidRDefault="00ED6A34" w:rsidP="00006DE3">
            <w:pPr>
              <w:pStyle w:val="TableTextRight"/>
            </w:pPr>
            <w:r>
              <w:t>40</w:t>
            </w:r>
          </w:p>
        </w:tc>
        <w:tc>
          <w:tcPr>
            <w:tcW w:w="964" w:type="dxa"/>
          </w:tcPr>
          <w:p w14:paraId="2436A786" w14:textId="77777777" w:rsidR="00ED6A34" w:rsidRDefault="00ED6A34" w:rsidP="00006DE3">
            <w:pPr>
              <w:pStyle w:val="TableTextRight"/>
            </w:pPr>
            <w:r>
              <w:t>540</w:t>
            </w:r>
          </w:p>
        </w:tc>
        <w:tc>
          <w:tcPr>
            <w:tcW w:w="964" w:type="dxa"/>
          </w:tcPr>
          <w:p w14:paraId="5FC58F1A" w14:textId="77777777" w:rsidR="00ED6A34" w:rsidRDefault="00ED6A34" w:rsidP="00006DE3">
            <w:pPr>
              <w:pStyle w:val="TableTextRight"/>
            </w:pPr>
            <w:r>
              <w:t>577</w:t>
            </w:r>
          </w:p>
        </w:tc>
        <w:tc>
          <w:tcPr>
            <w:tcW w:w="964" w:type="dxa"/>
          </w:tcPr>
          <w:p w14:paraId="390FC6F7" w14:textId="77777777" w:rsidR="00ED6A34" w:rsidRDefault="00ED6A34" w:rsidP="00006DE3">
            <w:pPr>
              <w:pStyle w:val="TableTextRight"/>
            </w:pPr>
            <w:r>
              <w:t>524</w:t>
            </w:r>
          </w:p>
        </w:tc>
      </w:tr>
      <w:tr w:rsidR="00ED6A34" w14:paraId="1B6117B4" w14:textId="77777777" w:rsidTr="00483EF3">
        <w:trPr>
          <w:trHeight w:val="68"/>
        </w:trPr>
        <w:tc>
          <w:tcPr>
            <w:tcW w:w="2722" w:type="dxa"/>
          </w:tcPr>
          <w:p w14:paraId="0F289704" w14:textId="77777777" w:rsidR="00ED6A34" w:rsidRDefault="00ED6A34" w:rsidP="00006DE3">
            <w:pPr>
              <w:pStyle w:val="TableText"/>
            </w:pPr>
            <w:r>
              <w:t>Fundraisers</w:t>
            </w:r>
          </w:p>
        </w:tc>
        <w:tc>
          <w:tcPr>
            <w:tcW w:w="964" w:type="dxa"/>
          </w:tcPr>
          <w:p w14:paraId="233636FE" w14:textId="77777777" w:rsidR="00ED6A34" w:rsidRDefault="00ED6A34" w:rsidP="00006DE3">
            <w:pPr>
              <w:pStyle w:val="TableTextRight"/>
            </w:pPr>
            <w:r>
              <w:t>631</w:t>
            </w:r>
          </w:p>
        </w:tc>
        <w:tc>
          <w:tcPr>
            <w:tcW w:w="964" w:type="dxa"/>
          </w:tcPr>
          <w:p w14:paraId="71E86D23" w14:textId="77777777" w:rsidR="00ED6A34" w:rsidRDefault="00ED6A34" w:rsidP="00006DE3">
            <w:pPr>
              <w:pStyle w:val="TableTextRight"/>
            </w:pPr>
            <w:r>
              <w:t>778</w:t>
            </w:r>
          </w:p>
        </w:tc>
        <w:tc>
          <w:tcPr>
            <w:tcW w:w="964" w:type="dxa"/>
          </w:tcPr>
          <w:p w14:paraId="7CAFC0C3" w14:textId="77777777" w:rsidR="00ED6A34" w:rsidRDefault="00ED6A34" w:rsidP="00006DE3">
            <w:pPr>
              <w:pStyle w:val="TableTextRight"/>
            </w:pPr>
            <w:r>
              <w:t>886</w:t>
            </w:r>
          </w:p>
        </w:tc>
        <w:tc>
          <w:tcPr>
            <w:tcW w:w="964" w:type="dxa"/>
          </w:tcPr>
          <w:p w14:paraId="7D82EC27" w14:textId="77777777" w:rsidR="00ED6A34" w:rsidRDefault="00ED6A34" w:rsidP="00006DE3">
            <w:pPr>
              <w:pStyle w:val="TableTextRight"/>
            </w:pPr>
            <w:r>
              <w:t>2,029</w:t>
            </w:r>
          </w:p>
        </w:tc>
        <w:tc>
          <w:tcPr>
            <w:tcW w:w="964" w:type="dxa"/>
          </w:tcPr>
          <w:p w14:paraId="22AA82FD" w14:textId="77777777" w:rsidR="00ED6A34" w:rsidRDefault="00ED6A34" w:rsidP="00006DE3">
            <w:pPr>
              <w:pStyle w:val="TableTextRight"/>
            </w:pPr>
            <w:r>
              <w:t>1,953</w:t>
            </w:r>
          </w:p>
        </w:tc>
        <w:tc>
          <w:tcPr>
            <w:tcW w:w="964" w:type="dxa"/>
          </w:tcPr>
          <w:p w14:paraId="026FF044" w14:textId="77777777" w:rsidR="00ED6A34" w:rsidRDefault="00ED6A34" w:rsidP="00006DE3">
            <w:pPr>
              <w:pStyle w:val="TableTextRight"/>
            </w:pPr>
            <w:r>
              <w:t>1,916</w:t>
            </w:r>
          </w:p>
        </w:tc>
      </w:tr>
      <w:tr w:rsidR="00ED6A34" w14:paraId="6EBA9211" w14:textId="77777777" w:rsidTr="00483EF3">
        <w:trPr>
          <w:trHeight w:val="68"/>
        </w:trPr>
        <w:tc>
          <w:tcPr>
            <w:tcW w:w="2722" w:type="dxa"/>
          </w:tcPr>
          <w:p w14:paraId="76D7144E" w14:textId="5DDF64FD" w:rsidR="00ED6A34" w:rsidRDefault="00ED6A34" w:rsidP="00006DE3">
            <w:pPr>
              <w:pStyle w:val="TableText"/>
            </w:pPr>
            <w:r>
              <w:t>Second-hand dealers and pawnbrokers</w:t>
            </w:r>
          </w:p>
        </w:tc>
        <w:tc>
          <w:tcPr>
            <w:tcW w:w="964" w:type="dxa"/>
          </w:tcPr>
          <w:p w14:paraId="3432E2DB" w14:textId="77777777" w:rsidR="00ED6A34" w:rsidRDefault="00ED6A34" w:rsidP="00006DE3">
            <w:pPr>
              <w:pStyle w:val="TableTextRight"/>
            </w:pPr>
            <w:r>
              <w:t>348</w:t>
            </w:r>
          </w:p>
        </w:tc>
        <w:tc>
          <w:tcPr>
            <w:tcW w:w="964" w:type="dxa"/>
          </w:tcPr>
          <w:p w14:paraId="1F35C267" w14:textId="77777777" w:rsidR="00ED6A34" w:rsidRDefault="00ED6A34" w:rsidP="00006DE3">
            <w:pPr>
              <w:pStyle w:val="TableTextRight"/>
            </w:pPr>
            <w:r>
              <w:t>346</w:t>
            </w:r>
          </w:p>
        </w:tc>
        <w:tc>
          <w:tcPr>
            <w:tcW w:w="964" w:type="dxa"/>
          </w:tcPr>
          <w:p w14:paraId="6C6FB0E6" w14:textId="77777777" w:rsidR="00ED6A34" w:rsidRDefault="00ED6A34" w:rsidP="00006DE3">
            <w:pPr>
              <w:pStyle w:val="TableTextRight"/>
            </w:pPr>
            <w:r>
              <w:t>379</w:t>
            </w:r>
          </w:p>
        </w:tc>
        <w:tc>
          <w:tcPr>
            <w:tcW w:w="964" w:type="dxa"/>
          </w:tcPr>
          <w:p w14:paraId="13E24C56" w14:textId="77777777" w:rsidR="00ED6A34" w:rsidRDefault="00ED6A34" w:rsidP="00006DE3">
            <w:pPr>
              <w:pStyle w:val="TableTextRight"/>
            </w:pPr>
            <w:r>
              <w:t>3,723</w:t>
            </w:r>
          </w:p>
        </w:tc>
        <w:tc>
          <w:tcPr>
            <w:tcW w:w="964" w:type="dxa"/>
          </w:tcPr>
          <w:p w14:paraId="6B973E8E" w14:textId="77777777" w:rsidR="00ED6A34" w:rsidRDefault="00ED6A34" w:rsidP="00006DE3">
            <w:pPr>
              <w:pStyle w:val="TableTextRight"/>
            </w:pPr>
            <w:r>
              <w:t>3,650</w:t>
            </w:r>
          </w:p>
        </w:tc>
        <w:tc>
          <w:tcPr>
            <w:tcW w:w="964" w:type="dxa"/>
          </w:tcPr>
          <w:p w14:paraId="2447BA16" w14:textId="77777777" w:rsidR="00ED6A34" w:rsidRDefault="00ED6A34" w:rsidP="00006DE3">
            <w:pPr>
              <w:pStyle w:val="TableTextRight"/>
            </w:pPr>
            <w:r>
              <w:t>3,545</w:t>
            </w:r>
          </w:p>
        </w:tc>
      </w:tr>
      <w:tr w:rsidR="00ED6A34" w14:paraId="4FE62F95" w14:textId="77777777" w:rsidTr="00483EF3">
        <w:trPr>
          <w:trHeight w:val="68"/>
        </w:trPr>
        <w:tc>
          <w:tcPr>
            <w:tcW w:w="2722" w:type="dxa"/>
          </w:tcPr>
          <w:p w14:paraId="0682793C" w14:textId="42DFD142" w:rsidR="00ED6A34" w:rsidRDefault="00ED6A34" w:rsidP="00006DE3">
            <w:pPr>
              <w:pStyle w:val="TableText"/>
            </w:pPr>
            <w:r>
              <w:t>Patriotic funds</w:t>
            </w:r>
          </w:p>
        </w:tc>
        <w:tc>
          <w:tcPr>
            <w:tcW w:w="964" w:type="dxa"/>
          </w:tcPr>
          <w:p w14:paraId="5671AB5E" w14:textId="77777777" w:rsidR="00ED6A34" w:rsidRDefault="00ED6A34" w:rsidP="00006DE3">
            <w:pPr>
              <w:pStyle w:val="TableTextRight"/>
            </w:pPr>
            <w:r>
              <w:t>0</w:t>
            </w:r>
          </w:p>
        </w:tc>
        <w:tc>
          <w:tcPr>
            <w:tcW w:w="964" w:type="dxa"/>
          </w:tcPr>
          <w:p w14:paraId="61C8144E" w14:textId="77777777" w:rsidR="00ED6A34" w:rsidRDefault="00ED6A34" w:rsidP="00006DE3">
            <w:pPr>
              <w:pStyle w:val="TableTextRight"/>
            </w:pPr>
            <w:r>
              <w:t>1</w:t>
            </w:r>
          </w:p>
        </w:tc>
        <w:tc>
          <w:tcPr>
            <w:tcW w:w="964" w:type="dxa"/>
          </w:tcPr>
          <w:p w14:paraId="53BFE866" w14:textId="77777777" w:rsidR="00ED6A34" w:rsidRDefault="00ED6A34" w:rsidP="00006DE3">
            <w:pPr>
              <w:pStyle w:val="TableTextRight"/>
            </w:pPr>
            <w:r>
              <w:t>0</w:t>
            </w:r>
          </w:p>
        </w:tc>
        <w:tc>
          <w:tcPr>
            <w:tcW w:w="964" w:type="dxa"/>
          </w:tcPr>
          <w:p w14:paraId="044378C2" w14:textId="77777777" w:rsidR="00ED6A34" w:rsidRDefault="00ED6A34" w:rsidP="00006DE3">
            <w:pPr>
              <w:pStyle w:val="TableTextRight"/>
            </w:pPr>
            <w:r>
              <w:t>563</w:t>
            </w:r>
          </w:p>
        </w:tc>
        <w:tc>
          <w:tcPr>
            <w:tcW w:w="964" w:type="dxa"/>
          </w:tcPr>
          <w:p w14:paraId="2B7C6CF1" w14:textId="77777777" w:rsidR="00ED6A34" w:rsidRDefault="00ED6A34" w:rsidP="00006DE3">
            <w:pPr>
              <w:pStyle w:val="TableTextRight"/>
            </w:pPr>
            <w:r>
              <w:t>550</w:t>
            </w:r>
          </w:p>
        </w:tc>
        <w:tc>
          <w:tcPr>
            <w:tcW w:w="964" w:type="dxa"/>
          </w:tcPr>
          <w:p w14:paraId="5F6C1172" w14:textId="77777777" w:rsidR="00ED6A34" w:rsidRDefault="00ED6A34" w:rsidP="00006DE3">
            <w:pPr>
              <w:pStyle w:val="TableTextRight"/>
            </w:pPr>
            <w:r>
              <w:t>485</w:t>
            </w:r>
          </w:p>
        </w:tc>
      </w:tr>
      <w:tr w:rsidR="00ED6A34" w14:paraId="221687C1" w14:textId="77777777" w:rsidTr="00483EF3">
        <w:trPr>
          <w:trHeight w:val="68"/>
        </w:trPr>
        <w:tc>
          <w:tcPr>
            <w:tcW w:w="2722" w:type="dxa"/>
          </w:tcPr>
          <w:p w14:paraId="4CBC59EB" w14:textId="00A4842E" w:rsidR="00ED6A34" w:rsidRDefault="00ED6A34" w:rsidP="00006DE3">
            <w:pPr>
              <w:pStyle w:val="TableText"/>
            </w:pPr>
            <w:r>
              <w:t>Limited partnerships</w:t>
            </w:r>
          </w:p>
        </w:tc>
        <w:tc>
          <w:tcPr>
            <w:tcW w:w="964" w:type="dxa"/>
          </w:tcPr>
          <w:p w14:paraId="70D270B3" w14:textId="77777777" w:rsidR="00ED6A34" w:rsidRDefault="00ED6A34" w:rsidP="00006DE3">
            <w:pPr>
              <w:pStyle w:val="TableTextRight"/>
            </w:pPr>
            <w:r>
              <w:t>38</w:t>
            </w:r>
          </w:p>
        </w:tc>
        <w:tc>
          <w:tcPr>
            <w:tcW w:w="964" w:type="dxa"/>
          </w:tcPr>
          <w:p w14:paraId="543A652F" w14:textId="77777777" w:rsidR="00ED6A34" w:rsidRDefault="00ED6A34" w:rsidP="00006DE3">
            <w:pPr>
              <w:pStyle w:val="TableTextRight"/>
            </w:pPr>
            <w:r>
              <w:t>31</w:t>
            </w:r>
          </w:p>
        </w:tc>
        <w:tc>
          <w:tcPr>
            <w:tcW w:w="964" w:type="dxa"/>
          </w:tcPr>
          <w:p w14:paraId="5F48941D" w14:textId="77777777" w:rsidR="00ED6A34" w:rsidRDefault="00ED6A34" w:rsidP="00006DE3">
            <w:pPr>
              <w:pStyle w:val="TableTextRight"/>
            </w:pPr>
            <w:r>
              <w:t>15</w:t>
            </w:r>
          </w:p>
        </w:tc>
        <w:tc>
          <w:tcPr>
            <w:tcW w:w="964" w:type="dxa"/>
          </w:tcPr>
          <w:p w14:paraId="7E6706C8" w14:textId="77777777" w:rsidR="00ED6A34" w:rsidRDefault="00ED6A34" w:rsidP="00006DE3">
            <w:pPr>
              <w:pStyle w:val="TableTextRight"/>
            </w:pPr>
            <w:r>
              <w:t>366</w:t>
            </w:r>
          </w:p>
        </w:tc>
        <w:tc>
          <w:tcPr>
            <w:tcW w:w="964" w:type="dxa"/>
          </w:tcPr>
          <w:p w14:paraId="517C1639" w14:textId="77777777" w:rsidR="00ED6A34" w:rsidRDefault="00ED6A34" w:rsidP="00006DE3">
            <w:pPr>
              <w:pStyle w:val="TableTextRight"/>
            </w:pPr>
            <w:r>
              <w:t>384</w:t>
            </w:r>
          </w:p>
        </w:tc>
        <w:tc>
          <w:tcPr>
            <w:tcW w:w="964" w:type="dxa"/>
          </w:tcPr>
          <w:p w14:paraId="206D7462" w14:textId="77777777" w:rsidR="00ED6A34" w:rsidRDefault="00ED6A34" w:rsidP="00006DE3">
            <w:pPr>
              <w:pStyle w:val="TableTextRight"/>
            </w:pPr>
            <w:r>
              <w:t>398</w:t>
            </w:r>
          </w:p>
        </w:tc>
      </w:tr>
      <w:tr w:rsidR="00ED6A34" w14:paraId="1D66AC2F" w14:textId="77777777" w:rsidTr="00483EF3">
        <w:trPr>
          <w:trHeight w:val="68"/>
        </w:trPr>
        <w:tc>
          <w:tcPr>
            <w:tcW w:w="2722" w:type="dxa"/>
          </w:tcPr>
          <w:p w14:paraId="5562BAC6" w14:textId="77777777" w:rsidR="00ED6A34" w:rsidRDefault="00ED6A34" w:rsidP="00006DE3">
            <w:pPr>
              <w:pStyle w:val="TableText"/>
            </w:pPr>
            <w:r>
              <w:t>Conveyancers</w:t>
            </w:r>
          </w:p>
        </w:tc>
        <w:tc>
          <w:tcPr>
            <w:tcW w:w="964" w:type="dxa"/>
          </w:tcPr>
          <w:p w14:paraId="47A41898" w14:textId="77777777" w:rsidR="00ED6A34" w:rsidRDefault="00ED6A34" w:rsidP="00006DE3">
            <w:pPr>
              <w:pStyle w:val="TableTextRight"/>
            </w:pPr>
            <w:r>
              <w:t>92</w:t>
            </w:r>
          </w:p>
        </w:tc>
        <w:tc>
          <w:tcPr>
            <w:tcW w:w="964" w:type="dxa"/>
          </w:tcPr>
          <w:p w14:paraId="7D5050D0" w14:textId="77777777" w:rsidR="00ED6A34" w:rsidRDefault="00ED6A34" w:rsidP="00006DE3">
            <w:pPr>
              <w:pStyle w:val="TableTextRight"/>
            </w:pPr>
            <w:r>
              <w:t>136</w:t>
            </w:r>
          </w:p>
        </w:tc>
        <w:tc>
          <w:tcPr>
            <w:tcW w:w="964" w:type="dxa"/>
          </w:tcPr>
          <w:p w14:paraId="0D39345A" w14:textId="77777777" w:rsidR="00ED6A34" w:rsidRDefault="00ED6A34" w:rsidP="00006DE3">
            <w:pPr>
              <w:pStyle w:val="TableTextRight"/>
            </w:pPr>
            <w:r>
              <w:t>189</w:t>
            </w:r>
          </w:p>
        </w:tc>
        <w:tc>
          <w:tcPr>
            <w:tcW w:w="964" w:type="dxa"/>
          </w:tcPr>
          <w:p w14:paraId="669A0CAD" w14:textId="77777777" w:rsidR="00ED6A34" w:rsidRDefault="00ED6A34" w:rsidP="00006DE3">
            <w:pPr>
              <w:pStyle w:val="TableTextRight"/>
            </w:pPr>
            <w:r>
              <w:t>877</w:t>
            </w:r>
          </w:p>
        </w:tc>
        <w:tc>
          <w:tcPr>
            <w:tcW w:w="964" w:type="dxa"/>
          </w:tcPr>
          <w:p w14:paraId="3EE53A97" w14:textId="77777777" w:rsidR="00ED6A34" w:rsidRDefault="00ED6A34" w:rsidP="00006DE3">
            <w:pPr>
              <w:pStyle w:val="TableTextRight"/>
            </w:pPr>
            <w:r>
              <w:t>961</w:t>
            </w:r>
          </w:p>
        </w:tc>
        <w:tc>
          <w:tcPr>
            <w:tcW w:w="964" w:type="dxa"/>
          </w:tcPr>
          <w:p w14:paraId="7B05825A" w14:textId="77777777" w:rsidR="00ED6A34" w:rsidRDefault="00ED6A34" w:rsidP="00006DE3">
            <w:pPr>
              <w:pStyle w:val="TableTextRight"/>
            </w:pPr>
            <w:r>
              <w:t>1,093</w:t>
            </w:r>
          </w:p>
        </w:tc>
      </w:tr>
      <w:tr w:rsidR="00ED6A34" w14:paraId="6A077DFB" w14:textId="77777777" w:rsidTr="00483EF3">
        <w:trPr>
          <w:trHeight w:val="68"/>
        </w:trPr>
        <w:tc>
          <w:tcPr>
            <w:tcW w:w="2722" w:type="dxa"/>
          </w:tcPr>
          <w:p w14:paraId="06E859B9" w14:textId="4EA540AD" w:rsidR="00ED6A34" w:rsidRDefault="00ED6A34" w:rsidP="00006DE3">
            <w:pPr>
              <w:pStyle w:val="TableText"/>
            </w:pPr>
            <w:r>
              <w:t>Owners corporation managers</w:t>
            </w:r>
          </w:p>
        </w:tc>
        <w:tc>
          <w:tcPr>
            <w:tcW w:w="964" w:type="dxa"/>
          </w:tcPr>
          <w:p w14:paraId="1AC6CF19" w14:textId="77777777" w:rsidR="00ED6A34" w:rsidRDefault="00ED6A34" w:rsidP="00006DE3">
            <w:pPr>
              <w:pStyle w:val="TableTextRight"/>
            </w:pPr>
            <w:r>
              <w:t>79</w:t>
            </w:r>
          </w:p>
        </w:tc>
        <w:tc>
          <w:tcPr>
            <w:tcW w:w="964" w:type="dxa"/>
          </w:tcPr>
          <w:p w14:paraId="5803B118" w14:textId="77777777" w:rsidR="00ED6A34" w:rsidRDefault="00ED6A34" w:rsidP="00006DE3">
            <w:pPr>
              <w:pStyle w:val="TableTextRight"/>
            </w:pPr>
            <w:r>
              <w:t>80</w:t>
            </w:r>
          </w:p>
        </w:tc>
        <w:tc>
          <w:tcPr>
            <w:tcW w:w="964" w:type="dxa"/>
          </w:tcPr>
          <w:p w14:paraId="20ADDCB5" w14:textId="77777777" w:rsidR="00ED6A34" w:rsidRDefault="00ED6A34" w:rsidP="00006DE3">
            <w:pPr>
              <w:pStyle w:val="TableTextRight"/>
            </w:pPr>
            <w:r>
              <w:t>103</w:t>
            </w:r>
          </w:p>
        </w:tc>
        <w:tc>
          <w:tcPr>
            <w:tcW w:w="964" w:type="dxa"/>
          </w:tcPr>
          <w:p w14:paraId="48F8D050" w14:textId="77777777" w:rsidR="00ED6A34" w:rsidRDefault="00ED6A34" w:rsidP="00006DE3">
            <w:pPr>
              <w:pStyle w:val="TableTextRight"/>
            </w:pPr>
            <w:r>
              <w:t>659</w:t>
            </w:r>
          </w:p>
        </w:tc>
        <w:tc>
          <w:tcPr>
            <w:tcW w:w="964" w:type="dxa"/>
          </w:tcPr>
          <w:p w14:paraId="0C5C6E9F" w14:textId="77777777" w:rsidR="00ED6A34" w:rsidRDefault="00ED6A34" w:rsidP="00006DE3">
            <w:pPr>
              <w:pStyle w:val="TableTextRight"/>
            </w:pPr>
            <w:r>
              <w:t>673</w:t>
            </w:r>
          </w:p>
        </w:tc>
        <w:tc>
          <w:tcPr>
            <w:tcW w:w="964" w:type="dxa"/>
          </w:tcPr>
          <w:p w14:paraId="510C9045" w14:textId="77777777" w:rsidR="00ED6A34" w:rsidRDefault="00ED6A34" w:rsidP="00006DE3">
            <w:pPr>
              <w:pStyle w:val="TableTextRight"/>
            </w:pPr>
            <w:r>
              <w:t>668</w:t>
            </w:r>
          </w:p>
        </w:tc>
      </w:tr>
      <w:tr w:rsidR="00ED6A34" w14:paraId="24079438" w14:textId="77777777" w:rsidTr="00483EF3">
        <w:trPr>
          <w:trHeight w:val="68"/>
        </w:trPr>
        <w:tc>
          <w:tcPr>
            <w:tcW w:w="2722" w:type="dxa"/>
          </w:tcPr>
          <w:p w14:paraId="3C78FAFF" w14:textId="3B440CBA" w:rsidR="00ED6A34" w:rsidRDefault="00ED6A34" w:rsidP="00006DE3">
            <w:pPr>
              <w:pStyle w:val="TableText"/>
            </w:pPr>
            <w:r>
              <w:t>Retirement villages</w:t>
            </w:r>
          </w:p>
        </w:tc>
        <w:tc>
          <w:tcPr>
            <w:tcW w:w="964" w:type="dxa"/>
          </w:tcPr>
          <w:p w14:paraId="0841E94C" w14:textId="77777777" w:rsidR="00ED6A34" w:rsidRDefault="00ED6A34" w:rsidP="00006DE3">
            <w:pPr>
              <w:pStyle w:val="TableTextRight"/>
            </w:pPr>
            <w:r>
              <w:t>13</w:t>
            </w:r>
          </w:p>
        </w:tc>
        <w:tc>
          <w:tcPr>
            <w:tcW w:w="964" w:type="dxa"/>
          </w:tcPr>
          <w:p w14:paraId="639FC839" w14:textId="77777777" w:rsidR="00ED6A34" w:rsidRDefault="00ED6A34" w:rsidP="00006DE3">
            <w:pPr>
              <w:pStyle w:val="TableTextRight"/>
            </w:pPr>
            <w:r>
              <w:t>14</w:t>
            </w:r>
          </w:p>
        </w:tc>
        <w:tc>
          <w:tcPr>
            <w:tcW w:w="964" w:type="dxa"/>
          </w:tcPr>
          <w:p w14:paraId="03D114B8" w14:textId="77777777" w:rsidR="00ED6A34" w:rsidRDefault="00ED6A34" w:rsidP="00006DE3">
            <w:pPr>
              <w:pStyle w:val="TableTextRight"/>
            </w:pPr>
            <w:r>
              <w:t>14</w:t>
            </w:r>
          </w:p>
        </w:tc>
        <w:tc>
          <w:tcPr>
            <w:tcW w:w="964" w:type="dxa"/>
          </w:tcPr>
          <w:p w14:paraId="07147A70" w14:textId="77777777" w:rsidR="00ED6A34" w:rsidRDefault="00ED6A34" w:rsidP="00006DE3">
            <w:pPr>
              <w:pStyle w:val="TableTextRight"/>
            </w:pPr>
            <w:r>
              <w:t>447</w:t>
            </w:r>
          </w:p>
        </w:tc>
        <w:tc>
          <w:tcPr>
            <w:tcW w:w="964" w:type="dxa"/>
          </w:tcPr>
          <w:p w14:paraId="37A9D8E1" w14:textId="77777777" w:rsidR="00ED6A34" w:rsidRDefault="00ED6A34" w:rsidP="00006DE3">
            <w:pPr>
              <w:pStyle w:val="TableTextRight"/>
            </w:pPr>
            <w:r>
              <w:t>453</w:t>
            </w:r>
          </w:p>
        </w:tc>
        <w:tc>
          <w:tcPr>
            <w:tcW w:w="964" w:type="dxa"/>
          </w:tcPr>
          <w:p w14:paraId="09F20071" w14:textId="77777777" w:rsidR="00ED6A34" w:rsidRDefault="00ED6A34" w:rsidP="00006DE3">
            <w:pPr>
              <w:pStyle w:val="TableTextRight"/>
            </w:pPr>
            <w:r>
              <w:t>456</w:t>
            </w:r>
          </w:p>
        </w:tc>
      </w:tr>
      <w:tr w:rsidR="00ED6A34" w14:paraId="34996FF1" w14:textId="77777777" w:rsidTr="00483EF3">
        <w:trPr>
          <w:trHeight w:val="68"/>
        </w:trPr>
        <w:tc>
          <w:tcPr>
            <w:tcW w:w="2722" w:type="dxa"/>
          </w:tcPr>
          <w:p w14:paraId="51CDDF6A" w14:textId="32408E49" w:rsidR="00ED6A34" w:rsidRDefault="00ED6A34" w:rsidP="00006DE3">
            <w:pPr>
              <w:pStyle w:val="TableText"/>
            </w:pPr>
            <w:r>
              <w:t>Funeral service providers</w:t>
            </w:r>
          </w:p>
        </w:tc>
        <w:tc>
          <w:tcPr>
            <w:tcW w:w="964" w:type="dxa"/>
          </w:tcPr>
          <w:p w14:paraId="6200D2C0" w14:textId="77777777" w:rsidR="00ED6A34" w:rsidRDefault="00ED6A34" w:rsidP="00006DE3">
            <w:pPr>
              <w:pStyle w:val="TableTextRight"/>
            </w:pPr>
            <w:r>
              <w:t>14</w:t>
            </w:r>
          </w:p>
        </w:tc>
        <w:tc>
          <w:tcPr>
            <w:tcW w:w="964" w:type="dxa"/>
          </w:tcPr>
          <w:p w14:paraId="54A20982" w14:textId="77777777" w:rsidR="00ED6A34" w:rsidRDefault="00ED6A34" w:rsidP="00006DE3">
            <w:pPr>
              <w:pStyle w:val="TableTextRight"/>
            </w:pPr>
            <w:r>
              <w:t>8</w:t>
            </w:r>
          </w:p>
        </w:tc>
        <w:tc>
          <w:tcPr>
            <w:tcW w:w="964" w:type="dxa"/>
          </w:tcPr>
          <w:p w14:paraId="6753A06F" w14:textId="77777777" w:rsidR="00ED6A34" w:rsidRDefault="00ED6A34" w:rsidP="00006DE3">
            <w:pPr>
              <w:pStyle w:val="TableTextRight"/>
            </w:pPr>
            <w:r>
              <w:t>7</w:t>
            </w:r>
          </w:p>
        </w:tc>
        <w:tc>
          <w:tcPr>
            <w:tcW w:w="964" w:type="dxa"/>
          </w:tcPr>
          <w:p w14:paraId="0E3EA4DC" w14:textId="77777777" w:rsidR="00ED6A34" w:rsidRDefault="00ED6A34" w:rsidP="00006DE3">
            <w:pPr>
              <w:pStyle w:val="TableTextRight"/>
            </w:pPr>
            <w:r>
              <w:t>448</w:t>
            </w:r>
          </w:p>
        </w:tc>
        <w:tc>
          <w:tcPr>
            <w:tcW w:w="964" w:type="dxa"/>
          </w:tcPr>
          <w:p w14:paraId="144739EE" w14:textId="77777777" w:rsidR="00ED6A34" w:rsidRDefault="00ED6A34" w:rsidP="00006DE3">
            <w:pPr>
              <w:pStyle w:val="TableTextRight"/>
            </w:pPr>
            <w:r>
              <w:t>453</w:t>
            </w:r>
          </w:p>
        </w:tc>
        <w:tc>
          <w:tcPr>
            <w:tcW w:w="964" w:type="dxa"/>
          </w:tcPr>
          <w:p w14:paraId="0B86272C" w14:textId="77777777" w:rsidR="00ED6A34" w:rsidRDefault="00ED6A34" w:rsidP="00006DE3">
            <w:pPr>
              <w:pStyle w:val="TableTextRight"/>
            </w:pPr>
            <w:r>
              <w:t>473</w:t>
            </w:r>
          </w:p>
        </w:tc>
      </w:tr>
      <w:tr w:rsidR="00ED6A34" w14:paraId="40C2420A" w14:textId="77777777" w:rsidTr="00483EF3">
        <w:trPr>
          <w:trHeight w:val="68"/>
        </w:trPr>
        <w:tc>
          <w:tcPr>
            <w:tcW w:w="2722" w:type="dxa"/>
          </w:tcPr>
          <w:p w14:paraId="7D6849C9" w14:textId="1FFE39E9" w:rsidR="00ED6A34" w:rsidRDefault="00ED6A34" w:rsidP="00006DE3">
            <w:pPr>
              <w:pStyle w:val="TableText"/>
            </w:pPr>
            <w:r>
              <w:t>Sex work service providers (licensees)</w:t>
            </w:r>
          </w:p>
        </w:tc>
        <w:tc>
          <w:tcPr>
            <w:tcW w:w="964" w:type="dxa"/>
          </w:tcPr>
          <w:p w14:paraId="24E3B109" w14:textId="77777777" w:rsidR="00ED6A34" w:rsidRDefault="00ED6A34" w:rsidP="00006DE3">
            <w:pPr>
              <w:pStyle w:val="TableTextRight"/>
            </w:pPr>
            <w:r>
              <w:t>15</w:t>
            </w:r>
          </w:p>
        </w:tc>
        <w:tc>
          <w:tcPr>
            <w:tcW w:w="964" w:type="dxa"/>
          </w:tcPr>
          <w:p w14:paraId="4E0B7A6A" w14:textId="77777777" w:rsidR="00ED6A34" w:rsidRDefault="00ED6A34" w:rsidP="00006DE3">
            <w:pPr>
              <w:pStyle w:val="TableTextRight"/>
            </w:pPr>
            <w:r>
              <w:t>9</w:t>
            </w:r>
          </w:p>
        </w:tc>
        <w:tc>
          <w:tcPr>
            <w:tcW w:w="964" w:type="dxa"/>
          </w:tcPr>
          <w:p w14:paraId="29640DAD" w14:textId="77777777" w:rsidR="00ED6A34" w:rsidRDefault="00ED6A34" w:rsidP="00006DE3">
            <w:pPr>
              <w:pStyle w:val="TableTextRight"/>
            </w:pPr>
            <w:r>
              <w:t>7</w:t>
            </w:r>
          </w:p>
        </w:tc>
        <w:tc>
          <w:tcPr>
            <w:tcW w:w="964" w:type="dxa"/>
          </w:tcPr>
          <w:p w14:paraId="7E6D5F2A" w14:textId="77777777" w:rsidR="00ED6A34" w:rsidRDefault="00ED6A34" w:rsidP="00006DE3">
            <w:pPr>
              <w:pStyle w:val="TableTextRight"/>
            </w:pPr>
            <w:r>
              <w:t>125</w:t>
            </w:r>
          </w:p>
        </w:tc>
        <w:tc>
          <w:tcPr>
            <w:tcW w:w="964" w:type="dxa"/>
          </w:tcPr>
          <w:p w14:paraId="44E8CCBD" w14:textId="77777777" w:rsidR="00ED6A34" w:rsidRDefault="00ED6A34" w:rsidP="00006DE3">
            <w:pPr>
              <w:pStyle w:val="TableTextRight"/>
            </w:pPr>
            <w:r>
              <w:t>121</w:t>
            </w:r>
          </w:p>
        </w:tc>
        <w:tc>
          <w:tcPr>
            <w:tcW w:w="964" w:type="dxa"/>
          </w:tcPr>
          <w:p w14:paraId="32033984" w14:textId="77777777" w:rsidR="00ED6A34" w:rsidRDefault="00ED6A34" w:rsidP="00006DE3">
            <w:pPr>
              <w:pStyle w:val="TableTextRight"/>
            </w:pPr>
            <w:r>
              <w:t>115</w:t>
            </w:r>
          </w:p>
        </w:tc>
      </w:tr>
      <w:tr w:rsidR="00ED6A34" w14:paraId="068CFC19" w14:textId="77777777" w:rsidTr="00483EF3">
        <w:trPr>
          <w:trHeight w:val="68"/>
        </w:trPr>
        <w:tc>
          <w:tcPr>
            <w:tcW w:w="2722" w:type="dxa"/>
          </w:tcPr>
          <w:p w14:paraId="776C3F3D" w14:textId="4D74DDA6" w:rsidR="00ED6A34" w:rsidRDefault="00ED6A34" w:rsidP="00006DE3">
            <w:pPr>
              <w:pStyle w:val="TableText"/>
            </w:pPr>
            <w:r>
              <w:t>Sex work brothel managers</w:t>
            </w:r>
          </w:p>
        </w:tc>
        <w:tc>
          <w:tcPr>
            <w:tcW w:w="964" w:type="dxa"/>
          </w:tcPr>
          <w:p w14:paraId="0EC2FD8D" w14:textId="77777777" w:rsidR="00ED6A34" w:rsidRDefault="00ED6A34" w:rsidP="00006DE3">
            <w:pPr>
              <w:pStyle w:val="TableTextRight"/>
            </w:pPr>
            <w:r>
              <w:t>167</w:t>
            </w:r>
          </w:p>
        </w:tc>
        <w:tc>
          <w:tcPr>
            <w:tcW w:w="964" w:type="dxa"/>
          </w:tcPr>
          <w:p w14:paraId="6985BD65" w14:textId="77777777" w:rsidR="00ED6A34" w:rsidRDefault="00ED6A34" w:rsidP="00006DE3">
            <w:pPr>
              <w:pStyle w:val="TableTextRight"/>
            </w:pPr>
            <w:r>
              <w:t>192</w:t>
            </w:r>
          </w:p>
        </w:tc>
        <w:tc>
          <w:tcPr>
            <w:tcW w:w="964" w:type="dxa"/>
          </w:tcPr>
          <w:p w14:paraId="4ABFCE37" w14:textId="77777777" w:rsidR="00ED6A34" w:rsidRDefault="00ED6A34" w:rsidP="00006DE3">
            <w:pPr>
              <w:pStyle w:val="TableTextRight"/>
            </w:pPr>
            <w:r>
              <w:t>121</w:t>
            </w:r>
          </w:p>
        </w:tc>
        <w:tc>
          <w:tcPr>
            <w:tcW w:w="964" w:type="dxa"/>
          </w:tcPr>
          <w:p w14:paraId="3B56FDDB" w14:textId="77777777" w:rsidR="00ED6A34" w:rsidRDefault="00ED6A34" w:rsidP="00006DE3">
            <w:pPr>
              <w:pStyle w:val="TableTextRight"/>
            </w:pPr>
            <w:r>
              <w:t>675</w:t>
            </w:r>
          </w:p>
        </w:tc>
        <w:tc>
          <w:tcPr>
            <w:tcW w:w="964" w:type="dxa"/>
          </w:tcPr>
          <w:p w14:paraId="1355874A" w14:textId="77777777" w:rsidR="00ED6A34" w:rsidRDefault="00ED6A34" w:rsidP="00006DE3">
            <w:pPr>
              <w:pStyle w:val="TableTextRight"/>
            </w:pPr>
            <w:r>
              <w:t>656</w:t>
            </w:r>
          </w:p>
        </w:tc>
        <w:tc>
          <w:tcPr>
            <w:tcW w:w="964" w:type="dxa"/>
          </w:tcPr>
          <w:p w14:paraId="5333D55C" w14:textId="77777777" w:rsidR="00ED6A34" w:rsidRDefault="00ED6A34" w:rsidP="00006DE3">
            <w:pPr>
              <w:pStyle w:val="TableTextRight"/>
            </w:pPr>
            <w:r>
              <w:t>616</w:t>
            </w:r>
          </w:p>
        </w:tc>
      </w:tr>
    </w:tbl>
    <w:p w14:paraId="1FB44666" w14:textId="08A26099" w:rsidR="00ED6A34" w:rsidRDefault="00ED6A34" w:rsidP="00BB1C65">
      <w:pPr>
        <w:pStyle w:val="Heading4"/>
      </w:pPr>
      <w:r>
        <w:t>Making it easier to comply</w:t>
      </w:r>
    </w:p>
    <w:p w14:paraId="61FD82CE" w14:textId="12C5CF40" w:rsidR="00ED6A34" w:rsidRDefault="00ED6A34" w:rsidP="00A75F3C">
      <w:pPr>
        <w:pStyle w:val="BodyText"/>
      </w:pPr>
      <w:r>
        <w:t>We are committed to making it easier for Victorian businesses to interact with us and comply with the law. This year we continued our work in creating a single, modern information technology system to support our regulatory functions and those of the Business Licensing Authority.</w:t>
      </w:r>
    </w:p>
    <w:p w14:paraId="55900B2D" w14:textId="22B30795" w:rsidR="00ED6A34" w:rsidRDefault="00ED6A34" w:rsidP="00A75F3C">
      <w:pPr>
        <w:pStyle w:val="BodyText"/>
      </w:pPr>
      <w:proofErr w:type="spellStart"/>
      <w:r>
        <w:t>myCAV</w:t>
      </w:r>
      <w:proofErr w:type="spellEnd"/>
      <w:r>
        <w:t xml:space="preserve"> is our online portal that allows Victorian businesses to apply for a licence or registration and manage their obligations, with instantaneous updates and lodgements. Following the successful implementation of </w:t>
      </w:r>
      <w:proofErr w:type="spellStart"/>
      <w:r>
        <w:t>myCAV</w:t>
      </w:r>
      <w:proofErr w:type="spellEnd"/>
      <w:r>
        <w:t xml:space="preserve"> to incorporated associations, estate agents and rooming house operators, the system was further expanded in December 2018 to include </w:t>
      </w:r>
      <w:proofErr w:type="gramStart"/>
      <w:r>
        <w:t>owners</w:t>
      </w:r>
      <w:proofErr w:type="gramEnd"/>
      <w:r>
        <w:t xml:space="preserve"> corporation managers and conveyancers.</w:t>
      </w:r>
    </w:p>
    <w:p w14:paraId="12099E3C" w14:textId="4CCCC62C" w:rsidR="00ED6A34" w:rsidRDefault="00ED6A34" w:rsidP="00A75F3C">
      <w:pPr>
        <w:pStyle w:val="BodyText"/>
      </w:pPr>
      <w:proofErr w:type="spellStart"/>
      <w:r>
        <w:t>myCAV</w:t>
      </w:r>
      <w:proofErr w:type="spellEnd"/>
      <w:r>
        <w:t xml:space="preserve"> has been embraced by its users, with more than:</w:t>
      </w:r>
    </w:p>
    <w:p w14:paraId="160811F5" w14:textId="7A56B060" w:rsidR="00ED6A34" w:rsidRDefault="00ED6A34" w:rsidP="00A75F3C">
      <w:pPr>
        <w:pStyle w:val="ListBullet"/>
      </w:pPr>
      <w:r>
        <w:t>117,300 transactions completed in 2018–19, and</w:t>
      </w:r>
    </w:p>
    <w:p w14:paraId="4EA59348" w14:textId="469D0BCC" w:rsidR="00ED6A34" w:rsidRDefault="00ED6A34" w:rsidP="00A75F3C">
      <w:pPr>
        <w:pStyle w:val="ListBullet"/>
      </w:pPr>
      <w:r>
        <w:t>85,000 accounts created since its launch.</w:t>
      </w:r>
    </w:p>
    <w:p w14:paraId="41102299" w14:textId="5B5A7651" w:rsidR="00ED6A34" w:rsidRDefault="00ED6A34" w:rsidP="00A75F3C">
      <w:pPr>
        <w:pStyle w:val="BodyText"/>
      </w:pPr>
      <w:r>
        <w:t xml:space="preserve">Work is currently underway to expand </w:t>
      </w:r>
      <w:proofErr w:type="spellStart"/>
      <w:r>
        <w:t>myCAV</w:t>
      </w:r>
      <w:proofErr w:type="spellEnd"/>
      <w:r>
        <w:t xml:space="preserve"> to manage fundraising registrations.</w:t>
      </w:r>
    </w:p>
    <w:p w14:paraId="230C2193" w14:textId="77777777" w:rsidR="00ED6A34" w:rsidRDefault="00ED6A34" w:rsidP="00BB1C65">
      <w:pPr>
        <w:pStyle w:val="Heading4"/>
      </w:pPr>
      <w:r>
        <w:lastRenderedPageBreak/>
        <w:t>Underquoting</w:t>
      </w:r>
    </w:p>
    <w:p w14:paraId="2370BDA6" w14:textId="273A52BB" w:rsidR="00ED6A34" w:rsidRDefault="00ED6A34" w:rsidP="00A75F3C">
      <w:pPr>
        <w:pStyle w:val="BodyText"/>
      </w:pPr>
      <w:r>
        <w:t>Underquoting causes significant frustration and disappointment for potential home buyers, as well as time and money spent undertaking pre-purchase inspections for properties they could never realistically afford.</w:t>
      </w:r>
    </w:p>
    <w:p w14:paraId="37285A74" w14:textId="7EF9FE87" w:rsidR="00ED6A34" w:rsidRDefault="00ED6A34" w:rsidP="00A75F3C">
      <w:pPr>
        <w:pStyle w:val="BodyText"/>
      </w:pPr>
      <w:r>
        <w:t xml:space="preserve">Our underquoting campaign, launched in November 2018, reminded estate agents of their obligations under the </w:t>
      </w:r>
      <w:r w:rsidRPr="00F3632D">
        <w:rPr>
          <w:rStyle w:val="Emphasis"/>
        </w:rPr>
        <w:t>Estate Agents Amendment (Underquoting) Act 2016</w:t>
      </w:r>
      <w:r>
        <w:t>, which came into effect in May 2017.</w:t>
      </w:r>
    </w:p>
    <w:p w14:paraId="2222E31E" w14:textId="050F7BE8" w:rsidR="00ED6A34" w:rsidRDefault="00ED6A34" w:rsidP="00A75F3C">
      <w:pPr>
        <w:pStyle w:val="BodyText"/>
      </w:pPr>
      <w:r>
        <w:t>We reached Victorian estate agents through electronic newsletters and social media, and more than 200 estate agents participated in underquoting information sessions across Victoria. We developed a guide with useful tips to support estate agents and sales staff to complete a statement of information, which the Real Estate Institute of Victoria (REIV) used in their training sessions. Our campaign was a nominee in the REA Group’s Annual Excellence Awards for Integrated Brand Campaign of the Year.</w:t>
      </w:r>
    </w:p>
    <w:p w14:paraId="2F6FBA9C" w14:textId="463A06F8" w:rsidR="00ED6A34" w:rsidRDefault="00ED6A34" w:rsidP="00A75F3C">
      <w:pPr>
        <w:pStyle w:val="BodyText"/>
      </w:pPr>
      <w:r>
        <w:t>New infringement penalties for underquoting laws were introduced in July 2018. In 2018–19, we issued 39 infringements with 60 per cent of these relating to estate agents failing to include a statement of information in their online advertising.</w:t>
      </w:r>
    </w:p>
    <w:p w14:paraId="6C56BBCD" w14:textId="001B6DE8" w:rsidR="00ED6A34" w:rsidRDefault="00ED6A34" w:rsidP="00A75F3C">
      <w:pPr>
        <w:pStyle w:val="BodyText"/>
      </w:pPr>
      <w:r>
        <w:t>We took strong enforcement action when laws were not followed.</w:t>
      </w:r>
    </w:p>
    <w:p w14:paraId="566F8C1A" w14:textId="332CF7B3" w:rsidR="00ED6A34" w:rsidRDefault="00ED6A34" w:rsidP="00A75F3C">
      <w:pPr>
        <w:pStyle w:val="BodyText"/>
      </w:pPr>
      <w:r>
        <w:t>In November 2018, the Federal Court of Australia found Melbourne South Eastern Real Estate Pty Ltd engaged in misleading or deceptive conduct and made false representations about the sale of land.</w:t>
      </w:r>
    </w:p>
    <w:p w14:paraId="105E9931" w14:textId="0D529B2E" w:rsidR="00ED6A34" w:rsidRDefault="00ED6A34" w:rsidP="00A75F3C">
      <w:pPr>
        <w:pStyle w:val="BodyText"/>
      </w:pPr>
      <w:r>
        <w:t>Our investigation revealed the agency had advertised 25 residential properties on the realestate.com.au website, setting price search parameters that were less than the appraisal price and estimated selling price written on the sale authority (for some of the properties). This conduct was designed to make potential buyers think that a property would sell at a much lower price than the agency believed it would.</w:t>
      </w:r>
    </w:p>
    <w:p w14:paraId="182794D1" w14:textId="4B23D050" w:rsidR="00ED6A34" w:rsidRDefault="00ED6A34" w:rsidP="00A75F3C">
      <w:pPr>
        <w:pStyle w:val="BodyText"/>
      </w:pPr>
      <w:r>
        <w:t>Melbourne South Eastern Real Estate was ordered to pay a penalty of $720,000 and our legal costs of $30,000. The agency was also ordered to publish adverse publicity notices about its illegal conduct and implement a compliance program. The compliance program included training its staff about their legal obligations under the Australian Consumer Law and appointing a compliance officer to ensure the program is effectively designed, delivered and maintained.</w:t>
      </w:r>
    </w:p>
    <w:p w14:paraId="4184C940" w14:textId="4741FF56" w:rsidR="00ED6A34" w:rsidRDefault="00ED6A34" w:rsidP="00BB1C65">
      <w:pPr>
        <w:pStyle w:val="Heading4"/>
      </w:pPr>
      <w:r>
        <w:t>Misuse of real estate trust account money</w:t>
      </w:r>
    </w:p>
    <w:p w14:paraId="1E29865A" w14:textId="66EB9209" w:rsidR="00ED6A34" w:rsidRDefault="00ED6A34" w:rsidP="00A75F3C">
      <w:pPr>
        <w:pStyle w:val="BodyText"/>
      </w:pPr>
      <w:r>
        <w:t xml:space="preserve">Buying or selling a home is the biggest financial transaction in most people’s lifetime, with most putting their trust in an estate agent for this transaction. One of many protections for buyers and sellers under the </w:t>
      </w:r>
      <w:r w:rsidRPr="00F3632D">
        <w:rPr>
          <w:rStyle w:val="Emphasis"/>
        </w:rPr>
        <w:t>Estate Agents Act 1980</w:t>
      </w:r>
      <w:r>
        <w:t xml:space="preserve"> is the requirement for estate agents to keep the money they receive on behalf of any other person in a separate trust account. Failing to handle trust account money appropriately may result in property owners being adversely affected and property purchases being delayed or failing, causing emotional and financial stress.</w:t>
      </w:r>
    </w:p>
    <w:p w14:paraId="3A13E5F7" w14:textId="6AD16579" w:rsidR="00ED6A34" w:rsidRDefault="00ED6A34" w:rsidP="00A75F3C">
      <w:pPr>
        <w:pStyle w:val="BodyText"/>
      </w:pPr>
      <w:r>
        <w:t>We took strong action when estate agents did not meet their trust account obligations. We issued criminal charges against Judy Nguyen, the sole director of JNT Law Investments Pty Ltd (in liquidation) and an employee agent, Joseph Ngo, in relation to misappropriation of trust money. JNT operated LJ Hooker franchises in six Melbourne suburbs.</w:t>
      </w:r>
    </w:p>
    <w:p w14:paraId="286A0235" w14:textId="0349A0D9" w:rsidR="00ED6A34" w:rsidRDefault="00ED6A34" w:rsidP="00A75F3C">
      <w:pPr>
        <w:pStyle w:val="BodyText"/>
      </w:pPr>
      <w:r>
        <w:t>Claims totalling more than $2 million were paid from the Victorian Property Fund to property owners or purchasers who suffered loss as a result of these former franchises’ actions.</w:t>
      </w:r>
    </w:p>
    <w:p w14:paraId="05E37E0E" w14:textId="691DDC8B" w:rsidR="00ED6A34" w:rsidRDefault="00ED6A34" w:rsidP="00A75F3C">
      <w:pPr>
        <w:pStyle w:val="BodyText"/>
      </w:pPr>
      <w:r>
        <w:lastRenderedPageBreak/>
        <w:t>Following Mr Ngo’s sentencing in 2018 (which included a five-year prison term with a minimum of three years), Ms Nguyen was sentenced in June 2019 to 20 months in prison with a minimum of eight months.</w:t>
      </w:r>
    </w:p>
    <w:p w14:paraId="0367878D" w14:textId="149F46A2" w:rsidR="00ED6A34" w:rsidRDefault="00ED6A34" w:rsidP="00BB1C65">
      <w:pPr>
        <w:pStyle w:val="Heading4"/>
      </w:pPr>
      <w:r>
        <w:t>Dangerous products removed from shelves</w:t>
      </w:r>
    </w:p>
    <w:p w14:paraId="35C7E2FF" w14:textId="0988563B" w:rsidR="00ED6A34" w:rsidRDefault="00ED6A34" w:rsidP="00A75F3C">
      <w:pPr>
        <w:pStyle w:val="BodyText"/>
      </w:pPr>
      <w:r>
        <w:t>Consumers are entitled to expect every retailer, manufacturer and importer in Australia complies with product safety laws, ensuring products and toys brought into Victorian homes meet safety standards and pose no threat to consumers’ wellbeing. These laws apply to products purchased in shops, at home, over the telephone or online.</w:t>
      </w:r>
    </w:p>
    <w:p w14:paraId="505C2202" w14:textId="33BAF546" w:rsidR="00ED6A34" w:rsidRDefault="00ED6A34" w:rsidP="00A75F3C">
      <w:pPr>
        <w:pStyle w:val="BodyText"/>
      </w:pPr>
      <w:r>
        <w:t>This year we undertook more than 880 product safety inspections throughout Victoria, checking compliance with product safety laws and educating businesses on their responsibilities.</w:t>
      </w:r>
    </w:p>
    <w:p w14:paraId="79918A9A" w14:textId="0F2EED25" w:rsidR="00ED6A34" w:rsidRDefault="00ED6A34" w:rsidP="00A75F3C">
      <w:pPr>
        <w:pStyle w:val="BodyText"/>
      </w:pPr>
      <w:r>
        <w:t>We also took court action when necessary. In January 2019, the Federal Court of Australia found that Wens Bros Trading Pty Ltd and its sole director, Wen Hui Xu, breached the Australian Consumer Law’s product safety provisions and were ordered to pay a $415,000 penalty plus $15,000 in costs.</w:t>
      </w:r>
    </w:p>
    <w:p w14:paraId="5F7F3B04" w14:textId="32A78F9C" w:rsidR="00ED6A34" w:rsidRDefault="00ED6A34" w:rsidP="00A75F3C">
      <w:pPr>
        <w:pStyle w:val="BodyText"/>
      </w:pPr>
      <w:r>
        <w:t>The company first came to our attention during a routine compliance inspection. This led to further investigations and the seizure of more than 20,000 unsafe products. These included portable swimming pools, elastic luggage straps, hot water bottles, children’s toys, and combustible candle holders that have been permanently banned from sale in Australia.</w:t>
      </w:r>
    </w:p>
    <w:p w14:paraId="2F07F912" w14:textId="7ADD3F8C" w:rsidR="00ED6A34" w:rsidRDefault="00ED6A34" w:rsidP="00A75F3C">
      <w:pPr>
        <w:pStyle w:val="BodyText"/>
      </w:pPr>
      <w:r>
        <w:t>We use social media and other channels to alert Victorians of emerging product safety issues.</w:t>
      </w:r>
    </w:p>
    <w:p w14:paraId="5FEB019A" w14:textId="5EADABC7" w:rsidR="00ED6A34" w:rsidRDefault="00ED6A34" w:rsidP="00BB1C65">
      <w:pPr>
        <w:pStyle w:val="Heading4"/>
      </w:pPr>
      <w:r>
        <w:t>Unlicensed motor car trading and auction houses</w:t>
      </w:r>
    </w:p>
    <w:p w14:paraId="55A95785" w14:textId="7C03A1C8" w:rsidR="00ED6A34" w:rsidRDefault="00ED6A34" w:rsidP="00A75F3C">
      <w:pPr>
        <w:pStyle w:val="BodyText"/>
      </w:pPr>
      <w:r>
        <w:t xml:space="preserve">Some motor car traders licensed under the </w:t>
      </w:r>
      <w:r w:rsidRPr="00F3632D">
        <w:rPr>
          <w:rStyle w:val="Emphasis"/>
        </w:rPr>
        <w:t>Motor Car Traders Act 1986</w:t>
      </w:r>
      <w:r>
        <w:t xml:space="preserve"> have an official endorsement to sell vehicles by auction. Concerns were raised that these sellers, also known as auction houses, may be a high-volume supply source for people unlawfully selling motor vehicles.</w:t>
      </w:r>
    </w:p>
    <w:p w14:paraId="5C8F7CB4" w14:textId="7E154942" w:rsidR="00ED6A34" w:rsidRDefault="00ED6A34" w:rsidP="00A75F3C">
      <w:pPr>
        <w:pStyle w:val="BodyText"/>
      </w:pPr>
      <w:r>
        <w:t xml:space="preserve">In July 2016, our compliance team commenced Project </w:t>
      </w:r>
      <w:proofErr w:type="spellStart"/>
      <w:r>
        <w:t>Pilentum</w:t>
      </w:r>
      <w:proofErr w:type="spellEnd"/>
      <w:r>
        <w:t>, which examined the extent, volume and nature of vehicle sales between auction houses and unlicensed vehicle traders. The initial stage of the project involved our inspectors collecting and examining sales data from 11 auction houses registered in Victoria. Our investigation identified five high-volume purchasers who collectively purchased 323 vehicles in a 12-month period and who were suspected of being unlicensed motor car traders.</w:t>
      </w:r>
    </w:p>
    <w:p w14:paraId="07AFFB1B" w14:textId="68F28447" w:rsidR="00ED6A34" w:rsidRDefault="00ED6A34" w:rsidP="00A75F3C">
      <w:pPr>
        <w:pStyle w:val="BodyText"/>
      </w:pPr>
      <w:r>
        <w:t>We have had successful court outcomes with three people found guilty of unlicensed motor car trading. Other matters are still in progress.</w:t>
      </w:r>
    </w:p>
    <w:p w14:paraId="0540FC00" w14:textId="2B4ADD06" w:rsidR="00ED6A34" w:rsidRDefault="00ED6A34" w:rsidP="00A75F3C">
      <w:pPr>
        <w:pStyle w:val="BodyText"/>
      </w:pPr>
      <w:r>
        <w:t xml:space="preserve">We continue to proactively monitor compliance with Victoria’s motor car </w:t>
      </w:r>
      <w:proofErr w:type="gramStart"/>
      <w:r>
        <w:t>traders</w:t>
      </w:r>
      <w:proofErr w:type="gramEnd"/>
      <w:r>
        <w:t xml:space="preserve"> laws, including activities at auction houses, and take appropriate action against those who act illegally.</w:t>
      </w:r>
    </w:p>
    <w:p w14:paraId="42C4A76A" w14:textId="77777777" w:rsidR="00483EF3" w:rsidRPr="00483EF3" w:rsidRDefault="00483EF3" w:rsidP="00483EF3">
      <w:pPr>
        <w:pStyle w:val="BodyText"/>
      </w:pPr>
      <w:r w:rsidRPr="00483EF3">
        <w:br w:type="page"/>
      </w:r>
    </w:p>
    <w:p w14:paraId="29104087" w14:textId="53AD8498" w:rsidR="00ED6A34" w:rsidRDefault="00ED6A34" w:rsidP="00BB1C65">
      <w:pPr>
        <w:pStyle w:val="Heading4"/>
      </w:pPr>
      <w:r>
        <w:lastRenderedPageBreak/>
        <w:t>Enforcement actions</w:t>
      </w:r>
    </w:p>
    <w:p w14:paraId="6F883B2E" w14:textId="09F08991" w:rsidR="00ED6A34" w:rsidRDefault="00ED6A34" w:rsidP="00A75F3C">
      <w:pPr>
        <w:pStyle w:val="BodyText"/>
      </w:pPr>
      <w:r>
        <w:t>We took a range of enforcement actions in 2018–</w:t>
      </w:r>
      <w:proofErr w:type="gramStart"/>
      <w:r>
        <w:t>19, and</w:t>
      </w:r>
      <w:proofErr w:type="gramEnd"/>
      <w:r>
        <w:t xml:space="preserve"> were also a party to or involved in others. Actions completed or in progress as at 30 June 2019 are outlined in the tables below.</w:t>
      </w:r>
    </w:p>
    <w:p w14:paraId="58534022" w14:textId="2C50D7B2" w:rsidR="00ED6A34" w:rsidRDefault="00ED6A34" w:rsidP="00BB1C65">
      <w:pPr>
        <w:pStyle w:val="Heading4"/>
      </w:pPr>
      <w:r>
        <w:t>Enforceable undertakings</w:t>
      </w:r>
    </w:p>
    <w:p w14:paraId="0CD02BE6" w14:textId="0383CE73" w:rsidR="00ED6A34" w:rsidRDefault="00ED6A34" w:rsidP="00BB1C65">
      <w:pPr>
        <w:pStyle w:val="Heading5"/>
      </w:pPr>
      <w:r>
        <w:t>Parties signed to enforceable undertakings</w:t>
      </w:r>
    </w:p>
    <w:tbl>
      <w:tblPr>
        <w:tblStyle w:val="TableGrid"/>
        <w:tblW w:w="9072" w:type="dxa"/>
        <w:tblLayout w:type="fixed"/>
        <w:tblLook w:val="06A0" w:firstRow="1" w:lastRow="0" w:firstColumn="1" w:lastColumn="0" w:noHBand="1" w:noVBand="1"/>
      </w:tblPr>
      <w:tblGrid>
        <w:gridCol w:w="2675"/>
        <w:gridCol w:w="6397"/>
      </w:tblGrid>
      <w:tr w:rsidR="00ED6A34" w14:paraId="52CD2D86"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2930DE56" w14:textId="77777777" w:rsidR="00ED6A34" w:rsidRDefault="00ED6A34" w:rsidP="00006DE3">
            <w:pPr>
              <w:pStyle w:val="TableColHead"/>
            </w:pPr>
            <w:r>
              <w:t>Legislation</w:t>
            </w:r>
          </w:p>
        </w:tc>
        <w:tc>
          <w:tcPr>
            <w:tcW w:w="6803" w:type="dxa"/>
          </w:tcPr>
          <w:p w14:paraId="52CE6388" w14:textId="77777777" w:rsidR="00ED6A34" w:rsidRDefault="00ED6A34" w:rsidP="00006DE3">
            <w:pPr>
              <w:pStyle w:val="TableColHead"/>
            </w:pPr>
            <w:r>
              <w:t>Parties</w:t>
            </w:r>
          </w:p>
        </w:tc>
      </w:tr>
      <w:tr w:rsidR="00ED6A34" w14:paraId="5195B20E" w14:textId="77777777" w:rsidTr="00A41E9C">
        <w:trPr>
          <w:trHeight w:val="60"/>
        </w:trPr>
        <w:tc>
          <w:tcPr>
            <w:tcW w:w="2835" w:type="dxa"/>
          </w:tcPr>
          <w:p w14:paraId="245854B5" w14:textId="2DD0829D" w:rsidR="00ED6A34" w:rsidRPr="00F3632D" w:rsidRDefault="00ED6A34" w:rsidP="00006DE3">
            <w:pPr>
              <w:pStyle w:val="TableText"/>
              <w:rPr>
                <w:rStyle w:val="Emphasis"/>
              </w:rPr>
            </w:pPr>
            <w:r w:rsidRPr="00F3632D">
              <w:rPr>
                <w:rStyle w:val="Emphasis"/>
              </w:rPr>
              <w:t>Estate Agents Act 1980</w:t>
            </w:r>
          </w:p>
        </w:tc>
        <w:tc>
          <w:tcPr>
            <w:tcW w:w="6803" w:type="dxa"/>
          </w:tcPr>
          <w:p w14:paraId="6BB67439" w14:textId="2CA7856C" w:rsidR="00ED6A34" w:rsidRDefault="00ED6A34" w:rsidP="00006DE3">
            <w:pPr>
              <w:pStyle w:val="TableText"/>
            </w:pPr>
            <w:proofErr w:type="spellStart"/>
            <w:r>
              <w:t>Josdan</w:t>
            </w:r>
            <w:proofErr w:type="spellEnd"/>
            <w:r>
              <w:t xml:space="preserve">-Bel Pty Ltd, Daniel </w:t>
            </w:r>
            <w:proofErr w:type="spellStart"/>
            <w:r>
              <w:t>Zanella</w:t>
            </w:r>
            <w:proofErr w:type="spellEnd"/>
            <w:r>
              <w:t xml:space="preserve"> &amp; Geraldo </w:t>
            </w:r>
            <w:proofErr w:type="spellStart"/>
            <w:r>
              <w:t>Papaluca</w:t>
            </w:r>
            <w:proofErr w:type="spellEnd"/>
          </w:p>
        </w:tc>
      </w:tr>
      <w:tr w:rsidR="00ED6A34" w14:paraId="6D96408E" w14:textId="77777777" w:rsidTr="00A41E9C">
        <w:trPr>
          <w:trHeight w:val="60"/>
        </w:trPr>
        <w:tc>
          <w:tcPr>
            <w:tcW w:w="2835" w:type="dxa"/>
          </w:tcPr>
          <w:p w14:paraId="76DCACF5" w14:textId="375C7EA6" w:rsidR="00ED6A34" w:rsidRDefault="00ED6A34" w:rsidP="00006DE3">
            <w:pPr>
              <w:pStyle w:val="TableText"/>
            </w:pPr>
            <w:r>
              <w:t>Australian Consumer Law (Victoria)</w:t>
            </w:r>
          </w:p>
        </w:tc>
        <w:tc>
          <w:tcPr>
            <w:tcW w:w="6803" w:type="dxa"/>
          </w:tcPr>
          <w:p w14:paraId="0AE42619" w14:textId="251A53D8" w:rsidR="00ED6A34" w:rsidRDefault="00ED6A34" w:rsidP="00006DE3">
            <w:pPr>
              <w:pStyle w:val="TableText"/>
            </w:pPr>
            <w:r>
              <w:t xml:space="preserve">Australia </w:t>
            </w:r>
            <w:proofErr w:type="spellStart"/>
            <w:r>
              <w:t>Manolite</w:t>
            </w:r>
            <w:proofErr w:type="spellEnd"/>
            <w:r>
              <w:t xml:space="preserve"> Pty Ltd and </w:t>
            </w:r>
            <w:proofErr w:type="spellStart"/>
            <w:r>
              <w:t>Zhenghong</w:t>
            </w:r>
            <w:proofErr w:type="spellEnd"/>
            <w:r>
              <w:t xml:space="preserve"> Mei</w:t>
            </w:r>
          </w:p>
        </w:tc>
      </w:tr>
    </w:tbl>
    <w:p w14:paraId="4427D04D" w14:textId="7751E17A" w:rsidR="00ED6A34" w:rsidRDefault="00ED6A34" w:rsidP="00BB1C65">
      <w:pPr>
        <w:pStyle w:val="Heading4"/>
      </w:pPr>
      <w:r>
        <w:t>Court and tribunal matters</w:t>
      </w:r>
    </w:p>
    <w:p w14:paraId="466EF622" w14:textId="1C0A920D" w:rsidR="00ED6A34" w:rsidRDefault="00ED6A34" w:rsidP="00BB1C65">
      <w:pPr>
        <w:pStyle w:val="Heading5"/>
      </w:pPr>
      <w:r>
        <w:t>Prosecutions finalised</w:t>
      </w:r>
    </w:p>
    <w:tbl>
      <w:tblPr>
        <w:tblStyle w:val="TableGrid"/>
        <w:tblW w:w="9072" w:type="dxa"/>
        <w:tblLayout w:type="fixed"/>
        <w:tblLook w:val="06A0" w:firstRow="1" w:lastRow="0" w:firstColumn="1" w:lastColumn="0" w:noHBand="1" w:noVBand="1"/>
      </w:tblPr>
      <w:tblGrid>
        <w:gridCol w:w="2675"/>
        <w:gridCol w:w="6397"/>
      </w:tblGrid>
      <w:tr w:rsidR="00ED6A34" w14:paraId="7F8034F2"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29E5603A" w14:textId="77777777" w:rsidR="00ED6A34" w:rsidRDefault="00ED6A34" w:rsidP="00006DE3">
            <w:pPr>
              <w:pStyle w:val="TableColHead"/>
            </w:pPr>
            <w:r>
              <w:t>Legislation</w:t>
            </w:r>
          </w:p>
        </w:tc>
        <w:tc>
          <w:tcPr>
            <w:tcW w:w="6803" w:type="dxa"/>
          </w:tcPr>
          <w:p w14:paraId="5FA95DCC" w14:textId="77777777" w:rsidR="00ED6A34" w:rsidRDefault="00ED6A34" w:rsidP="00006DE3">
            <w:pPr>
              <w:pStyle w:val="TableColHead"/>
            </w:pPr>
            <w:r>
              <w:t>Parties</w:t>
            </w:r>
          </w:p>
        </w:tc>
      </w:tr>
      <w:tr w:rsidR="00ED6A34" w14:paraId="09BD01BD" w14:textId="77777777" w:rsidTr="00A41E9C">
        <w:trPr>
          <w:trHeight w:val="60"/>
        </w:trPr>
        <w:tc>
          <w:tcPr>
            <w:tcW w:w="2835" w:type="dxa"/>
          </w:tcPr>
          <w:p w14:paraId="747C1FF2" w14:textId="52BBAD65" w:rsidR="00ED6A34" w:rsidRPr="00F3632D" w:rsidRDefault="00ED6A34" w:rsidP="00006DE3">
            <w:pPr>
              <w:pStyle w:val="TableText"/>
              <w:rPr>
                <w:rStyle w:val="Emphasis"/>
              </w:rPr>
            </w:pPr>
            <w:r w:rsidRPr="00F3632D">
              <w:rPr>
                <w:rStyle w:val="Emphasis"/>
              </w:rPr>
              <w:t>Estate Agents Act 1980</w:t>
            </w:r>
          </w:p>
        </w:tc>
        <w:tc>
          <w:tcPr>
            <w:tcW w:w="6803" w:type="dxa"/>
          </w:tcPr>
          <w:p w14:paraId="58E286D1" w14:textId="61D5DE0E" w:rsidR="00ED6A34" w:rsidRDefault="00ED6A34" w:rsidP="00006DE3">
            <w:pPr>
              <w:pStyle w:val="TableText"/>
            </w:pPr>
            <w:r>
              <w:t xml:space="preserve">Judy Nguyen and JNT Law Investments Pty Ltd (in </w:t>
            </w:r>
            <w:proofErr w:type="spellStart"/>
            <w:r>
              <w:t>liq</w:t>
            </w:r>
            <w:proofErr w:type="spellEnd"/>
            <w:r>
              <w:t>)</w:t>
            </w:r>
          </w:p>
          <w:p w14:paraId="055ADC2B" w14:textId="4BFC2BE8" w:rsidR="00ED6A34" w:rsidRDefault="00ED6A34" w:rsidP="00006DE3">
            <w:pPr>
              <w:pStyle w:val="TableText"/>
            </w:pPr>
            <w:r>
              <w:t xml:space="preserve">DMSM Real Estate Pty Ltd (in </w:t>
            </w:r>
            <w:proofErr w:type="spellStart"/>
            <w:r>
              <w:t>liq</w:t>
            </w:r>
            <w:proofErr w:type="spellEnd"/>
            <w:r>
              <w:t>)</w:t>
            </w:r>
          </w:p>
        </w:tc>
      </w:tr>
      <w:tr w:rsidR="00ED6A34" w14:paraId="380D9CCB" w14:textId="77777777" w:rsidTr="00A41E9C">
        <w:trPr>
          <w:trHeight w:val="60"/>
        </w:trPr>
        <w:tc>
          <w:tcPr>
            <w:tcW w:w="2835" w:type="dxa"/>
          </w:tcPr>
          <w:p w14:paraId="32F87844" w14:textId="004A30CA" w:rsidR="00ED6A34" w:rsidRPr="00F3632D" w:rsidRDefault="00ED6A34" w:rsidP="00006DE3">
            <w:pPr>
              <w:pStyle w:val="TableText"/>
              <w:rPr>
                <w:rStyle w:val="Emphasis"/>
              </w:rPr>
            </w:pPr>
            <w:r w:rsidRPr="00F3632D">
              <w:rPr>
                <w:rStyle w:val="Emphasis"/>
              </w:rPr>
              <w:t>Motor Car Traders Act 1986</w:t>
            </w:r>
          </w:p>
        </w:tc>
        <w:tc>
          <w:tcPr>
            <w:tcW w:w="6803" w:type="dxa"/>
          </w:tcPr>
          <w:p w14:paraId="012AA2EC" w14:textId="19E948A3" w:rsidR="00ED6A34" w:rsidRDefault="00ED6A34" w:rsidP="00006DE3">
            <w:pPr>
              <w:pStyle w:val="TableText"/>
            </w:pPr>
            <w:proofErr w:type="spellStart"/>
            <w:r>
              <w:t>Abdellatif</w:t>
            </w:r>
            <w:proofErr w:type="spellEnd"/>
            <w:r>
              <w:t xml:space="preserve"> </w:t>
            </w:r>
            <w:proofErr w:type="spellStart"/>
            <w:r>
              <w:t>Cheairi</w:t>
            </w:r>
            <w:proofErr w:type="spellEnd"/>
            <w:r>
              <w:t xml:space="preserve"> </w:t>
            </w:r>
            <w:proofErr w:type="spellStart"/>
            <w:r>
              <w:t>Bouiaji</w:t>
            </w:r>
            <w:proofErr w:type="spellEnd"/>
          </w:p>
          <w:p w14:paraId="5BB8DF85" w14:textId="45CC536E" w:rsidR="00ED6A34" w:rsidRDefault="00ED6A34" w:rsidP="00006DE3">
            <w:pPr>
              <w:pStyle w:val="TableText"/>
            </w:pPr>
            <w:proofErr w:type="spellStart"/>
            <w:r>
              <w:t>Marjan</w:t>
            </w:r>
            <w:proofErr w:type="spellEnd"/>
            <w:r>
              <w:t xml:space="preserve"> </w:t>
            </w:r>
            <w:proofErr w:type="spellStart"/>
            <w:r>
              <w:t>Hayvari</w:t>
            </w:r>
            <w:proofErr w:type="spellEnd"/>
          </w:p>
          <w:p w14:paraId="5E63DC77" w14:textId="551296CB" w:rsidR="00ED6A34" w:rsidRDefault="00ED6A34" w:rsidP="00006DE3">
            <w:pPr>
              <w:pStyle w:val="TableText"/>
            </w:pPr>
            <w:proofErr w:type="spellStart"/>
            <w:r>
              <w:t>Gelzar</w:t>
            </w:r>
            <w:proofErr w:type="spellEnd"/>
            <w:r>
              <w:t xml:space="preserve"> Ali Aziz</w:t>
            </w:r>
          </w:p>
        </w:tc>
      </w:tr>
      <w:tr w:rsidR="00ED6A34" w14:paraId="0348879F" w14:textId="77777777" w:rsidTr="00A41E9C">
        <w:trPr>
          <w:trHeight w:val="60"/>
        </w:trPr>
        <w:tc>
          <w:tcPr>
            <w:tcW w:w="2835" w:type="dxa"/>
          </w:tcPr>
          <w:p w14:paraId="7D44F03C" w14:textId="45E85C99" w:rsidR="00ED6A34" w:rsidRDefault="00ED6A34" w:rsidP="00006DE3">
            <w:pPr>
              <w:pStyle w:val="TableText"/>
            </w:pPr>
            <w:r w:rsidRPr="00F3632D">
              <w:rPr>
                <w:rStyle w:val="Emphasis"/>
              </w:rPr>
              <w:t>Domestic Building Contracts Act 1995</w:t>
            </w:r>
            <w:r>
              <w:t xml:space="preserve"> and Australian Consumer Law (Vic)</w:t>
            </w:r>
          </w:p>
        </w:tc>
        <w:tc>
          <w:tcPr>
            <w:tcW w:w="6803" w:type="dxa"/>
          </w:tcPr>
          <w:p w14:paraId="58C11B7E" w14:textId="40D07329" w:rsidR="00ED6A34" w:rsidRDefault="00ED6A34" w:rsidP="00006DE3">
            <w:pPr>
              <w:pStyle w:val="TableText"/>
            </w:pPr>
            <w:r>
              <w:t xml:space="preserve">Cain Robert </w:t>
            </w:r>
            <w:proofErr w:type="spellStart"/>
            <w:r>
              <w:t>Padman</w:t>
            </w:r>
            <w:proofErr w:type="spellEnd"/>
          </w:p>
        </w:tc>
      </w:tr>
      <w:tr w:rsidR="00ED6A34" w14:paraId="2A5D278F" w14:textId="77777777" w:rsidTr="00A41E9C">
        <w:trPr>
          <w:trHeight w:val="60"/>
        </w:trPr>
        <w:tc>
          <w:tcPr>
            <w:tcW w:w="2835" w:type="dxa"/>
          </w:tcPr>
          <w:p w14:paraId="10877FE2" w14:textId="0F6C86E0" w:rsidR="00ED6A34" w:rsidRPr="00F3632D" w:rsidRDefault="00ED6A34" w:rsidP="00006DE3">
            <w:pPr>
              <w:pStyle w:val="TableText"/>
              <w:rPr>
                <w:rStyle w:val="Emphasis"/>
              </w:rPr>
            </w:pPr>
            <w:r w:rsidRPr="00F3632D">
              <w:rPr>
                <w:rStyle w:val="Emphasis"/>
              </w:rPr>
              <w:t>Conveyancers Act 2006</w:t>
            </w:r>
          </w:p>
        </w:tc>
        <w:tc>
          <w:tcPr>
            <w:tcW w:w="6803" w:type="dxa"/>
          </w:tcPr>
          <w:p w14:paraId="3941BF85" w14:textId="0E59E552" w:rsidR="00ED6A34" w:rsidRDefault="00ED6A34" w:rsidP="00006DE3">
            <w:pPr>
              <w:pStyle w:val="TableText"/>
            </w:pPr>
            <w:proofErr w:type="spellStart"/>
            <w:r>
              <w:t>Meganita</w:t>
            </w:r>
            <w:proofErr w:type="spellEnd"/>
            <w:r>
              <w:t xml:space="preserve"> </w:t>
            </w:r>
            <w:proofErr w:type="spellStart"/>
            <w:r>
              <w:t>Marannu</w:t>
            </w:r>
            <w:proofErr w:type="spellEnd"/>
          </w:p>
        </w:tc>
      </w:tr>
    </w:tbl>
    <w:p w14:paraId="2F7C1C88" w14:textId="07D63B22" w:rsidR="00ED6A34" w:rsidRDefault="00ED6A34" w:rsidP="00BB1C65">
      <w:pPr>
        <w:pStyle w:val="Heading5"/>
      </w:pPr>
      <w:r>
        <w:t>Civil proceedings finalised (including disciplinary inquiry and appeals)</w:t>
      </w:r>
    </w:p>
    <w:tbl>
      <w:tblPr>
        <w:tblStyle w:val="TableGrid"/>
        <w:tblW w:w="9072" w:type="dxa"/>
        <w:tblLayout w:type="fixed"/>
        <w:tblLook w:val="06A0" w:firstRow="1" w:lastRow="0" w:firstColumn="1" w:lastColumn="0" w:noHBand="1" w:noVBand="1"/>
      </w:tblPr>
      <w:tblGrid>
        <w:gridCol w:w="2675"/>
        <w:gridCol w:w="6397"/>
      </w:tblGrid>
      <w:tr w:rsidR="00ED6A34" w14:paraId="6B51BD86"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475F49A6" w14:textId="77777777" w:rsidR="00ED6A34" w:rsidRDefault="00ED6A34" w:rsidP="00006DE3">
            <w:pPr>
              <w:pStyle w:val="TableColHead"/>
            </w:pPr>
            <w:r>
              <w:t>Legislation</w:t>
            </w:r>
          </w:p>
        </w:tc>
        <w:tc>
          <w:tcPr>
            <w:tcW w:w="6803" w:type="dxa"/>
          </w:tcPr>
          <w:p w14:paraId="2D9940A5" w14:textId="77777777" w:rsidR="00ED6A34" w:rsidRDefault="00ED6A34" w:rsidP="00006DE3">
            <w:pPr>
              <w:pStyle w:val="TableColHead"/>
            </w:pPr>
            <w:r>
              <w:t>Parties</w:t>
            </w:r>
          </w:p>
        </w:tc>
      </w:tr>
      <w:tr w:rsidR="00ED6A34" w14:paraId="455C0025" w14:textId="77777777" w:rsidTr="00A41E9C">
        <w:trPr>
          <w:trHeight w:val="60"/>
        </w:trPr>
        <w:tc>
          <w:tcPr>
            <w:tcW w:w="2835" w:type="dxa"/>
          </w:tcPr>
          <w:p w14:paraId="39E0B7BD" w14:textId="739638FD" w:rsidR="00ED6A34" w:rsidRDefault="00ED6A34" w:rsidP="00006DE3">
            <w:pPr>
              <w:pStyle w:val="TableText"/>
            </w:pPr>
            <w:r>
              <w:t>Australian Consumer Law (Vic)</w:t>
            </w:r>
          </w:p>
        </w:tc>
        <w:tc>
          <w:tcPr>
            <w:tcW w:w="6803" w:type="dxa"/>
          </w:tcPr>
          <w:p w14:paraId="7CF5A373" w14:textId="7575CB43" w:rsidR="00ED6A34" w:rsidRDefault="00ED6A34" w:rsidP="00006DE3">
            <w:pPr>
              <w:pStyle w:val="TableText"/>
            </w:pPr>
            <w:r>
              <w:t xml:space="preserve">Domain Register Pty Ltd (in </w:t>
            </w:r>
            <w:proofErr w:type="spellStart"/>
            <w:r>
              <w:t>liq</w:t>
            </w:r>
            <w:proofErr w:type="spellEnd"/>
            <w:r>
              <w:t>)</w:t>
            </w:r>
          </w:p>
          <w:p w14:paraId="768C7227" w14:textId="114CE307" w:rsidR="00ED6A34" w:rsidRDefault="00ED6A34" w:rsidP="00006DE3">
            <w:pPr>
              <w:pStyle w:val="TableText"/>
            </w:pPr>
            <w:r>
              <w:t>Wens Bros Trading Pty Ltd and Wen Hui Xu</w:t>
            </w:r>
          </w:p>
          <w:p w14:paraId="05043A48" w14:textId="2D9646E6" w:rsidR="00ED6A34" w:rsidRDefault="00ED6A34" w:rsidP="00006DE3">
            <w:pPr>
              <w:pStyle w:val="TableText"/>
            </w:pPr>
            <w:proofErr w:type="spellStart"/>
            <w:r>
              <w:t>Origo</w:t>
            </w:r>
            <w:proofErr w:type="spellEnd"/>
            <w:r>
              <w:t xml:space="preserve"> &amp; Co Pty Ltd</w:t>
            </w:r>
          </w:p>
          <w:p w14:paraId="0E3C963B" w14:textId="1F272D86" w:rsidR="00ED6A34" w:rsidRDefault="00ED6A34" w:rsidP="00006DE3">
            <w:pPr>
              <w:pStyle w:val="TableText"/>
            </w:pPr>
            <w:r>
              <w:t>Melbourne South Eastern Real Estate Pty Ltd</w:t>
            </w:r>
          </w:p>
        </w:tc>
      </w:tr>
      <w:tr w:rsidR="00ED6A34" w14:paraId="4ABCBCA8" w14:textId="77777777" w:rsidTr="00A41E9C">
        <w:trPr>
          <w:trHeight w:val="60"/>
        </w:trPr>
        <w:tc>
          <w:tcPr>
            <w:tcW w:w="2835" w:type="dxa"/>
          </w:tcPr>
          <w:p w14:paraId="757E5372" w14:textId="7FA1E3EC" w:rsidR="00ED6A34" w:rsidRPr="00F3632D" w:rsidRDefault="00ED6A34" w:rsidP="00006DE3">
            <w:pPr>
              <w:pStyle w:val="TableText"/>
              <w:rPr>
                <w:rStyle w:val="Emphasis"/>
              </w:rPr>
            </w:pPr>
            <w:r w:rsidRPr="00F3632D">
              <w:rPr>
                <w:rStyle w:val="Emphasis"/>
              </w:rPr>
              <w:t>Estate Agents Act 1980</w:t>
            </w:r>
          </w:p>
        </w:tc>
        <w:tc>
          <w:tcPr>
            <w:tcW w:w="6803" w:type="dxa"/>
          </w:tcPr>
          <w:p w14:paraId="0A542B9C" w14:textId="34A9EEF5" w:rsidR="00ED6A34" w:rsidRDefault="00ED6A34" w:rsidP="00006DE3">
            <w:pPr>
              <w:pStyle w:val="TableText"/>
            </w:pPr>
            <w:proofErr w:type="spellStart"/>
            <w:r>
              <w:t>Tsun</w:t>
            </w:r>
            <w:proofErr w:type="spellEnd"/>
            <w:r>
              <w:t xml:space="preserve"> Ngai Lee (trading as Ably Realtor Worldwide Agency)</w:t>
            </w:r>
          </w:p>
          <w:p w14:paraId="5A19C86D" w14:textId="515AE15D" w:rsidR="00ED6A34" w:rsidRDefault="00ED6A34" w:rsidP="00006DE3">
            <w:pPr>
              <w:pStyle w:val="TableText"/>
            </w:pPr>
            <w:r>
              <w:t>Robert Pedersen and Robert Pedersen Real Estate Pty Ltd</w:t>
            </w:r>
          </w:p>
          <w:p w14:paraId="2A2AE5C0" w14:textId="197FB551" w:rsidR="00ED6A34" w:rsidRDefault="00ED6A34" w:rsidP="00006DE3">
            <w:pPr>
              <w:pStyle w:val="TableText"/>
            </w:pPr>
            <w:r>
              <w:t xml:space="preserve">Crawford David Giles v Pen Plan Pty Ltd &amp; </w:t>
            </w:r>
            <w:proofErr w:type="spellStart"/>
            <w:r>
              <w:t>Ors</w:t>
            </w:r>
            <w:proofErr w:type="spellEnd"/>
          </w:p>
        </w:tc>
      </w:tr>
      <w:tr w:rsidR="00ED6A34" w14:paraId="61FCF09D" w14:textId="77777777" w:rsidTr="00A41E9C">
        <w:trPr>
          <w:trHeight w:val="60"/>
        </w:trPr>
        <w:tc>
          <w:tcPr>
            <w:tcW w:w="2835" w:type="dxa"/>
          </w:tcPr>
          <w:p w14:paraId="459E64EE" w14:textId="06887F63" w:rsidR="00ED6A34" w:rsidRDefault="00ED6A34" w:rsidP="00006DE3">
            <w:pPr>
              <w:pStyle w:val="TableText"/>
            </w:pPr>
            <w:r w:rsidRPr="00F3632D">
              <w:rPr>
                <w:rStyle w:val="Emphasis"/>
              </w:rPr>
              <w:t>Domestic Building Contracts Act 1995</w:t>
            </w:r>
            <w:r>
              <w:t xml:space="preserve"> and Australian Consumer Law (Vic) </w:t>
            </w:r>
          </w:p>
        </w:tc>
        <w:tc>
          <w:tcPr>
            <w:tcW w:w="6803" w:type="dxa"/>
          </w:tcPr>
          <w:p w14:paraId="6892C784" w14:textId="3434E7C6" w:rsidR="00ED6A34" w:rsidRDefault="00ED6A34" w:rsidP="00006DE3">
            <w:pPr>
              <w:pStyle w:val="TableText"/>
            </w:pPr>
            <w:proofErr w:type="spellStart"/>
            <w:r>
              <w:t>Micheal</w:t>
            </w:r>
            <w:proofErr w:type="spellEnd"/>
            <w:r>
              <w:t xml:space="preserve"> Arrow</w:t>
            </w:r>
          </w:p>
        </w:tc>
      </w:tr>
      <w:tr w:rsidR="00ED6A34" w14:paraId="3C02353F" w14:textId="77777777" w:rsidTr="00A41E9C">
        <w:trPr>
          <w:trHeight w:val="60"/>
        </w:trPr>
        <w:tc>
          <w:tcPr>
            <w:tcW w:w="2835" w:type="dxa"/>
          </w:tcPr>
          <w:p w14:paraId="3FA792D3" w14:textId="52338AAE" w:rsidR="00ED6A34" w:rsidRPr="00F3632D" w:rsidRDefault="00ED6A34" w:rsidP="00006DE3">
            <w:pPr>
              <w:pStyle w:val="TableText"/>
              <w:rPr>
                <w:rStyle w:val="Emphasis"/>
              </w:rPr>
            </w:pPr>
            <w:r w:rsidRPr="00F3632D">
              <w:rPr>
                <w:rStyle w:val="Emphasis"/>
              </w:rPr>
              <w:t>Motor Car Traders Act 1986</w:t>
            </w:r>
          </w:p>
        </w:tc>
        <w:tc>
          <w:tcPr>
            <w:tcW w:w="6803" w:type="dxa"/>
          </w:tcPr>
          <w:p w14:paraId="1AB86FB0" w14:textId="77A80D8F" w:rsidR="00ED6A34" w:rsidRDefault="00ED6A34" w:rsidP="00006DE3">
            <w:pPr>
              <w:pStyle w:val="TableText"/>
            </w:pPr>
            <w:r>
              <w:t>Five Star Motors Pty Ltd and Bo Li</w:t>
            </w:r>
          </w:p>
          <w:p w14:paraId="30A16DE8" w14:textId="2D43E926" w:rsidR="00ED6A34" w:rsidRDefault="00ED6A34" w:rsidP="00006DE3">
            <w:pPr>
              <w:pStyle w:val="TableText"/>
            </w:pPr>
            <w:proofErr w:type="spellStart"/>
            <w:r>
              <w:t>Wapshott</w:t>
            </w:r>
            <w:proofErr w:type="spellEnd"/>
            <w:r>
              <w:t xml:space="preserve"> Motors Pty Ltd and James </w:t>
            </w:r>
            <w:proofErr w:type="spellStart"/>
            <w:r>
              <w:t>Wapshott</w:t>
            </w:r>
            <w:proofErr w:type="spellEnd"/>
          </w:p>
        </w:tc>
      </w:tr>
      <w:tr w:rsidR="00ED6A34" w14:paraId="4D61B223" w14:textId="77777777" w:rsidTr="00A41E9C">
        <w:trPr>
          <w:trHeight w:val="60"/>
        </w:trPr>
        <w:tc>
          <w:tcPr>
            <w:tcW w:w="2835" w:type="dxa"/>
          </w:tcPr>
          <w:p w14:paraId="3BC1952B" w14:textId="0CC483EC" w:rsidR="00ED6A34" w:rsidRPr="00F3632D" w:rsidRDefault="00ED6A34" w:rsidP="00006DE3">
            <w:pPr>
              <w:pStyle w:val="TableText"/>
              <w:rPr>
                <w:rStyle w:val="Emphasis"/>
              </w:rPr>
            </w:pPr>
            <w:r w:rsidRPr="00F3632D">
              <w:rPr>
                <w:rStyle w:val="Emphasis"/>
              </w:rPr>
              <w:t>Sex Work Act 1994</w:t>
            </w:r>
          </w:p>
        </w:tc>
        <w:tc>
          <w:tcPr>
            <w:tcW w:w="6803" w:type="dxa"/>
          </w:tcPr>
          <w:p w14:paraId="0C845FF3" w14:textId="03AD3D86" w:rsidR="00ED6A34" w:rsidRDefault="00ED6A34" w:rsidP="00006DE3">
            <w:pPr>
              <w:pStyle w:val="TableText"/>
            </w:pPr>
            <w:r>
              <w:t>Xian Yan Meng</w:t>
            </w:r>
          </w:p>
        </w:tc>
      </w:tr>
    </w:tbl>
    <w:p w14:paraId="2419266D" w14:textId="77777777" w:rsidR="00483EF3" w:rsidRPr="00483EF3" w:rsidRDefault="00483EF3" w:rsidP="00483EF3">
      <w:pPr>
        <w:pStyle w:val="BodyText"/>
      </w:pPr>
      <w:r w:rsidRPr="00483EF3">
        <w:br w:type="page"/>
      </w:r>
    </w:p>
    <w:p w14:paraId="4FF9380B" w14:textId="6FDD9E91" w:rsidR="00ED6A34" w:rsidRDefault="00ED6A34" w:rsidP="00BB1C65">
      <w:pPr>
        <w:pStyle w:val="Heading5"/>
      </w:pPr>
      <w:r>
        <w:lastRenderedPageBreak/>
        <w:t>Administrative/ judicial review</w:t>
      </w:r>
    </w:p>
    <w:tbl>
      <w:tblPr>
        <w:tblStyle w:val="TableGrid"/>
        <w:tblW w:w="9072" w:type="dxa"/>
        <w:tblLayout w:type="fixed"/>
        <w:tblLook w:val="06A0" w:firstRow="1" w:lastRow="0" w:firstColumn="1" w:lastColumn="0" w:noHBand="1" w:noVBand="1"/>
      </w:tblPr>
      <w:tblGrid>
        <w:gridCol w:w="2675"/>
        <w:gridCol w:w="6397"/>
      </w:tblGrid>
      <w:tr w:rsidR="00ED6A34" w14:paraId="13A625FA"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26E7D66A" w14:textId="77777777" w:rsidR="00ED6A34" w:rsidRDefault="00ED6A34" w:rsidP="00006DE3">
            <w:pPr>
              <w:pStyle w:val="TableColHead"/>
            </w:pPr>
            <w:r>
              <w:t>Legislation</w:t>
            </w:r>
          </w:p>
        </w:tc>
        <w:tc>
          <w:tcPr>
            <w:tcW w:w="6803" w:type="dxa"/>
          </w:tcPr>
          <w:p w14:paraId="271960E0" w14:textId="77777777" w:rsidR="00ED6A34" w:rsidRDefault="00ED6A34" w:rsidP="00006DE3">
            <w:pPr>
              <w:pStyle w:val="TableColHead"/>
            </w:pPr>
            <w:r>
              <w:t>Parties</w:t>
            </w:r>
          </w:p>
        </w:tc>
      </w:tr>
      <w:tr w:rsidR="00ED6A34" w14:paraId="2342A266" w14:textId="77777777" w:rsidTr="00C02F22">
        <w:trPr>
          <w:trHeight w:val="60"/>
        </w:trPr>
        <w:tc>
          <w:tcPr>
            <w:tcW w:w="9638" w:type="dxa"/>
            <w:gridSpan w:val="2"/>
            <w:shd w:val="clear" w:color="auto" w:fill="B2D5F0"/>
          </w:tcPr>
          <w:p w14:paraId="680BAEED" w14:textId="440889AF" w:rsidR="00ED6A34" w:rsidRDefault="00ED6A34" w:rsidP="00006DE3">
            <w:pPr>
              <w:pStyle w:val="TableTextBold"/>
            </w:pPr>
            <w:r>
              <w:t>On behalf of the Business Licensing Authority</w:t>
            </w:r>
          </w:p>
        </w:tc>
      </w:tr>
      <w:tr w:rsidR="00ED6A34" w14:paraId="3566166C" w14:textId="77777777" w:rsidTr="00A41E9C">
        <w:trPr>
          <w:trHeight w:val="60"/>
        </w:trPr>
        <w:tc>
          <w:tcPr>
            <w:tcW w:w="2835" w:type="dxa"/>
          </w:tcPr>
          <w:p w14:paraId="4E5CF6E6" w14:textId="46246AE6" w:rsidR="00ED6A34" w:rsidRPr="00F3632D" w:rsidRDefault="00ED6A34" w:rsidP="00006DE3">
            <w:pPr>
              <w:pStyle w:val="TableText"/>
              <w:rPr>
                <w:rStyle w:val="Emphasis"/>
              </w:rPr>
            </w:pPr>
            <w:r w:rsidRPr="00F3632D">
              <w:rPr>
                <w:rStyle w:val="Emphasis"/>
              </w:rPr>
              <w:t>Motor Car Traders Act 1986</w:t>
            </w:r>
          </w:p>
        </w:tc>
        <w:tc>
          <w:tcPr>
            <w:tcW w:w="6803" w:type="dxa"/>
          </w:tcPr>
          <w:p w14:paraId="5F78B935" w14:textId="0BB017EE" w:rsidR="00ED6A34" w:rsidRDefault="00ED6A34" w:rsidP="00006DE3">
            <w:pPr>
              <w:pStyle w:val="TableText"/>
            </w:pPr>
            <w:r>
              <w:t>James Galea</w:t>
            </w:r>
          </w:p>
        </w:tc>
      </w:tr>
      <w:tr w:rsidR="00ED6A34" w14:paraId="1BDB587F" w14:textId="77777777" w:rsidTr="00A41E9C">
        <w:trPr>
          <w:trHeight w:val="60"/>
        </w:trPr>
        <w:tc>
          <w:tcPr>
            <w:tcW w:w="2835" w:type="dxa"/>
          </w:tcPr>
          <w:p w14:paraId="287703DA" w14:textId="57DEB1EE" w:rsidR="00ED6A34" w:rsidRPr="00F3632D" w:rsidRDefault="00ED6A34" w:rsidP="00006DE3">
            <w:pPr>
              <w:pStyle w:val="TableText"/>
              <w:rPr>
                <w:rStyle w:val="Emphasis"/>
              </w:rPr>
            </w:pPr>
            <w:r w:rsidRPr="00F3632D">
              <w:rPr>
                <w:rStyle w:val="Emphasis"/>
              </w:rPr>
              <w:t>Estate Agents Act 1980</w:t>
            </w:r>
          </w:p>
        </w:tc>
        <w:tc>
          <w:tcPr>
            <w:tcW w:w="6803" w:type="dxa"/>
          </w:tcPr>
          <w:p w14:paraId="78DB9B22" w14:textId="271DCE65" w:rsidR="00ED6A34" w:rsidRDefault="00ED6A34" w:rsidP="00006DE3">
            <w:pPr>
              <w:pStyle w:val="TableText"/>
            </w:pPr>
            <w:r>
              <w:t xml:space="preserve">Khaled </w:t>
            </w:r>
            <w:proofErr w:type="spellStart"/>
            <w:r>
              <w:t>Khaled</w:t>
            </w:r>
            <w:proofErr w:type="spellEnd"/>
          </w:p>
        </w:tc>
      </w:tr>
    </w:tbl>
    <w:p w14:paraId="243B4D16" w14:textId="7C966C4C" w:rsidR="00ED6A34" w:rsidRDefault="00ED6A34" w:rsidP="00BB1C65">
      <w:pPr>
        <w:pStyle w:val="Heading4"/>
      </w:pPr>
      <w:r>
        <w:t>Ongoing court matters as at 30 June 2019</w:t>
      </w:r>
    </w:p>
    <w:p w14:paraId="12090C67" w14:textId="01ED6A37" w:rsidR="00ED6A34" w:rsidRDefault="00ED6A34" w:rsidP="00BB1C65">
      <w:pPr>
        <w:pStyle w:val="Heading5"/>
      </w:pPr>
      <w:r>
        <w:t>Criminal prosecution</w:t>
      </w:r>
    </w:p>
    <w:tbl>
      <w:tblPr>
        <w:tblStyle w:val="TableGrid"/>
        <w:tblW w:w="9072" w:type="dxa"/>
        <w:tblLayout w:type="fixed"/>
        <w:tblLook w:val="06A0" w:firstRow="1" w:lastRow="0" w:firstColumn="1" w:lastColumn="0" w:noHBand="1" w:noVBand="1"/>
      </w:tblPr>
      <w:tblGrid>
        <w:gridCol w:w="2675"/>
        <w:gridCol w:w="6397"/>
      </w:tblGrid>
      <w:tr w:rsidR="00ED6A34" w14:paraId="0AAB2BE3"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002D82DE" w14:textId="77777777" w:rsidR="00ED6A34" w:rsidRDefault="00ED6A34" w:rsidP="00006DE3">
            <w:pPr>
              <w:pStyle w:val="TableColHead"/>
            </w:pPr>
            <w:r>
              <w:t>Legislation</w:t>
            </w:r>
          </w:p>
        </w:tc>
        <w:tc>
          <w:tcPr>
            <w:tcW w:w="6803" w:type="dxa"/>
          </w:tcPr>
          <w:p w14:paraId="6D024202" w14:textId="77777777" w:rsidR="00ED6A34" w:rsidRDefault="00ED6A34" w:rsidP="00006DE3">
            <w:pPr>
              <w:pStyle w:val="TableColHead"/>
            </w:pPr>
            <w:r>
              <w:t>Parties</w:t>
            </w:r>
          </w:p>
        </w:tc>
      </w:tr>
      <w:tr w:rsidR="00ED6A34" w14:paraId="1E438BC5" w14:textId="77777777" w:rsidTr="00A41E9C">
        <w:trPr>
          <w:trHeight w:val="60"/>
        </w:trPr>
        <w:tc>
          <w:tcPr>
            <w:tcW w:w="2835" w:type="dxa"/>
          </w:tcPr>
          <w:p w14:paraId="63BF4734" w14:textId="07BC04F2" w:rsidR="00ED6A34" w:rsidRPr="00F3632D" w:rsidRDefault="00ED6A34" w:rsidP="00006DE3">
            <w:pPr>
              <w:pStyle w:val="TableText"/>
              <w:rPr>
                <w:rStyle w:val="Emphasis"/>
              </w:rPr>
            </w:pPr>
            <w:r w:rsidRPr="00F3632D">
              <w:rPr>
                <w:rStyle w:val="Emphasis"/>
              </w:rPr>
              <w:t>Estate Agents Act 1980</w:t>
            </w:r>
          </w:p>
        </w:tc>
        <w:tc>
          <w:tcPr>
            <w:tcW w:w="6803" w:type="dxa"/>
          </w:tcPr>
          <w:p w14:paraId="3C1B8862" w14:textId="0EFAEA77" w:rsidR="00ED6A34" w:rsidRDefault="00ED6A34" w:rsidP="00006DE3">
            <w:pPr>
              <w:pStyle w:val="TableText"/>
            </w:pPr>
            <w:r>
              <w:t xml:space="preserve">Ranelagh Realty Pty Ltd </w:t>
            </w:r>
          </w:p>
          <w:p w14:paraId="074BE010" w14:textId="14447E2A" w:rsidR="00ED6A34" w:rsidRDefault="00ED6A34" w:rsidP="00006DE3">
            <w:pPr>
              <w:pStyle w:val="TableText"/>
            </w:pPr>
            <w:r>
              <w:t>Helen Sly</w:t>
            </w:r>
          </w:p>
          <w:p w14:paraId="04DF6BBB" w14:textId="65CA8BDF" w:rsidR="00ED6A34" w:rsidRDefault="00ED6A34" w:rsidP="00006DE3">
            <w:pPr>
              <w:pStyle w:val="TableText"/>
            </w:pPr>
            <w:proofErr w:type="spellStart"/>
            <w:r>
              <w:t>Realestate</w:t>
            </w:r>
            <w:proofErr w:type="spellEnd"/>
            <w:r>
              <w:t xml:space="preserve"> Property Pty Ltd </w:t>
            </w:r>
          </w:p>
          <w:p w14:paraId="0A3494F7" w14:textId="3A2D2A45" w:rsidR="00ED6A34" w:rsidRDefault="00ED6A34" w:rsidP="00006DE3">
            <w:pPr>
              <w:pStyle w:val="TableText"/>
            </w:pPr>
            <w:r>
              <w:t xml:space="preserve">David Steel </w:t>
            </w:r>
          </w:p>
        </w:tc>
      </w:tr>
      <w:tr w:rsidR="00ED6A34" w14:paraId="07504873" w14:textId="77777777" w:rsidTr="00A41E9C">
        <w:trPr>
          <w:trHeight w:val="60"/>
        </w:trPr>
        <w:tc>
          <w:tcPr>
            <w:tcW w:w="2835" w:type="dxa"/>
          </w:tcPr>
          <w:p w14:paraId="2055B559" w14:textId="5891AED1" w:rsidR="00ED6A34" w:rsidRPr="00F3632D" w:rsidRDefault="00ED6A34" w:rsidP="00006DE3">
            <w:pPr>
              <w:pStyle w:val="TableText"/>
              <w:rPr>
                <w:rStyle w:val="Emphasis"/>
              </w:rPr>
            </w:pPr>
            <w:r w:rsidRPr="00F3632D">
              <w:rPr>
                <w:rStyle w:val="Emphasis"/>
              </w:rPr>
              <w:t>Motor Car Traders Act 1986</w:t>
            </w:r>
          </w:p>
        </w:tc>
        <w:tc>
          <w:tcPr>
            <w:tcW w:w="6803" w:type="dxa"/>
          </w:tcPr>
          <w:p w14:paraId="131AD454" w14:textId="72109224" w:rsidR="00ED6A34" w:rsidRDefault="00ED6A34" w:rsidP="00006DE3">
            <w:pPr>
              <w:pStyle w:val="TableText"/>
            </w:pPr>
            <w:proofErr w:type="spellStart"/>
            <w:r>
              <w:t>Taleb</w:t>
            </w:r>
            <w:proofErr w:type="spellEnd"/>
            <w:r>
              <w:t xml:space="preserve"> </w:t>
            </w:r>
            <w:proofErr w:type="spellStart"/>
            <w:r>
              <w:t>Youseff</w:t>
            </w:r>
            <w:proofErr w:type="spellEnd"/>
          </w:p>
        </w:tc>
      </w:tr>
      <w:tr w:rsidR="00ED6A34" w14:paraId="73F8028E" w14:textId="77777777" w:rsidTr="00A41E9C">
        <w:trPr>
          <w:trHeight w:val="60"/>
        </w:trPr>
        <w:tc>
          <w:tcPr>
            <w:tcW w:w="2835" w:type="dxa"/>
          </w:tcPr>
          <w:p w14:paraId="2DF82484" w14:textId="538FAD4B" w:rsidR="00ED6A34" w:rsidRPr="00F3632D" w:rsidRDefault="00ED6A34" w:rsidP="00006DE3">
            <w:pPr>
              <w:pStyle w:val="TableText"/>
              <w:rPr>
                <w:rStyle w:val="Emphasis"/>
              </w:rPr>
            </w:pPr>
            <w:r w:rsidRPr="00F3632D">
              <w:rPr>
                <w:rStyle w:val="Emphasis"/>
              </w:rPr>
              <w:t>Retirement Villages Act 1986</w:t>
            </w:r>
          </w:p>
        </w:tc>
        <w:tc>
          <w:tcPr>
            <w:tcW w:w="6803" w:type="dxa"/>
          </w:tcPr>
          <w:p w14:paraId="239DB366" w14:textId="47CDDB88" w:rsidR="00ED6A34" w:rsidRDefault="00ED6A34" w:rsidP="00006DE3">
            <w:pPr>
              <w:pStyle w:val="TableText"/>
            </w:pPr>
            <w:r>
              <w:t>Stephen Snowden</w:t>
            </w:r>
          </w:p>
        </w:tc>
      </w:tr>
      <w:tr w:rsidR="00ED6A34" w14:paraId="7B025A7D" w14:textId="77777777" w:rsidTr="00A41E9C">
        <w:trPr>
          <w:trHeight w:val="60"/>
        </w:trPr>
        <w:tc>
          <w:tcPr>
            <w:tcW w:w="2835" w:type="dxa"/>
          </w:tcPr>
          <w:p w14:paraId="0C86EBC3" w14:textId="4B63F3D8" w:rsidR="00ED6A34" w:rsidRPr="00F3632D" w:rsidRDefault="00ED6A34" w:rsidP="00006DE3">
            <w:pPr>
              <w:pStyle w:val="TableText"/>
              <w:rPr>
                <w:rStyle w:val="Emphasis"/>
              </w:rPr>
            </w:pPr>
            <w:r w:rsidRPr="00F3632D">
              <w:rPr>
                <w:rStyle w:val="Emphasis"/>
              </w:rPr>
              <w:t>Conveyancers Act 2006</w:t>
            </w:r>
          </w:p>
        </w:tc>
        <w:tc>
          <w:tcPr>
            <w:tcW w:w="6803" w:type="dxa"/>
          </w:tcPr>
          <w:p w14:paraId="2F0F5A27" w14:textId="25E1CAFC" w:rsidR="00ED6A34" w:rsidRDefault="00ED6A34" w:rsidP="00006DE3">
            <w:pPr>
              <w:pStyle w:val="TableText"/>
            </w:pPr>
            <w:r>
              <w:t>Hans Eric Richmond</w:t>
            </w:r>
          </w:p>
        </w:tc>
      </w:tr>
    </w:tbl>
    <w:p w14:paraId="211A0468" w14:textId="5D1B1173" w:rsidR="00ED6A34" w:rsidRDefault="00ED6A34" w:rsidP="00BB1C65">
      <w:pPr>
        <w:pStyle w:val="Heading4"/>
      </w:pPr>
      <w:r>
        <w:t>Civil proceedings (including disciplinary inquiry)</w:t>
      </w:r>
    </w:p>
    <w:tbl>
      <w:tblPr>
        <w:tblStyle w:val="TableGrid"/>
        <w:tblW w:w="9072" w:type="dxa"/>
        <w:tblLayout w:type="fixed"/>
        <w:tblLook w:val="06A0" w:firstRow="1" w:lastRow="0" w:firstColumn="1" w:lastColumn="0" w:noHBand="1" w:noVBand="1"/>
      </w:tblPr>
      <w:tblGrid>
        <w:gridCol w:w="2675"/>
        <w:gridCol w:w="6397"/>
      </w:tblGrid>
      <w:tr w:rsidR="00ED6A34" w14:paraId="13F12205"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7E27D5C1" w14:textId="77777777" w:rsidR="00ED6A34" w:rsidRDefault="00ED6A34" w:rsidP="00006DE3">
            <w:pPr>
              <w:pStyle w:val="TableColHead"/>
            </w:pPr>
            <w:r>
              <w:t>Legislation</w:t>
            </w:r>
          </w:p>
        </w:tc>
        <w:tc>
          <w:tcPr>
            <w:tcW w:w="6803" w:type="dxa"/>
          </w:tcPr>
          <w:p w14:paraId="5940545C" w14:textId="77777777" w:rsidR="00ED6A34" w:rsidRDefault="00ED6A34" w:rsidP="00006DE3">
            <w:pPr>
              <w:pStyle w:val="TableColHead"/>
            </w:pPr>
            <w:r>
              <w:t>Parties</w:t>
            </w:r>
          </w:p>
        </w:tc>
      </w:tr>
      <w:tr w:rsidR="00ED6A34" w14:paraId="7587AA3B" w14:textId="77777777" w:rsidTr="00A41E9C">
        <w:trPr>
          <w:trHeight w:val="60"/>
        </w:trPr>
        <w:tc>
          <w:tcPr>
            <w:tcW w:w="2835" w:type="dxa"/>
          </w:tcPr>
          <w:p w14:paraId="24B2D011" w14:textId="5EF3C9CC" w:rsidR="00ED6A34" w:rsidRPr="00F3632D" w:rsidRDefault="00ED6A34" w:rsidP="00006DE3">
            <w:pPr>
              <w:pStyle w:val="TableText"/>
              <w:rPr>
                <w:rStyle w:val="Emphasis"/>
              </w:rPr>
            </w:pPr>
            <w:r w:rsidRPr="00F3632D">
              <w:rPr>
                <w:rStyle w:val="Emphasis"/>
              </w:rPr>
              <w:t>Estate Agents Act 1980</w:t>
            </w:r>
          </w:p>
        </w:tc>
        <w:tc>
          <w:tcPr>
            <w:tcW w:w="6803" w:type="dxa"/>
          </w:tcPr>
          <w:p w14:paraId="7AE4E321" w14:textId="0083E0D5" w:rsidR="00ED6A34" w:rsidRDefault="00ED6A34" w:rsidP="00006DE3">
            <w:pPr>
              <w:pStyle w:val="TableText"/>
            </w:pPr>
            <w:r>
              <w:t>Darren James Dean</w:t>
            </w:r>
          </w:p>
          <w:p w14:paraId="39EA69B7" w14:textId="08449479" w:rsidR="00ED6A34" w:rsidRDefault="00ED6A34" w:rsidP="00006DE3">
            <w:pPr>
              <w:pStyle w:val="TableText"/>
            </w:pPr>
            <w:r>
              <w:t>Dean Anthony Johnson</w:t>
            </w:r>
          </w:p>
          <w:p w14:paraId="70E66DB7" w14:textId="3294B30A" w:rsidR="00ED6A34" w:rsidRDefault="00ED6A34" w:rsidP="00006DE3">
            <w:pPr>
              <w:pStyle w:val="TableText"/>
            </w:pPr>
            <w:r>
              <w:t>Property Express Pty Ltd</w:t>
            </w:r>
          </w:p>
          <w:p w14:paraId="530BF652" w14:textId="045188B4" w:rsidR="00ED6A34" w:rsidRDefault="00ED6A34" w:rsidP="00006DE3">
            <w:pPr>
              <w:pStyle w:val="TableText"/>
            </w:pPr>
            <w:r>
              <w:t>Hoskins Maroondah Pty Ltd and Brent Robert Peters</w:t>
            </w:r>
          </w:p>
          <w:p w14:paraId="0CF596E9" w14:textId="68C7E31D" w:rsidR="00ED6A34" w:rsidRDefault="00ED6A34" w:rsidP="00006DE3">
            <w:pPr>
              <w:pStyle w:val="TableText"/>
            </w:pPr>
            <w:r>
              <w:t xml:space="preserve">Surinder </w:t>
            </w:r>
            <w:proofErr w:type="spellStart"/>
            <w:r>
              <w:t>Sarain</w:t>
            </w:r>
            <w:proofErr w:type="spellEnd"/>
          </w:p>
          <w:p w14:paraId="44AB2A6E" w14:textId="296676D9" w:rsidR="00ED6A34" w:rsidRDefault="00ED6A34" w:rsidP="00006DE3">
            <w:pPr>
              <w:pStyle w:val="TableText"/>
            </w:pPr>
            <w:r>
              <w:t xml:space="preserve">The </w:t>
            </w:r>
            <w:proofErr w:type="spellStart"/>
            <w:r>
              <w:t>Sarain</w:t>
            </w:r>
            <w:proofErr w:type="spellEnd"/>
            <w:r>
              <w:t xml:space="preserve"> Pty Ltd</w:t>
            </w:r>
          </w:p>
        </w:tc>
      </w:tr>
      <w:tr w:rsidR="00ED6A34" w14:paraId="75B76C8E" w14:textId="77777777" w:rsidTr="00A41E9C">
        <w:trPr>
          <w:trHeight w:val="60"/>
        </w:trPr>
        <w:tc>
          <w:tcPr>
            <w:tcW w:w="2835" w:type="dxa"/>
          </w:tcPr>
          <w:p w14:paraId="709A8554" w14:textId="310293E4" w:rsidR="00ED6A34" w:rsidRDefault="00ED6A34" w:rsidP="00006DE3">
            <w:pPr>
              <w:pStyle w:val="TableText"/>
            </w:pPr>
            <w:r>
              <w:t>Australian Consumer Law (Vic)</w:t>
            </w:r>
          </w:p>
        </w:tc>
        <w:tc>
          <w:tcPr>
            <w:tcW w:w="6803" w:type="dxa"/>
          </w:tcPr>
          <w:p w14:paraId="72F9D6EE" w14:textId="6634E706" w:rsidR="00ED6A34" w:rsidRDefault="00ED6A34" w:rsidP="00006DE3">
            <w:pPr>
              <w:pStyle w:val="TableText"/>
            </w:pPr>
            <w:r>
              <w:t>Vic Solar Technologies Pty Ltd and Sunny Srinivasan</w:t>
            </w:r>
          </w:p>
        </w:tc>
      </w:tr>
      <w:tr w:rsidR="00ED6A34" w14:paraId="2AABA0EB" w14:textId="77777777" w:rsidTr="00A41E9C">
        <w:trPr>
          <w:trHeight w:val="60"/>
        </w:trPr>
        <w:tc>
          <w:tcPr>
            <w:tcW w:w="2835" w:type="dxa"/>
          </w:tcPr>
          <w:p w14:paraId="18CC8CC8" w14:textId="46BAFA54" w:rsidR="00ED6A34" w:rsidRPr="00F3632D" w:rsidRDefault="00ED6A34" w:rsidP="00006DE3">
            <w:pPr>
              <w:pStyle w:val="TableText"/>
              <w:rPr>
                <w:rStyle w:val="Emphasis"/>
              </w:rPr>
            </w:pPr>
            <w:r w:rsidRPr="00F3632D">
              <w:rPr>
                <w:rStyle w:val="Emphasis"/>
              </w:rPr>
              <w:t>Sex Work Act 1994</w:t>
            </w:r>
          </w:p>
        </w:tc>
        <w:tc>
          <w:tcPr>
            <w:tcW w:w="6803" w:type="dxa"/>
          </w:tcPr>
          <w:p w14:paraId="7A419E9B" w14:textId="55D0D247" w:rsidR="00ED6A34" w:rsidRDefault="00ED6A34" w:rsidP="00006DE3">
            <w:pPr>
              <w:pStyle w:val="TableText"/>
            </w:pPr>
            <w:r>
              <w:t>Lin Gao</w:t>
            </w:r>
          </w:p>
          <w:p w14:paraId="426EAB3A" w14:textId="0889B6AC" w:rsidR="00ED6A34" w:rsidRDefault="00ED6A34" w:rsidP="00006DE3">
            <w:pPr>
              <w:pStyle w:val="TableText"/>
            </w:pPr>
            <w:proofErr w:type="spellStart"/>
            <w:r>
              <w:t>Tak</w:t>
            </w:r>
            <w:proofErr w:type="spellEnd"/>
            <w:r>
              <w:t xml:space="preserve"> Lam Chang</w:t>
            </w:r>
          </w:p>
        </w:tc>
      </w:tr>
    </w:tbl>
    <w:p w14:paraId="33E356F0" w14:textId="7D9619D9" w:rsidR="00ED6A34" w:rsidRDefault="00ED6A34" w:rsidP="00BB1C65">
      <w:pPr>
        <w:pStyle w:val="Heading4"/>
      </w:pPr>
      <w:r>
        <w:t>Administrative review on behalf of the BLA</w:t>
      </w:r>
    </w:p>
    <w:tbl>
      <w:tblPr>
        <w:tblStyle w:val="TableGrid"/>
        <w:tblW w:w="9072" w:type="dxa"/>
        <w:tblLayout w:type="fixed"/>
        <w:tblLook w:val="06A0" w:firstRow="1" w:lastRow="0" w:firstColumn="1" w:lastColumn="0" w:noHBand="1" w:noVBand="1"/>
      </w:tblPr>
      <w:tblGrid>
        <w:gridCol w:w="2675"/>
        <w:gridCol w:w="6397"/>
      </w:tblGrid>
      <w:tr w:rsidR="00ED6A34" w14:paraId="247E00F1"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338AFCD2" w14:textId="77777777" w:rsidR="00ED6A34" w:rsidRDefault="00ED6A34" w:rsidP="00006DE3">
            <w:pPr>
              <w:pStyle w:val="TableColHead"/>
            </w:pPr>
            <w:r>
              <w:t>Legislation</w:t>
            </w:r>
          </w:p>
        </w:tc>
        <w:tc>
          <w:tcPr>
            <w:tcW w:w="6803" w:type="dxa"/>
          </w:tcPr>
          <w:p w14:paraId="7611D0A3" w14:textId="77777777" w:rsidR="00ED6A34" w:rsidRDefault="00ED6A34" w:rsidP="00006DE3">
            <w:pPr>
              <w:pStyle w:val="TableColHead"/>
            </w:pPr>
            <w:r>
              <w:t>Parties</w:t>
            </w:r>
          </w:p>
        </w:tc>
      </w:tr>
      <w:tr w:rsidR="00ED6A34" w14:paraId="45266ACD" w14:textId="77777777" w:rsidTr="00A41E9C">
        <w:trPr>
          <w:trHeight w:val="60"/>
        </w:trPr>
        <w:tc>
          <w:tcPr>
            <w:tcW w:w="2835" w:type="dxa"/>
          </w:tcPr>
          <w:p w14:paraId="10F6DD9E" w14:textId="55ECEE97" w:rsidR="00ED6A34" w:rsidRPr="00F3632D" w:rsidRDefault="00ED6A34" w:rsidP="00006DE3">
            <w:pPr>
              <w:pStyle w:val="TableText"/>
              <w:rPr>
                <w:rStyle w:val="Emphasis"/>
              </w:rPr>
            </w:pPr>
            <w:r w:rsidRPr="00F3632D">
              <w:rPr>
                <w:rStyle w:val="Emphasis"/>
              </w:rPr>
              <w:t>Estate Agents Act 1980</w:t>
            </w:r>
          </w:p>
        </w:tc>
        <w:tc>
          <w:tcPr>
            <w:tcW w:w="6803" w:type="dxa"/>
          </w:tcPr>
          <w:p w14:paraId="69A0B57C" w14:textId="32BAF915" w:rsidR="00ED6A34" w:rsidRDefault="00ED6A34" w:rsidP="00006DE3">
            <w:pPr>
              <w:pStyle w:val="TableText"/>
            </w:pPr>
            <w:proofErr w:type="spellStart"/>
            <w:r>
              <w:t>Sanjeet</w:t>
            </w:r>
            <w:proofErr w:type="spellEnd"/>
            <w:r>
              <w:t xml:space="preserve"> </w:t>
            </w:r>
            <w:proofErr w:type="spellStart"/>
            <w:r>
              <w:t>Pahil</w:t>
            </w:r>
            <w:proofErr w:type="spellEnd"/>
          </w:p>
          <w:p w14:paraId="555F5400" w14:textId="73208BA5" w:rsidR="00ED6A34" w:rsidRDefault="00ED6A34" w:rsidP="00006DE3">
            <w:pPr>
              <w:pStyle w:val="TableText"/>
            </w:pPr>
            <w:r>
              <w:t xml:space="preserve">Diana </w:t>
            </w:r>
            <w:proofErr w:type="spellStart"/>
            <w:r>
              <w:t>Powney</w:t>
            </w:r>
            <w:proofErr w:type="spellEnd"/>
          </w:p>
        </w:tc>
      </w:tr>
    </w:tbl>
    <w:p w14:paraId="477D3EE6" w14:textId="77777777" w:rsidR="00483EF3" w:rsidRPr="00483EF3" w:rsidRDefault="00483EF3" w:rsidP="00483EF3">
      <w:pPr>
        <w:pStyle w:val="BodyText"/>
      </w:pPr>
      <w:r w:rsidRPr="00483EF3">
        <w:br w:type="page"/>
      </w:r>
    </w:p>
    <w:p w14:paraId="303A84C5" w14:textId="342340E4" w:rsidR="00ED6A34" w:rsidRDefault="00ED6A34" w:rsidP="00BB1C65">
      <w:pPr>
        <w:pStyle w:val="Heading3"/>
      </w:pPr>
      <w:bookmarkStart w:id="14" w:name="_Toc21600822"/>
      <w:r>
        <w:lastRenderedPageBreak/>
        <w:t>Outcome 2 – Victorians exercise their consumer rights</w:t>
      </w:r>
      <w:bookmarkEnd w:id="14"/>
    </w:p>
    <w:p w14:paraId="50043C07" w14:textId="451FBBEC" w:rsidR="00ED6A34" w:rsidRDefault="00ED6A34" w:rsidP="00A75F3C">
      <w:pPr>
        <w:pStyle w:val="BodyText"/>
      </w:pPr>
      <w:r>
        <w:t>We empower Victorians to exercise their consumer rights by providing information and support. We continue to work with partner organisations to improve our services, and to target groups with specialised information needs.</w:t>
      </w:r>
    </w:p>
    <w:p w14:paraId="4D7FB6CD" w14:textId="77777777" w:rsidR="00ED6A34" w:rsidRDefault="00ED6A34" w:rsidP="00BB1C65">
      <w:pPr>
        <w:pStyle w:val="Heading4"/>
      </w:pPr>
      <w:r>
        <w:t>Highlights</w:t>
      </w:r>
    </w:p>
    <w:p w14:paraId="3794C3A5" w14:textId="2A45A502" w:rsidR="00ED6A34" w:rsidRDefault="00ED6A34" w:rsidP="00A75F3C">
      <w:pPr>
        <w:pStyle w:val="BodyText"/>
      </w:pPr>
      <w:r>
        <w:t>In 2018–19, we provided information and advice to more than 295,000 callers to our telephone service and responded to 62,860 written and online queries. Our social media presence continues to grow with 45,657 Facebook page likes and 10,240 Twitter followers.</w:t>
      </w:r>
    </w:p>
    <w:p w14:paraId="61225D5E" w14:textId="49DF65A2" w:rsidR="00ED6A34" w:rsidRDefault="00ED6A34" w:rsidP="00A75F3C">
      <w:pPr>
        <w:pStyle w:val="BodyText"/>
      </w:pPr>
      <w:r>
        <w:t>We received more than 3.6 million visits to our website, which provides education, advice and self-help resources in formats that are easy to find, understand and act on. Our website continues to be the most popular channel for accessing our services.</w:t>
      </w:r>
    </w:p>
    <w:p w14:paraId="7E64C379" w14:textId="26CF7708" w:rsidR="00ED6A34" w:rsidRDefault="00ED6A34" w:rsidP="00A75F3C">
      <w:pPr>
        <w:pStyle w:val="BodyText"/>
      </w:pPr>
      <w:r>
        <w:t>While we provide the necessary information for consumers to resolve issues themselves, we recognise the importance of providing specialist services to Victorians in need of more intensive support. In 2018–19, more than 820 consumers were assisted by the Consumer Assistance and Advocacy Program, our state-wide advocacy service, and more than 32,400 by financial counselling services we support.</w:t>
      </w:r>
    </w:p>
    <w:p w14:paraId="7AAC0179" w14:textId="6958ADDC" w:rsidR="00ED6A34" w:rsidRDefault="00ED6A34" w:rsidP="00A75F3C">
      <w:pPr>
        <w:pStyle w:val="BodyText"/>
      </w:pPr>
      <w:r>
        <w:t>We also focused on making it easier for consumers to access clear and comprehensive building information by collaborating with other agencies to streamline and improve our services.</w:t>
      </w:r>
    </w:p>
    <w:p w14:paraId="5A48DC8E" w14:textId="77777777" w:rsidR="00483EF3" w:rsidRPr="00483EF3" w:rsidRDefault="00483EF3" w:rsidP="00483EF3">
      <w:pPr>
        <w:pStyle w:val="BodyText"/>
      </w:pPr>
      <w:r w:rsidRPr="00483EF3">
        <w:br w:type="page"/>
      </w:r>
    </w:p>
    <w:p w14:paraId="33C17D5D" w14:textId="2AE2CFC1" w:rsidR="00ED6A34" w:rsidRDefault="00ED6A34" w:rsidP="00006DE3">
      <w:pPr>
        <w:pStyle w:val="Caption"/>
      </w:pPr>
      <w:r>
        <w:lastRenderedPageBreak/>
        <w:t>Table 4: Information, advice and assistance provided to consumers</w:t>
      </w:r>
    </w:p>
    <w:tbl>
      <w:tblPr>
        <w:tblStyle w:val="TableGrid"/>
        <w:tblW w:w="9072" w:type="dxa"/>
        <w:tblLayout w:type="fixed"/>
        <w:tblLook w:val="06A0" w:firstRow="1" w:lastRow="0" w:firstColumn="1" w:lastColumn="0" w:noHBand="1" w:noVBand="1"/>
      </w:tblPr>
      <w:tblGrid>
        <w:gridCol w:w="6005"/>
        <w:gridCol w:w="1022"/>
        <w:gridCol w:w="1023"/>
        <w:gridCol w:w="1022"/>
      </w:tblGrid>
      <w:tr w:rsidR="00ED6A34" w14:paraId="74C95B93"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6406" w:type="dxa"/>
          </w:tcPr>
          <w:p w14:paraId="20F31CBF" w14:textId="77777777" w:rsidR="00ED6A34" w:rsidRDefault="00ED6A34">
            <w:pPr>
              <w:spacing w:line="240" w:lineRule="auto"/>
              <w:rPr>
                <w:rFonts w:ascii="VIC-SemiBold" w:hAnsi="VIC-SemiBold" w:cstheme="minorBidi"/>
              </w:rPr>
            </w:pPr>
          </w:p>
        </w:tc>
        <w:tc>
          <w:tcPr>
            <w:tcW w:w="1077" w:type="dxa"/>
          </w:tcPr>
          <w:p w14:paraId="29A29B90" w14:textId="77777777" w:rsidR="00ED6A34" w:rsidRDefault="00ED6A34" w:rsidP="00006DE3">
            <w:pPr>
              <w:pStyle w:val="TableColHeadRight"/>
            </w:pPr>
            <w:r>
              <w:t>2016–17</w:t>
            </w:r>
          </w:p>
        </w:tc>
        <w:tc>
          <w:tcPr>
            <w:tcW w:w="1078" w:type="dxa"/>
          </w:tcPr>
          <w:p w14:paraId="5E36A46C" w14:textId="77777777" w:rsidR="00ED6A34" w:rsidRDefault="00ED6A34" w:rsidP="00006DE3">
            <w:pPr>
              <w:pStyle w:val="TableColHeadRight"/>
            </w:pPr>
            <w:r>
              <w:t>2017–18</w:t>
            </w:r>
          </w:p>
        </w:tc>
        <w:tc>
          <w:tcPr>
            <w:tcW w:w="1077" w:type="dxa"/>
          </w:tcPr>
          <w:p w14:paraId="714EBD84" w14:textId="77777777" w:rsidR="00ED6A34" w:rsidRDefault="00ED6A34" w:rsidP="00006DE3">
            <w:pPr>
              <w:pStyle w:val="TableColHeadRight"/>
            </w:pPr>
            <w:r>
              <w:t>2018–19</w:t>
            </w:r>
          </w:p>
        </w:tc>
      </w:tr>
      <w:tr w:rsidR="00ED6A34" w14:paraId="662CACB6" w14:textId="77777777" w:rsidTr="00C02F22">
        <w:trPr>
          <w:trHeight w:val="60"/>
        </w:trPr>
        <w:tc>
          <w:tcPr>
            <w:tcW w:w="9638" w:type="dxa"/>
            <w:gridSpan w:val="4"/>
            <w:shd w:val="clear" w:color="auto" w:fill="B2D5F0"/>
          </w:tcPr>
          <w:p w14:paraId="6BCB0286" w14:textId="36A3C878" w:rsidR="00ED6A34" w:rsidRDefault="00ED6A34" w:rsidP="00006DE3">
            <w:pPr>
              <w:pStyle w:val="TableTextBold"/>
            </w:pPr>
            <w:r>
              <w:t>Information and advice</w:t>
            </w:r>
          </w:p>
        </w:tc>
      </w:tr>
      <w:tr w:rsidR="00ED6A34" w14:paraId="6CDDFE22" w14:textId="77777777" w:rsidTr="00A41E9C">
        <w:trPr>
          <w:trHeight w:val="60"/>
        </w:trPr>
        <w:tc>
          <w:tcPr>
            <w:tcW w:w="6406" w:type="dxa"/>
          </w:tcPr>
          <w:p w14:paraId="5AEAC0D2" w14:textId="1193A3FC" w:rsidR="00ED6A34" w:rsidRDefault="00ED6A34" w:rsidP="00006DE3">
            <w:pPr>
              <w:pStyle w:val="TableText"/>
            </w:pPr>
            <w:r>
              <w:t>Calls answered</w:t>
            </w:r>
            <w:r w:rsidRPr="00A54548">
              <w:rPr>
                <w:rStyle w:val="FootnoteReference"/>
              </w:rPr>
              <w:footnoteReference w:id="13"/>
            </w:r>
          </w:p>
        </w:tc>
        <w:tc>
          <w:tcPr>
            <w:tcW w:w="1077" w:type="dxa"/>
          </w:tcPr>
          <w:p w14:paraId="7AF4180B" w14:textId="77777777" w:rsidR="00ED6A34" w:rsidRDefault="00ED6A34" w:rsidP="00006DE3">
            <w:pPr>
              <w:pStyle w:val="TableTextRight"/>
            </w:pPr>
            <w:r>
              <w:t>325,773</w:t>
            </w:r>
          </w:p>
        </w:tc>
        <w:tc>
          <w:tcPr>
            <w:tcW w:w="1078" w:type="dxa"/>
          </w:tcPr>
          <w:p w14:paraId="014B6373" w14:textId="77777777" w:rsidR="00ED6A34" w:rsidRDefault="00ED6A34" w:rsidP="00006DE3">
            <w:pPr>
              <w:pStyle w:val="TableTextRight"/>
            </w:pPr>
            <w:r>
              <w:t>304,048</w:t>
            </w:r>
          </w:p>
        </w:tc>
        <w:tc>
          <w:tcPr>
            <w:tcW w:w="1077" w:type="dxa"/>
          </w:tcPr>
          <w:p w14:paraId="4432D339" w14:textId="77777777" w:rsidR="00ED6A34" w:rsidRDefault="00ED6A34" w:rsidP="00006DE3">
            <w:pPr>
              <w:pStyle w:val="TableTextRight"/>
            </w:pPr>
            <w:r>
              <w:t>295,955</w:t>
            </w:r>
          </w:p>
        </w:tc>
      </w:tr>
      <w:tr w:rsidR="00ED6A34" w14:paraId="7EA1BB94" w14:textId="77777777" w:rsidTr="00C02F22">
        <w:trPr>
          <w:trHeight w:val="60"/>
        </w:trPr>
        <w:tc>
          <w:tcPr>
            <w:tcW w:w="9638" w:type="dxa"/>
            <w:gridSpan w:val="4"/>
            <w:shd w:val="clear" w:color="auto" w:fill="B2D5F0"/>
          </w:tcPr>
          <w:p w14:paraId="1B6B4E26" w14:textId="40935A34" w:rsidR="00ED6A34" w:rsidRDefault="00ED6A34" w:rsidP="00006DE3">
            <w:pPr>
              <w:pStyle w:val="TableTextBold"/>
            </w:pPr>
            <w:r>
              <w:t>Advice provided to resolve disputes</w:t>
            </w:r>
          </w:p>
        </w:tc>
      </w:tr>
      <w:tr w:rsidR="00ED6A34" w14:paraId="19C0E2C5" w14:textId="77777777" w:rsidTr="00A41E9C">
        <w:trPr>
          <w:trHeight w:val="60"/>
        </w:trPr>
        <w:tc>
          <w:tcPr>
            <w:tcW w:w="6406" w:type="dxa"/>
          </w:tcPr>
          <w:p w14:paraId="1DA60A50" w14:textId="24BC9A43" w:rsidR="00ED6A34" w:rsidRDefault="00ED6A34" w:rsidP="00006DE3">
            <w:pPr>
              <w:pStyle w:val="TableText"/>
            </w:pPr>
            <w:r>
              <w:t>Disputes finalised</w:t>
            </w:r>
            <w:r w:rsidRPr="00A54548">
              <w:rPr>
                <w:rStyle w:val="FootnoteReference"/>
              </w:rPr>
              <w:footnoteReference w:id="14"/>
            </w:r>
          </w:p>
        </w:tc>
        <w:tc>
          <w:tcPr>
            <w:tcW w:w="1077" w:type="dxa"/>
          </w:tcPr>
          <w:p w14:paraId="05E6681F" w14:textId="77777777" w:rsidR="00ED6A34" w:rsidRDefault="00ED6A34" w:rsidP="00006DE3">
            <w:pPr>
              <w:pStyle w:val="TableTextRight"/>
            </w:pPr>
            <w:r>
              <w:t>8,656</w:t>
            </w:r>
          </w:p>
        </w:tc>
        <w:tc>
          <w:tcPr>
            <w:tcW w:w="1078" w:type="dxa"/>
          </w:tcPr>
          <w:p w14:paraId="7335248E" w14:textId="77777777" w:rsidR="00ED6A34" w:rsidRDefault="00ED6A34" w:rsidP="00006DE3">
            <w:pPr>
              <w:pStyle w:val="TableTextRight"/>
            </w:pPr>
            <w:r>
              <w:t>6,827</w:t>
            </w:r>
          </w:p>
        </w:tc>
        <w:tc>
          <w:tcPr>
            <w:tcW w:w="1077" w:type="dxa"/>
          </w:tcPr>
          <w:p w14:paraId="58C85DBC" w14:textId="77777777" w:rsidR="00ED6A34" w:rsidRDefault="00ED6A34" w:rsidP="00006DE3">
            <w:pPr>
              <w:pStyle w:val="TableTextRight"/>
            </w:pPr>
            <w:r>
              <w:t>6,752</w:t>
            </w:r>
          </w:p>
        </w:tc>
      </w:tr>
      <w:tr w:rsidR="00ED6A34" w14:paraId="7D5165B4" w14:textId="77777777" w:rsidTr="00C02F22">
        <w:trPr>
          <w:trHeight w:val="60"/>
        </w:trPr>
        <w:tc>
          <w:tcPr>
            <w:tcW w:w="9638" w:type="dxa"/>
            <w:gridSpan w:val="4"/>
            <w:shd w:val="clear" w:color="auto" w:fill="B2D5F0"/>
          </w:tcPr>
          <w:p w14:paraId="17C86182" w14:textId="77777777" w:rsidR="00ED6A34" w:rsidRDefault="00ED6A34" w:rsidP="00006DE3">
            <w:pPr>
              <w:pStyle w:val="TableTextBold"/>
            </w:pPr>
            <w:r>
              <w:t>Digital</w:t>
            </w:r>
          </w:p>
        </w:tc>
      </w:tr>
      <w:tr w:rsidR="00ED6A34" w14:paraId="7BD09288" w14:textId="77777777" w:rsidTr="00A41E9C">
        <w:trPr>
          <w:trHeight w:val="60"/>
        </w:trPr>
        <w:tc>
          <w:tcPr>
            <w:tcW w:w="6406" w:type="dxa"/>
          </w:tcPr>
          <w:p w14:paraId="36B7B469" w14:textId="53347DB2" w:rsidR="00ED6A34" w:rsidRDefault="00ED6A34" w:rsidP="00006DE3">
            <w:pPr>
              <w:pStyle w:val="TableText"/>
            </w:pPr>
            <w:r>
              <w:t>Website visits</w:t>
            </w:r>
          </w:p>
        </w:tc>
        <w:tc>
          <w:tcPr>
            <w:tcW w:w="1077" w:type="dxa"/>
          </w:tcPr>
          <w:p w14:paraId="4090EA19" w14:textId="77777777" w:rsidR="00ED6A34" w:rsidRDefault="00ED6A34" w:rsidP="00006DE3">
            <w:pPr>
              <w:pStyle w:val="TableTextRight"/>
            </w:pPr>
            <w:r>
              <w:t>3,425,370</w:t>
            </w:r>
          </w:p>
        </w:tc>
        <w:tc>
          <w:tcPr>
            <w:tcW w:w="1078" w:type="dxa"/>
          </w:tcPr>
          <w:p w14:paraId="1271A5A4" w14:textId="77777777" w:rsidR="00ED6A34" w:rsidRDefault="00ED6A34" w:rsidP="00006DE3">
            <w:pPr>
              <w:pStyle w:val="TableTextRight"/>
            </w:pPr>
            <w:r>
              <w:t>3,603,610</w:t>
            </w:r>
          </w:p>
        </w:tc>
        <w:tc>
          <w:tcPr>
            <w:tcW w:w="1077" w:type="dxa"/>
          </w:tcPr>
          <w:p w14:paraId="2CEC2EEA" w14:textId="77777777" w:rsidR="00ED6A34" w:rsidRDefault="00ED6A34" w:rsidP="00006DE3">
            <w:pPr>
              <w:pStyle w:val="TableTextRight"/>
            </w:pPr>
            <w:r>
              <w:t>3,675,683</w:t>
            </w:r>
          </w:p>
        </w:tc>
      </w:tr>
      <w:tr w:rsidR="00ED6A34" w14:paraId="1F1E9EF9" w14:textId="77777777" w:rsidTr="00A41E9C">
        <w:trPr>
          <w:trHeight w:val="60"/>
        </w:trPr>
        <w:tc>
          <w:tcPr>
            <w:tcW w:w="6406" w:type="dxa"/>
          </w:tcPr>
          <w:p w14:paraId="0B926F35" w14:textId="10907B95" w:rsidR="00ED6A34" w:rsidRDefault="00ED6A34" w:rsidP="00006DE3">
            <w:pPr>
              <w:pStyle w:val="TableText"/>
            </w:pPr>
            <w:r>
              <w:t>Letters, emails and online enquiry form contacts</w:t>
            </w:r>
          </w:p>
        </w:tc>
        <w:tc>
          <w:tcPr>
            <w:tcW w:w="1077" w:type="dxa"/>
          </w:tcPr>
          <w:p w14:paraId="0BC10B37" w14:textId="77777777" w:rsidR="00ED6A34" w:rsidRDefault="00ED6A34" w:rsidP="00006DE3">
            <w:pPr>
              <w:pStyle w:val="TableTextRight"/>
            </w:pPr>
            <w:r>
              <w:t>59,525</w:t>
            </w:r>
          </w:p>
        </w:tc>
        <w:tc>
          <w:tcPr>
            <w:tcW w:w="1078" w:type="dxa"/>
          </w:tcPr>
          <w:p w14:paraId="07D7F0FC" w14:textId="77777777" w:rsidR="00ED6A34" w:rsidRDefault="00ED6A34" w:rsidP="00006DE3">
            <w:pPr>
              <w:pStyle w:val="TableTextRight"/>
            </w:pPr>
            <w:r>
              <w:t>65,378</w:t>
            </w:r>
          </w:p>
        </w:tc>
        <w:tc>
          <w:tcPr>
            <w:tcW w:w="1077" w:type="dxa"/>
          </w:tcPr>
          <w:p w14:paraId="0244A946" w14:textId="77777777" w:rsidR="00ED6A34" w:rsidRDefault="00ED6A34" w:rsidP="00006DE3">
            <w:pPr>
              <w:pStyle w:val="TableTextRight"/>
            </w:pPr>
            <w:r>
              <w:t>62,860</w:t>
            </w:r>
          </w:p>
        </w:tc>
      </w:tr>
      <w:tr w:rsidR="00ED6A34" w14:paraId="0993549C" w14:textId="77777777" w:rsidTr="00A41E9C">
        <w:trPr>
          <w:trHeight w:val="60"/>
        </w:trPr>
        <w:tc>
          <w:tcPr>
            <w:tcW w:w="6406" w:type="dxa"/>
          </w:tcPr>
          <w:p w14:paraId="74C5874E" w14:textId="1A6F3243" w:rsidR="00ED6A34" w:rsidRDefault="00ED6A34" w:rsidP="00006DE3">
            <w:pPr>
              <w:pStyle w:val="TableText"/>
            </w:pPr>
            <w:r>
              <w:t>Twitter followers</w:t>
            </w:r>
          </w:p>
        </w:tc>
        <w:tc>
          <w:tcPr>
            <w:tcW w:w="1077" w:type="dxa"/>
          </w:tcPr>
          <w:p w14:paraId="58E4ABCD" w14:textId="77777777" w:rsidR="00ED6A34" w:rsidRDefault="00ED6A34" w:rsidP="00006DE3">
            <w:pPr>
              <w:pStyle w:val="TableTextRight"/>
            </w:pPr>
            <w:r>
              <w:t>9,487</w:t>
            </w:r>
          </w:p>
        </w:tc>
        <w:tc>
          <w:tcPr>
            <w:tcW w:w="1078" w:type="dxa"/>
          </w:tcPr>
          <w:p w14:paraId="579FCA09" w14:textId="77777777" w:rsidR="00ED6A34" w:rsidRDefault="00ED6A34" w:rsidP="00006DE3">
            <w:pPr>
              <w:pStyle w:val="TableTextRight"/>
            </w:pPr>
            <w:r>
              <w:t>10,175</w:t>
            </w:r>
          </w:p>
        </w:tc>
        <w:tc>
          <w:tcPr>
            <w:tcW w:w="1077" w:type="dxa"/>
          </w:tcPr>
          <w:p w14:paraId="2816B10F" w14:textId="77777777" w:rsidR="00ED6A34" w:rsidRDefault="00ED6A34" w:rsidP="00006DE3">
            <w:pPr>
              <w:pStyle w:val="TableTextRight"/>
            </w:pPr>
            <w:r>
              <w:t>10,240</w:t>
            </w:r>
          </w:p>
        </w:tc>
      </w:tr>
      <w:tr w:rsidR="00ED6A34" w14:paraId="7A3CBB7B" w14:textId="77777777" w:rsidTr="00A41E9C">
        <w:trPr>
          <w:trHeight w:val="60"/>
        </w:trPr>
        <w:tc>
          <w:tcPr>
            <w:tcW w:w="6406" w:type="dxa"/>
          </w:tcPr>
          <w:p w14:paraId="74219513" w14:textId="0C351C91" w:rsidR="00ED6A34" w:rsidRDefault="00ED6A34" w:rsidP="00006DE3">
            <w:pPr>
              <w:pStyle w:val="TableText"/>
            </w:pPr>
            <w:r>
              <w:t>Facebook page likes</w:t>
            </w:r>
          </w:p>
        </w:tc>
        <w:tc>
          <w:tcPr>
            <w:tcW w:w="1077" w:type="dxa"/>
          </w:tcPr>
          <w:p w14:paraId="4760E0C7" w14:textId="77777777" w:rsidR="00ED6A34" w:rsidRDefault="00ED6A34" w:rsidP="00006DE3">
            <w:pPr>
              <w:pStyle w:val="TableTextRight"/>
            </w:pPr>
            <w:r>
              <w:t>36,555</w:t>
            </w:r>
          </w:p>
        </w:tc>
        <w:tc>
          <w:tcPr>
            <w:tcW w:w="1078" w:type="dxa"/>
          </w:tcPr>
          <w:p w14:paraId="6A9C1B44" w14:textId="77777777" w:rsidR="00ED6A34" w:rsidRDefault="00ED6A34" w:rsidP="00006DE3">
            <w:pPr>
              <w:pStyle w:val="TableTextRight"/>
            </w:pPr>
            <w:r>
              <w:t>42,600</w:t>
            </w:r>
          </w:p>
        </w:tc>
        <w:tc>
          <w:tcPr>
            <w:tcW w:w="1077" w:type="dxa"/>
          </w:tcPr>
          <w:p w14:paraId="01CEEBE7" w14:textId="77777777" w:rsidR="00ED6A34" w:rsidRDefault="00ED6A34" w:rsidP="00006DE3">
            <w:pPr>
              <w:pStyle w:val="TableTextRight"/>
            </w:pPr>
            <w:r>
              <w:t>45,657</w:t>
            </w:r>
          </w:p>
        </w:tc>
      </w:tr>
      <w:tr w:rsidR="00ED6A34" w14:paraId="75AA9B1C" w14:textId="77777777" w:rsidTr="00A41E9C">
        <w:trPr>
          <w:trHeight w:val="60"/>
        </w:trPr>
        <w:tc>
          <w:tcPr>
            <w:tcW w:w="6406" w:type="dxa"/>
          </w:tcPr>
          <w:p w14:paraId="06F1513B" w14:textId="4D5A1F2C" w:rsidR="00ED6A34" w:rsidRDefault="00ED6A34" w:rsidP="00006DE3">
            <w:pPr>
              <w:pStyle w:val="TableText"/>
            </w:pPr>
            <w:r>
              <w:t>YouTube video views</w:t>
            </w:r>
            <w:r w:rsidRPr="00A54548">
              <w:rPr>
                <w:rStyle w:val="FootnoteReference"/>
              </w:rPr>
              <w:footnoteReference w:id="15"/>
            </w:r>
          </w:p>
        </w:tc>
        <w:tc>
          <w:tcPr>
            <w:tcW w:w="1077" w:type="dxa"/>
          </w:tcPr>
          <w:p w14:paraId="72C5EC11" w14:textId="77777777" w:rsidR="00ED6A34" w:rsidRDefault="00ED6A34" w:rsidP="00006DE3">
            <w:pPr>
              <w:pStyle w:val="TableTextRight"/>
            </w:pPr>
            <w:r>
              <w:t>72,488</w:t>
            </w:r>
          </w:p>
        </w:tc>
        <w:tc>
          <w:tcPr>
            <w:tcW w:w="1078" w:type="dxa"/>
          </w:tcPr>
          <w:p w14:paraId="2DFE4BC0" w14:textId="77777777" w:rsidR="00ED6A34" w:rsidRDefault="00ED6A34" w:rsidP="00006DE3">
            <w:pPr>
              <w:pStyle w:val="TableTextRight"/>
            </w:pPr>
            <w:r>
              <w:t>371,759</w:t>
            </w:r>
          </w:p>
        </w:tc>
        <w:tc>
          <w:tcPr>
            <w:tcW w:w="1077" w:type="dxa"/>
          </w:tcPr>
          <w:p w14:paraId="0FACDD18" w14:textId="77777777" w:rsidR="00ED6A34" w:rsidRDefault="00ED6A34" w:rsidP="00006DE3">
            <w:pPr>
              <w:pStyle w:val="TableTextRight"/>
            </w:pPr>
            <w:r>
              <w:t>94,206</w:t>
            </w:r>
          </w:p>
        </w:tc>
      </w:tr>
      <w:tr w:rsidR="00ED6A34" w14:paraId="7AF24891" w14:textId="77777777" w:rsidTr="00C02F22">
        <w:trPr>
          <w:trHeight w:val="60"/>
        </w:trPr>
        <w:tc>
          <w:tcPr>
            <w:tcW w:w="9638" w:type="dxa"/>
            <w:gridSpan w:val="4"/>
            <w:shd w:val="clear" w:color="auto" w:fill="B2D5F0"/>
          </w:tcPr>
          <w:p w14:paraId="2D0D869F" w14:textId="3B00C4CE" w:rsidR="00ED6A34" w:rsidRDefault="00ED6A34" w:rsidP="00006DE3">
            <w:pPr>
              <w:pStyle w:val="TableTextBold"/>
            </w:pPr>
            <w:r>
              <w:t>Community information</w:t>
            </w:r>
          </w:p>
        </w:tc>
      </w:tr>
      <w:tr w:rsidR="00ED6A34" w14:paraId="32357857" w14:textId="77777777" w:rsidTr="00A41E9C">
        <w:trPr>
          <w:trHeight w:val="60"/>
        </w:trPr>
        <w:tc>
          <w:tcPr>
            <w:tcW w:w="6406" w:type="dxa"/>
          </w:tcPr>
          <w:p w14:paraId="3BD6D577" w14:textId="1836340E" w:rsidR="00ED6A34" w:rsidRDefault="00ED6A34" w:rsidP="00006DE3">
            <w:pPr>
              <w:pStyle w:val="TableText"/>
            </w:pPr>
            <w:r>
              <w:t>Information sessions</w:t>
            </w:r>
          </w:p>
        </w:tc>
        <w:tc>
          <w:tcPr>
            <w:tcW w:w="1077" w:type="dxa"/>
          </w:tcPr>
          <w:p w14:paraId="3BC81A8F" w14:textId="77777777" w:rsidR="00ED6A34" w:rsidRDefault="00ED6A34" w:rsidP="00006DE3">
            <w:pPr>
              <w:pStyle w:val="TableTextRight"/>
            </w:pPr>
            <w:r>
              <w:t>946</w:t>
            </w:r>
          </w:p>
        </w:tc>
        <w:tc>
          <w:tcPr>
            <w:tcW w:w="1078" w:type="dxa"/>
          </w:tcPr>
          <w:p w14:paraId="06AFC21C" w14:textId="77777777" w:rsidR="00ED6A34" w:rsidRDefault="00ED6A34" w:rsidP="00006DE3">
            <w:pPr>
              <w:pStyle w:val="TableTextRight"/>
            </w:pPr>
            <w:r>
              <w:t>936</w:t>
            </w:r>
          </w:p>
        </w:tc>
        <w:tc>
          <w:tcPr>
            <w:tcW w:w="1077" w:type="dxa"/>
          </w:tcPr>
          <w:p w14:paraId="1FB65DB4" w14:textId="77777777" w:rsidR="00ED6A34" w:rsidRDefault="00ED6A34" w:rsidP="00006DE3">
            <w:pPr>
              <w:pStyle w:val="TableTextRight"/>
            </w:pPr>
            <w:r>
              <w:t>629</w:t>
            </w:r>
          </w:p>
        </w:tc>
      </w:tr>
      <w:tr w:rsidR="00ED6A34" w14:paraId="3788A492" w14:textId="77777777" w:rsidTr="00C02F22">
        <w:trPr>
          <w:trHeight w:val="360"/>
        </w:trPr>
        <w:tc>
          <w:tcPr>
            <w:tcW w:w="9638" w:type="dxa"/>
            <w:gridSpan w:val="4"/>
            <w:shd w:val="clear" w:color="auto" w:fill="B2D5F0"/>
          </w:tcPr>
          <w:p w14:paraId="4856730D" w14:textId="0DB6677B" w:rsidR="00ED6A34" w:rsidRDefault="00ED6A34" w:rsidP="00006DE3">
            <w:pPr>
              <w:pStyle w:val="TableTextBold"/>
            </w:pPr>
            <w:r>
              <w:t>Face-to-face or intensive assistance (funded community services)</w:t>
            </w:r>
          </w:p>
        </w:tc>
      </w:tr>
      <w:tr w:rsidR="00ED6A34" w14:paraId="21BA8507" w14:textId="77777777" w:rsidTr="00A41E9C">
        <w:trPr>
          <w:trHeight w:val="60"/>
        </w:trPr>
        <w:tc>
          <w:tcPr>
            <w:tcW w:w="6406" w:type="dxa"/>
          </w:tcPr>
          <w:p w14:paraId="101E4FA1" w14:textId="647EAC89" w:rsidR="00ED6A34" w:rsidRDefault="00ED6A34" w:rsidP="00006DE3">
            <w:pPr>
              <w:pStyle w:val="TableText"/>
            </w:pPr>
            <w:r>
              <w:t>Victorians assisted under the Consumer Assistance and Advocacy Program</w:t>
            </w:r>
          </w:p>
        </w:tc>
        <w:tc>
          <w:tcPr>
            <w:tcW w:w="1077" w:type="dxa"/>
          </w:tcPr>
          <w:p w14:paraId="75E19E1D" w14:textId="77777777" w:rsidR="00ED6A34" w:rsidRDefault="00ED6A34" w:rsidP="00006DE3">
            <w:pPr>
              <w:pStyle w:val="TableTextRight"/>
            </w:pPr>
            <w:r>
              <w:t>430</w:t>
            </w:r>
          </w:p>
        </w:tc>
        <w:tc>
          <w:tcPr>
            <w:tcW w:w="1078" w:type="dxa"/>
          </w:tcPr>
          <w:p w14:paraId="6B7BBB70" w14:textId="77777777" w:rsidR="00ED6A34" w:rsidRDefault="00ED6A34" w:rsidP="00006DE3">
            <w:pPr>
              <w:pStyle w:val="TableTextRight"/>
            </w:pPr>
            <w:r>
              <w:t>618</w:t>
            </w:r>
          </w:p>
        </w:tc>
        <w:tc>
          <w:tcPr>
            <w:tcW w:w="1077" w:type="dxa"/>
          </w:tcPr>
          <w:p w14:paraId="04D2B01A" w14:textId="77777777" w:rsidR="00ED6A34" w:rsidRDefault="00ED6A34" w:rsidP="00006DE3">
            <w:pPr>
              <w:pStyle w:val="TableTextRight"/>
            </w:pPr>
            <w:r>
              <w:t>828</w:t>
            </w:r>
          </w:p>
        </w:tc>
      </w:tr>
      <w:tr w:rsidR="00ED6A34" w14:paraId="5B3C706D" w14:textId="77777777" w:rsidTr="00A41E9C">
        <w:trPr>
          <w:trHeight w:val="60"/>
        </w:trPr>
        <w:tc>
          <w:tcPr>
            <w:tcW w:w="6406" w:type="dxa"/>
          </w:tcPr>
          <w:p w14:paraId="0B8E1E22" w14:textId="76DB2DFB" w:rsidR="00ED6A34" w:rsidRDefault="00ED6A34" w:rsidP="00006DE3">
            <w:pPr>
              <w:pStyle w:val="TableText"/>
            </w:pPr>
            <w:r>
              <w:t>Clients assisted with financial counselling</w:t>
            </w:r>
          </w:p>
        </w:tc>
        <w:tc>
          <w:tcPr>
            <w:tcW w:w="1077" w:type="dxa"/>
          </w:tcPr>
          <w:p w14:paraId="6626C7DB" w14:textId="77777777" w:rsidR="00ED6A34" w:rsidRDefault="00ED6A34" w:rsidP="00006DE3">
            <w:pPr>
              <w:pStyle w:val="TableTextRight"/>
            </w:pPr>
            <w:r>
              <w:t>31,106</w:t>
            </w:r>
          </w:p>
        </w:tc>
        <w:tc>
          <w:tcPr>
            <w:tcW w:w="1078" w:type="dxa"/>
          </w:tcPr>
          <w:p w14:paraId="78CDFDAA" w14:textId="77777777" w:rsidR="00ED6A34" w:rsidRDefault="00ED6A34" w:rsidP="00006DE3">
            <w:pPr>
              <w:pStyle w:val="TableTextRight"/>
            </w:pPr>
            <w:r>
              <w:t>32,839</w:t>
            </w:r>
          </w:p>
        </w:tc>
        <w:tc>
          <w:tcPr>
            <w:tcW w:w="1077" w:type="dxa"/>
          </w:tcPr>
          <w:p w14:paraId="11894C2F" w14:textId="77777777" w:rsidR="00ED6A34" w:rsidRDefault="00ED6A34" w:rsidP="00006DE3">
            <w:pPr>
              <w:pStyle w:val="TableTextRight"/>
            </w:pPr>
            <w:r>
              <w:t>32,489</w:t>
            </w:r>
          </w:p>
        </w:tc>
      </w:tr>
    </w:tbl>
    <w:p w14:paraId="1F9586A8" w14:textId="277C82C7" w:rsidR="00ED6A34" w:rsidRDefault="00ED6A34" w:rsidP="00483EF3">
      <w:pPr>
        <w:pStyle w:val="Heading4"/>
        <w:pageBreakBefore/>
      </w:pPr>
      <w:r>
        <w:lastRenderedPageBreak/>
        <w:t>Family violence financial counselling</w:t>
      </w:r>
    </w:p>
    <w:p w14:paraId="465BA390" w14:textId="65CA9DAA" w:rsidR="00ED6A34" w:rsidRDefault="00ED6A34" w:rsidP="00A75F3C">
      <w:pPr>
        <w:pStyle w:val="BodyText"/>
      </w:pPr>
      <w:r>
        <w:t>Supporting financially disadvantaged and vulnerable Victorians is important to us. Our Financial Counselling Program provides free, independent and confidential telephone or face-to-face counselling sessions, delivered by community agencies across Victoria. Financial counsellors offer a range of support, including providing advice about rights and responsibilities, negotiating with a creditor, or working out a realistic payment plan for debts.</w:t>
      </w:r>
    </w:p>
    <w:p w14:paraId="449E9E8F" w14:textId="10D30B32" w:rsidR="00ED6A34" w:rsidRDefault="00ED6A34" w:rsidP="00A75F3C">
      <w:pPr>
        <w:pStyle w:val="BodyText"/>
      </w:pPr>
      <w:r>
        <w:t>This program was expanded in 2016 to incorporate specialist family violence financial counsellors, in response to the Royal Commission into Family Violence. These specialist financial counsellors assisted 2,421 victims of family violence in 2017–18; this year, we saw an increase in demand for this service, with 3,024 women supported. A further 10 specialist roles will be funded from 2019 to expand our support to victims of family violence.</w:t>
      </w:r>
    </w:p>
    <w:p w14:paraId="1435A639" w14:textId="77777777" w:rsidR="00ED6A34" w:rsidRDefault="00ED6A34" w:rsidP="00BB1C65">
      <w:pPr>
        <w:pStyle w:val="Heading4"/>
      </w:pPr>
      <w:r>
        <w:t>Scams</w:t>
      </w:r>
    </w:p>
    <w:p w14:paraId="69369D1D" w14:textId="1B1D8F1D" w:rsidR="00ED6A34" w:rsidRDefault="00ED6A34" w:rsidP="00A75F3C">
      <w:pPr>
        <w:pStyle w:val="BodyText"/>
      </w:pPr>
      <w:r>
        <w:t>Figures from the Australian Competition and Consumer Commissioner (ACCC) show that Victorians made more than 39,000 scam reports in 2018, accounting for almost $21 million in losses.</w:t>
      </w:r>
    </w:p>
    <w:p w14:paraId="6F365B84" w14:textId="7B6A982D" w:rsidR="00ED6A34" w:rsidRDefault="00ED6A34" w:rsidP="00A75F3C">
      <w:pPr>
        <w:pStyle w:val="BodyText"/>
      </w:pPr>
      <w:r>
        <w:t xml:space="preserve">Scams continue to pose a risk to our </w:t>
      </w:r>
      <w:proofErr w:type="gramStart"/>
      <w:r>
        <w:t>community</w:t>
      </w:r>
      <w:proofErr w:type="gramEnd"/>
      <w:r>
        <w:t xml:space="preserve"> and anybody can fall for one, particularly as scammers use more sophisticated methods to trick people. Scammers can be hard to detect and are often based overseas, meaning that consumer education and awareness is the best defence against getting scammed.</w:t>
      </w:r>
    </w:p>
    <w:p w14:paraId="1361CC12" w14:textId="396467F0" w:rsidR="00ED6A34" w:rsidRDefault="00ED6A34" w:rsidP="00A75F3C">
      <w:pPr>
        <w:pStyle w:val="BodyText"/>
      </w:pPr>
      <w:r>
        <w:t>We partnered with Crime Stoppers Victoria to deliver awareness campaigns on investment and phishing scams.</w:t>
      </w:r>
    </w:p>
    <w:p w14:paraId="29DE7E6C" w14:textId="4DFB8F82" w:rsidR="00ED6A34" w:rsidRDefault="00ED6A34" w:rsidP="00A75F3C">
      <w:pPr>
        <w:pStyle w:val="BodyText"/>
      </w:pPr>
      <w:r>
        <w:t xml:space="preserve">Our </w:t>
      </w:r>
      <w:r w:rsidRPr="00F3632D">
        <w:rPr>
          <w:rStyle w:val="Emphasis"/>
        </w:rPr>
        <w:t>Take stock before you share</w:t>
      </w:r>
      <w:r>
        <w:t xml:space="preserve"> campaign aimed to educate the community about investment scams. Nationally, consumers reported losses of more than $38 million to investment scams in 2018, making it the most financially damaging scam for victims. Scammers often target older people who may have access to savings or superannuation. In one case, a Victorian retiree was pressured into investing more than $20,000 in bitcoin, only for the scammers to gain access to her trading account and drain all the funds.</w:t>
      </w:r>
    </w:p>
    <w:p w14:paraId="57A4AB55" w14:textId="511F0C91" w:rsidR="00ED6A34" w:rsidRDefault="00ED6A34" w:rsidP="00A75F3C">
      <w:pPr>
        <w:pStyle w:val="BodyText"/>
      </w:pPr>
      <w:r>
        <w:t xml:space="preserve">Our </w:t>
      </w:r>
      <w:r w:rsidRPr="00F3632D">
        <w:rPr>
          <w:rStyle w:val="Emphasis"/>
        </w:rPr>
        <w:t>Don’t get reeled in</w:t>
      </w:r>
      <w:r>
        <w:t xml:space="preserve"> campaign raised awareness of phishing scams and the impact they have on our community. Phishing scams are attempts to trick you into giving out personal information, such as your bank account numbers, passwords and credit card numbers. We warned Victorians to be alert following a 20 per cent jump in reported losses to phishing scams in 2018, compared to the previous year.</w:t>
      </w:r>
    </w:p>
    <w:p w14:paraId="634DBB43" w14:textId="28553B9A" w:rsidR="00ED6A34" w:rsidRDefault="00ED6A34" w:rsidP="00BB1C65">
      <w:pPr>
        <w:pStyle w:val="Heading4"/>
      </w:pPr>
      <w:r>
        <w:t>Fake tradies</w:t>
      </w:r>
    </w:p>
    <w:p w14:paraId="3815DBF2" w14:textId="44940494" w:rsidR="00ED6A34" w:rsidRDefault="00ED6A34" w:rsidP="00A75F3C">
      <w:pPr>
        <w:pStyle w:val="BodyText"/>
      </w:pPr>
      <w:r>
        <w:t>Fake tradies are dodgy tradespeople who knock on doors or drop leaflets, offering home improvement services such as roofing, tree lopping, painting and driveway resurfacing. Often, the work these fake tradies promise to carry out never eventuates or is of a poor standard. They commonly disappear as soon as they have been paid.</w:t>
      </w:r>
    </w:p>
    <w:p w14:paraId="39A3AE41" w14:textId="2099DC83" w:rsidR="00ED6A34" w:rsidRDefault="00ED6A34" w:rsidP="00A75F3C">
      <w:pPr>
        <w:pStyle w:val="BodyText"/>
      </w:pPr>
      <w:r>
        <w:t>This year, Victorians reported record losses to fake tradies of more than $2.9 million. This is more than double the amount reported in the previous financial year. We received more than 340 reports of fake tradies in 2018–19.</w:t>
      </w:r>
    </w:p>
    <w:p w14:paraId="5760B733" w14:textId="2FA98001" w:rsidR="00ED6A34" w:rsidRDefault="00ED6A34" w:rsidP="00A75F3C">
      <w:pPr>
        <w:pStyle w:val="BodyText"/>
      </w:pPr>
      <w:r>
        <w:lastRenderedPageBreak/>
        <w:t>Our state-wide campaign, launched in May this year, helped people identify and avoid fake tradies. To get the word out, we developed a toolkit for 155 of our stakeholders, including all Victorian councils, the Municipal Association of Victoria and the Country Women’s Association of Victoria. We also targeted five Melbourne councils where fake tradies were most active and distributed warning flyers to more than 250,000 residents.</w:t>
      </w:r>
    </w:p>
    <w:p w14:paraId="3460F339" w14:textId="699C251F" w:rsidR="00ED6A34" w:rsidRDefault="00ED6A34" w:rsidP="00A75F3C">
      <w:pPr>
        <w:pStyle w:val="BodyText"/>
      </w:pPr>
      <w:r>
        <w:t>Fake tradies often target vulnerable consumers and residents who speak little or no English, so we made sure our communications reached culturally and linguistically diverse groups.</w:t>
      </w:r>
    </w:p>
    <w:p w14:paraId="065FA76E" w14:textId="7C311657" w:rsidR="00ED6A34" w:rsidRDefault="00ED6A34" w:rsidP="00A75F3C">
      <w:pPr>
        <w:pStyle w:val="BodyText"/>
      </w:pPr>
      <w:r>
        <w:t>In June, we warned residents in Victoria’s north-east and north-west to be vigilant against a group of fake tradies, after they scammed local homeowners out of $41,000.</w:t>
      </w:r>
    </w:p>
    <w:p w14:paraId="1EA6D2A6" w14:textId="075AE835" w:rsidR="00ED6A34" w:rsidRDefault="00ED6A34" w:rsidP="00A75F3C">
      <w:pPr>
        <w:pStyle w:val="BodyText"/>
      </w:pPr>
      <w:r>
        <w:t xml:space="preserve">These fake tradies offered cheap driveway resurfacing services, claiming to have leftover asphalt from a previous job. They managed to scam $16,000 from residents in Mount Alexander and </w:t>
      </w:r>
      <w:proofErr w:type="spellStart"/>
      <w:r>
        <w:t>Gannawarra</w:t>
      </w:r>
      <w:proofErr w:type="spellEnd"/>
      <w:r>
        <w:t>, $11,000 from a homeowner in Ballarat and a further $14,000 from residents in Greater Shepparton and Benalla.</w:t>
      </w:r>
    </w:p>
    <w:p w14:paraId="00EBD9D0" w14:textId="776B2509" w:rsidR="00ED6A34" w:rsidRDefault="00ED6A34" w:rsidP="00BB1C65">
      <w:pPr>
        <w:pStyle w:val="Heading4"/>
      </w:pPr>
      <w:r>
        <w:t>A collaborative response to building support</w:t>
      </w:r>
    </w:p>
    <w:p w14:paraId="730FBA2E" w14:textId="126427CC" w:rsidR="00ED6A34" w:rsidRDefault="00ED6A34" w:rsidP="00A75F3C">
      <w:pPr>
        <w:pStyle w:val="BodyText"/>
      </w:pPr>
      <w:r>
        <w:t>Building or renovating your home can be complex.</w:t>
      </w:r>
    </w:p>
    <w:p w14:paraId="3D666AB4" w14:textId="0F39D2BD" w:rsidR="00ED6A34" w:rsidRDefault="00ED6A34" w:rsidP="00A75F3C">
      <w:pPr>
        <w:pStyle w:val="BodyText"/>
      </w:pPr>
      <w:r>
        <w:t>This year we worked closely with key building regulators and stakeholders, including the Victorian Building Authority (VBA), the Victorian Managed Insurance Authority (VMIA) and Domestic Building Dispute Resolution Victoria (DBDRV) to increase consumer awareness of the services and support available.</w:t>
      </w:r>
    </w:p>
    <w:p w14:paraId="1D18414D" w14:textId="0FC3E00A" w:rsidR="00ED6A34" w:rsidRDefault="00ED6A34" w:rsidP="00A75F3C">
      <w:pPr>
        <w:pStyle w:val="BodyText"/>
      </w:pPr>
      <w:r>
        <w:t>We focused on making it easier for consumers to access clear and comprehensive building information by collaborating with other agencies to streamline and improve our websites.</w:t>
      </w:r>
    </w:p>
    <w:p w14:paraId="468DEC82" w14:textId="13F5DBB5" w:rsidR="00ED6A34" w:rsidRDefault="00ED6A34" w:rsidP="00A75F3C">
      <w:pPr>
        <w:pStyle w:val="BodyText"/>
      </w:pPr>
      <w:r>
        <w:t xml:space="preserve">We also partnered with Energy Safe Victoria, Environment Protection Authority Victoria, the VBA and WorkSafe Victoria to deliver the </w:t>
      </w:r>
      <w:r w:rsidRPr="00F3632D">
        <w:rPr>
          <w:rStyle w:val="Emphasis"/>
        </w:rPr>
        <w:t>Build Aware</w:t>
      </w:r>
      <w:r>
        <w:t xml:space="preserve"> program, helping businesses comply with workplace safety laws and building regulations.</w:t>
      </w:r>
    </w:p>
    <w:p w14:paraId="4DB70048" w14:textId="2000452A" w:rsidR="00ED6A34" w:rsidRDefault="00ED6A34" w:rsidP="00A75F3C">
      <w:pPr>
        <w:pStyle w:val="BodyText"/>
      </w:pPr>
      <w:r>
        <w:t>In May 2019,</w:t>
      </w:r>
      <w:r w:rsidRPr="00F3632D">
        <w:rPr>
          <w:rStyle w:val="Emphasis"/>
        </w:rPr>
        <w:t xml:space="preserve"> Build Aware</w:t>
      </w:r>
      <w:r>
        <w:t xml:space="preserve"> focused on the Ballarat area, where our inspectors reviewed domestic building contracts and tested builders’ compliance with important consumer protections. This included checking contract insurance details and checking that requested deposit amounts were within the appropriate range.</w:t>
      </w:r>
    </w:p>
    <w:p w14:paraId="0092A7D2" w14:textId="57015A8E" w:rsidR="00ED6A34" w:rsidRDefault="00ED6A34" w:rsidP="00A75F3C">
      <w:pPr>
        <w:pStyle w:val="BodyText"/>
      </w:pPr>
      <w:r>
        <w:t xml:space="preserve">This year </w:t>
      </w:r>
      <w:r w:rsidRPr="00F3632D">
        <w:rPr>
          <w:rStyle w:val="Emphasis"/>
        </w:rPr>
        <w:t>Build Aware</w:t>
      </w:r>
      <w:r>
        <w:t xml:space="preserve"> conducted more than 300 inspections, with most building sites found to be compliant.</w:t>
      </w:r>
    </w:p>
    <w:p w14:paraId="153CD8B7" w14:textId="7EFCBD82" w:rsidR="00ED6A34" w:rsidRDefault="00ED6A34" w:rsidP="00A75F3C">
      <w:pPr>
        <w:pStyle w:val="BodyText"/>
      </w:pPr>
      <w:r>
        <w:t>Our commitment to keeping consumers informed through participation at the Melbourne Home Show continues. Joining the VBA, VMIA and DBDRV, we collectively spoke to more than 725 visitors, providing advice on building and renovating matters.</w:t>
      </w:r>
    </w:p>
    <w:p w14:paraId="5A52AB83" w14:textId="6A036B0B" w:rsidR="00ED6A34" w:rsidRDefault="00ED6A34" w:rsidP="00A75F3C">
      <w:pPr>
        <w:pStyle w:val="BodyText"/>
      </w:pPr>
      <w:r>
        <w:t>We continue to work closely with agencies involved in building regulation, to collectively deliver activities and campaigns. This helps ensure businesses receive important compliance information and consumers understand their rights and responsibilities.</w:t>
      </w:r>
    </w:p>
    <w:p w14:paraId="2364475A" w14:textId="77777777" w:rsidR="00A54548" w:rsidRPr="00A54548" w:rsidRDefault="00A54548" w:rsidP="00A54548">
      <w:pPr>
        <w:pStyle w:val="BodyText"/>
      </w:pPr>
      <w:r w:rsidRPr="00A54548">
        <w:br w:type="page"/>
      </w:r>
    </w:p>
    <w:p w14:paraId="308AAD6D" w14:textId="63F404AD" w:rsidR="00ED6A34" w:rsidRDefault="00ED6A34" w:rsidP="00BB1C65">
      <w:pPr>
        <w:pStyle w:val="Heading3"/>
      </w:pPr>
      <w:bookmarkStart w:id="15" w:name="_Toc21600823"/>
      <w:r>
        <w:lastRenderedPageBreak/>
        <w:t>Outcome 3 – A fair and safe rental market</w:t>
      </w:r>
      <w:bookmarkEnd w:id="15"/>
    </w:p>
    <w:p w14:paraId="532BEEE3" w14:textId="6816A754" w:rsidR="00ED6A34" w:rsidRDefault="00ED6A34" w:rsidP="00A75F3C">
      <w:pPr>
        <w:pStyle w:val="BodyText"/>
      </w:pPr>
      <w:r>
        <w:t>As the Victorian regulator of rental laws, we work to achieve fair and safe rental housing. Our priority is to ensure the residential tenancy framework in Victoria reflects the modern marketplace, delivering the best results for all. This includes increased collaboration with partners so we can continue to improve our understanding of the needs of a modern market and make positive changes across the sector.</w:t>
      </w:r>
    </w:p>
    <w:p w14:paraId="57784E75" w14:textId="77777777" w:rsidR="00ED6A34" w:rsidRDefault="00ED6A34" w:rsidP="00BB1C65">
      <w:pPr>
        <w:pStyle w:val="Heading4"/>
      </w:pPr>
      <w:r>
        <w:t>Highlights</w:t>
      </w:r>
    </w:p>
    <w:p w14:paraId="3D66D018" w14:textId="4C245B4C" w:rsidR="00ED6A34" w:rsidRDefault="00ED6A34" w:rsidP="00A75F3C">
      <w:pPr>
        <w:pStyle w:val="BodyText"/>
      </w:pPr>
      <w:r>
        <w:t>Residential tenancies continue to be one of the main reasons Victorians contact us. In 2018–19 we assisted 64,118 callers with residential tenancy matters and 73,446 callers to the Residential Tenancies Bond Authority (RTBA). The renting section on our website had the most views, with more than 2.2 million visits.</w:t>
      </w:r>
    </w:p>
    <w:p w14:paraId="2C4A10A5" w14:textId="14D577C6" w:rsidR="00ED6A34" w:rsidRDefault="00ED6A34" w:rsidP="00A75F3C">
      <w:pPr>
        <w:pStyle w:val="BodyText"/>
      </w:pPr>
      <w:r>
        <w:t>More than 8,100 renters received information and advocacy support under the Tenancy Assistance and Advocacy Program.</w:t>
      </w:r>
    </w:p>
    <w:p w14:paraId="306D614F" w14:textId="7DC291CA" w:rsidR="00ED6A34" w:rsidRDefault="00ED6A34" w:rsidP="00A75F3C">
      <w:pPr>
        <w:pStyle w:val="BodyText"/>
      </w:pPr>
      <w:r>
        <w:t xml:space="preserve">We completed our support for the Victorian Government’s </w:t>
      </w:r>
      <w:r w:rsidRPr="00F3632D">
        <w:rPr>
          <w:rStyle w:val="Emphasis"/>
        </w:rPr>
        <w:t>Fairer, Safer, Housing</w:t>
      </w:r>
      <w:r>
        <w:t xml:space="preserve"> review. </w:t>
      </w:r>
      <w:proofErr w:type="gramStart"/>
      <w:r>
        <w:t xml:space="preserve">The </w:t>
      </w:r>
      <w:r w:rsidRPr="00F3632D">
        <w:rPr>
          <w:rStyle w:val="Emphasis"/>
        </w:rPr>
        <w:t>Residential Tenancies Amendment Act 2018</w:t>
      </w:r>
      <w:r>
        <w:t>,</w:t>
      </w:r>
      <w:proofErr w:type="gramEnd"/>
      <w:r>
        <w:t xml:space="preserve"> passed Parliament in September 2018 with a package of more than 130 reforms. Some of these have already been implemented.</w:t>
      </w:r>
    </w:p>
    <w:p w14:paraId="6F3AE598" w14:textId="2FE917B6" w:rsidR="00ED6A34" w:rsidRDefault="00ED6A34" w:rsidP="00A75F3C">
      <w:pPr>
        <w:pStyle w:val="BodyText"/>
      </w:pPr>
      <w:r>
        <w:t>We supported the establishment of the office of the Residential Tenancies Commissioner – the inaugural Commissioner, Dr Heather Holst, commenced her role in September 2018.</w:t>
      </w:r>
    </w:p>
    <w:p w14:paraId="4186E683" w14:textId="50DD26B1" w:rsidR="00ED6A34" w:rsidRDefault="00ED6A34" w:rsidP="00A75F3C">
      <w:pPr>
        <w:pStyle w:val="BodyText"/>
      </w:pPr>
      <w:r>
        <w:t xml:space="preserve">We implemented new laws to better protect residents of high-rise apartments from unruly parties in short-stay accommodation. Other key reforms were passed following the review of the </w:t>
      </w:r>
      <w:r w:rsidRPr="00F3632D">
        <w:rPr>
          <w:rStyle w:val="Emphasis"/>
        </w:rPr>
        <w:t>Sale of Land Act 1962</w:t>
      </w:r>
      <w:r>
        <w:t>.</w:t>
      </w:r>
    </w:p>
    <w:p w14:paraId="6F4617D0" w14:textId="441938EB" w:rsidR="00ED6A34" w:rsidRDefault="00ED6A34" w:rsidP="00A75F3C">
      <w:pPr>
        <w:pStyle w:val="BodyText"/>
      </w:pPr>
      <w:r>
        <w:t xml:space="preserve">This year, the Minister for Consumer Affairs Marlene </w:t>
      </w:r>
      <w:proofErr w:type="spellStart"/>
      <w:r>
        <w:t>Kairouz</w:t>
      </w:r>
      <w:proofErr w:type="spellEnd"/>
      <w:r>
        <w:t xml:space="preserve"> awarded seven grants for community housing development projects to accommodate Victorians in need.</w:t>
      </w:r>
    </w:p>
    <w:p w14:paraId="30E78816" w14:textId="77777777" w:rsidR="00555997" w:rsidRDefault="00555997">
      <w:pPr>
        <w:spacing w:after="0" w:line="240" w:lineRule="auto"/>
        <w:rPr>
          <w:rFonts w:ascii="Arial" w:eastAsia="Times New Roman" w:hAnsi="Arial" w:cs="Arial"/>
          <w:sz w:val="20"/>
          <w:szCs w:val="24"/>
        </w:rPr>
      </w:pPr>
      <w:r>
        <w:br w:type="page"/>
      </w:r>
    </w:p>
    <w:p w14:paraId="6F0C79CD" w14:textId="40BD1550" w:rsidR="00ED6A34" w:rsidRDefault="00ED6A34" w:rsidP="00A75F3C">
      <w:pPr>
        <w:pStyle w:val="BodyText"/>
      </w:pPr>
      <w:r>
        <w:lastRenderedPageBreak/>
        <w:t xml:space="preserve">Table 5 below provides more information about our activities related to residential tenancies </w:t>
      </w:r>
      <w:r w:rsidR="00A54548">
        <w:br/>
      </w:r>
      <w:r>
        <w:t>in 2018–19.</w:t>
      </w:r>
    </w:p>
    <w:p w14:paraId="4CA99566" w14:textId="20E97CC8" w:rsidR="00ED6A34" w:rsidRDefault="00ED6A34" w:rsidP="00555997">
      <w:pPr>
        <w:pStyle w:val="Caption"/>
      </w:pPr>
      <w:r>
        <w:t>Table 5: Information, advice and service delivery to tenants, landlords and agents</w:t>
      </w:r>
    </w:p>
    <w:tbl>
      <w:tblPr>
        <w:tblStyle w:val="TableGrid"/>
        <w:tblW w:w="9072" w:type="dxa"/>
        <w:tblLayout w:type="fixed"/>
        <w:tblLook w:val="06A0" w:firstRow="1" w:lastRow="0" w:firstColumn="1" w:lastColumn="0" w:noHBand="1" w:noVBand="1"/>
      </w:tblPr>
      <w:tblGrid>
        <w:gridCol w:w="5209"/>
        <w:gridCol w:w="1288"/>
        <w:gridCol w:w="1287"/>
        <w:gridCol w:w="1288"/>
      </w:tblGrid>
      <w:tr w:rsidR="00ED6A34" w14:paraId="4FC6F3D9"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5556" w:type="dxa"/>
          </w:tcPr>
          <w:p w14:paraId="20D54180" w14:textId="77777777" w:rsidR="00ED6A34" w:rsidRDefault="00ED6A34">
            <w:pPr>
              <w:spacing w:line="240" w:lineRule="auto"/>
              <w:rPr>
                <w:rFonts w:ascii="VIC-SemiBold" w:hAnsi="VIC-SemiBold" w:cstheme="minorBidi"/>
              </w:rPr>
            </w:pPr>
          </w:p>
        </w:tc>
        <w:tc>
          <w:tcPr>
            <w:tcW w:w="1361" w:type="dxa"/>
          </w:tcPr>
          <w:p w14:paraId="303E7E01" w14:textId="77777777" w:rsidR="00ED6A34" w:rsidRDefault="00ED6A34" w:rsidP="00006DE3">
            <w:pPr>
              <w:pStyle w:val="TableColHeadRight"/>
            </w:pPr>
            <w:r>
              <w:t>2016–17</w:t>
            </w:r>
          </w:p>
        </w:tc>
        <w:tc>
          <w:tcPr>
            <w:tcW w:w="1360" w:type="dxa"/>
          </w:tcPr>
          <w:p w14:paraId="6874B02C" w14:textId="77777777" w:rsidR="00ED6A34" w:rsidRDefault="00ED6A34" w:rsidP="00006DE3">
            <w:pPr>
              <w:pStyle w:val="TableColHeadRight"/>
            </w:pPr>
            <w:r>
              <w:t>2017–18</w:t>
            </w:r>
          </w:p>
        </w:tc>
        <w:tc>
          <w:tcPr>
            <w:tcW w:w="1361" w:type="dxa"/>
          </w:tcPr>
          <w:p w14:paraId="5F977095" w14:textId="77777777" w:rsidR="00ED6A34" w:rsidRDefault="00ED6A34" w:rsidP="00006DE3">
            <w:pPr>
              <w:pStyle w:val="TableColHeadRight"/>
            </w:pPr>
            <w:r>
              <w:t>2018–19</w:t>
            </w:r>
          </w:p>
        </w:tc>
      </w:tr>
      <w:tr w:rsidR="00ED6A34" w14:paraId="0731B4AC" w14:textId="77777777" w:rsidTr="00A41E9C">
        <w:trPr>
          <w:trHeight w:val="60"/>
        </w:trPr>
        <w:tc>
          <w:tcPr>
            <w:tcW w:w="9638" w:type="dxa"/>
            <w:gridSpan w:val="4"/>
            <w:shd w:val="clear" w:color="auto" w:fill="B2D5F0"/>
          </w:tcPr>
          <w:p w14:paraId="1E859F01" w14:textId="3DFBA852" w:rsidR="00ED6A34" w:rsidRDefault="00ED6A34" w:rsidP="00006DE3">
            <w:pPr>
              <w:pStyle w:val="TableTextBold"/>
            </w:pPr>
            <w:r>
              <w:t>Information and advice</w:t>
            </w:r>
          </w:p>
        </w:tc>
      </w:tr>
      <w:tr w:rsidR="00ED6A34" w14:paraId="15A1284C" w14:textId="77777777" w:rsidTr="00A41E9C">
        <w:trPr>
          <w:trHeight w:val="60"/>
        </w:trPr>
        <w:tc>
          <w:tcPr>
            <w:tcW w:w="5556" w:type="dxa"/>
          </w:tcPr>
          <w:p w14:paraId="18ECCCA8" w14:textId="0A11F197" w:rsidR="00ED6A34" w:rsidRDefault="00ED6A34" w:rsidP="00006DE3">
            <w:pPr>
              <w:pStyle w:val="TableText"/>
            </w:pPr>
            <w:r>
              <w:t>Website page views – renting section</w:t>
            </w:r>
          </w:p>
        </w:tc>
        <w:tc>
          <w:tcPr>
            <w:tcW w:w="1361" w:type="dxa"/>
          </w:tcPr>
          <w:p w14:paraId="4F73F5EA" w14:textId="77777777" w:rsidR="00ED6A34" w:rsidRDefault="00ED6A34" w:rsidP="00006DE3">
            <w:pPr>
              <w:pStyle w:val="TableTextRight"/>
            </w:pPr>
            <w:r>
              <w:t>1,878,001</w:t>
            </w:r>
          </w:p>
        </w:tc>
        <w:tc>
          <w:tcPr>
            <w:tcW w:w="1360" w:type="dxa"/>
          </w:tcPr>
          <w:p w14:paraId="2EADE448" w14:textId="77777777" w:rsidR="00ED6A34" w:rsidRDefault="00ED6A34" w:rsidP="00006DE3">
            <w:pPr>
              <w:pStyle w:val="TableTextRight"/>
            </w:pPr>
            <w:r>
              <w:t>2,174,527</w:t>
            </w:r>
          </w:p>
        </w:tc>
        <w:tc>
          <w:tcPr>
            <w:tcW w:w="1361" w:type="dxa"/>
          </w:tcPr>
          <w:p w14:paraId="601B6290" w14:textId="77777777" w:rsidR="00ED6A34" w:rsidRDefault="00ED6A34" w:rsidP="00006DE3">
            <w:pPr>
              <w:pStyle w:val="TableTextRight"/>
            </w:pPr>
            <w:r>
              <w:t>2,238,743</w:t>
            </w:r>
          </w:p>
        </w:tc>
      </w:tr>
      <w:tr w:rsidR="00ED6A34" w14:paraId="6A4D43F9" w14:textId="77777777" w:rsidTr="00A41E9C">
        <w:trPr>
          <w:trHeight w:val="60"/>
        </w:trPr>
        <w:tc>
          <w:tcPr>
            <w:tcW w:w="5556" w:type="dxa"/>
          </w:tcPr>
          <w:p w14:paraId="6293BA5B" w14:textId="7E391F47" w:rsidR="00ED6A34" w:rsidRDefault="00ED6A34" w:rsidP="00006DE3">
            <w:pPr>
              <w:pStyle w:val="TableText"/>
            </w:pPr>
            <w:r>
              <w:t>Calls answered – residential tenancies</w:t>
            </w:r>
          </w:p>
        </w:tc>
        <w:tc>
          <w:tcPr>
            <w:tcW w:w="1361" w:type="dxa"/>
          </w:tcPr>
          <w:p w14:paraId="58613197" w14:textId="77777777" w:rsidR="00ED6A34" w:rsidRDefault="00ED6A34" w:rsidP="00006DE3">
            <w:pPr>
              <w:pStyle w:val="TableTextRight"/>
            </w:pPr>
            <w:r>
              <w:t>69,472</w:t>
            </w:r>
          </w:p>
        </w:tc>
        <w:tc>
          <w:tcPr>
            <w:tcW w:w="1360" w:type="dxa"/>
          </w:tcPr>
          <w:p w14:paraId="23B8435A" w14:textId="77777777" w:rsidR="00ED6A34" w:rsidRDefault="00ED6A34" w:rsidP="00006DE3">
            <w:pPr>
              <w:pStyle w:val="TableTextRight"/>
            </w:pPr>
            <w:r>
              <w:t>67,813</w:t>
            </w:r>
          </w:p>
        </w:tc>
        <w:tc>
          <w:tcPr>
            <w:tcW w:w="1361" w:type="dxa"/>
          </w:tcPr>
          <w:p w14:paraId="6EFC90D6" w14:textId="77777777" w:rsidR="00ED6A34" w:rsidRDefault="00ED6A34" w:rsidP="00006DE3">
            <w:pPr>
              <w:pStyle w:val="TableTextRight"/>
            </w:pPr>
            <w:r>
              <w:t>64,118</w:t>
            </w:r>
          </w:p>
        </w:tc>
      </w:tr>
      <w:tr w:rsidR="00ED6A34" w14:paraId="064486B6" w14:textId="77777777" w:rsidTr="00A41E9C">
        <w:trPr>
          <w:trHeight w:val="60"/>
        </w:trPr>
        <w:tc>
          <w:tcPr>
            <w:tcW w:w="5556" w:type="dxa"/>
          </w:tcPr>
          <w:p w14:paraId="31358664" w14:textId="650D178A" w:rsidR="00ED6A34" w:rsidRDefault="00ED6A34" w:rsidP="00006DE3">
            <w:pPr>
              <w:pStyle w:val="TableText"/>
            </w:pPr>
            <w:r>
              <w:t>Calls answered – RTBA</w:t>
            </w:r>
          </w:p>
        </w:tc>
        <w:tc>
          <w:tcPr>
            <w:tcW w:w="1361" w:type="dxa"/>
          </w:tcPr>
          <w:p w14:paraId="6D71897C" w14:textId="77777777" w:rsidR="00ED6A34" w:rsidRDefault="00ED6A34" w:rsidP="00006DE3">
            <w:pPr>
              <w:pStyle w:val="TableTextRight"/>
            </w:pPr>
            <w:r>
              <w:t>77,487</w:t>
            </w:r>
          </w:p>
        </w:tc>
        <w:tc>
          <w:tcPr>
            <w:tcW w:w="1360" w:type="dxa"/>
          </w:tcPr>
          <w:p w14:paraId="37B44E1D" w14:textId="77777777" w:rsidR="00ED6A34" w:rsidRDefault="00ED6A34" w:rsidP="00006DE3">
            <w:pPr>
              <w:pStyle w:val="TableTextRight"/>
            </w:pPr>
            <w:r>
              <w:t>71,378</w:t>
            </w:r>
          </w:p>
        </w:tc>
        <w:tc>
          <w:tcPr>
            <w:tcW w:w="1361" w:type="dxa"/>
          </w:tcPr>
          <w:p w14:paraId="1B256FF3" w14:textId="77777777" w:rsidR="00ED6A34" w:rsidRDefault="00ED6A34" w:rsidP="00006DE3">
            <w:pPr>
              <w:pStyle w:val="TableTextRight"/>
            </w:pPr>
            <w:r>
              <w:t>73,446</w:t>
            </w:r>
          </w:p>
        </w:tc>
      </w:tr>
      <w:tr w:rsidR="00ED6A34" w14:paraId="6EBEA744" w14:textId="77777777" w:rsidTr="00A41E9C">
        <w:trPr>
          <w:trHeight w:val="60"/>
        </w:trPr>
        <w:tc>
          <w:tcPr>
            <w:tcW w:w="5556" w:type="dxa"/>
          </w:tcPr>
          <w:p w14:paraId="0DF0A7E5" w14:textId="32C5CE0A" w:rsidR="00ED6A34" w:rsidRDefault="00ED6A34" w:rsidP="00006DE3">
            <w:pPr>
              <w:pStyle w:val="TableText"/>
            </w:pPr>
            <w:proofErr w:type="spellStart"/>
            <w:r>
              <w:t>RentRight</w:t>
            </w:r>
            <w:proofErr w:type="spellEnd"/>
            <w:r>
              <w:t xml:space="preserve"> app downloads</w:t>
            </w:r>
          </w:p>
        </w:tc>
        <w:tc>
          <w:tcPr>
            <w:tcW w:w="1361" w:type="dxa"/>
          </w:tcPr>
          <w:p w14:paraId="6465C35F" w14:textId="77777777" w:rsidR="00ED6A34" w:rsidRDefault="00ED6A34" w:rsidP="00006DE3">
            <w:pPr>
              <w:pStyle w:val="TableTextRight"/>
            </w:pPr>
            <w:r>
              <w:t>7,780</w:t>
            </w:r>
          </w:p>
        </w:tc>
        <w:tc>
          <w:tcPr>
            <w:tcW w:w="1360" w:type="dxa"/>
          </w:tcPr>
          <w:p w14:paraId="2F0502C8" w14:textId="77777777" w:rsidR="00ED6A34" w:rsidRDefault="00ED6A34" w:rsidP="00006DE3">
            <w:pPr>
              <w:pStyle w:val="TableTextRight"/>
            </w:pPr>
            <w:r>
              <w:t>6,917</w:t>
            </w:r>
          </w:p>
        </w:tc>
        <w:tc>
          <w:tcPr>
            <w:tcW w:w="1361" w:type="dxa"/>
          </w:tcPr>
          <w:p w14:paraId="6E488261" w14:textId="77777777" w:rsidR="00ED6A34" w:rsidRDefault="00ED6A34" w:rsidP="00006DE3">
            <w:pPr>
              <w:pStyle w:val="TableTextRight"/>
            </w:pPr>
            <w:r>
              <w:t>5,321</w:t>
            </w:r>
          </w:p>
        </w:tc>
      </w:tr>
      <w:tr w:rsidR="00ED6A34" w14:paraId="2ECCC6A7" w14:textId="77777777" w:rsidTr="00A41E9C">
        <w:trPr>
          <w:trHeight w:val="60"/>
        </w:trPr>
        <w:tc>
          <w:tcPr>
            <w:tcW w:w="9638" w:type="dxa"/>
            <w:gridSpan w:val="4"/>
            <w:shd w:val="clear" w:color="auto" w:fill="B2D5F0"/>
          </w:tcPr>
          <w:p w14:paraId="2323C86D" w14:textId="77777777" w:rsidR="00ED6A34" w:rsidRDefault="00ED6A34" w:rsidP="00006DE3">
            <w:pPr>
              <w:pStyle w:val="TableTextBold"/>
            </w:pPr>
            <w:r>
              <w:t>Compliance</w:t>
            </w:r>
          </w:p>
        </w:tc>
      </w:tr>
      <w:tr w:rsidR="00ED6A34" w14:paraId="2592E8DD" w14:textId="77777777" w:rsidTr="00A41E9C">
        <w:trPr>
          <w:trHeight w:val="60"/>
        </w:trPr>
        <w:tc>
          <w:tcPr>
            <w:tcW w:w="5556" w:type="dxa"/>
          </w:tcPr>
          <w:p w14:paraId="00EDD255" w14:textId="77578D24" w:rsidR="00ED6A34" w:rsidRDefault="00ED6A34" w:rsidP="00006DE3">
            <w:pPr>
              <w:pStyle w:val="TableText"/>
            </w:pPr>
            <w:r>
              <w:t>Rooming house inspections (including repeat visits)</w:t>
            </w:r>
          </w:p>
        </w:tc>
        <w:tc>
          <w:tcPr>
            <w:tcW w:w="1361" w:type="dxa"/>
          </w:tcPr>
          <w:p w14:paraId="3EAABC4E" w14:textId="77777777" w:rsidR="00ED6A34" w:rsidRDefault="00ED6A34" w:rsidP="00006DE3">
            <w:pPr>
              <w:pStyle w:val="TableTextRight"/>
            </w:pPr>
            <w:r>
              <w:t>621</w:t>
            </w:r>
          </w:p>
        </w:tc>
        <w:tc>
          <w:tcPr>
            <w:tcW w:w="1360" w:type="dxa"/>
          </w:tcPr>
          <w:p w14:paraId="3706C35F" w14:textId="77777777" w:rsidR="00ED6A34" w:rsidRDefault="00ED6A34" w:rsidP="00006DE3">
            <w:pPr>
              <w:pStyle w:val="TableTextRight"/>
            </w:pPr>
            <w:r>
              <w:t>738</w:t>
            </w:r>
          </w:p>
        </w:tc>
        <w:tc>
          <w:tcPr>
            <w:tcW w:w="1361" w:type="dxa"/>
          </w:tcPr>
          <w:p w14:paraId="1981D9F2" w14:textId="77777777" w:rsidR="00ED6A34" w:rsidRDefault="00ED6A34" w:rsidP="00006DE3">
            <w:pPr>
              <w:pStyle w:val="TableTextRight"/>
            </w:pPr>
            <w:r>
              <w:t>406</w:t>
            </w:r>
          </w:p>
        </w:tc>
      </w:tr>
      <w:tr w:rsidR="00ED6A34" w14:paraId="3C1FEE08" w14:textId="77777777" w:rsidTr="00A41E9C">
        <w:trPr>
          <w:trHeight w:val="60"/>
        </w:trPr>
        <w:tc>
          <w:tcPr>
            <w:tcW w:w="5556" w:type="dxa"/>
          </w:tcPr>
          <w:p w14:paraId="0FFC38DC" w14:textId="309C7B84" w:rsidR="00ED6A34" w:rsidRDefault="00ED6A34" w:rsidP="00006DE3">
            <w:pPr>
              <w:pStyle w:val="TableText"/>
            </w:pPr>
            <w:r>
              <w:t>Rooming houses registered</w:t>
            </w:r>
          </w:p>
        </w:tc>
        <w:tc>
          <w:tcPr>
            <w:tcW w:w="1361" w:type="dxa"/>
          </w:tcPr>
          <w:p w14:paraId="5A1E09D7" w14:textId="77777777" w:rsidR="00ED6A34" w:rsidRDefault="00ED6A34" w:rsidP="00006DE3">
            <w:pPr>
              <w:pStyle w:val="TableTextRight"/>
            </w:pPr>
            <w:r>
              <w:t>1,184</w:t>
            </w:r>
          </w:p>
        </w:tc>
        <w:tc>
          <w:tcPr>
            <w:tcW w:w="1360" w:type="dxa"/>
          </w:tcPr>
          <w:p w14:paraId="4D6C669B" w14:textId="77777777" w:rsidR="00ED6A34" w:rsidRDefault="00ED6A34" w:rsidP="00006DE3">
            <w:pPr>
              <w:pStyle w:val="TableTextRight"/>
            </w:pPr>
            <w:r>
              <w:t>1,256</w:t>
            </w:r>
          </w:p>
        </w:tc>
        <w:tc>
          <w:tcPr>
            <w:tcW w:w="1361" w:type="dxa"/>
          </w:tcPr>
          <w:p w14:paraId="52A9188E" w14:textId="77777777" w:rsidR="00ED6A34" w:rsidRDefault="00ED6A34" w:rsidP="00006DE3">
            <w:pPr>
              <w:pStyle w:val="TableTextRight"/>
            </w:pPr>
            <w:r>
              <w:t>1,340</w:t>
            </w:r>
          </w:p>
        </w:tc>
      </w:tr>
      <w:tr w:rsidR="00ED6A34" w14:paraId="5D527C63" w14:textId="77777777" w:rsidTr="00555997">
        <w:trPr>
          <w:trHeight w:val="60"/>
        </w:trPr>
        <w:tc>
          <w:tcPr>
            <w:tcW w:w="9638" w:type="dxa"/>
            <w:gridSpan w:val="4"/>
            <w:shd w:val="clear" w:color="auto" w:fill="B2D5F0"/>
          </w:tcPr>
          <w:p w14:paraId="2FFB78B5" w14:textId="77777777" w:rsidR="00ED6A34" w:rsidRDefault="00ED6A34" w:rsidP="00006DE3">
            <w:pPr>
              <w:pStyle w:val="TableTextBold"/>
            </w:pPr>
            <w:r>
              <w:t>Transactions</w:t>
            </w:r>
          </w:p>
        </w:tc>
      </w:tr>
      <w:tr w:rsidR="00ED6A34" w14:paraId="69FC6833" w14:textId="77777777" w:rsidTr="00A41E9C">
        <w:trPr>
          <w:trHeight w:val="60"/>
        </w:trPr>
        <w:tc>
          <w:tcPr>
            <w:tcW w:w="5556" w:type="dxa"/>
          </w:tcPr>
          <w:p w14:paraId="407ACA7D" w14:textId="42416851" w:rsidR="00ED6A34" w:rsidRDefault="00ED6A34" w:rsidP="00006DE3">
            <w:pPr>
              <w:pStyle w:val="TableText"/>
            </w:pPr>
            <w:r>
              <w:t>Bonds lodged</w:t>
            </w:r>
          </w:p>
        </w:tc>
        <w:tc>
          <w:tcPr>
            <w:tcW w:w="1361" w:type="dxa"/>
          </w:tcPr>
          <w:p w14:paraId="41B70629" w14:textId="77777777" w:rsidR="00ED6A34" w:rsidRDefault="00ED6A34" w:rsidP="00006DE3">
            <w:pPr>
              <w:pStyle w:val="TableTextRight"/>
            </w:pPr>
            <w:r>
              <w:t>241,489</w:t>
            </w:r>
          </w:p>
        </w:tc>
        <w:tc>
          <w:tcPr>
            <w:tcW w:w="1360" w:type="dxa"/>
          </w:tcPr>
          <w:p w14:paraId="25742A30" w14:textId="77777777" w:rsidR="00ED6A34" w:rsidRDefault="00ED6A34" w:rsidP="00006DE3">
            <w:pPr>
              <w:pStyle w:val="TableTextRight"/>
            </w:pPr>
            <w:r>
              <w:t>241,534</w:t>
            </w:r>
          </w:p>
        </w:tc>
        <w:tc>
          <w:tcPr>
            <w:tcW w:w="1361" w:type="dxa"/>
          </w:tcPr>
          <w:p w14:paraId="74833E5D" w14:textId="77777777" w:rsidR="00ED6A34" w:rsidRDefault="00ED6A34" w:rsidP="00006DE3">
            <w:pPr>
              <w:pStyle w:val="TableTextRight"/>
            </w:pPr>
            <w:r>
              <w:t>244,756</w:t>
            </w:r>
          </w:p>
        </w:tc>
      </w:tr>
      <w:tr w:rsidR="00ED6A34" w14:paraId="4ED1BCD0" w14:textId="77777777" w:rsidTr="00A41E9C">
        <w:trPr>
          <w:trHeight w:val="60"/>
        </w:trPr>
        <w:tc>
          <w:tcPr>
            <w:tcW w:w="5556" w:type="dxa"/>
          </w:tcPr>
          <w:p w14:paraId="13365475" w14:textId="11C9FD22" w:rsidR="00ED6A34" w:rsidRDefault="00ED6A34" w:rsidP="00006DE3">
            <w:pPr>
              <w:pStyle w:val="TableText"/>
            </w:pPr>
            <w:r>
              <w:t>Bond repayments</w:t>
            </w:r>
          </w:p>
        </w:tc>
        <w:tc>
          <w:tcPr>
            <w:tcW w:w="1361" w:type="dxa"/>
          </w:tcPr>
          <w:p w14:paraId="2652BD82" w14:textId="77777777" w:rsidR="00ED6A34" w:rsidRDefault="00ED6A34" w:rsidP="00006DE3">
            <w:pPr>
              <w:pStyle w:val="TableTextRight"/>
            </w:pPr>
            <w:r>
              <w:t>212,749</w:t>
            </w:r>
          </w:p>
        </w:tc>
        <w:tc>
          <w:tcPr>
            <w:tcW w:w="1360" w:type="dxa"/>
          </w:tcPr>
          <w:p w14:paraId="4F3CF61F" w14:textId="77777777" w:rsidR="00ED6A34" w:rsidRDefault="00ED6A34" w:rsidP="00006DE3">
            <w:pPr>
              <w:pStyle w:val="TableTextRight"/>
            </w:pPr>
            <w:r>
              <w:t>219,603</w:t>
            </w:r>
          </w:p>
        </w:tc>
        <w:tc>
          <w:tcPr>
            <w:tcW w:w="1361" w:type="dxa"/>
          </w:tcPr>
          <w:p w14:paraId="70BAF18E" w14:textId="77777777" w:rsidR="00ED6A34" w:rsidRDefault="00ED6A34" w:rsidP="00006DE3">
            <w:pPr>
              <w:pStyle w:val="TableTextRight"/>
            </w:pPr>
            <w:r>
              <w:t>219,297</w:t>
            </w:r>
          </w:p>
        </w:tc>
      </w:tr>
      <w:tr w:rsidR="00ED6A34" w14:paraId="5FFE6144" w14:textId="77777777" w:rsidTr="00A41E9C">
        <w:trPr>
          <w:trHeight w:val="60"/>
        </w:trPr>
        <w:tc>
          <w:tcPr>
            <w:tcW w:w="5556" w:type="dxa"/>
          </w:tcPr>
          <w:p w14:paraId="5F454483" w14:textId="721718CD" w:rsidR="00ED6A34" w:rsidRDefault="00ED6A34" w:rsidP="00006DE3">
            <w:pPr>
              <w:pStyle w:val="TableText"/>
            </w:pPr>
            <w:r>
              <w:t>Bonds transferred</w:t>
            </w:r>
          </w:p>
        </w:tc>
        <w:tc>
          <w:tcPr>
            <w:tcW w:w="1361" w:type="dxa"/>
          </w:tcPr>
          <w:p w14:paraId="7F624455" w14:textId="77777777" w:rsidR="00ED6A34" w:rsidRDefault="00ED6A34" w:rsidP="00006DE3">
            <w:pPr>
              <w:pStyle w:val="TableTextRight"/>
            </w:pPr>
            <w:r>
              <w:t>89,375</w:t>
            </w:r>
          </w:p>
        </w:tc>
        <w:tc>
          <w:tcPr>
            <w:tcW w:w="1360" w:type="dxa"/>
          </w:tcPr>
          <w:p w14:paraId="77E45C8C" w14:textId="77777777" w:rsidR="00ED6A34" w:rsidRDefault="00ED6A34" w:rsidP="00006DE3">
            <w:pPr>
              <w:pStyle w:val="TableTextRight"/>
            </w:pPr>
            <w:r>
              <w:t>87,848</w:t>
            </w:r>
          </w:p>
        </w:tc>
        <w:tc>
          <w:tcPr>
            <w:tcW w:w="1361" w:type="dxa"/>
          </w:tcPr>
          <w:p w14:paraId="0EBF67D0" w14:textId="77777777" w:rsidR="00ED6A34" w:rsidRDefault="00ED6A34" w:rsidP="00006DE3">
            <w:pPr>
              <w:pStyle w:val="TableTextRight"/>
            </w:pPr>
            <w:r>
              <w:t>81,698</w:t>
            </w:r>
          </w:p>
        </w:tc>
      </w:tr>
      <w:tr w:rsidR="00ED6A34" w14:paraId="02C6DD43" w14:textId="77777777" w:rsidTr="00A41E9C">
        <w:trPr>
          <w:trHeight w:val="60"/>
        </w:trPr>
        <w:tc>
          <w:tcPr>
            <w:tcW w:w="5556" w:type="dxa"/>
          </w:tcPr>
          <w:p w14:paraId="3CE64B37" w14:textId="7F4C78F0" w:rsidR="00ED6A34" w:rsidRDefault="00ED6A34" w:rsidP="00006DE3">
            <w:pPr>
              <w:pStyle w:val="TableText"/>
            </w:pPr>
            <w:r>
              <w:t>Bonds held</w:t>
            </w:r>
          </w:p>
        </w:tc>
        <w:tc>
          <w:tcPr>
            <w:tcW w:w="1361" w:type="dxa"/>
          </w:tcPr>
          <w:p w14:paraId="69E04AD4" w14:textId="77777777" w:rsidR="00ED6A34" w:rsidRDefault="00ED6A34" w:rsidP="00006DE3">
            <w:pPr>
              <w:pStyle w:val="TableTextRight"/>
            </w:pPr>
            <w:r>
              <w:t>622,298</w:t>
            </w:r>
          </w:p>
        </w:tc>
        <w:tc>
          <w:tcPr>
            <w:tcW w:w="1360" w:type="dxa"/>
          </w:tcPr>
          <w:p w14:paraId="5CA39CA7" w14:textId="77777777" w:rsidR="00ED6A34" w:rsidRDefault="00ED6A34" w:rsidP="00006DE3">
            <w:pPr>
              <w:pStyle w:val="TableTextRight"/>
            </w:pPr>
            <w:r>
              <w:t>644,229</w:t>
            </w:r>
          </w:p>
        </w:tc>
        <w:tc>
          <w:tcPr>
            <w:tcW w:w="1361" w:type="dxa"/>
          </w:tcPr>
          <w:p w14:paraId="0BBD9341" w14:textId="77777777" w:rsidR="00ED6A34" w:rsidRDefault="00ED6A34" w:rsidP="00006DE3">
            <w:pPr>
              <w:pStyle w:val="TableTextRight"/>
            </w:pPr>
            <w:r>
              <w:t>669,688</w:t>
            </w:r>
          </w:p>
        </w:tc>
      </w:tr>
      <w:tr w:rsidR="00ED6A34" w14:paraId="6EC5EB46" w14:textId="77777777" w:rsidTr="00A41E9C">
        <w:trPr>
          <w:trHeight w:val="60"/>
        </w:trPr>
        <w:tc>
          <w:tcPr>
            <w:tcW w:w="5556" w:type="dxa"/>
          </w:tcPr>
          <w:p w14:paraId="2223131B" w14:textId="2ED8D098" w:rsidR="00ED6A34" w:rsidRDefault="00ED6A34" w:rsidP="00006DE3">
            <w:pPr>
              <w:pStyle w:val="TableText"/>
            </w:pPr>
            <w:r>
              <w:t>Value held</w:t>
            </w:r>
          </w:p>
        </w:tc>
        <w:tc>
          <w:tcPr>
            <w:tcW w:w="1361" w:type="dxa"/>
          </w:tcPr>
          <w:p w14:paraId="36A0BC64" w14:textId="4B0AFA1D" w:rsidR="00ED6A34" w:rsidRDefault="00ED6A34" w:rsidP="00006DE3">
            <w:pPr>
              <w:pStyle w:val="TableTextRight"/>
            </w:pPr>
            <w:r>
              <w:t>$1.04 billion</w:t>
            </w:r>
          </w:p>
        </w:tc>
        <w:tc>
          <w:tcPr>
            <w:tcW w:w="1360" w:type="dxa"/>
          </w:tcPr>
          <w:p w14:paraId="4F68210B" w14:textId="07FF9F2F" w:rsidR="00ED6A34" w:rsidRDefault="00ED6A34" w:rsidP="00006DE3">
            <w:pPr>
              <w:pStyle w:val="TableTextRight"/>
            </w:pPr>
            <w:r>
              <w:t>$1.13 billion</w:t>
            </w:r>
          </w:p>
        </w:tc>
        <w:tc>
          <w:tcPr>
            <w:tcW w:w="1361" w:type="dxa"/>
          </w:tcPr>
          <w:p w14:paraId="68C87F3B" w14:textId="7F625DDC" w:rsidR="00ED6A34" w:rsidRDefault="00ED6A34" w:rsidP="00006DE3">
            <w:pPr>
              <w:pStyle w:val="TableTextRight"/>
            </w:pPr>
            <w:r>
              <w:t>$1.22 billion</w:t>
            </w:r>
          </w:p>
        </w:tc>
      </w:tr>
      <w:tr w:rsidR="00ED6A34" w14:paraId="15E76E4B" w14:textId="77777777" w:rsidTr="00A41E9C">
        <w:trPr>
          <w:trHeight w:val="60"/>
        </w:trPr>
        <w:tc>
          <w:tcPr>
            <w:tcW w:w="5556" w:type="dxa"/>
          </w:tcPr>
          <w:p w14:paraId="39DFCB66" w14:textId="72E40AA9" w:rsidR="00ED6A34" w:rsidRDefault="00ED6A34" w:rsidP="00006DE3">
            <w:pPr>
              <w:pStyle w:val="TableText"/>
            </w:pPr>
            <w:r>
              <w:t>Total transactions – RTBA</w:t>
            </w:r>
          </w:p>
        </w:tc>
        <w:tc>
          <w:tcPr>
            <w:tcW w:w="1361" w:type="dxa"/>
          </w:tcPr>
          <w:p w14:paraId="598AE258" w14:textId="77777777" w:rsidR="00ED6A34" w:rsidRDefault="00ED6A34" w:rsidP="00006DE3">
            <w:pPr>
              <w:pStyle w:val="TableTextRight"/>
            </w:pPr>
            <w:r>
              <w:t>454,238</w:t>
            </w:r>
          </w:p>
        </w:tc>
        <w:tc>
          <w:tcPr>
            <w:tcW w:w="1360" w:type="dxa"/>
          </w:tcPr>
          <w:p w14:paraId="401A1F16" w14:textId="77777777" w:rsidR="00ED6A34" w:rsidRDefault="00ED6A34" w:rsidP="00006DE3">
            <w:pPr>
              <w:pStyle w:val="TableTextRight"/>
            </w:pPr>
            <w:r>
              <w:t>461,137</w:t>
            </w:r>
          </w:p>
        </w:tc>
        <w:tc>
          <w:tcPr>
            <w:tcW w:w="1361" w:type="dxa"/>
          </w:tcPr>
          <w:p w14:paraId="45277605" w14:textId="77777777" w:rsidR="00ED6A34" w:rsidRDefault="00ED6A34" w:rsidP="00006DE3">
            <w:pPr>
              <w:pStyle w:val="TableTextRight"/>
            </w:pPr>
            <w:r>
              <w:t>464,053</w:t>
            </w:r>
          </w:p>
        </w:tc>
      </w:tr>
      <w:tr w:rsidR="00ED6A34" w14:paraId="21DED373" w14:textId="77777777" w:rsidTr="00A41E9C">
        <w:trPr>
          <w:trHeight w:val="60"/>
        </w:trPr>
        <w:tc>
          <w:tcPr>
            <w:tcW w:w="9638" w:type="dxa"/>
            <w:gridSpan w:val="4"/>
            <w:shd w:val="clear" w:color="auto" w:fill="B2D5F0"/>
          </w:tcPr>
          <w:p w14:paraId="6A7EE9DE" w14:textId="6E3707D5" w:rsidR="00ED6A34" w:rsidRDefault="00ED6A34" w:rsidP="00006DE3">
            <w:pPr>
              <w:pStyle w:val="TableTextBold"/>
            </w:pPr>
            <w:r>
              <w:t>Face-to-face or intensive assistance</w:t>
            </w:r>
          </w:p>
        </w:tc>
      </w:tr>
      <w:tr w:rsidR="00ED6A34" w14:paraId="6FE86DBA" w14:textId="77777777" w:rsidTr="00A41E9C">
        <w:trPr>
          <w:trHeight w:val="60"/>
        </w:trPr>
        <w:tc>
          <w:tcPr>
            <w:tcW w:w="9638" w:type="dxa"/>
            <w:gridSpan w:val="4"/>
            <w:shd w:val="clear" w:color="auto" w:fill="CCE3F5"/>
          </w:tcPr>
          <w:p w14:paraId="7C62A888" w14:textId="774EB5D8" w:rsidR="00ED6A34" w:rsidRPr="00A048DA" w:rsidRDefault="00ED6A34" w:rsidP="00006DE3">
            <w:pPr>
              <w:pStyle w:val="TableText"/>
              <w:rPr>
                <w:rStyle w:val="Strong"/>
              </w:rPr>
            </w:pPr>
            <w:r w:rsidRPr="00A048DA">
              <w:rPr>
                <w:rStyle w:val="Strong"/>
              </w:rPr>
              <w:t>Funded community services</w:t>
            </w:r>
          </w:p>
        </w:tc>
      </w:tr>
      <w:tr w:rsidR="00ED6A34" w14:paraId="27A2A939" w14:textId="77777777" w:rsidTr="00A41E9C">
        <w:trPr>
          <w:trHeight w:val="60"/>
        </w:trPr>
        <w:tc>
          <w:tcPr>
            <w:tcW w:w="5556" w:type="dxa"/>
          </w:tcPr>
          <w:p w14:paraId="42C67061" w14:textId="25CBDA95" w:rsidR="00ED6A34" w:rsidRDefault="00ED6A34" w:rsidP="00006DE3">
            <w:pPr>
              <w:pStyle w:val="TableText"/>
            </w:pPr>
            <w:r>
              <w:t>Tenants assisted under the Tenancy Assistance and Advocacy Program</w:t>
            </w:r>
          </w:p>
        </w:tc>
        <w:tc>
          <w:tcPr>
            <w:tcW w:w="1361" w:type="dxa"/>
          </w:tcPr>
          <w:p w14:paraId="51D22429" w14:textId="77777777" w:rsidR="00ED6A34" w:rsidRDefault="00ED6A34" w:rsidP="00006DE3">
            <w:pPr>
              <w:pStyle w:val="TableTextRight"/>
            </w:pPr>
            <w:r>
              <w:t>6,186</w:t>
            </w:r>
          </w:p>
        </w:tc>
        <w:tc>
          <w:tcPr>
            <w:tcW w:w="1360" w:type="dxa"/>
          </w:tcPr>
          <w:p w14:paraId="05C21A74" w14:textId="77777777" w:rsidR="00ED6A34" w:rsidRDefault="00ED6A34" w:rsidP="00006DE3">
            <w:pPr>
              <w:pStyle w:val="TableTextRight"/>
            </w:pPr>
            <w:r>
              <w:t>6,893</w:t>
            </w:r>
          </w:p>
        </w:tc>
        <w:tc>
          <w:tcPr>
            <w:tcW w:w="1361" w:type="dxa"/>
          </w:tcPr>
          <w:p w14:paraId="027D9AA7" w14:textId="77777777" w:rsidR="00ED6A34" w:rsidRDefault="00ED6A34" w:rsidP="00006DE3">
            <w:pPr>
              <w:pStyle w:val="TableTextRight"/>
            </w:pPr>
            <w:r>
              <w:t>8,129</w:t>
            </w:r>
          </w:p>
        </w:tc>
      </w:tr>
      <w:tr w:rsidR="00ED6A34" w14:paraId="6985FC31" w14:textId="77777777" w:rsidTr="00A41E9C">
        <w:trPr>
          <w:trHeight w:val="60"/>
        </w:trPr>
        <w:tc>
          <w:tcPr>
            <w:tcW w:w="9638" w:type="dxa"/>
            <w:gridSpan w:val="4"/>
            <w:shd w:val="clear" w:color="auto" w:fill="CCE3F5"/>
          </w:tcPr>
          <w:p w14:paraId="2642BE29" w14:textId="0CC66FCD" w:rsidR="00ED6A34" w:rsidRPr="00A048DA" w:rsidRDefault="00ED6A34" w:rsidP="00006DE3">
            <w:pPr>
              <w:pStyle w:val="TableText"/>
              <w:rPr>
                <w:rStyle w:val="Strong"/>
              </w:rPr>
            </w:pPr>
            <w:r w:rsidRPr="00A048DA">
              <w:rPr>
                <w:rStyle w:val="Strong"/>
              </w:rPr>
              <w:t>Residential tenancy inspection advice provided</w:t>
            </w:r>
          </w:p>
        </w:tc>
      </w:tr>
      <w:tr w:rsidR="00ED6A34" w14:paraId="30269BB8" w14:textId="77777777" w:rsidTr="00A41E9C">
        <w:trPr>
          <w:trHeight w:val="60"/>
        </w:trPr>
        <w:tc>
          <w:tcPr>
            <w:tcW w:w="5556" w:type="dxa"/>
          </w:tcPr>
          <w:p w14:paraId="5428C0B6" w14:textId="4628CFF9" w:rsidR="00ED6A34" w:rsidRDefault="00ED6A34" w:rsidP="00006DE3">
            <w:pPr>
              <w:pStyle w:val="TableText"/>
            </w:pPr>
            <w:r>
              <w:t>Repair reports</w:t>
            </w:r>
          </w:p>
        </w:tc>
        <w:tc>
          <w:tcPr>
            <w:tcW w:w="1361" w:type="dxa"/>
          </w:tcPr>
          <w:p w14:paraId="3A75E8F3" w14:textId="77777777" w:rsidR="00ED6A34" w:rsidRDefault="00ED6A34" w:rsidP="00006DE3">
            <w:pPr>
              <w:pStyle w:val="TableTextRight"/>
            </w:pPr>
            <w:r>
              <w:t>948</w:t>
            </w:r>
          </w:p>
        </w:tc>
        <w:tc>
          <w:tcPr>
            <w:tcW w:w="1360" w:type="dxa"/>
          </w:tcPr>
          <w:p w14:paraId="58767C28" w14:textId="77777777" w:rsidR="00ED6A34" w:rsidRDefault="00ED6A34" w:rsidP="00006DE3">
            <w:pPr>
              <w:pStyle w:val="TableTextRight"/>
            </w:pPr>
            <w:r>
              <w:t>1,050</w:t>
            </w:r>
          </w:p>
        </w:tc>
        <w:tc>
          <w:tcPr>
            <w:tcW w:w="1361" w:type="dxa"/>
          </w:tcPr>
          <w:p w14:paraId="5485E81E" w14:textId="77777777" w:rsidR="00ED6A34" w:rsidRDefault="00ED6A34" w:rsidP="00006DE3">
            <w:pPr>
              <w:pStyle w:val="TableTextRight"/>
            </w:pPr>
            <w:r>
              <w:t>1,049</w:t>
            </w:r>
          </w:p>
        </w:tc>
      </w:tr>
      <w:tr w:rsidR="00ED6A34" w14:paraId="19DC0D40" w14:textId="77777777" w:rsidTr="00A41E9C">
        <w:trPr>
          <w:trHeight w:val="60"/>
        </w:trPr>
        <w:tc>
          <w:tcPr>
            <w:tcW w:w="5556" w:type="dxa"/>
          </w:tcPr>
          <w:p w14:paraId="5430ACFF" w14:textId="2E46B8A7" w:rsidR="00ED6A34" w:rsidRDefault="00ED6A34" w:rsidP="00006DE3">
            <w:pPr>
              <w:pStyle w:val="TableText"/>
            </w:pPr>
            <w:r>
              <w:t>Goods left behind reports</w:t>
            </w:r>
          </w:p>
        </w:tc>
        <w:tc>
          <w:tcPr>
            <w:tcW w:w="1361" w:type="dxa"/>
          </w:tcPr>
          <w:p w14:paraId="6A699397" w14:textId="77777777" w:rsidR="00ED6A34" w:rsidRDefault="00ED6A34" w:rsidP="00006DE3">
            <w:pPr>
              <w:pStyle w:val="TableTextRight"/>
            </w:pPr>
            <w:r>
              <w:t>3,531</w:t>
            </w:r>
          </w:p>
        </w:tc>
        <w:tc>
          <w:tcPr>
            <w:tcW w:w="1360" w:type="dxa"/>
          </w:tcPr>
          <w:p w14:paraId="6F5009B4" w14:textId="77777777" w:rsidR="00ED6A34" w:rsidRDefault="00ED6A34" w:rsidP="00006DE3">
            <w:pPr>
              <w:pStyle w:val="TableTextRight"/>
            </w:pPr>
            <w:r>
              <w:t>3,223</w:t>
            </w:r>
          </w:p>
        </w:tc>
        <w:tc>
          <w:tcPr>
            <w:tcW w:w="1361" w:type="dxa"/>
          </w:tcPr>
          <w:p w14:paraId="6C913646" w14:textId="77777777" w:rsidR="00ED6A34" w:rsidRDefault="00ED6A34" w:rsidP="00006DE3">
            <w:pPr>
              <w:pStyle w:val="TableTextRight"/>
            </w:pPr>
            <w:r>
              <w:t>3,133</w:t>
            </w:r>
          </w:p>
        </w:tc>
      </w:tr>
      <w:tr w:rsidR="00ED6A34" w14:paraId="16772B51" w14:textId="77777777" w:rsidTr="00A41E9C">
        <w:trPr>
          <w:trHeight w:val="60"/>
        </w:trPr>
        <w:tc>
          <w:tcPr>
            <w:tcW w:w="5556" w:type="dxa"/>
          </w:tcPr>
          <w:p w14:paraId="29F5006E" w14:textId="6836BF47" w:rsidR="00ED6A34" w:rsidRDefault="00ED6A34" w:rsidP="00006DE3">
            <w:pPr>
              <w:pStyle w:val="TableText"/>
            </w:pPr>
            <w:r>
              <w:t>Rental reports</w:t>
            </w:r>
          </w:p>
        </w:tc>
        <w:tc>
          <w:tcPr>
            <w:tcW w:w="1361" w:type="dxa"/>
          </w:tcPr>
          <w:p w14:paraId="371E4DEF" w14:textId="77777777" w:rsidR="00ED6A34" w:rsidRDefault="00ED6A34" w:rsidP="00006DE3">
            <w:pPr>
              <w:pStyle w:val="TableTextRight"/>
            </w:pPr>
            <w:r>
              <w:t>1,234</w:t>
            </w:r>
          </w:p>
        </w:tc>
        <w:tc>
          <w:tcPr>
            <w:tcW w:w="1360" w:type="dxa"/>
          </w:tcPr>
          <w:p w14:paraId="20A098BA" w14:textId="77777777" w:rsidR="00ED6A34" w:rsidRDefault="00ED6A34" w:rsidP="00006DE3">
            <w:pPr>
              <w:pStyle w:val="TableTextRight"/>
            </w:pPr>
            <w:r>
              <w:t>1,373</w:t>
            </w:r>
          </w:p>
        </w:tc>
        <w:tc>
          <w:tcPr>
            <w:tcW w:w="1361" w:type="dxa"/>
          </w:tcPr>
          <w:p w14:paraId="4C0FD550" w14:textId="77777777" w:rsidR="00ED6A34" w:rsidRDefault="00ED6A34" w:rsidP="00006DE3">
            <w:pPr>
              <w:pStyle w:val="TableTextRight"/>
            </w:pPr>
            <w:r>
              <w:t>1,518</w:t>
            </w:r>
          </w:p>
        </w:tc>
      </w:tr>
    </w:tbl>
    <w:p w14:paraId="57D87E9D" w14:textId="336A7CC7" w:rsidR="00ED6A34" w:rsidRDefault="00ED6A34" w:rsidP="00BB1C65">
      <w:pPr>
        <w:pStyle w:val="Heading4"/>
      </w:pPr>
      <w:r>
        <w:t>Rental reforms</w:t>
      </w:r>
    </w:p>
    <w:p w14:paraId="277E2920" w14:textId="0351E482" w:rsidR="00ED6A34" w:rsidRDefault="00ED6A34" w:rsidP="00A75F3C">
      <w:pPr>
        <w:pStyle w:val="BodyText"/>
      </w:pPr>
      <w:r>
        <w:t xml:space="preserve">We first began work on reforming the state’s rental market in 2015, when the Victorian Government asked us to lead a full and evidence-based public review of the </w:t>
      </w:r>
      <w:r w:rsidRPr="00F3632D">
        <w:rPr>
          <w:rStyle w:val="Emphasis"/>
        </w:rPr>
        <w:t>Residential Tenancies Act 1997</w:t>
      </w:r>
      <w:r>
        <w:t xml:space="preserve"> – this was due to changes in market conditions since this legislation was first passed more than 20 years ago.</w:t>
      </w:r>
    </w:p>
    <w:p w14:paraId="2DFC6D2B" w14:textId="5378C00D" w:rsidR="00ED6A34" w:rsidRDefault="00ED6A34" w:rsidP="00A75F3C">
      <w:pPr>
        <w:pStyle w:val="BodyText"/>
      </w:pPr>
      <w:r>
        <w:t xml:space="preserve">In September 2018, the Victorian Parliament passed more than 130 rental reforms outlined in the </w:t>
      </w:r>
      <w:r w:rsidRPr="00F3632D">
        <w:rPr>
          <w:rStyle w:val="Emphasis"/>
        </w:rPr>
        <w:t>Residential Tenancies Amendment Act 2018</w:t>
      </w:r>
      <w:r>
        <w:t>.</w:t>
      </w:r>
    </w:p>
    <w:p w14:paraId="3C5E8F2B" w14:textId="77777777" w:rsidR="00555997" w:rsidRPr="00555997" w:rsidRDefault="00555997" w:rsidP="00555997">
      <w:pPr>
        <w:pStyle w:val="BodyText"/>
      </w:pPr>
      <w:r w:rsidRPr="00555997">
        <w:br w:type="page"/>
      </w:r>
    </w:p>
    <w:p w14:paraId="47F4DB78" w14:textId="5BFE0DA6" w:rsidR="00ED6A34" w:rsidRDefault="00ED6A34" w:rsidP="00A75F3C">
      <w:pPr>
        <w:pStyle w:val="BodyText"/>
      </w:pPr>
      <w:r>
        <w:lastRenderedPageBreak/>
        <w:t>The reforms will significantly strengthen the rights of the one in four Victorians who currently rent. Key reforms include:</w:t>
      </w:r>
    </w:p>
    <w:p w14:paraId="17946410" w14:textId="67232E01" w:rsidR="00ED6A34" w:rsidRDefault="00ED6A34" w:rsidP="00A75F3C">
      <w:pPr>
        <w:pStyle w:val="ListBullet"/>
      </w:pPr>
      <w:r>
        <w:t>ensuring every rental home meets basic standards, such as functioning stoves, heating and deadlocks</w:t>
      </w:r>
    </w:p>
    <w:p w14:paraId="32CF68A5" w14:textId="086E3364" w:rsidR="00ED6A34" w:rsidRDefault="00ED6A34" w:rsidP="00A75F3C">
      <w:pPr>
        <w:pStyle w:val="ListBullet"/>
      </w:pPr>
      <w:r>
        <w:t>requiring landlords to meet basic safety standards for gas, electricity and smoke alarms</w:t>
      </w:r>
    </w:p>
    <w:p w14:paraId="59EE4992" w14:textId="768F948B" w:rsidR="00ED6A34" w:rsidRDefault="00ED6A34" w:rsidP="00A75F3C">
      <w:pPr>
        <w:pStyle w:val="ListBullet"/>
      </w:pPr>
      <w:r>
        <w:t>giving renters the right to make minor modifications (such as nailing a hook on the wall or installing anchors to stop furniture falling on children) without first obtaining the landlord’s written permission</w:t>
      </w:r>
    </w:p>
    <w:p w14:paraId="258958C2" w14:textId="0F84699B" w:rsidR="00ED6A34" w:rsidRDefault="00ED6A34" w:rsidP="00A75F3C">
      <w:pPr>
        <w:pStyle w:val="ListBullet"/>
      </w:pPr>
      <w:r>
        <w:t>providing protections for pet owners</w:t>
      </w:r>
    </w:p>
    <w:p w14:paraId="211EC17A" w14:textId="02CBDBF9" w:rsidR="00ED6A34" w:rsidRDefault="00ED6A34" w:rsidP="00A75F3C">
      <w:pPr>
        <w:pStyle w:val="ListBullet"/>
      </w:pPr>
      <w:r>
        <w:t>capping bonds at four weeks’ rent and making it quicker for renters to get their bond back</w:t>
      </w:r>
    </w:p>
    <w:p w14:paraId="33F1253C" w14:textId="4113ECF4" w:rsidR="00ED6A34" w:rsidRDefault="00ED6A34" w:rsidP="00A75F3C">
      <w:pPr>
        <w:pStyle w:val="ListBullet"/>
      </w:pPr>
      <w:r>
        <w:t>capping rent increases to once every 12 months.</w:t>
      </w:r>
    </w:p>
    <w:p w14:paraId="452E4650" w14:textId="35B43954" w:rsidR="00ED6A34" w:rsidRDefault="00ED6A34" w:rsidP="00A75F3C">
      <w:pPr>
        <w:pStyle w:val="BodyText"/>
      </w:pPr>
      <w:r>
        <w:t>Another key reform – to allow people to end rental agreements in family violence situations, ensuring victim survivors are not held liable for the debts of their abusers – responds to a recommendation from the Royal Commission into Family Violence.</w:t>
      </w:r>
    </w:p>
    <w:p w14:paraId="1B4C4AE6" w14:textId="745EE8AA" w:rsidR="00ED6A34" w:rsidRDefault="00ED6A34" w:rsidP="00A75F3C">
      <w:pPr>
        <w:pStyle w:val="BodyText"/>
      </w:pPr>
      <w:r>
        <w:t>We have already implemented some reforms, such as:</w:t>
      </w:r>
    </w:p>
    <w:p w14:paraId="58E2193E" w14:textId="58FEDA29" w:rsidR="00ED6A34" w:rsidRDefault="00ED6A34" w:rsidP="00A75F3C">
      <w:pPr>
        <w:pStyle w:val="ListBullet"/>
      </w:pPr>
      <w:r>
        <w:t>suppression of certain crisis accommodation addresses from the public Rooming House Register in order to protect family violence victim survivors</w:t>
      </w:r>
    </w:p>
    <w:p w14:paraId="74EF487F" w14:textId="7DC9B0D1" w:rsidR="00ED6A34" w:rsidRDefault="00ED6A34" w:rsidP="00A75F3C">
      <w:pPr>
        <w:pStyle w:val="ListBullet"/>
      </w:pPr>
      <w:r>
        <w:t>introduction of long-term lease agreements</w:t>
      </w:r>
    </w:p>
    <w:p w14:paraId="1ABD1C56" w14:textId="07645F4A" w:rsidR="00ED6A34" w:rsidRDefault="00ED6A34" w:rsidP="00A75F3C">
      <w:pPr>
        <w:pStyle w:val="ListBullet"/>
      </w:pPr>
      <w:r>
        <w:t>compensation rights for caravan park and residential park residents.</w:t>
      </w:r>
    </w:p>
    <w:p w14:paraId="63F4CDCE" w14:textId="127B1AB7" w:rsidR="00ED6A34" w:rsidRDefault="00ED6A34" w:rsidP="00A75F3C">
      <w:pPr>
        <w:pStyle w:val="BodyText"/>
      </w:pPr>
      <w:r>
        <w:t>We are working closely with key stakeholders to develop regulations, forms and guidelines required to support the new laws, with all reforms to be delivered by 1 July 2020.</w:t>
      </w:r>
    </w:p>
    <w:p w14:paraId="41884B60" w14:textId="5809E0CA" w:rsidR="00ED6A34" w:rsidRDefault="00ED6A34" w:rsidP="00BB1C65">
      <w:pPr>
        <w:pStyle w:val="Heading4"/>
      </w:pPr>
      <w:r>
        <w:t>Commissioner for Residential Tenancies</w:t>
      </w:r>
    </w:p>
    <w:p w14:paraId="24C07F2A" w14:textId="15871D12" w:rsidR="00ED6A34" w:rsidRDefault="00ED6A34" w:rsidP="00A75F3C">
      <w:pPr>
        <w:pStyle w:val="BodyText"/>
      </w:pPr>
      <w:r>
        <w:t>We supported the establishment of the office of the Commissioner for Residential Tenancies, another outcome of the Residential Tenancies review. The inaugural Commissioner, Dr Heather Holst, commenced in September 2018. The Commissioner provides independent advice to the Victorian Government to inform the development of residential tenancy policy and legislative frameworks, programs and services. The Commissioner also champions the rights of renters and gives them a voice in seeking improvements to renting laws and services.</w:t>
      </w:r>
    </w:p>
    <w:p w14:paraId="07DB2735" w14:textId="025E0BD2" w:rsidR="00ED6A34" w:rsidRDefault="00ED6A34" w:rsidP="00A75F3C">
      <w:pPr>
        <w:pStyle w:val="BodyText"/>
      </w:pPr>
      <w:r>
        <w:t>This is an important role, as more Victorians are renting for different reasons and for longer periods of time. Renting was once a relatively short-term transitional arrangement, which ended in a move to home ownership or to social housing. Over time, more families with children and older people on fixed incomes have become long-term renters. Stability and security – and the opportunity to participate in their community over the longer term – are important to ensuring their health and wellbeing.</w:t>
      </w:r>
    </w:p>
    <w:p w14:paraId="7D7BD186" w14:textId="4FD5BCC7" w:rsidR="00ED6A34" w:rsidRDefault="00ED6A34" w:rsidP="00A75F3C">
      <w:pPr>
        <w:pStyle w:val="BodyText"/>
      </w:pPr>
      <w:r>
        <w:t xml:space="preserve">The Commissioner’s first four-year strategic plan was approved by Minister </w:t>
      </w:r>
      <w:proofErr w:type="spellStart"/>
      <w:r>
        <w:t>Kairouz</w:t>
      </w:r>
      <w:proofErr w:type="spellEnd"/>
      <w:r>
        <w:t>, and is built around three pillars – that renters:</w:t>
      </w:r>
    </w:p>
    <w:p w14:paraId="12220781" w14:textId="0DBFA1A4" w:rsidR="00ED6A34" w:rsidRDefault="00ED6A34" w:rsidP="00A75F3C">
      <w:pPr>
        <w:pStyle w:val="ListBullet"/>
      </w:pPr>
      <w:r>
        <w:t>have rights</w:t>
      </w:r>
    </w:p>
    <w:p w14:paraId="3E86A339" w14:textId="0BCBECEA" w:rsidR="00ED6A34" w:rsidRDefault="00ED6A34" w:rsidP="00A75F3C">
      <w:pPr>
        <w:pStyle w:val="ListBullet"/>
      </w:pPr>
      <w:r>
        <w:t>know their rights, and</w:t>
      </w:r>
    </w:p>
    <w:p w14:paraId="4E30A6DC" w14:textId="078A34C6" w:rsidR="00ED6A34" w:rsidRDefault="00ED6A34" w:rsidP="00A75F3C">
      <w:pPr>
        <w:pStyle w:val="ListBullet"/>
      </w:pPr>
      <w:r>
        <w:t>exercise their rights.</w:t>
      </w:r>
    </w:p>
    <w:p w14:paraId="3B7E2801" w14:textId="4D80FB46" w:rsidR="00ED6A34" w:rsidRDefault="00ED6A34" w:rsidP="00A75F3C">
      <w:pPr>
        <w:pStyle w:val="BodyText"/>
      </w:pPr>
      <w:r>
        <w:lastRenderedPageBreak/>
        <w:t>The strategy outlines the establishment of several formal advisory groups, including a group solely for renters. This group will enable the Commissioner to hear first-hand from renters about their experiences of renting a home.</w:t>
      </w:r>
    </w:p>
    <w:p w14:paraId="71D17F48" w14:textId="24A67896" w:rsidR="00ED6A34" w:rsidRDefault="00ED6A34" w:rsidP="00BB1C65">
      <w:pPr>
        <w:pStyle w:val="Heading4"/>
      </w:pPr>
      <w:r>
        <w:t>Consumer property law review</w:t>
      </w:r>
    </w:p>
    <w:p w14:paraId="0D0CF3F5" w14:textId="394D04F9" w:rsidR="00ED6A34" w:rsidRDefault="00ED6A34" w:rsidP="00A75F3C">
      <w:pPr>
        <w:pStyle w:val="BodyText"/>
      </w:pPr>
      <w:r>
        <w:t>We continue to support the Victorian Government’s review of consumer property laws, namely the:</w:t>
      </w:r>
    </w:p>
    <w:p w14:paraId="44F7A8CA" w14:textId="06F13A59" w:rsidR="00ED6A34" w:rsidRPr="00F3632D" w:rsidRDefault="00ED6A34" w:rsidP="00A75F3C">
      <w:pPr>
        <w:pStyle w:val="ListBullet"/>
        <w:rPr>
          <w:rStyle w:val="Emphasis"/>
        </w:rPr>
      </w:pPr>
      <w:r w:rsidRPr="00F3632D">
        <w:rPr>
          <w:rStyle w:val="Emphasis"/>
        </w:rPr>
        <w:t>Owners Corporations Act 2006</w:t>
      </w:r>
    </w:p>
    <w:p w14:paraId="6C131C5B" w14:textId="733DE56F" w:rsidR="00ED6A34" w:rsidRPr="00F3632D" w:rsidRDefault="00ED6A34" w:rsidP="00A75F3C">
      <w:pPr>
        <w:pStyle w:val="ListBullet"/>
        <w:rPr>
          <w:rStyle w:val="Emphasis"/>
        </w:rPr>
      </w:pPr>
      <w:r w:rsidRPr="00F3632D">
        <w:rPr>
          <w:rStyle w:val="Emphasis"/>
        </w:rPr>
        <w:t>Sale of Land Act 1962</w:t>
      </w:r>
    </w:p>
    <w:p w14:paraId="3433BA22" w14:textId="5A303EF1" w:rsidR="00ED6A34" w:rsidRDefault="00ED6A34" w:rsidP="00A75F3C">
      <w:pPr>
        <w:pStyle w:val="ListBullet"/>
      </w:pPr>
      <w:r w:rsidRPr="00F3632D">
        <w:rPr>
          <w:rStyle w:val="Emphasis"/>
        </w:rPr>
        <w:t>Estate Agents Act 1980</w:t>
      </w:r>
      <w:r>
        <w:t>, and</w:t>
      </w:r>
    </w:p>
    <w:p w14:paraId="3F78738F" w14:textId="2BB27004" w:rsidR="00ED6A34" w:rsidRDefault="00ED6A34" w:rsidP="00A75F3C">
      <w:pPr>
        <w:pStyle w:val="ListBullet"/>
      </w:pPr>
      <w:r w:rsidRPr="00F3632D">
        <w:rPr>
          <w:rStyle w:val="Emphasis"/>
        </w:rPr>
        <w:t>Conveyancers Act 2006</w:t>
      </w:r>
      <w:r>
        <w:t>.</w:t>
      </w:r>
    </w:p>
    <w:p w14:paraId="0AF5FA30" w14:textId="2EA7CC8B" w:rsidR="00ED6A34" w:rsidRDefault="00ED6A34" w:rsidP="00A75F3C">
      <w:pPr>
        <w:pStyle w:val="BodyText"/>
      </w:pPr>
      <w:r>
        <w:t>Each of these laws affect the way people buy, sell and manage their properties.</w:t>
      </w:r>
    </w:p>
    <w:p w14:paraId="198BB09F" w14:textId="39C07163" w:rsidR="00ED6A34" w:rsidRDefault="00ED6A34" w:rsidP="00A75F3C">
      <w:pPr>
        <w:pStyle w:val="BodyText"/>
      </w:pPr>
      <w:r>
        <w:t>As part of the review, Victorians commented on how legislation governing these activities is working and where improvements could be made. It involved public consultation on three discussion papers, followed by three options papers proposing potential legislative changes. We carefully reviewed stakeholder feedback as we developed reform proposals for Government consideration.</w:t>
      </w:r>
    </w:p>
    <w:p w14:paraId="1F038B8C" w14:textId="12A15B2F" w:rsidR="00ED6A34" w:rsidRDefault="00ED6A34" w:rsidP="00A75F3C">
      <w:pPr>
        <w:pStyle w:val="BodyText"/>
      </w:pPr>
      <w:r>
        <w:t xml:space="preserve">The </w:t>
      </w:r>
      <w:r w:rsidRPr="00F3632D">
        <w:rPr>
          <w:rStyle w:val="Emphasis"/>
        </w:rPr>
        <w:t>Sale of Land Amendment Act 2019</w:t>
      </w:r>
      <w:r>
        <w:t xml:space="preserve"> passed Parliament in May 2019. Among other reforms, changes to sunset clauses mean developers can now only exercise a sunset clause with written consent from the buyer, or by an order of the Supreme Court of Victoria. Sunset clause provisions are commonly found in off-the-plan contracts to allow developers to terminate the contract where the plan of subdivision has not been registered by a specified date.</w:t>
      </w:r>
    </w:p>
    <w:p w14:paraId="660D2DC8" w14:textId="2C0FA120" w:rsidR="00ED6A34" w:rsidRDefault="00ED6A34" w:rsidP="00A75F3C">
      <w:pPr>
        <w:pStyle w:val="BodyText"/>
      </w:pPr>
      <w:r>
        <w:t>The new laws protect buyers from developers deliberately postponing the completion of construction work in order to terminate signed contracts under the sunset clause, and then sell the property at a higher price.</w:t>
      </w:r>
    </w:p>
    <w:p w14:paraId="22A24D24" w14:textId="67493393" w:rsidR="00ED6A34" w:rsidRDefault="00ED6A34" w:rsidP="00A75F3C">
      <w:pPr>
        <w:pStyle w:val="BodyText"/>
      </w:pPr>
      <w:r>
        <w:t xml:space="preserve">The Victorian Government also released an exposure draft Bill setting out proposed reforms for </w:t>
      </w:r>
      <w:proofErr w:type="gramStart"/>
      <w:r>
        <w:t>owners</w:t>
      </w:r>
      <w:proofErr w:type="gramEnd"/>
      <w:r>
        <w:t xml:space="preserve"> corporations – the first major reforms since the passage of the </w:t>
      </w:r>
      <w:r w:rsidRPr="00F3632D">
        <w:rPr>
          <w:rStyle w:val="Emphasis"/>
        </w:rPr>
        <w:t>Owners Corporations Act 2006</w:t>
      </w:r>
      <w:r>
        <w:t>. We are currently reviewing the feedback from the public consultation on the exposure draft Bill, which includes 36 reforms.</w:t>
      </w:r>
    </w:p>
    <w:p w14:paraId="47761EBE" w14:textId="35D62045" w:rsidR="00ED6A34" w:rsidRDefault="00ED6A34" w:rsidP="00A75F3C">
      <w:pPr>
        <w:pStyle w:val="BodyText"/>
      </w:pPr>
      <w:r>
        <w:t xml:space="preserve">As more than 1.6 million Victorians own or live in properties affected by </w:t>
      </w:r>
      <w:proofErr w:type="gramStart"/>
      <w:r>
        <w:t>owners</w:t>
      </w:r>
      <w:proofErr w:type="gramEnd"/>
      <w:r>
        <w:t xml:space="preserve"> corporations, including apartments and townhouses, it is important the legislation governing this sector remains modern and fit for purpose.</w:t>
      </w:r>
    </w:p>
    <w:p w14:paraId="19862F80" w14:textId="320790A4" w:rsidR="00ED6A34" w:rsidRDefault="00ED6A34" w:rsidP="00A75F3C">
      <w:pPr>
        <w:pStyle w:val="BodyText"/>
      </w:pPr>
      <w:r>
        <w:t xml:space="preserve">We are continuing to consider reforms to the </w:t>
      </w:r>
      <w:r w:rsidRPr="00F3632D">
        <w:rPr>
          <w:rStyle w:val="Emphasis"/>
        </w:rPr>
        <w:t>Estate Agents Act 1980</w:t>
      </w:r>
      <w:r>
        <w:t xml:space="preserve"> and </w:t>
      </w:r>
      <w:r w:rsidRPr="00F3632D">
        <w:rPr>
          <w:rStyle w:val="Emphasis"/>
        </w:rPr>
        <w:t>Conveyancers Act 2006</w:t>
      </w:r>
      <w:r>
        <w:t>.</w:t>
      </w:r>
    </w:p>
    <w:p w14:paraId="4BD8F81F" w14:textId="4FE4C8EB" w:rsidR="00ED6A34" w:rsidRDefault="00ED6A34" w:rsidP="00BB1C65">
      <w:pPr>
        <w:pStyle w:val="Heading4"/>
      </w:pPr>
      <w:r>
        <w:t>Short-stay implementation</w:t>
      </w:r>
    </w:p>
    <w:p w14:paraId="5DB3A70F" w14:textId="4AF6C15C" w:rsidR="00ED6A34" w:rsidRDefault="00ED6A34" w:rsidP="00A75F3C">
      <w:pPr>
        <w:pStyle w:val="BodyText"/>
      </w:pPr>
      <w:r>
        <w:t>Victoria’s tourism sector is worth more than $26 billion and employs nearly 215,000 people.</w:t>
      </w:r>
    </w:p>
    <w:p w14:paraId="501CD692" w14:textId="1D5653BC" w:rsidR="00ED6A34" w:rsidRDefault="00ED6A34" w:rsidP="00A75F3C">
      <w:pPr>
        <w:pStyle w:val="BodyText"/>
      </w:pPr>
      <w:r>
        <w:t xml:space="preserve">The sector is supported by an estimated 170,000 short-stay properties in Victoria. </w:t>
      </w:r>
      <w:proofErr w:type="gramStart"/>
      <w:r>
        <w:t>The vast majority of</w:t>
      </w:r>
      <w:proofErr w:type="gramEnd"/>
      <w:r>
        <w:t xml:space="preserve"> short-stay owners and their guests do the right thing. However, some short-stay guests have hosted unruly parties and damaged properties.</w:t>
      </w:r>
    </w:p>
    <w:p w14:paraId="7D607CFF" w14:textId="53DED9C3" w:rsidR="00ED6A34" w:rsidRDefault="00ED6A34" w:rsidP="00A75F3C">
      <w:pPr>
        <w:pStyle w:val="BodyText"/>
      </w:pPr>
      <w:r>
        <w:t>In February this year, we implemented new laws to protect residents of high-rise apartments from unruly parties in short-stay accommodation.</w:t>
      </w:r>
    </w:p>
    <w:p w14:paraId="79A83A4B" w14:textId="5478412E" w:rsidR="00ED6A34" w:rsidRDefault="00ED6A34" w:rsidP="00A75F3C">
      <w:pPr>
        <w:pStyle w:val="BodyText"/>
      </w:pPr>
      <w:r>
        <w:lastRenderedPageBreak/>
        <w:t xml:space="preserve">The </w:t>
      </w:r>
      <w:r w:rsidRPr="00F3632D">
        <w:rPr>
          <w:rStyle w:val="Emphasis"/>
        </w:rPr>
        <w:t>Owners Corporations Amendment (Short-Stay Accommodation) Act 2018</w:t>
      </w:r>
      <w:r>
        <w:t xml:space="preserve"> makes short-stay providers responsible for the behaviour of their guests and lets </w:t>
      </w:r>
      <w:proofErr w:type="gramStart"/>
      <w:r>
        <w:t>owners</w:t>
      </w:r>
      <w:proofErr w:type="gramEnd"/>
      <w:r>
        <w:t xml:space="preserve"> corporations and residents take action for repeated breaches of prescribed conduct rules.</w:t>
      </w:r>
    </w:p>
    <w:p w14:paraId="45D15298" w14:textId="02031415" w:rsidR="00ED6A34" w:rsidRDefault="00ED6A34" w:rsidP="00A75F3C">
      <w:pPr>
        <w:pStyle w:val="BodyText"/>
      </w:pPr>
      <w:r>
        <w:t>We will undertake a post implementation review by February 2021 to examine the effectiveness of the reforms and determine if any further legislative changes are required.</w:t>
      </w:r>
    </w:p>
    <w:p w14:paraId="0A5A7B19" w14:textId="05179060" w:rsidR="00ED6A34" w:rsidRDefault="00ED6A34" w:rsidP="00BB1C65">
      <w:pPr>
        <w:pStyle w:val="Heading4"/>
      </w:pPr>
      <w:r>
        <w:t>Grants from the Victorian Property Fund in 2018–19</w:t>
      </w:r>
    </w:p>
    <w:p w14:paraId="4C311472" w14:textId="085F2E96" w:rsidR="00ED6A34" w:rsidRDefault="00ED6A34" w:rsidP="00A75F3C">
      <w:pPr>
        <w:pStyle w:val="BodyText"/>
      </w:pPr>
      <w:r>
        <w:t xml:space="preserve">The </w:t>
      </w:r>
      <w:r w:rsidRPr="00F3632D">
        <w:rPr>
          <w:rStyle w:val="Emphasis"/>
        </w:rPr>
        <w:t>Estate Agents Act 1980</w:t>
      </w:r>
      <w:r>
        <w:t xml:space="preserve"> allows the Minister for Consumer Affairs to make grants from the Victorian Property Fund (VPF) for certain purposes.</w:t>
      </w:r>
    </w:p>
    <w:p w14:paraId="11EA3342" w14:textId="1EA369D9" w:rsidR="00ED6A34" w:rsidRDefault="00ED6A34" w:rsidP="00A75F3C">
      <w:pPr>
        <w:pStyle w:val="BodyText"/>
      </w:pPr>
      <w:r>
        <w:t>The Minister makes her decision on grants after consultation with us, the Estate Agents Council and any industry associations, government departments and other organisations, as appropriate.</w:t>
      </w:r>
    </w:p>
    <w:p w14:paraId="60BD1649" w14:textId="0CD18DA8" w:rsidR="00ED6A34" w:rsidRDefault="00ED6A34" w:rsidP="00A75F3C">
      <w:pPr>
        <w:pStyle w:val="BodyText"/>
      </w:pPr>
      <w:r>
        <w:t>We administer the VPF grants program. This includes evaluating applications, making recommendations about proposals to the Minister, and administering the grants awarded.</w:t>
      </w:r>
    </w:p>
    <w:p w14:paraId="510CC7E9" w14:textId="5019C88E" w:rsidR="00ED6A34" w:rsidRDefault="00ED6A34" w:rsidP="00A75F3C">
      <w:pPr>
        <w:pStyle w:val="BodyText"/>
      </w:pPr>
      <w:r>
        <w:t>A key priority for the program is to help community housing organisations develop new social housing for Victorians who are disadvantaged or on a low income.</w:t>
      </w:r>
    </w:p>
    <w:p w14:paraId="725E03DE" w14:textId="7F5F7A6B" w:rsidR="00ED6A34" w:rsidRDefault="00ED6A34" w:rsidP="00A75F3C">
      <w:pPr>
        <w:pStyle w:val="BodyText"/>
      </w:pPr>
      <w:r>
        <w:t xml:space="preserve">Under the 2018–19 VPF Housing Funding Round, Minister </w:t>
      </w:r>
      <w:proofErr w:type="spellStart"/>
      <w:r>
        <w:t>Kairouz</w:t>
      </w:r>
      <w:proofErr w:type="spellEnd"/>
      <w:r>
        <w:t xml:space="preserve"> awarded seven grants for community housing development projects. These projects, across metropolitan and regional locations, will provide housing for low income or disadvantaged groups, including victim-survivors of family violence, older people, singles at risk of homelessness, and people with a disability.</w:t>
      </w:r>
    </w:p>
    <w:p w14:paraId="1BC74DC4" w14:textId="11368058" w:rsidR="00ED6A34" w:rsidRDefault="00ED6A34" w:rsidP="00A75F3C">
      <w:pPr>
        <w:pStyle w:val="BodyText"/>
      </w:pPr>
      <w:r>
        <w:t>The Minister approved grants totalling more than $19.2 million throughout the year. These are outlined in Table 6. Value is reported exclusive of GST, representing the net cost to the fund. Expenditure shown in the financial information section of this report reflects part payment of these grants plus payments made in 2018–19 for grants approved in previous years.</w:t>
      </w:r>
    </w:p>
    <w:p w14:paraId="3378F909" w14:textId="77777777" w:rsidR="00555997" w:rsidRDefault="00555997" w:rsidP="00555997">
      <w:pPr>
        <w:pStyle w:val="BodyText"/>
        <w:rPr>
          <w:szCs w:val="20"/>
        </w:rPr>
      </w:pPr>
      <w:r>
        <w:br w:type="page"/>
      </w:r>
    </w:p>
    <w:p w14:paraId="47FF2441" w14:textId="12A733C0" w:rsidR="00ED6A34" w:rsidRDefault="00ED6A34" w:rsidP="00006DE3">
      <w:pPr>
        <w:pStyle w:val="Caption"/>
      </w:pPr>
      <w:r>
        <w:lastRenderedPageBreak/>
        <w:t>Table 6: Grants made from the Victorian Property Fund in 2018–19</w:t>
      </w:r>
    </w:p>
    <w:tbl>
      <w:tblPr>
        <w:tblStyle w:val="TableGrid"/>
        <w:tblW w:w="9072" w:type="dxa"/>
        <w:tblLayout w:type="fixed"/>
        <w:tblLook w:val="06A0" w:firstRow="1" w:lastRow="0" w:firstColumn="1" w:lastColumn="0" w:noHBand="1" w:noVBand="1"/>
      </w:tblPr>
      <w:tblGrid>
        <w:gridCol w:w="2642"/>
        <w:gridCol w:w="4826"/>
        <w:gridCol w:w="1604"/>
      </w:tblGrid>
      <w:tr w:rsidR="00ED6A34" w14:paraId="2013CAC9"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01" w:type="dxa"/>
          </w:tcPr>
          <w:p w14:paraId="221EB977" w14:textId="77777777" w:rsidR="00ED6A34" w:rsidRDefault="00ED6A34" w:rsidP="00006DE3">
            <w:pPr>
              <w:pStyle w:val="TableColHead"/>
            </w:pPr>
            <w:r>
              <w:t>Recipient</w:t>
            </w:r>
          </w:p>
        </w:tc>
        <w:tc>
          <w:tcPr>
            <w:tcW w:w="5131" w:type="dxa"/>
          </w:tcPr>
          <w:p w14:paraId="0FBDDAA2" w14:textId="113E8E10" w:rsidR="00ED6A34" w:rsidRDefault="00ED6A34" w:rsidP="00006DE3">
            <w:pPr>
              <w:pStyle w:val="TableColHead"/>
            </w:pPr>
            <w:r>
              <w:t>Description of funded program</w:t>
            </w:r>
          </w:p>
        </w:tc>
        <w:tc>
          <w:tcPr>
            <w:tcW w:w="1695" w:type="dxa"/>
          </w:tcPr>
          <w:p w14:paraId="01792883" w14:textId="031CD93B" w:rsidR="00ED6A34" w:rsidRDefault="00ED6A34" w:rsidP="00006DE3">
            <w:pPr>
              <w:pStyle w:val="TableColHeadRight"/>
            </w:pPr>
            <w:r>
              <w:t>Value (ex GST)</w:t>
            </w:r>
          </w:p>
        </w:tc>
      </w:tr>
      <w:tr w:rsidR="00ED6A34" w14:paraId="5F08D8B8" w14:textId="77777777" w:rsidTr="00A41E9C">
        <w:trPr>
          <w:trHeight w:val="60"/>
        </w:trPr>
        <w:tc>
          <w:tcPr>
            <w:tcW w:w="2801" w:type="dxa"/>
          </w:tcPr>
          <w:p w14:paraId="32574668" w14:textId="2A45D473" w:rsidR="00ED6A34" w:rsidRDefault="00ED6A34" w:rsidP="00006DE3">
            <w:pPr>
              <w:pStyle w:val="TableText"/>
            </w:pPr>
            <w:r>
              <w:t>Aboriginal Housing Victoria</w:t>
            </w:r>
          </w:p>
        </w:tc>
        <w:tc>
          <w:tcPr>
            <w:tcW w:w="5131" w:type="dxa"/>
          </w:tcPr>
          <w:p w14:paraId="5934CA66" w14:textId="005466A0" w:rsidR="00ED6A34" w:rsidRDefault="00ED6A34" w:rsidP="00006DE3">
            <w:pPr>
              <w:pStyle w:val="TableText"/>
            </w:pPr>
            <w:r>
              <w:t>A new seven-unit housing complex and two refurbished existing units at Bright Street, Eaglehawk</w:t>
            </w:r>
          </w:p>
        </w:tc>
        <w:tc>
          <w:tcPr>
            <w:tcW w:w="1695" w:type="dxa"/>
          </w:tcPr>
          <w:p w14:paraId="59459F9B" w14:textId="77777777" w:rsidR="00ED6A34" w:rsidRDefault="00ED6A34" w:rsidP="00006DE3">
            <w:pPr>
              <w:pStyle w:val="TableTextRight"/>
            </w:pPr>
            <w:r>
              <w:t>$1,260,020</w:t>
            </w:r>
          </w:p>
        </w:tc>
      </w:tr>
      <w:tr w:rsidR="00ED6A34" w14:paraId="5813A936" w14:textId="77777777" w:rsidTr="00A41E9C">
        <w:trPr>
          <w:trHeight w:val="60"/>
        </w:trPr>
        <w:tc>
          <w:tcPr>
            <w:tcW w:w="2801" w:type="dxa"/>
          </w:tcPr>
          <w:p w14:paraId="716EFBC2" w14:textId="6C5E5E4E" w:rsidR="00ED6A34" w:rsidRDefault="00ED6A34" w:rsidP="00006DE3">
            <w:pPr>
              <w:pStyle w:val="TableText"/>
            </w:pPr>
            <w:r>
              <w:t>Common Equity Housing Ltd</w:t>
            </w:r>
          </w:p>
        </w:tc>
        <w:tc>
          <w:tcPr>
            <w:tcW w:w="5131" w:type="dxa"/>
          </w:tcPr>
          <w:p w14:paraId="49BD376A" w14:textId="6A865E2C" w:rsidR="00ED6A34" w:rsidRDefault="00ED6A34" w:rsidP="00006DE3">
            <w:pPr>
              <w:pStyle w:val="TableText"/>
            </w:pPr>
            <w:r>
              <w:t>A new 17-unit multi-storey housing development at Wilson Avenue, Brunswick</w:t>
            </w:r>
          </w:p>
        </w:tc>
        <w:tc>
          <w:tcPr>
            <w:tcW w:w="1695" w:type="dxa"/>
          </w:tcPr>
          <w:p w14:paraId="7B03B3BF" w14:textId="77777777" w:rsidR="00ED6A34" w:rsidRDefault="00ED6A34" w:rsidP="00006DE3">
            <w:pPr>
              <w:pStyle w:val="TableTextRight"/>
            </w:pPr>
            <w:r>
              <w:t>$4,292,573</w:t>
            </w:r>
          </w:p>
        </w:tc>
      </w:tr>
      <w:tr w:rsidR="00ED6A34" w14:paraId="255C234C" w14:textId="77777777" w:rsidTr="00A41E9C">
        <w:trPr>
          <w:trHeight w:val="60"/>
        </w:trPr>
        <w:tc>
          <w:tcPr>
            <w:tcW w:w="2801" w:type="dxa"/>
          </w:tcPr>
          <w:p w14:paraId="054F5C28" w14:textId="01FF7BE1" w:rsidR="00ED6A34" w:rsidRDefault="00ED6A34" w:rsidP="00006DE3">
            <w:pPr>
              <w:pStyle w:val="TableText"/>
            </w:pPr>
            <w:r>
              <w:t>Community Housing (Vic) Ltd</w:t>
            </w:r>
          </w:p>
        </w:tc>
        <w:tc>
          <w:tcPr>
            <w:tcW w:w="5131" w:type="dxa"/>
          </w:tcPr>
          <w:p w14:paraId="508F0E59" w14:textId="3186D65E" w:rsidR="00ED6A34" w:rsidRDefault="00ED6A34" w:rsidP="00006DE3">
            <w:pPr>
              <w:pStyle w:val="TableText"/>
            </w:pPr>
            <w:r>
              <w:t>A new five-bedroom group home and one independent living unit at McCole Street, Sale</w:t>
            </w:r>
          </w:p>
        </w:tc>
        <w:tc>
          <w:tcPr>
            <w:tcW w:w="1695" w:type="dxa"/>
          </w:tcPr>
          <w:p w14:paraId="1B263F6E" w14:textId="77777777" w:rsidR="00ED6A34" w:rsidRDefault="00ED6A34" w:rsidP="00006DE3">
            <w:pPr>
              <w:pStyle w:val="TableTextRight"/>
            </w:pPr>
            <w:r>
              <w:t>$1,520,400</w:t>
            </w:r>
          </w:p>
        </w:tc>
      </w:tr>
      <w:tr w:rsidR="00ED6A34" w14:paraId="0547B62A" w14:textId="77777777" w:rsidTr="00A41E9C">
        <w:trPr>
          <w:trHeight w:val="60"/>
        </w:trPr>
        <w:tc>
          <w:tcPr>
            <w:tcW w:w="2801" w:type="dxa"/>
          </w:tcPr>
          <w:p w14:paraId="5AC2E742" w14:textId="5099CF2A" w:rsidR="00ED6A34" w:rsidRDefault="00ED6A34" w:rsidP="00006DE3">
            <w:pPr>
              <w:pStyle w:val="TableText"/>
            </w:pPr>
            <w:r>
              <w:t>Kids Under Cover</w:t>
            </w:r>
          </w:p>
        </w:tc>
        <w:tc>
          <w:tcPr>
            <w:tcW w:w="5131" w:type="dxa"/>
          </w:tcPr>
          <w:p w14:paraId="022EC837" w14:textId="5847D80F" w:rsidR="00ED6A34" w:rsidRDefault="00ED6A34" w:rsidP="00006DE3">
            <w:pPr>
              <w:pStyle w:val="TableText"/>
            </w:pPr>
            <w:r>
              <w:t>A new 72-studio/unit complex constructed over three years on Department of Housing owned land, in various locations</w:t>
            </w:r>
          </w:p>
        </w:tc>
        <w:tc>
          <w:tcPr>
            <w:tcW w:w="1695" w:type="dxa"/>
          </w:tcPr>
          <w:p w14:paraId="57C39569" w14:textId="77777777" w:rsidR="00ED6A34" w:rsidRDefault="00ED6A34" w:rsidP="00006DE3">
            <w:pPr>
              <w:pStyle w:val="TableTextRight"/>
            </w:pPr>
            <w:r>
              <w:t>$2,368,231</w:t>
            </w:r>
          </w:p>
        </w:tc>
      </w:tr>
      <w:tr w:rsidR="00ED6A34" w14:paraId="739B039F" w14:textId="77777777" w:rsidTr="00A41E9C">
        <w:trPr>
          <w:trHeight w:val="60"/>
        </w:trPr>
        <w:tc>
          <w:tcPr>
            <w:tcW w:w="2801" w:type="dxa"/>
          </w:tcPr>
          <w:p w14:paraId="2B242BA5" w14:textId="13ED6094" w:rsidR="00ED6A34" w:rsidRDefault="00ED6A34" w:rsidP="00006DE3">
            <w:pPr>
              <w:pStyle w:val="TableText"/>
            </w:pPr>
            <w:r>
              <w:t>Mallee Accommodation and Support Program</w:t>
            </w:r>
          </w:p>
        </w:tc>
        <w:tc>
          <w:tcPr>
            <w:tcW w:w="5131" w:type="dxa"/>
          </w:tcPr>
          <w:p w14:paraId="25AB303C" w14:textId="5131A692" w:rsidR="00ED6A34" w:rsidRDefault="00ED6A34" w:rsidP="00006DE3">
            <w:pPr>
              <w:pStyle w:val="TableText"/>
            </w:pPr>
            <w:r>
              <w:t>A new 13-unit housing complex at Sunnyside Avenue, Mildura</w:t>
            </w:r>
          </w:p>
        </w:tc>
        <w:tc>
          <w:tcPr>
            <w:tcW w:w="1695" w:type="dxa"/>
          </w:tcPr>
          <w:p w14:paraId="336638BA" w14:textId="77777777" w:rsidR="00ED6A34" w:rsidRDefault="00ED6A34" w:rsidP="00006DE3">
            <w:pPr>
              <w:pStyle w:val="TableTextRight"/>
            </w:pPr>
            <w:r>
              <w:t>$2,025,000</w:t>
            </w:r>
          </w:p>
        </w:tc>
      </w:tr>
      <w:tr w:rsidR="00ED6A34" w14:paraId="3880CC4F" w14:textId="77777777" w:rsidTr="00A41E9C">
        <w:trPr>
          <w:trHeight w:val="60"/>
        </w:trPr>
        <w:tc>
          <w:tcPr>
            <w:tcW w:w="2801" w:type="dxa"/>
          </w:tcPr>
          <w:p w14:paraId="1CE6D29D" w14:textId="4D18A792" w:rsidR="00ED6A34" w:rsidRDefault="00ED6A34" w:rsidP="00006DE3">
            <w:pPr>
              <w:pStyle w:val="TableText"/>
            </w:pPr>
            <w:r>
              <w:t xml:space="preserve">Real Estate Institute of Victoria (REIV) </w:t>
            </w:r>
          </w:p>
        </w:tc>
        <w:tc>
          <w:tcPr>
            <w:tcW w:w="5131" w:type="dxa"/>
          </w:tcPr>
          <w:p w14:paraId="5E2AA195" w14:textId="5D7079B6" w:rsidR="00ED6A34" w:rsidRDefault="00ED6A34" w:rsidP="00006DE3">
            <w:pPr>
              <w:pStyle w:val="TableText"/>
            </w:pPr>
            <w:r>
              <w:t>Professional Development 2018–19</w:t>
            </w:r>
          </w:p>
        </w:tc>
        <w:tc>
          <w:tcPr>
            <w:tcW w:w="1695" w:type="dxa"/>
          </w:tcPr>
          <w:p w14:paraId="2485B516" w14:textId="77777777" w:rsidR="00ED6A34" w:rsidRDefault="00ED6A34" w:rsidP="00006DE3">
            <w:pPr>
              <w:pStyle w:val="TableTextRight"/>
            </w:pPr>
            <w:r>
              <w:t>$229,856</w:t>
            </w:r>
          </w:p>
        </w:tc>
      </w:tr>
      <w:tr w:rsidR="00ED6A34" w14:paraId="3126A4F8" w14:textId="77777777" w:rsidTr="00A41E9C">
        <w:trPr>
          <w:trHeight w:val="60"/>
        </w:trPr>
        <w:tc>
          <w:tcPr>
            <w:tcW w:w="2801" w:type="dxa"/>
          </w:tcPr>
          <w:p w14:paraId="402AB8D5" w14:textId="52E99883" w:rsidR="00ED6A34" w:rsidRDefault="00ED6A34" w:rsidP="00006DE3">
            <w:pPr>
              <w:pStyle w:val="TableText"/>
            </w:pPr>
            <w:r>
              <w:t>Rural Housing Network (Beyond Housing)</w:t>
            </w:r>
          </w:p>
        </w:tc>
        <w:tc>
          <w:tcPr>
            <w:tcW w:w="5131" w:type="dxa"/>
          </w:tcPr>
          <w:p w14:paraId="42019DD1" w14:textId="4E8ED2C6" w:rsidR="00ED6A34" w:rsidRDefault="00ED6A34" w:rsidP="00006DE3">
            <w:pPr>
              <w:pStyle w:val="TableText"/>
            </w:pPr>
            <w:r>
              <w:t>Four new two-bedroom housing units across three sites in Wodonga</w:t>
            </w:r>
          </w:p>
        </w:tc>
        <w:tc>
          <w:tcPr>
            <w:tcW w:w="1695" w:type="dxa"/>
          </w:tcPr>
          <w:p w14:paraId="53103DFB" w14:textId="77777777" w:rsidR="00ED6A34" w:rsidRDefault="00ED6A34" w:rsidP="00006DE3">
            <w:pPr>
              <w:pStyle w:val="TableTextRight"/>
            </w:pPr>
            <w:r>
              <w:t>$948,738</w:t>
            </w:r>
          </w:p>
        </w:tc>
      </w:tr>
      <w:tr w:rsidR="00ED6A34" w14:paraId="1476E3F4" w14:textId="77777777" w:rsidTr="00A41E9C">
        <w:trPr>
          <w:trHeight w:val="60"/>
        </w:trPr>
        <w:tc>
          <w:tcPr>
            <w:tcW w:w="2801" w:type="dxa"/>
          </w:tcPr>
          <w:p w14:paraId="32938F51" w14:textId="03E52B35" w:rsidR="00ED6A34" w:rsidRDefault="00ED6A34" w:rsidP="00006DE3">
            <w:pPr>
              <w:pStyle w:val="TableText"/>
            </w:pPr>
            <w:proofErr w:type="spellStart"/>
            <w:r>
              <w:t>Wintringham</w:t>
            </w:r>
            <w:proofErr w:type="spellEnd"/>
            <w:r>
              <w:t xml:space="preserve"> Housing Limited</w:t>
            </w:r>
          </w:p>
        </w:tc>
        <w:tc>
          <w:tcPr>
            <w:tcW w:w="5131" w:type="dxa"/>
          </w:tcPr>
          <w:p w14:paraId="61EDEC5E" w14:textId="5E74475D" w:rsidR="00ED6A34" w:rsidRDefault="00ED6A34" w:rsidP="00006DE3">
            <w:pPr>
              <w:pStyle w:val="TableText"/>
            </w:pPr>
            <w:r>
              <w:t>A new 22-unit housing complex at Cranwell Court, South Geelong</w:t>
            </w:r>
          </w:p>
        </w:tc>
        <w:tc>
          <w:tcPr>
            <w:tcW w:w="1695" w:type="dxa"/>
          </w:tcPr>
          <w:p w14:paraId="7F91B919" w14:textId="77777777" w:rsidR="00ED6A34" w:rsidRDefault="00ED6A34" w:rsidP="00006DE3">
            <w:pPr>
              <w:pStyle w:val="TableTextRight"/>
            </w:pPr>
            <w:r>
              <w:t>$6,586,460</w:t>
            </w:r>
          </w:p>
        </w:tc>
      </w:tr>
      <w:tr w:rsidR="00ED6A34" w14:paraId="0ECE26B8" w14:textId="77777777" w:rsidTr="00A41E9C">
        <w:trPr>
          <w:trHeight w:val="60"/>
        </w:trPr>
        <w:tc>
          <w:tcPr>
            <w:tcW w:w="7932" w:type="dxa"/>
            <w:gridSpan w:val="2"/>
          </w:tcPr>
          <w:p w14:paraId="3013C276" w14:textId="77777777" w:rsidR="00ED6A34" w:rsidRPr="002352A5" w:rsidRDefault="00ED6A34" w:rsidP="00006DE3">
            <w:pPr>
              <w:pStyle w:val="TableText"/>
              <w:rPr>
                <w:rStyle w:val="Strong"/>
              </w:rPr>
            </w:pPr>
            <w:r w:rsidRPr="002352A5">
              <w:rPr>
                <w:rStyle w:val="Strong"/>
              </w:rPr>
              <w:t>Total</w:t>
            </w:r>
          </w:p>
        </w:tc>
        <w:tc>
          <w:tcPr>
            <w:tcW w:w="1695" w:type="dxa"/>
          </w:tcPr>
          <w:p w14:paraId="0117F2E7" w14:textId="77777777" w:rsidR="00ED6A34" w:rsidRPr="002352A5" w:rsidRDefault="00ED6A34" w:rsidP="00006DE3">
            <w:pPr>
              <w:pStyle w:val="TableTextRight"/>
              <w:rPr>
                <w:rStyle w:val="Strong"/>
              </w:rPr>
            </w:pPr>
            <w:r w:rsidRPr="002352A5">
              <w:rPr>
                <w:rStyle w:val="Strong"/>
              </w:rPr>
              <w:t>$19,231,278</w:t>
            </w:r>
          </w:p>
        </w:tc>
      </w:tr>
    </w:tbl>
    <w:p w14:paraId="1D0BA1DB" w14:textId="10E43243" w:rsidR="00ED6A34" w:rsidRDefault="00ED6A34" w:rsidP="00BB1C65">
      <w:pPr>
        <w:pStyle w:val="Heading2"/>
      </w:pPr>
      <w:bookmarkStart w:id="16" w:name="_Toc21600824"/>
      <w:r>
        <w:lastRenderedPageBreak/>
        <w:t>Trust funds managed by Consumer Affairs Victoria</w:t>
      </w:r>
      <w:bookmarkEnd w:id="16"/>
    </w:p>
    <w:p w14:paraId="624D10C2" w14:textId="6283ECFE" w:rsidR="00ED6A34" w:rsidRDefault="00ED6A34" w:rsidP="00A75F3C">
      <w:pPr>
        <w:pStyle w:val="BodyText"/>
      </w:pPr>
      <w:r>
        <w:t>We manage eight funds established by Acts of Parliament. The funds, and their expenditure purpose, are reflected in Table 7.</w:t>
      </w:r>
    </w:p>
    <w:p w14:paraId="4188BB87" w14:textId="7520EC14" w:rsidR="00ED6A34" w:rsidRDefault="00ED6A34" w:rsidP="00006DE3">
      <w:pPr>
        <w:pStyle w:val="Caption"/>
      </w:pPr>
      <w:r>
        <w:t>Table 7: Trust funds we administer</w:t>
      </w:r>
    </w:p>
    <w:tbl>
      <w:tblPr>
        <w:tblStyle w:val="TableGrid"/>
        <w:tblW w:w="9072" w:type="dxa"/>
        <w:tblLayout w:type="fixed"/>
        <w:tblLook w:val="06A0" w:firstRow="1" w:lastRow="0" w:firstColumn="1" w:lastColumn="0" w:noHBand="1" w:noVBand="1"/>
      </w:tblPr>
      <w:tblGrid>
        <w:gridCol w:w="2675"/>
        <w:gridCol w:w="6397"/>
      </w:tblGrid>
      <w:tr w:rsidR="00ED6A34" w14:paraId="483D1C00" w14:textId="77777777" w:rsidTr="00A41E9C">
        <w:trPr>
          <w:cnfStyle w:val="100000000000" w:firstRow="1" w:lastRow="0" w:firstColumn="0" w:lastColumn="0" w:oddVBand="0" w:evenVBand="0" w:oddHBand="0" w:evenHBand="0" w:firstRowFirstColumn="0" w:firstRowLastColumn="0" w:lastRowFirstColumn="0" w:lastRowLastColumn="0"/>
          <w:trHeight w:val="60"/>
          <w:tblHeader/>
        </w:trPr>
        <w:tc>
          <w:tcPr>
            <w:tcW w:w="2835" w:type="dxa"/>
          </w:tcPr>
          <w:p w14:paraId="358F127E" w14:textId="29003ACA" w:rsidR="00ED6A34" w:rsidRDefault="00ED6A34" w:rsidP="00006DE3">
            <w:pPr>
              <w:pStyle w:val="TableColHead"/>
            </w:pPr>
            <w:r>
              <w:t>Trust fund</w:t>
            </w:r>
          </w:p>
        </w:tc>
        <w:tc>
          <w:tcPr>
            <w:tcW w:w="6803" w:type="dxa"/>
          </w:tcPr>
          <w:p w14:paraId="4CC54D8E" w14:textId="01A9D146" w:rsidR="00ED6A34" w:rsidRDefault="00ED6A34" w:rsidP="00006DE3">
            <w:pPr>
              <w:pStyle w:val="TableColHead"/>
            </w:pPr>
            <w:r>
              <w:t>Expenditure includes</w:t>
            </w:r>
          </w:p>
        </w:tc>
      </w:tr>
      <w:tr w:rsidR="00ED6A34" w14:paraId="251D7C24" w14:textId="77777777" w:rsidTr="00A41E9C">
        <w:trPr>
          <w:trHeight w:val="60"/>
        </w:trPr>
        <w:tc>
          <w:tcPr>
            <w:tcW w:w="2835" w:type="dxa"/>
          </w:tcPr>
          <w:p w14:paraId="6B67F68D" w14:textId="7478FD82" w:rsidR="00ED6A34" w:rsidRDefault="00ED6A34" w:rsidP="00006DE3">
            <w:pPr>
              <w:pStyle w:val="TableText"/>
            </w:pPr>
            <w:r>
              <w:t>Domestic Builders Fund</w:t>
            </w:r>
          </w:p>
        </w:tc>
        <w:tc>
          <w:tcPr>
            <w:tcW w:w="6803" w:type="dxa"/>
          </w:tcPr>
          <w:p w14:paraId="0E6A752A" w14:textId="7CB4357E" w:rsidR="00ED6A34" w:rsidRDefault="00ED6A34" w:rsidP="00006DE3">
            <w:pPr>
              <w:pStyle w:val="TableText"/>
            </w:pPr>
            <w:r>
              <w:t xml:space="preserve">Administration of the </w:t>
            </w:r>
            <w:r w:rsidRPr="00F3632D">
              <w:rPr>
                <w:rStyle w:val="Emphasis"/>
              </w:rPr>
              <w:t>Domestic Building Contracts Act 1995</w:t>
            </w:r>
            <w:r>
              <w:t>, costs relating to the Victorian Civil and Administrative Tribunal (VCAT) Domestic Building List and Domestic Building Dispute Resolution Victoria (DBDRV)</w:t>
            </w:r>
          </w:p>
        </w:tc>
      </w:tr>
      <w:tr w:rsidR="00ED6A34" w14:paraId="1530909E" w14:textId="77777777" w:rsidTr="00A41E9C">
        <w:trPr>
          <w:trHeight w:val="60"/>
        </w:trPr>
        <w:tc>
          <w:tcPr>
            <w:tcW w:w="2835" w:type="dxa"/>
          </w:tcPr>
          <w:p w14:paraId="7730272C" w14:textId="0F954973" w:rsidR="00ED6A34" w:rsidRDefault="00ED6A34" w:rsidP="00006DE3">
            <w:pPr>
              <w:pStyle w:val="TableText"/>
            </w:pPr>
            <w:r>
              <w:t>Motor Car Traders Guarantee Fund</w:t>
            </w:r>
          </w:p>
        </w:tc>
        <w:tc>
          <w:tcPr>
            <w:tcW w:w="6803" w:type="dxa"/>
          </w:tcPr>
          <w:p w14:paraId="0D5BC8BC" w14:textId="709E2D14" w:rsidR="00ED6A34" w:rsidRDefault="00ED6A34" w:rsidP="00006DE3">
            <w:pPr>
              <w:pStyle w:val="TableText"/>
            </w:pPr>
            <w:r>
              <w:t xml:space="preserve">Administration of the </w:t>
            </w:r>
            <w:r w:rsidRPr="00F3632D">
              <w:rPr>
                <w:rStyle w:val="Emphasis"/>
              </w:rPr>
              <w:t>Motor Car Traders Act 1986</w:t>
            </w:r>
            <w:r>
              <w:t>, guarantee fund claims</w:t>
            </w:r>
          </w:p>
        </w:tc>
      </w:tr>
      <w:tr w:rsidR="00ED6A34" w14:paraId="5F918A65" w14:textId="77777777" w:rsidTr="00A41E9C">
        <w:trPr>
          <w:trHeight w:val="60"/>
        </w:trPr>
        <w:tc>
          <w:tcPr>
            <w:tcW w:w="2835" w:type="dxa"/>
          </w:tcPr>
          <w:p w14:paraId="0328B958" w14:textId="1A66E23E" w:rsidR="00ED6A34" w:rsidRDefault="00ED6A34" w:rsidP="00006DE3">
            <w:pPr>
              <w:pStyle w:val="TableText"/>
            </w:pPr>
            <w:r>
              <w:t>Residential Bonds Account</w:t>
            </w:r>
          </w:p>
        </w:tc>
        <w:tc>
          <w:tcPr>
            <w:tcW w:w="6803" w:type="dxa"/>
          </w:tcPr>
          <w:p w14:paraId="4C5B246F" w14:textId="08FF1B14" w:rsidR="00ED6A34" w:rsidRDefault="00ED6A34" w:rsidP="00006DE3">
            <w:pPr>
              <w:pStyle w:val="TableText"/>
            </w:pPr>
            <w:r>
              <w:t>Bonds held on trust, repayment of bonds</w:t>
            </w:r>
          </w:p>
        </w:tc>
      </w:tr>
      <w:tr w:rsidR="00ED6A34" w14:paraId="77C0B950" w14:textId="77777777" w:rsidTr="00A41E9C">
        <w:trPr>
          <w:trHeight w:val="60"/>
        </w:trPr>
        <w:tc>
          <w:tcPr>
            <w:tcW w:w="2835" w:type="dxa"/>
          </w:tcPr>
          <w:p w14:paraId="6D772DE3" w14:textId="7850C3D8" w:rsidR="00ED6A34" w:rsidRDefault="00ED6A34" w:rsidP="00006DE3">
            <w:pPr>
              <w:pStyle w:val="TableText"/>
            </w:pPr>
            <w:r>
              <w:t>Residential Bonds Investment Income Account</w:t>
            </w:r>
          </w:p>
        </w:tc>
        <w:tc>
          <w:tcPr>
            <w:tcW w:w="6803" w:type="dxa"/>
          </w:tcPr>
          <w:p w14:paraId="10285E92" w14:textId="49888C8D" w:rsidR="00ED6A34" w:rsidRDefault="00ED6A34" w:rsidP="00006DE3">
            <w:pPr>
              <w:pStyle w:val="TableText"/>
            </w:pPr>
            <w:r>
              <w:t>Administration of the RTBA</w:t>
            </w:r>
          </w:p>
        </w:tc>
      </w:tr>
      <w:tr w:rsidR="00ED6A34" w14:paraId="74B4BCAC" w14:textId="77777777" w:rsidTr="00A41E9C">
        <w:trPr>
          <w:trHeight w:val="60"/>
        </w:trPr>
        <w:tc>
          <w:tcPr>
            <w:tcW w:w="2835" w:type="dxa"/>
          </w:tcPr>
          <w:p w14:paraId="37922DB2" w14:textId="6C9442FA" w:rsidR="00ED6A34" w:rsidRDefault="00ED6A34" w:rsidP="00006DE3">
            <w:pPr>
              <w:pStyle w:val="TableText"/>
            </w:pPr>
            <w:r>
              <w:t xml:space="preserve">Residential Tenancies Fund </w:t>
            </w:r>
          </w:p>
        </w:tc>
        <w:tc>
          <w:tcPr>
            <w:tcW w:w="6803" w:type="dxa"/>
          </w:tcPr>
          <w:p w14:paraId="7DEFD469" w14:textId="7169F43F" w:rsidR="00ED6A34" w:rsidRDefault="00ED6A34" w:rsidP="00006DE3">
            <w:pPr>
              <w:pStyle w:val="TableText"/>
            </w:pPr>
            <w:r>
              <w:t xml:space="preserve">Administration of the </w:t>
            </w:r>
            <w:r w:rsidRPr="00F3632D">
              <w:rPr>
                <w:rStyle w:val="Emphasis"/>
              </w:rPr>
              <w:t>Residential Tenancies Act 1997</w:t>
            </w:r>
            <w:r>
              <w:t>, costs relating to the VCAT Residential Tenancies List</w:t>
            </w:r>
          </w:p>
        </w:tc>
      </w:tr>
      <w:tr w:rsidR="00ED6A34" w14:paraId="4449DF0E" w14:textId="77777777" w:rsidTr="00A41E9C">
        <w:trPr>
          <w:trHeight w:val="60"/>
        </w:trPr>
        <w:tc>
          <w:tcPr>
            <w:tcW w:w="2835" w:type="dxa"/>
          </w:tcPr>
          <w:p w14:paraId="54B70E7D" w14:textId="6ADA54C7" w:rsidR="00ED6A34" w:rsidRDefault="00ED6A34" w:rsidP="00006DE3">
            <w:pPr>
              <w:pStyle w:val="TableText"/>
            </w:pPr>
            <w:r>
              <w:t>Sex Work Regulation Fund</w:t>
            </w:r>
          </w:p>
        </w:tc>
        <w:tc>
          <w:tcPr>
            <w:tcW w:w="6803" w:type="dxa"/>
          </w:tcPr>
          <w:p w14:paraId="0DB3C2EE" w14:textId="01D25908" w:rsidR="00ED6A34" w:rsidRDefault="00ED6A34" w:rsidP="00006DE3">
            <w:pPr>
              <w:pStyle w:val="TableText"/>
            </w:pPr>
            <w:r>
              <w:t xml:space="preserve">Administration of the </w:t>
            </w:r>
            <w:r w:rsidRPr="00F3632D">
              <w:rPr>
                <w:rStyle w:val="Emphasis"/>
              </w:rPr>
              <w:t>Sex Work Act 1994</w:t>
            </w:r>
          </w:p>
        </w:tc>
      </w:tr>
      <w:tr w:rsidR="00ED6A34" w14:paraId="5073B68D" w14:textId="77777777" w:rsidTr="00A41E9C">
        <w:trPr>
          <w:trHeight w:val="60"/>
        </w:trPr>
        <w:tc>
          <w:tcPr>
            <w:tcW w:w="2835" w:type="dxa"/>
          </w:tcPr>
          <w:p w14:paraId="60FEF792" w14:textId="4EC89204" w:rsidR="00ED6A34" w:rsidRDefault="00ED6A34" w:rsidP="00006DE3">
            <w:pPr>
              <w:pStyle w:val="TableText"/>
            </w:pPr>
            <w:r>
              <w:t>Victorian Consumer Law Fund</w:t>
            </w:r>
          </w:p>
        </w:tc>
        <w:tc>
          <w:tcPr>
            <w:tcW w:w="6803" w:type="dxa"/>
          </w:tcPr>
          <w:p w14:paraId="306C93ED" w14:textId="1BEC2947" w:rsidR="00ED6A34" w:rsidRDefault="00ED6A34" w:rsidP="00006DE3">
            <w:pPr>
              <w:pStyle w:val="TableText"/>
            </w:pPr>
            <w:r>
              <w:t xml:space="preserve">Administration of the </w:t>
            </w:r>
            <w:r w:rsidRPr="00F3632D">
              <w:rPr>
                <w:rStyle w:val="Emphasis"/>
              </w:rPr>
              <w:t xml:space="preserve">Australian Consumer Law and </w:t>
            </w:r>
            <w:proofErr w:type="gramStart"/>
            <w:r w:rsidRPr="00F3632D">
              <w:rPr>
                <w:rStyle w:val="Emphasis"/>
              </w:rPr>
              <w:t>Fair Trading</w:t>
            </w:r>
            <w:proofErr w:type="gramEnd"/>
            <w:r w:rsidRPr="00F3632D">
              <w:rPr>
                <w:rStyle w:val="Emphasis"/>
              </w:rPr>
              <w:t xml:space="preserve"> Act 2012</w:t>
            </w:r>
            <w:r>
              <w:t xml:space="preserve"> Part 7, Division 2, s.102A to E, orders for payment to non-party consumers, special purpose grants</w:t>
            </w:r>
          </w:p>
        </w:tc>
      </w:tr>
      <w:tr w:rsidR="00ED6A34" w14:paraId="72DF6D5B" w14:textId="77777777" w:rsidTr="00A41E9C">
        <w:trPr>
          <w:trHeight w:val="60"/>
        </w:trPr>
        <w:tc>
          <w:tcPr>
            <w:tcW w:w="2835" w:type="dxa"/>
          </w:tcPr>
          <w:p w14:paraId="022F15B2" w14:textId="18A22618" w:rsidR="00ED6A34" w:rsidRDefault="00ED6A34" w:rsidP="00006DE3">
            <w:pPr>
              <w:pStyle w:val="TableText"/>
            </w:pPr>
            <w:r>
              <w:t>Victorian Property Fund</w:t>
            </w:r>
          </w:p>
        </w:tc>
        <w:tc>
          <w:tcPr>
            <w:tcW w:w="6803" w:type="dxa"/>
          </w:tcPr>
          <w:p w14:paraId="635FF24D" w14:textId="6D1E3C0F" w:rsidR="00ED6A34" w:rsidRDefault="00ED6A34" w:rsidP="00006DE3">
            <w:pPr>
              <w:pStyle w:val="TableText"/>
            </w:pPr>
            <w:r>
              <w:t xml:space="preserve">Administration of the </w:t>
            </w:r>
            <w:r w:rsidRPr="00F3632D">
              <w:rPr>
                <w:rStyle w:val="Emphasis"/>
              </w:rPr>
              <w:t>Estate Agents Act 1980</w:t>
            </w:r>
            <w:r>
              <w:t xml:space="preserve"> and other real estate related legislation as permitted by s.75 of the Act, grants relating to property and housing as permitted by s.76(3) of the Act, operation of the EAC, trust fund claims, costs relating to the VCAT Owners Corporation List</w:t>
            </w:r>
          </w:p>
        </w:tc>
      </w:tr>
    </w:tbl>
    <w:p w14:paraId="5F09D19A" w14:textId="723210CB" w:rsidR="00ED6A34" w:rsidRDefault="00ED6A34" w:rsidP="00BB1C65">
      <w:pPr>
        <w:pStyle w:val="Heading2"/>
      </w:pPr>
      <w:bookmarkStart w:id="17" w:name="_Toc21600825"/>
      <w:r>
        <w:lastRenderedPageBreak/>
        <w:t>Reducing red tape</w:t>
      </w:r>
      <w:bookmarkEnd w:id="17"/>
    </w:p>
    <w:p w14:paraId="16BAE235" w14:textId="2F1046CE" w:rsidR="00ED6A34" w:rsidRDefault="00ED6A34" w:rsidP="00A75F3C">
      <w:pPr>
        <w:pStyle w:val="BodyText"/>
      </w:pPr>
      <w:r>
        <w:t>In June 2017, the Minister for Consumer Affairs issued a reducing red tape Statement of Expectations (SOE) to Consumer Affairs Victoria and the Business Licensing Authority for 2017–19. This statement sets out the Minister’s expectations for our continued contribution to the Government’s Regulation Reform Program to reduce red tape affecting businesses, not-for-profit organisations, government service providers and households. This involves promoting greater efficiency and effectiveness in the administration and enforcement of regulation. The statement also outlines the Minister’s expectations for broader improvements to our performance.</w:t>
      </w:r>
    </w:p>
    <w:p w14:paraId="1A84C15B" w14:textId="06988CE8" w:rsidR="00ED6A34" w:rsidRDefault="00ED6A34" w:rsidP="00A75F3C">
      <w:pPr>
        <w:pStyle w:val="BodyText"/>
      </w:pPr>
      <w:r>
        <w:t>The statement encouraged us to continue with our risk-based approach to regulation and to identify key areas of governance and operational performance where there are opportunities to make improvements that reduce the cost of regulation for business, not for profit organisations, government service providers and households.</w:t>
      </w:r>
    </w:p>
    <w:p w14:paraId="71FA7914" w14:textId="63042322" w:rsidR="00ED6A34" w:rsidRDefault="00ED6A34" w:rsidP="00A75F3C">
      <w:pPr>
        <w:pStyle w:val="BodyText"/>
      </w:pPr>
      <w:r>
        <w:t>The projects identified in the statement fall under three broad objectives:</w:t>
      </w:r>
    </w:p>
    <w:p w14:paraId="3103D6DF" w14:textId="04C0C149" w:rsidR="00ED6A34" w:rsidRDefault="00ED6A34" w:rsidP="00A75F3C">
      <w:pPr>
        <w:pStyle w:val="ListBullet"/>
      </w:pPr>
      <w:r>
        <w:t>improved timeliness</w:t>
      </w:r>
    </w:p>
    <w:p w14:paraId="7B570459" w14:textId="7DFDC63C" w:rsidR="00ED6A34" w:rsidRDefault="00ED6A34" w:rsidP="00A75F3C">
      <w:pPr>
        <w:pStyle w:val="ListBullet"/>
      </w:pPr>
      <w:r>
        <w:t>risk-based strategies</w:t>
      </w:r>
    </w:p>
    <w:p w14:paraId="544EB448" w14:textId="3675DF47" w:rsidR="00ED6A34" w:rsidRDefault="00ED6A34" w:rsidP="00A75F3C">
      <w:pPr>
        <w:pStyle w:val="ListBullet"/>
      </w:pPr>
      <w:r>
        <w:t>compliance-related assistance and advice.</w:t>
      </w:r>
    </w:p>
    <w:p w14:paraId="6A670200" w14:textId="12F428C9" w:rsidR="00ED6A34" w:rsidRDefault="00ED6A34" w:rsidP="00A75F3C">
      <w:pPr>
        <w:pStyle w:val="BodyText"/>
      </w:pPr>
      <w:r>
        <w:t>The Victorian Government’s Statement of Expectations Framework for Regulators (the SOE Framework), requires departments to evaluate the SOEs of their portfolio regulators.</w:t>
      </w:r>
    </w:p>
    <w:p w14:paraId="0CC49DA8" w14:textId="7DB877BC" w:rsidR="00ED6A34" w:rsidRDefault="00ED6A34" w:rsidP="00A75F3C">
      <w:pPr>
        <w:pStyle w:val="BodyText"/>
      </w:pPr>
      <w:r>
        <w:t>In April 2018, the DJCS Strategic Planning Unit (SPU) was commissioned to undertake an evaluation of our 1 June 2017 to 30 June 2019 SOE. SPU is a DJCS internal consulting group, working across the department to deliver evaluation services, including:</w:t>
      </w:r>
    </w:p>
    <w:p w14:paraId="6DE0FFD5" w14:textId="2115A980" w:rsidR="00ED6A34" w:rsidRDefault="00ED6A34" w:rsidP="00A75F3C">
      <w:pPr>
        <w:pStyle w:val="ListBullet"/>
      </w:pPr>
      <w:r>
        <w:t>process and outcomes evaluations</w:t>
      </w:r>
    </w:p>
    <w:p w14:paraId="6BC38B5B" w14:textId="7B57E71F" w:rsidR="00ED6A34" w:rsidRDefault="00ED6A34" w:rsidP="00A75F3C">
      <w:pPr>
        <w:pStyle w:val="ListBullet"/>
      </w:pPr>
      <w:r>
        <w:t>cost effectiveness analysis, and</w:t>
      </w:r>
    </w:p>
    <w:p w14:paraId="47C6215D" w14:textId="72346724" w:rsidR="00ED6A34" w:rsidRDefault="00ED6A34" w:rsidP="00A75F3C">
      <w:pPr>
        <w:pStyle w:val="ListBullet"/>
      </w:pPr>
      <w:r>
        <w:t>development of evaluation frameworks and plans.</w:t>
      </w:r>
    </w:p>
    <w:p w14:paraId="16FAB7A4" w14:textId="23EFA73E" w:rsidR="00ED6A34" w:rsidRDefault="00ED6A34" w:rsidP="00A75F3C">
      <w:pPr>
        <w:pStyle w:val="BodyText"/>
      </w:pPr>
      <w:r>
        <w:t>The evaluation concluded in 2019 and found that our SOE initiatives were either complete or on schedule for delivery within the timeframes of the SOE and, when complete, will meet the characteristics of best practice under each regulatory element.</w:t>
      </w:r>
    </w:p>
    <w:p w14:paraId="2B63D3AA" w14:textId="10D63261" w:rsidR="00ED6A34" w:rsidRDefault="00ED6A34" w:rsidP="00A75F3C">
      <w:pPr>
        <w:pStyle w:val="BodyText"/>
      </w:pPr>
      <w:r>
        <w:t>All our SOE projects were delivered in 2017–19, meeting the Minister’s expectations. The SOE, our responses and the evaluation are all available on our website.</w:t>
      </w:r>
    </w:p>
    <w:p w14:paraId="1D337FAF" w14:textId="77777777" w:rsidR="00B65A4B" w:rsidRDefault="00B65A4B" w:rsidP="00BB1C65">
      <w:pPr>
        <w:pStyle w:val="Heading2"/>
        <w:sectPr w:rsidR="00B65A4B" w:rsidSect="001B396A">
          <w:footerReference w:type="default" r:id="rId16"/>
          <w:footnotePr>
            <w:pos w:val="beneathText"/>
            <w:numRestart w:val="eachPage"/>
          </w:footnotePr>
          <w:pgSz w:w="11906" w:h="16838" w:code="9"/>
          <w:pgMar w:top="1418" w:right="1418" w:bottom="1134" w:left="1418" w:header="510" w:footer="510" w:gutter="0"/>
          <w:cols w:space="708"/>
          <w:titlePg/>
          <w:docGrid w:linePitch="360"/>
        </w:sectPr>
      </w:pPr>
    </w:p>
    <w:p w14:paraId="2FBBE65E" w14:textId="3FAE4FAD" w:rsidR="00ED6A34" w:rsidRDefault="00ED6A34" w:rsidP="00BB1C65">
      <w:pPr>
        <w:pStyle w:val="Heading2"/>
      </w:pPr>
      <w:bookmarkStart w:id="18" w:name="_Toc21600826"/>
      <w:r>
        <w:lastRenderedPageBreak/>
        <w:t>Financial information 2018–19</w:t>
      </w:r>
      <w:bookmarkEnd w:id="18"/>
    </w:p>
    <w:tbl>
      <w:tblPr>
        <w:tblStyle w:val="TableGrid"/>
        <w:tblW w:w="20979" w:type="dxa"/>
        <w:tblLayout w:type="fixed"/>
        <w:tblLook w:val="06A0" w:firstRow="1" w:lastRow="0" w:firstColumn="1" w:lastColumn="0" w:noHBand="1" w:noVBand="1"/>
      </w:tblPr>
      <w:tblGrid>
        <w:gridCol w:w="7340"/>
        <w:gridCol w:w="1704"/>
        <w:gridCol w:w="1705"/>
        <w:gridCol w:w="1705"/>
        <w:gridCol w:w="1705"/>
        <w:gridCol w:w="1705"/>
        <w:gridCol w:w="1705"/>
        <w:gridCol w:w="1705"/>
        <w:gridCol w:w="1705"/>
      </w:tblGrid>
      <w:tr w:rsidR="00ED6A34" w14:paraId="62E9813F" w14:textId="77777777" w:rsidTr="00555997">
        <w:trPr>
          <w:cnfStyle w:val="100000000000" w:firstRow="1" w:lastRow="0" w:firstColumn="0" w:lastColumn="0" w:oddVBand="0" w:evenVBand="0" w:oddHBand="0" w:evenHBand="0" w:firstRowFirstColumn="0" w:firstRowLastColumn="0" w:lastRowFirstColumn="0" w:lastRowLastColumn="0"/>
          <w:trHeight w:val="60"/>
          <w:tblHeader/>
        </w:trPr>
        <w:tc>
          <w:tcPr>
            <w:tcW w:w="6520" w:type="dxa"/>
          </w:tcPr>
          <w:p w14:paraId="5681742C" w14:textId="77777777" w:rsidR="00ED6A34" w:rsidRDefault="00ED6A34">
            <w:pPr>
              <w:spacing w:line="240" w:lineRule="auto"/>
              <w:rPr>
                <w:rFonts w:ascii="VIC-SemiBold" w:hAnsi="VIC-SemiBold" w:cstheme="minorBidi"/>
              </w:rPr>
            </w:pPr>
          </w:p>
        </w:tc>
        <w:tc>
          <w:tcPr>
            <w:tcW w:w="1514" w:type="dxa"/>
          </w:tcPr>
          <w:p w14:paraId="3F529586" w14:textId="140E9948" w:rsidR="00ED6A34" w:rsidRDefault="00ED6A34" w:rsidP="00006DE3">
            <w:pPr>
              <w:pStyle w:val="TableColHeadRight"/>
            </w:pPr>
            <w:r>
              <w:t>Victorian Consumer Law Fund</w:t>
            </w:r>
          </w:p>
        </w:tc>
        <w:tc>
          <w:tcPr>
            <w:tcW w:w="1514" w:type="dxa"/>
          </w:tcPr>
          <w:p w14:paraId="5E3F11D7" w14:textId="14356656" w:rsidR="00ED6A34" w:rsidRDefault="00ED6A34" w:rsidP="00006DE3">
            <w:pPr>
              <w:pStyle w:val="TableColHeadRight"/>
            </w:pPr>
            <w:r>
              <w:t>Domestic Builders Fund</w:t>
            </w:r>
          </w:p>
        </w:tc>
        <w:tc>
          <w:tcPr>
            <w:tcW w:w="1514" w:type="dxa"/>
          </w:tcPr>
          <w:p w14:paraId="349C4EFB" w14:textId="25DD9AF6" w:rsidR="00ED6A34" w:rsidRDefault="00ED6A34" w:rsidP="00006DE3">
            <w:pPr>
              <w:pStyle w:val="TableColHeadRight"/>
            </w:pPr>
            <w:r>
              <w:t>Motor Car Traders’ Guarantee Fund</w:t>
            </w:r>
          </w:p>
        </w:tc>
        <w:tc>
          <w:tcPr>
            <w:tcW w:w="1514" w:type="dxa"/>
          </w:tcPr>
          <w:p w14:paraId="6B8EBFE8" w14:textId="7CECCC33" w:rsidR="00ED6A34" w:rsidRDefault="00ED6A34" w:rsidP="00006DE3">
            <w:pPr>
              <w:pStyle w:val="TableColHeadRight"/>
            </w:pPr>
            <w:r>
              <w:t>Residential Bonds Investment Income Account</w:t>
            </w:r>
          </w:p>
        </w:tc>
        <w:tc>
          <w:tcPr>
            <w:tcW w:w="1514" w:type="dxa"/>
          </w:tcPr>
          <w:p w14:paraId="5E65277B" w14:textId="547702C4" w:rsidR="00ED6A34" w:rsidRDefault="00ED6A34" w:rsidP="00006DE3">
            <w:pPr>
              <w:pStyle w:val="TableColHeadRight"/>
            </w:pPr>
            <w:r>
              <w:t>Residential Tenancies Fund</w:t>
            </w:r>
          </w:p>
        </w:tc>
        <w:tc>
          <w:tcPr>
            <w:tcW w:w="1514" w:type="dxa"/>
          </w:tcPr>
          <w:p w14:paraId="69A891CB" w14:textId="0EB0047F" w:rsidR="00ED6A34" w:rsidRDefault="00ED6A34" w:rsidP="00006DE3">
            <w:pPr>
              <w:pStyle w:val="TableColHeadRight"/>
            </w:pPr>
            <w:r>
              <w:t>Sex Work Regulation Fund</w:t>
            </w:r>
          </w:p>
        </w:tc>
        <w:tc>
          <w:tcPr>
            <w:tcW w:w="1514" w:type="dxa"/>
          </w:tcPr>
          <w:p w14:paraId="02EDF91C" w14:textId="0C8ACB2E" w:rsidR="00ED6A34" w:rsidRDefault="00ED6A34" w:rsidP="00006DE3">
            <w:pPr>
              <w:pStyle w:val="TableColHeadRight"/>
            </w:pPr>
            <w:r>
              <w:t>Victorian Property Fund</w:t>
            </w:r>
          </w:p>
        </w:tc>
        <w:tc>
          <w:tcPr>
            <w:tcW w:w="1514" w:type="dxa"/>
          </w:tcPr>
          <w:p w14:paraId="7E7A4AE9" w14:textId="7D053D1F" w:rsidR="00ED6A34" w:rsidRDefault="00ED6A34" w:rsidP="00006DE3">
            <w:pPr>
              <w:pStyle w:val="TableColHeadRight"/>
            </w:pPr>
            <w:r>
              <w:t xml:space="preserve">Trust Funds Total </w:t>
            </w:r>
          </w:p>
          <w:p w14:paraId="3498BF23" w14:textId="77777777" w:rsidR="00ED6A34" w:rsidRDefault="00ED6A34" w:rsidP="00006DE3">
            <w:pPr>
              <w:pStyle w:val="TableColHeadRight"/>
            </w:pPr>
            <w:r>
              <w:t>2018–19</w:t>
            </w:r>
          </w:p>
        </w:tc>
      </w:tr>
      <w:tr w:rsidR="00ED6A34" w14:paraId="1137D50F" w14:textId="77777777" w:rsidTr="00555997">
        <w:trPr>
          <w:trHeight w:val="60"/>
        </w:trPr>
        <w:tc>
          <w:tcPr>
            <w:tcW w:w="1514" w:type="dxa"/>
            <w:gridSpan w:val="9"/>
            <w:shd w:val="clear" w:color="auto" w:fill="B2D5F0"/>
          </w:tcPr>
          <w:p w14:paraId="33103E6E" w14:textId="5C8CAC4D" w:rsidR="00ED6A34" w:rsidRPr="00A11832" w:rsidRDefault="00ED6A34" w:rsidP="00006DE3">
            <w:pPr>
              <w:pStyle w:val="TableTextBold"/>
            </w:pPr>
            <w:r w:rsidRPr="00A11832">
              <w:t>CAV Trust Funds Revenue</w:t>
            </w:r>
          </w:p>
        </w:tc>
      </w:tr>
      <w:tr w:rsidR="00ED6A34" w14:paraId="05E1D8A6" w14:textId="77777777" w:rsidTr="00555997">
        <w:trPr>
          <w:trHeight w:val="60"/>
        </w:trPr>
        <w:tc>
          <w:tcPr>
            <w:tcW w:w="6520" w:type="dxa"/>
          </w:tcPr>
          <w:p w14:paraId="25F564C9" w14:textId="3AA9D054" w:rsidR="00ED6A34" w:rsidRDefault="00ED6A34" w:rsidP="00006DE3">
            <w:pPr>
              <w:pStyle w:val="TableText"/>
            </w:pPr>
            <w:r>
              <w:t>Revenue recognition, Estate Agent and Conveyancer trust accounts</w:t>
            </w:r>
          </w:p>
        </w:tc>
        <w:tc>
          <w:tcPr>
            <w:tcW w:w="1514" w:type="dxa"/>
          </w:tcPr>
          <w:p w14:paraId="52283FAC" w14:textId="77777777" w:rsidR="00ED6A34" w:rsidRDefault="00ED6A34">
            <w:pPr>
              <w:spacing w:line="240" w:lineRule="auto"/>
              <w:rPr>
                <w:rFonts w:ascii="VIC-SemiBold" w:hAnsi="VIC-SemiBold" w:cstheme="minorBidi"/>
              </w:rPr>
            </w:pPr>
          </w:p>
        </w:tc>
        <w:tc>
          <w:tcPr>
            <w:tcW w:w="1514" w:type="dxa"/>
          </w:tcPr>
          <w:p w14:paraId="6D1F7C5A" w14:textId="77777777" w:rsidR="00ED6A34" w:rsidRDefault="00ED6A34">
            <w:pPr>
              <w:spacing w:line="240" w:lineRule="auto"/>
              <w:rPr>
                <w:rFonts w:ascii="VIC-SemiBold" w:hAnsi="VIC-SemiBold" w:cstheme="minorBidi"/>
              </w:rPr>
            </w:pPr>
          </w:p>
        </w:tc>
        <w:tc>
          <w:tcPr>
            <w:tcW w:w="1514" w:type="dxa"/>
          </w:tcPr>
          <w:p w14:paraId="6BF284D9" w14:textId="77777777" w:rsidR="00ED6A34" w:rsidRDefault="00ED6A34">
            <w:pPr>
              <w:spacing w:line="240" w:lineRule="auto"/>
              <w:rPr>
                <w:rFonts w:ascii="VIC-SemiBold" w:hAnsi="VIC-SemiBold" w:cstheme="minorBidi"/>
              </w:rPr>
            </w:pPr>
          </w:p>
        </w:tc>
        <w:tc>
          <w:tcPr>
            <w:tcW w:w="1514" w:type="dxa"/>
          </w:tcPr>
          <w:p w14:paraId="51DF7849" w14:textId="77777777" w:rsidR="00ED6A34" w:rsidRDefault="00ED6A34">
            <w:pPr>
              <w:spacing w:line="240" w:lineRule="auto"/>
              <w:rPr>
                <w:rFonts w:ascii="VIC-SemiBold" w:hAnsi="VIC-SemiBold" w:cstheme="minorBidi"/>
              </w:rPr>
            </w:pPr>
          </w:p>
        </w:tc>
        <w:tc>
          <w:tcPr>
            <w:tcW w:w="1514" w:type="dxa"/>
          </w:tcPr>
          <w:p w14:paraId="05166150" w14:textId="77777777" w:rsidR="00ED6A34" w:rsidRDefault="00ED6A34">
            <w:pPr>
              <w:spacing w:line="240" w:lineRule="auto"/>
              <w:rPr>
                <w:rFonts w:ascii="VIC-SemiBold" w:hAnsi="VIC-SemiBold" w:cstheme="minorBidi"/>
              </w:rPr>
            </w:pPr>
          </w:p>
        </w:tc>
        <w:tc>
          <w:tcPr>
            <w:tcW w:w="1514" w:type="dxa"/>
          </w:tcPr>
          <w:p w14:paraId="469FF6E7" w14:textId="77777777" w:rsidR="00ED6A34" w:rsidRDefault="00ED6A34">
            <w:pPr>
              <w:spacing w:line="240" w:lineRule="auto"/>
              <w:rPr>
                <w:rFonts w:ascii="VIC-SemiBold" w:hAnsi="VIC-SemiBold" w:cstheme="minorBidi"/>
              </w:rPr>
            </w:pPr>
          </w:p>
        </w:tc>
        <w:tc>
          <w:tcPr>
            <w:tcW w:w="1514" w:type="dxa"/>
          </w:tcPr>
          <w:p w14:paraId="01CFE8A5" w14:textId="77777777" w:rsidR="00ED6A34" w:rsidRDefault="00ED6A34" w:rsidP="00006DE3">
            <w:pPr>
              <w:pStyle w:val="TableTextRight"/>
            </w:pPr>
            <w:r>
              <w:t>22,309,321</w:t>
            </w:r>
          </w:p>
        </w:tc>
        <w:tc>
          <w:tcPr>
            <w:tcW w:w="1514" w:type="dxa"/>
          </w:tcPr>
          <w:p w14:paraId="201CA490" w14:textId="77777777" w:rsidR="00ED6A34" w:rsidRDefault="00ED6A34" w:rsidP="00006DE3">
            <w:pPr>
              <w:pStyle w:val="TableTextRight"/>
            </w:pPr>
            <w:r>
              <w:t>22,309,321</w:t>
            </w:r>
          </w:p>
        </w:tc>
      </w:tr>
      <w:tr w:rsidR="00ED6A34" w14:paraId="2BEDF1F4" w14:textId="77777777" w:rsidTr="00555997">
        <w:trPr>
          <w:trHeight w:val="60"/>
        </w:trPr>
        <w:tc>
          <w:tcPr>
            <w:tcW w:w="6520" w:type="dxa"/>
          </w:tcPr>
          <w:p w14:paraId="4441027D" w14:textId="4B381BF5" w:rsidR="00ED6A34" w:rsidRDefault="00ED6A34" w:rsidP="00006DE3">
            <w:pPr>
              <w:pStyle w:val="TableText"/>
            </w:pPr>
            <w:r>
              <w:t>Revenue recognition, Residential Tenancy Bonds</w:t>
            </w:r>
          </w:p>
        </w:tc>
        <w:tc>
          <w:tcPr>
            <w:tcW w:w="1514" w:type="dxa"/>
          </w:tcPr>
          <w:p w14:paraId="0D09595E" w14:textId="77777777" w:rsidR="00ED6A34" w:rsidRDefault="00ED6A34">
            <w:pPr>
              <w:spacing w:line="240" w:lineRule="auto"/>
              <w:rPr>
                <w:rFonts w:ascii="VIC-SemiBold" w:hAnsi="VIC-SemiBold" w:cstheme="minorBidi"/>
              </w:rPr>
            </w:pPr>
          </w:p>
        </w:tc>
        <w:tc>
          <w:tcPr>
            <w:tcW w:w="1514" w:type="dxa"/>
          </w:tcPr>
          <w:p w14:paraId="3AB62A77" w14:textId="77777777" w:rsidR="00ED6A34" w:rsidRDefault="00ED6A34">
            <w:pPr>
              <w:spacing w:line="240" w:lineRule="auto"/>
              <w:rPr>
                <w:rFonts w:ascii="VIC-SemiBold" w:hAnsi="VIC-SemiBold" w:cstheme="minorBidi"/>
              </w:rPr>
            </w:pPr>
          </w:p>
        </w:tc>
        <w:tc>
          <w:tcPr>
            <w:tcW w:w="1514" w:type="dxa"/>
          </w:tcPr>
          <w:p w14:paraId="7987DD5C" w14:textId="77777777" w:rsidR="00ED6A34" w:rsidRDefault="00ED6A34">
            <w:pPr>
              <w:spacing w:line="240" w:lineRule="auto"/>
              <w:rPr>
                <w:rFonts w:ascii="VIC-SemiBold" w:hAnsi="VIC-SemiBold" w:cstheme="minorBidi"/>
              </w:rPr>
            </w:pPr>
          </w:p>
        </w:tc>
        <w:tc>
          <w:tcPr>
            <w:tcW w:w="1514" w:type="dxa"/>
          </w:tcPr>
          <w:p w14:paraId="6C441339" w14:textId="77777777" w:rsidR="00ED6A34" w:rsidRDefault="00ED6A34" w:rsidP="00006DE3">
            <w:pPr>
              <w:pStyle w:val="TableTextRight"/>
            </w:pPr>
            <w:r>
              <w:t>35,011,659</w:t>
            </w:r>
          </w:p>
        </w:tc>
        <w:tc>
          <w:tcPr>
            <w:tcW w:w="1514" w:type="dxa"/>
          </w:tcPr>
          <w:p w14:paraId="0AA254D7" w14:textId="77777777" w:rsidR="00ED6A34" w:rsidRDefault="00ED6A34">
            <w:pPr>
              <w:spacing w:line="240" w:lineRule="auto"/>
              <w:rPr>
                <w:rFonts w:ascii="VIC-SemiBold" w:hAnsi="VIC-SemiBold" w:cstheme="minorBidi"/>
              </w:rPr>
            </w:pPr>
          </w:p>
        </w:tc>
        <w:tc>
          <w:tcPr>
            <w:tcW w:w="1514" w:type="dxa"/>
          </w:tcPr>
          <w:p w14:paraId="109D7B93" w14:textId="77777777" w:rsidR="00ED6A34" w:rsidRDefault="00ED6A34">
            <w:pPr>
              <w:spacing w:line="240" w:lineRule="auto"/>
              <w:rPr>
                <w:rFonts w:ascii="VIC-SemiBold" w:hAnsi="VIC-SemiBold" w:cstheme="minorBidi"/>
              </w:rPr>
            </w:pPr>
          </w:p>
        </w:tc>
        <w:tc>
          <w:tcPr>
            <w:tcW w:w="1514" w:type="dxa"/>
          </w:tcPr>
          <w:p w14:paraId="049A641D" w14:textId="77777777" w:rsidR="00ED6A34" w:rsidRDefault="00ED6A34">
            <w:pPr>
              <w:spacing w:line="240" w:lineRule="auto"/>
              <w:rPr>
                <w:rFonts w:ascii="VIC-SemiBold" w:hAnsi="VIC-SemiBold" w:cstheme="minorBidi"/>
              </w:rPr>
            </w:pPr>
          </w:p>
        </w:tc>
        <w:tc>
          <w:tcPr>
            <w:tcW w:w="1514" w:type="dxa"/>
          </w:tcPr>
          <w:p w14:paraId="31FF585F" w14:textId="77777777" w:rsidR="00ED6A34" w:rsidRDefault="00ED6A34" w:rsidP="00006DE3">
            <w:pPr>
              <w:pStyle w:val="TableTextRight"/>
            </w:pPr>
            <w:r>
              <w:t>35,011,659</w:t>
            </w:r>
          </w:p>
        </w:tc>
      </w:tr>
      <w:tr w:rsidR="00ED6A34" w14:paraId="2B51D66D" w14:textId="77777777" w:rsidTr="00555997">
        <w:trPr>
          <w:trHeight w:val="60"/>
        </w:trPr>
        <w:tc>
          <w:tcPr>
            <w:tcW w:w="6520" w:type="dxa"/>
          </w:tcPr>
          <w:p w14:paraId="6267F561" w14:textId="7626432D" w:rsidR="00ED6A34" w:rsidRDefault="00ED6A34" w:rsidP="00006DE3">
            <w:pPr>
              <w:pStyle w:val="TableText"/>
            </w:pPr>
            <w:r>
              <w:t>Fees income</w:t>
            </w:r>
          </w:p>
        </w:tc>
        <w:tc>
          <w:tcPr>
            <w:tcW w:w="1514" w:type="dxa"/>
          </w:tcPr>
          <w:p w14:paraId="493D7EFA" w14:textId="77777777" w:rsidR="00ED6A34" w:rsidRDefault="00ED6A34">
            <w:pPr>
              <w:spacing w:line="240" w:lineRule="auto"/>
              <w:rPr>
                <w:rFonts w:ascii="VIC-SemiBold" w:hAnsi="VIC-SemiBold" w:cstheme="minorBidi"/>
              </w:rPr>
            </w:pPr>
          </w:p>
        </w:tc>
        <w:tc>
          <w:tcPr>
            <w:tcW w:w="1514" w:type="dxa"/>
          </w:tcPr>
          <w:p w14:paraId="573D1682" w14:textId="77777777" w:rsidR="00ED6A34" w:rsidRDefault="00ED6A34" w:rsidP="00006DE3">
            <w:pPr>
              <w:pStyle w:val="TableTextRight"/>
            </w:pPr>
            <w:r>
              <w:t>797,300</w:t>
            </w:r>
          </w:p>
        </w:tc>
        <w:tc>
          <w:tcPr>
            <w:tcW w:w="1514" w:type="dxa"/>
          </w:tcPr>
          <w:p w14:paraId="5D956353" w14:textId="77777777" w:rsidR="00ED6A34" w:rsidRDefault="00ED6A34" w:rsidP="00006DE3">
            <w:pPr>
              <w:pStyle w:val="TableTextRight"/>
            </w:pPr>
            <w:r>
              <w:t>3,028,618</w:t>
            </w:r>
          </w:p>
        </w:tc>
        <w:tc>
          <w:tcPr>
            <w:tcW w:w="1514" w:type="dxa"/>
          </w:tcPr>
          <w:p w14:paraId="471048C9" w14:textId="77777777" w:rsidR="00ED6A34" w:rsidRDefault="00ED6A34">
            <w:pPr>
              <w:spacing w:line="240" w:lineRule="auto"/>
              <w:rPr>
                <w:rFonts w:ascii="VIC-SemiBold" w:hAnsi="VIC-SemiBold" w:cstheme="minorBidi"/>
              </w:rPr>
            </w:pPr>
          </w:p>
        </w:tc>
        <w:tc>
          <w:tcPr>
            <w:tcW w:w="1514" w:type="dxa"/>
          </w:tcPr>
          <w:p w14:paraId="56C5147F" w14:textId="77777777" w:rsidR="00ED6A34" w:rsidRDefault="00ED6A34" w:rsidP="00006DE3">
            <w:pPr>
              <w:pStyle w:val="TableTextRight"/>
            </w:pPr>
            <w:r>
              <w:t>2,724,299</w:t>
            </w:r>
          </w:p>
        </w:tc>
        <w:tc>
          <w:tcPr>
            <w:tcW w:w="1514" w:type="dxa"/>
          </w:tcPr>
          <w:p w14:paraId="61B01EEE" w14:textId="77777777" w:rsidR="00ED6A34" w:rsidRDefault="00ED6A34" w:rsidP="00006DE3">
            <w:pPr>
              <w:pStyle w:val="TableTextRight"/>
            </w:pPr>
            <w:r>
              <w:t>901,627</w:t>
            </w:r>
          </w:p>
        </w:tc>
        <w:tc>
          <w:tcPr>
            <w:tcW w:w="1514" w:type="dxa"/>
          </w:tcPr>
          <w:p w14:paraId="3C9F85A6" w14:textId="77777777" w:rsidR="00ED6A34" w:rsidRDefault="00ED6A34" w:rsidP="00006DE3">
            <w:pPr>
              <w:pStyle w:val="TableTextRight"/>
            </w:pPr>
            <w:r>
              <w:t>7,032,252</w:t>
            </w:r>
          </w:p>
        </w:tc>
        <w:tc>
          <w:tcPr>
            <w:tcW w:w="1514" w:type="dxa"/>
          </w:tcPr>
          <w:p w14:paraId="4ED70E71" w14:textId="77777777" w:rsidR="00ED6A34" w:rsidRDefault="00ED6A34" w:rsidP="00006DE3">
            <w:pPr>
              <w:pStyle w:val="TableTextRight"/>
            </w:pPr>
            <w:r>
              <w:t>14,484,096</w:t>
            </w:r>
          </w:p>
        </w:tc>
      </w:tr>
      <w:tr w:rsidR="00ED6A34" w14:paraId="5D859866" w14:textId="77777777" w:rsidTr="00555997">
        <w:trPr>
          <w:trHeight w:val="60"/>
        </w:trPr>
        <w:tc>
          <w:tcPr>
            <w:tcW w:w="6520" w:type="dxa"/>
          </w:tcPr>
          <w:p w14:paraId="7D9BD11C" w14:textId="5C0A01C0" w:rsidR="00ED6A34" w:rsidRDefault="00ED6A34" w:rsidP="00006DE3">
            <w:pPr>
              <w:pStyle w:val="TableText"/>
            </w:pPr>
            <w:r>
              <w:t>Interest income</w:t>
            </w:r>
          </w:p>
        </w:tc>
        <w:tc>
          <w:tcPr>
            <w:tcW w:w="1514" w:type="dxa"/>
          </w:tcPr>
          <w:p w14:paraId="5DB2243E" w14:textId="77777777" w:rsidR="00ED6A34" w:rsidRDefault="00ED6A34" w:rsidP="00006DE3">
            <w:pPr>
              <w:pStyle w:val="TableTextRight"/>
            </w:pPr>
            <w:r>
              <w:t>84,110</w:t>
            </w:r>
          </w:p>
        </w:tc>
        <w:tc>
          <w:tcPr>
            <w:tcW w:w="1514" w:type="dxa"/>
          </w:tcPr>
          <w:p w14:paraId="16254F25" w14:textId="77777777" w:rsidR="00ED6A34" w:rsidRDefault="00ED6A34" w:rsidP="00006DE3">
            <w:pPr>
              <w:pStyle w:val="TableTextRight"/>
            </w:pPr>
            <w:r>
              <w:t>396,615</w:t>
            </w:r>
          </w:p>
        </w:tc>
        <w:tc>
          <w:tcPr>
            <w:tcW w:w="1514" w:type="dxa"/>
          </w:tcPr>
          <w:p w14:paraId="3059F225" w14:textId="77777777" w:rsidR="00ED6A34" w:rsidRDefault="00ED6A34" w:rsidP="00006DE3">
            <w:pPr>
              <w:pStyle w:val="TableTextRight"/>
            </w:pPr>
            <w:r>
              <w:t>82,867</w:t>
            </w:r>
          </w:p>
        </w:tc>
        <w:tc>
          <w:tcPr>
            <w:tcW w:w="1514" w:type="dxa"/>
          </w:tcPr>
          <w:p w14:paraId="05AB35A9" w14:textId="77777777" w:rsidR="00ED6A34" w:rsidRDefault="00ED6A34" w:rsidP="00006DE3">
            <w:pPr>
              <w:pStyle w:val="TableTextRight"/>
            </w:pPr>
            <w:r>
              <w:t>676,862</w:t>
            </w:r>
          </w:p>
        </w:tc>
        <w:tc>
          <w:tcPr>
            <w:tcW w:w="1514" w:type="dxa"/>
          </w:tcPr>
          <w:p w14:paraId="14363B0F" w14:textId="77777777" w:rsidR="00ED6A34" w:rsidRDefault="00ED6A34" w:rsidP="00006DE3">
            <w:pPr>
              <w:pStyle w:val="TableTextRight"/>
            </w:pPr>
            <w:r>
              <w:t>2,118,805</w:t>
            </w:r>
          </w:p>
        </w:tc>
        <w:tc>
          <w:tcPr>
            <w:tcW w:w="1514" w:type="dxa"/>
          </w:tcPr>
          <w:p w14:paraId="7F847DCB" w14:textId="77777777" w:rsidR="00ED6A34" w:rsidRDefault="00ED6A34" w:rsidP="00006DE3">
            <w:pPr>
              <w:pStyle w:val="TableTextRight"/>
            </w:pPr>
            <w:r>
              <w:t>15,402</w:t>
            </w:r>
          </w:p>
        </w:tc>
        <w:tc>
          <w:tcPr>
            <w:tcW w:w="1514" w:type="dxa"/>
          </w:tcPr>
          <w:p w14:paraId="18DAE2AA" w14:textId="77777777" w:rsidR="00ED6A34" w:rsidRDefault="00ED6A34" w:rsidP="00006DE3">
            <w:pPr>
              <w:pStyle w:val="TableTextRight"/>
            </w:pPr>
            <w:r>
              <w:t>9,750,377</w:t>
            </w:r>
          </w:p>
        </w:tc>
        <w:tc>
          <w:tcPr>
            <w:tcW w:w="1514" w:type="dxa"/>
          </w:tcPr>
          <w:p w14:paraId="2036486F" w14:textId="77777777" w:rsidR="00ED6A34" w:rsidRDefault="00ED6A34" w:rsidP="00006DE3">
            <w:pPr>
              <w:pStyle w:val="TableTextRight"/>
            </w:pPr>
            <w:r>
              <w:t>13,125,038</w:t>
            </w:r>
          </w:p>
        </w:tc>
      </w:tr>
      <w:tr w:rsidR="00ED6A34" w14:paraId="07B9E81A" w14:textId="77777777" w:rsidTr="00555997">
        <w:trPr>
          <w:trHeight w:val="60"/>
        </w:trPr>
        <w:tc>
          <w:tcPr>
            <w:tcW w:w="6520" w:type="dxa"/>
          </w:tcPr>
          <w:p w14:paraId="6934653B" w14:textId="44D26F38" w:rsidR="00ED6A34" w:rsidRDefault="00ED6A34" w:rsidP="00006DE3">
            <w:pPr>
              <w:pStyle w:val="TableText"/>
            </w:pPr>
            <w:r>
              <w:t>Transferred from the Victorian Building Authority</w:t>
            </w:r>
            <w:r>
              <w:rPr>
                <w:vertAlign w:val="superscript"/>
              </w:rPr>
              <w:footnoteReference w:id="16"/>
            </w:r>
            <w:r>
              <w:t xml:space="preserve"> </w:t>
            </w:r>
          </w:p>
        </w:tc>
        <w:tc>
          <w:tcPr>
            <w:tcW w:w="1514" w:type="dxa"/>
          </w:tcPr>
          <w:p w14:paraId="1A1C8305" w14:textId="77777777" w:rsidR="00ED6A34" w:rsidRDefault="00ED6A34">
            <w:pPr>
              <w:spacing w:line="240" w:lineRule="auto"/>
              <w:rPr>
                <w:rFonts w:ascii="VIC-SemiBold" w:hAnsi="VIC-SemiBold" w:cstheme="minorBidi"/>
              </w:rPr>
            </w:pPr>
          </w:p>
        </w:tc>
        <w:tc>
          <w:tcPr>
            <w:tcW w:w="1514" w:type="dxa"/>
          </w:tcPr>
          <w:p w14:paraId="52DB1096" w14:textId="77777777" w:rsidR="00ED6A34" w:rsidRDefault="00ED6A34" w:rsidP="00006DE3">
            <w:pPr>
              <w:pStyle w:val="TableTextRight"/>
            </w:pPr>
            <w:r>
              <w:t>17,057,970</w:t>
            </w:r>
          </w:p>
        </w:tc>
        <w:tc>
          <w:tcPr>
            <w:tcW w:w="1514" w:type="dxa"/>
          </w:tcPr>
          <w:p w14:paraId="3918260E" w14:textId="77777777" w:rsidR="00ED6A34" w:rsidRDefault="00ED6A34">
            <w:pPr>
              <w:spacing w:line="240" w:lineRule="auto"/>
              <w:rPr>
                <w:rFonts w:ascii="VIC-SemiBold" w:hAnsi="VIC-SemiBold" w:cstheme="minorBidi"/>
              </w:rPr>
            </w:pPr>
          </w:p>
        </w:tc>
        <w:tc>
          <w:tcPr>
            <w:tcW w:w="1514" w:type="dxa"/>
          </w:tcPr>
          <w:p w14:paraId="6E78BF93" w14:textId="77777777" w:rsidR="00ED6A34" w:rsidRDefault="00ED6A34">
            <w:pPr>
              <w:spacing w:line="240" w:lineRule="auto"/>
              <w:rPr>
                <w:rFonts w:ascii="VIC-SemiBold" w:hAnsi="VIC-SemiBold" w:cstheme="minorBidi"/>
              </w:rPr>
            </w:pPr>
          </w:p>
        </w:tc>
        <w:tc>
          <w:tcPr>
            <w:tcW w:w="1514" w:type="dxa"/>
          </w:tcPr>
          <w:p w14:paraId="295A5819" w14:textId="77777777" w:rsidR="00ED6A34" w:rsidRDefault="00ED6A34">
            <w:pPr>
              <w:spacing w:line="240" w:lineRule="auto"/>
              <w:rPr>
                <w:rFonts w:ascii="VIC-SemiBold" w:hAnsi="VIC-SemiBold" w:cstheme="minorBidi"/>
              </w:rPr>
            </w:pPr>
          </w:p>
        </w:tc>
        <w:tc>
          <w:tcPr>
            <w:tcW w:w="1514" w:type="dxa"/>
          </w:tcPr>
          <w:p w14:paraId="09F28DED" w14:textId="77777777" w:rsidR="00ED6A34" w:rsidRDefault="00ED6A34">
            <w:pPr>
              <w:spacing w:line="240" w:lineRule="auto"/>
              <w:rPr>
                <w:rFonts w:ascii="VIC-SemiBold" w:hAnsi="VIC-SemiBold" w:cstheme="minorBidi"/>
              </w:rPr>
            </w:pPr>
          </w:p>
        </w:tc>
        <w:tc>
          <w:tcPr>
            <w:tcW w:w="1514" w:type="dxa"/>
          </w:tcPr>
          <w:p w14:paraId="393B8494" w14:textId="77777777" w:rsidR="00ED6A34" w:rsidRDefault="00ED6A34">
            <w:pPr>
              <w:spacing w:line="240" w:lineRule="auto"/>
              <w:rPr>
                <w:rFonts w:ascii="VIC-SemiBold" w:hAnsi="VIC-SemiBold" w:cstheme="minorBidi"/>
              </w:rPr>
            </w:pPr>
          </w:p>
        </w:tc>
        <w:tc>
          <w:tcPr>
            <w:tcW w:w="1514" w:type="dxa"/>
          </w:tcPr>
          <w:p w14:paraId="3B5A068B" w14:textId="77777777" w:rsidR="00ED6A34" w:rsidRDefault="00ED6A34" w:rsidP="00006DE3">
            <w:pPr>
              <w:pStyle w:val="TableTextRight"/>
            </w:pPr>
            <w:r>
              <w:t>17,057,970</w:t>
            </w:r>
          </w:p>
        </w:tc>
      </w:tr>
      <w:tr w:rsidR="00ED6A34" w14:paraId="6574517E" w14:textId="77777777" w:rsidTr="00555997">
        <w:trPr>
          <w:trHeight w:val="60"/>
        </w:trPr>
        <w:tc>
          <w:tcPr>
            <w:tcW w:w="6520" w:type="dxa"/>
          </w:tcPr>
          <w:p w14:paraId="0209EC9D" w14:textId="4F8A657A" w:rsidR="00ED6A34" w:rsidRDefault="00ED6A34" w:rsidP="00006DE3">
            <w:pPr>
              <w:pStyle w:val="TableText"/>
            </w:pPr>
            <w:r>
              <w:t>Other revenue</w:t>
            </w:r>
          </w:p>
        </w:tc>
        <w:tc>
          <w:tcPr>
            <w:tcW w:w="1514" w:type="dxa"/>
          </w:tcPr>
          <w:p w14:paraId="51C6FB3B" w14:textId="77777777" w:rsidR="00ED6A34" w:rsidRDefault="00ED6A34" w:rsidP="00006DE3">
            <w:pPr>
              <w:pStyle w:val="TableTextRight"/>
            </w:pPr>
            <w:r>
              <w:t>15,000</w:t>
            </w:r>
          </w:p>
        </w:tc>
        <w:tc>
          <w:tcPr>
            <w:tcW w:w="1514" w:type="dxa"/>
          </w:tcPr>
          <w:p w14:paraId="59A0E91E" w14:textId="77777777" w:rsidR="00ED6A34" w:rsidRDefault="00ED6A34" w:rsidP="00006DE3">
            <w:pPr>
              <w:pStyle w:val="TableTextRight"/>
            </w:pPr>
            <w:r>
              <w:t>1,426</w:t>
            </w:r>
          </w:p>
        </w:tc>
        <w:tc>
          <w:tcPr>
            <w:tcW w:w="1514" w:type="dxa"/>
          </w:tcPr>
          <w:p w14:paraId="0D1BF6D9" w14:textId="77777777" w:rsidR="00ED6A34" w:rsidRDefault="00ED6A34">
            <w:pPr>
              <w:spacing w:line="240" w:lineRule="auto"/>
              <w:rPr>
                <w:rFonts w:ascii="VIC-SemiBold" w:hAnsi="VIC-SemiBold" w:cstheme="minorBidi"/>
              </w:rPr>
            </w:pPr>
          </w:p>
        </w:tc>
        <w:tc>
          <w:tcPr>
            <w:tcW w:w="1514" w:type="dxa"/>
          </w:tcPr>
          <w:p w14:paraId="04D9993C" w14:textId="77777777" w:rsidR="00ED6A34" w:rsidRDefault="00ED6A34" w:rsidP="00006DE3">
            <w:pPr>
              <w:pStyle w:val="TableTextRight"/>
            </w:pPr>
            <w:r>
              <w:t>1,273</w:t>
            </w:r>
          </w:p>
        </w:tc>
        <w:tc>
          <w:tcPr>
            <w:tcW w:w="1514" w:type="dxa"/>
          </w:tcPr>
          <w:p w14:paraId="2AD84154" w14:textId="77777777" w:rsidR="00ED6A34" w:rsidRDefault="00ED6A34">
            <w:pPr>
              <w:spacing w:line="240" w:lineRule="auto"/>
              <w:rPr>
                <w:rFonts w:ascii="VIC-SemiBold" w:hAnsi="VIC-SemiBold" w:cstheme="minorBidi"/>
              </w:rPr>
            </w:pPr>
          </w:p>
        </w:tc>
        <w:tc>
          <w:tcPr>
            <w:tcW w:w="1514" w:type="dxa"/>
          </w:tcPr>
          <w:p w14:paraId="454F05A3" w14:textId="77777777" w:rsidR="00ED6A34" w:rsidRDefault="00ED6A34">
            <w:pPr>
              <w:spacing w:line="240" w:lineRule="auto"/>
              <w:rPr>
                <w:rFonts w:ascii="VIC-SemiBold" w:hAnsi="VIC-SemiBold" w:cstheme="minorBidi"/>
              </w:rPr>
            </w:pPr>
          </w:p>
        </w:tc>
        <w:tc>
          <w:tcPr>
            <w:tcW w:w="1514" w:type="dxa"/>
          </w:tcPr>
          <w:p w14:paraId="03981B0E" w14:textId="77777777" w:rsidR="00ED6A34" w:rsidRDefault="00ED6A34" w:rsidP="00006DE3">
            <w:pPr>
              <w:pStyle w:val="TableTextRight"/>
            </w:pPr>
            <w:r>
              <w:t>5,255,220</w:t>
            </w:r>
          </w:p>
        </w:tc>
        <w:tc>
          <w:tcPr>
            <w:tcW w:w="1514" w:type="dxa"/>
          </w:tcPr>
          <w:p w14:paraId="7D529D95" w14:textId="77777777" w:rsidR="00ED6A34" w:rsidRDefault="00ED6A34" w:rsidP="00006DE3">
            <w:pPr>
              <w:pStyle w:val="TableTextRight"/>
            </w:pPr>
            <w:r>
              <w:t>5,272,919</w:t>
            </w:r>
          </w:p>
        </w:tc>
      </w:tr>
      <w:tr w:rsidR="00ED6A34" w14:paraId="1438F694" w14:textId="77777777" w:rsidTr="00555997">
        <w:trPr>
          <w:trHeight w:val="60"/>
        </w:trPr>
        <w:tc>
          <w:tcPr>
            <w:tcW w:w="6520" w:type="dxa"/>
          </w:tcPr>
          <w:p w14:paraId="3A672C0F" w14:textId="12352036" w:rsidR="00ED6A34" w:rsidRDefault="00ED6A34" w:rsidP="00006DE3">
            <w:pPr>
              <w:pStyle w:val="TableText"/>
            </w:pPr>
            <w:r>
              <w:t>Penalty income</w:t>
            </w:r>
          </w:p>
        </w:tc>
        <w:tc>
          <w:tcPr>
            <w:tcW w:w="1514" w:type="dxa"/>
          </w:tcPr>
          <w:p w14:paraId="23121AC3" w14:textId="77777777" w:rsidR="00ED6A34" w:rsidRDefault="00ED6A34" w:rsidP="00006DE3">
            <w:pPr>
              <w:pStyle w:val="TableTextRight"/>
            </w:pPr>
            <w:r>
              <w:t>639,000</w:t>
            </w:r>
          </w:p>
        </w:tc>
        <w:tc>
          <w:tcPr>
            <w:tcW w:w="1514" w:type="dxa"/>
          </w:tcPr>
          <w:p w14:paraId="0899601E" w14:textId="77777777" w:rsidR="00ED6A34" w:rsidRDefault="00ED6A34">
            <w:pPr>
              <w:spacing w:line="240" w:lineRule="auto"/>
              <w:rPr>
                <w:rFonts w:ascii="VIC-SemiBold" w:hAnsi="VIC-SemiBold" w:cstheme="minorBidi"/>
              </w:rPr>
            </w:pPr>
          </w:p>
        </w:tc>
        <w:tc>
          <w:tcPr>
            <w:tcW w:w="1514" w:type="dxa"/>
          </w:tcPr>
          <w:p w14:paraId="7F0917FE" w14:textId="77777777" w:rsidR="00ED6A34" w:rsidRDefault="00ED6A34" w:rsidP="00006DE3">
            <w:pPr>
              <w:pStyle w:val="TableTextRight"/>
            </w:pPr>
            <w:r>
              <w:t>19,668</w:t>
            </w:r>
          </w:p>
        </w:tc>
        <w:tc>
          <w:tcPr>
            <w:tcW w:w="1514" w:type="dxa"/>
          </w:tcPr>
          <w:p w14:paraId="1AEA54DA" w14:textId="77777777" w:rsidR="00ED6A34" w:rsidRDefault="00ED6A34">
            <w:pPr>
              <w:spacing w:line="240" w:lineRule="auto"/>
              <w:rPr>
                <w:rFonts w:ascii="VIC-SemiBold" w:hAnsi="VIC-SemiBold" w:cstheme="minorBidi"/>
              </w:rPr>
            </w:pPr>
          </w:p>
        </w:tc>
        <w:tc>
          <w:tcPr>
            <w:tcW w:w="1514" w:type="dxa"/>
          </w:tcPr>
          <w:p w14:paraId="2AC5E020" w14:textId="77777777" w:rsidR="00ED6A34" w:rsidRDefault="00ED6A34" w:rsidP="00006DE3">
            <w:pPr>
              <w:pStyle w:val="TableTextRight"/>
            </w:pPr>
            <w:r>
              <w:t>3,160</w:t>
            </w:r>
          </w:p>
        </w:tc>
        <w:tc>
          <w:tcPr>
            <w:tcW w:w="1514" w:type="dxa"/>
          </w:tcPr>
          <w:p w14:paraId="0433F68F" w14:textId="77777777" w:rsidR="00ED6A34" w:rsidRDefault="00ED6A34">
            <w:pPr>
              <w:spacing w:line="240" w:lineRule="auto"/>
              <w:rPr>
                <w:rFonts w:ascii="VIC-SemiBold" w:hAnsi="VIC-SemiBold" w:cstheme="minorBidi"/>
              </w:rPr>
            </w:pPr>
          </w:p>
        </w:tc>
        <w:tc>
          <w:tcPr>
            <w:tcW w:w="1514" w:type="dxa"/>
          </w:tcPr>
          <w:p w14:paraId="588671A3" w14:textId="77777777" w:rsidR="00ED6A34" w:rsidRDefault="00ED6A34" w:rsidP="00006DE3">
            <w:pPr>
              <w:pStyle w:val="TableTextRight"/>
            </w:pPr>
            <w:r>
              <w:t>75,143</w:t>
            </w:r>
          </w:p>
        </w:tc>
        <w:tc>
          <w:tcPr>
            <w:tcW w:w="1514" w:type="dxa"/>
          </w:tcPr>
          <w:p w14:paraId="38C26211" w14:textId="77777777" w:rsidR="00ED6A34" w:rsidRDefault="00ED6A34" w:rsidP="00006DE3">
            <w:pPr>
              <w:pStyle w:val="TableTextRight"/>
            </w:pPr>
            <w:r>
              <w:t>736,971</w:t>
            </w:r>
          </w:p>
        </w:tc>
      </w:tr>
      <w:tr w:rsidR="00ED6A34" w14:paraId="562249B4" w14:textId="77777777" w:rsidTr="00555997">
        <w:trPr>
          <w:trHeight w:val="60"/>
        </w:trPr>
        <w:tc>
          <w:tcPr>
            <w:tcW w:w="6520" w:type="dxa"/>
          </w:tcPr>
          <w:p w14:paraId="68583B6B" w14:textId="77777777" w:rsidR="00ED6A34" w:rsidRDefault="00ED6A34" w:rsidP="00006DE3">
            <w:pPr>
              <w:pStyle w:val="TableText"/>
            </w:pPr>
            <w:r>
              <w:t>Transfers</w:t>
            </w:r>
          </w:p>
        </w:tc>
        <w:tc>
          <w:tcPr>
            <w:tcW w:w="1514" w:type="dxa"/>
          </w:tcPr>
          <w:p w14:paraId="1BEC65CB" w14:textId="77777777" w:rsidR="00ED6A34" w:rsidRDefault="00ED6A34">
            <w:pPr>
              <w:spacing w:line="240" w:lineRule="auto"/>
              <w:rPr>
                <w:rFonts w:ascii="VIC-SemiBold" w:hAnsi="VIC-SemiBold" w:cstheme="minorBidi"/>
              </w:rPr>
            </w:pPr>
          </w:p>
        </w:tc>
        <w:tc>
          <w:tcPr>
            <w:tcW w:w="1514" w:type="dxa"/>
          </w:tcPr>
          <w:p w14:paraId="5709E221" w14:textId="77777777" w:rsidR="00ED6A34" w:rsidRDefault="00ED6A34">
            <w:pPr>
              <w:spacing w:line="240" w:lineRule="auto"/>
              <w:rPr>
                <w:rFonts w:ascii="VIC-SemiBold" w:hAnsi="VIC-SemiBold" w:cstheme="minorBidi"/>
              </w:rPr>
            </w:pPr>
          </w:p>
        </w:tc>
        <w:tc>
          <w:tcPr>
            <w:tcW w:w="1514" w:type="dxa"/>
          </w:tcPr>
          <w:p w14:paraId="3134ED79" w14:textId="77777777" w:rsidR="00ED6A34" w:rsidRDefault="00ED6A34">
            <w:pPr>
              <w:spacing w:line="240" w:lineRule="auto"/>
              <w:rPr>
                <w:rFonts w:ascii="VIC-SemiBold" w:hAnsi="VIC-SemiBold" w:cstheme="minorBidi"/>
              </w:rPr>
            </w:pPr>
          </w:p>
        </w:tc>
        <w:tc>
          <w:tcPr>
            <w:tcW w:w="1514" w:type="dxa"/>
          </w:tcPr>
          <w:p w14:paraId="5686FA7F" w14:textId="77777777" w:rsidR="00ED6A34" w:rsidRDefault="00ED6A34" w:rsidP="00006DE3">
            <w:pPr>
              <w:pStyle w:val="TableTextRight"/>
            </w:pPr>
            <w:r>
              <w:t>(15,400,000)</w:t>
            </w:r>
          </w:p>
        </w:tc>
        <w:tc>
          <w:tcPr>
            <w:tcW w:w="1514" w:type="dxa"/>
          </w:tcPr>
          <w:p w14:paraId="1344B52D" w14:textId="77777777" w:rsidR="00ED6A34" w:rsidRDefault="00ED6A34" w:rsidP="00006DE3">
            <w:pPr>
              <w:pStyle w:val="TableTextRight"/>
            </w:pPr>
            <w:r>
              <w:t>29,400,000</w:t>
            </w:r>
          </w:p>
        </w:tc>
        <w:tc>
          <w:tcPr>
            <w:tcW w:w="1514" w:type="dxa"/>
          </w:tcPr>
          <w:p w14:paraId="4DE74D6C" w14:textId="77777777" w:rsidR="00ED6A34" w:rsidRDefault="00ED6A34" w:rsidP="00006DE3">
            <w:pPr>
              <w:pStyle w:val="TableTextRight"/>
            </w:pPr>
            <w:r>
              <w:t>350,000</w:t>
            </w:r>
          </w:p>
        </w:tc>
        <w:tc>
          <w:tcPr>
            <w:tcW w:w="1514" w:type="dxa"/>
          </w:tcPr>
          <w:p w14:paraId="3D920C6A" w14:textId="77777777" w:rsidR="00ED6A34" w:rsidRDefault="00ED6A34" w:rsidP="00006DE3">
            <w:pPr>
              <w:pStyle w:val="TableTextRight"/>
            </w:pPr>
            <w:r>
              <w:t>(14,000,000)</w:t>
            </w:r>
          </w:p>
        </w:tc>
        <w:tc>
          <w:tcPr>
            <w:tcW w:w="1514" w:type="dxa"/>
          </w:tcPr>
          <w:p w14:paraId="26F312BB" w14:textId="77777777" w:rsidR="00ED6A34" w:rsidRDefault="00ED6A34" w:rsidP="00006DE3">
            <w:pPr>
              <w:pStyle w:val="TableTextRight"/>
            </w:pPr>
            <w:r>
              <w:t>350,000</w:t>
            </w:r>
          </w:p>
        </w:tc>
      </w:tr>
      <w:tr w:rsidR="00ED6A34" w14:paraId="7A871DD2" w14:textId="77777777" w:rsidTr="00555997">
        <w:trPr>
          <w:trHeight w:val="60"/>
        </w:trPr>
        <w:tc>
          <w:tcPr>
            <w:tcW w:w="6520" w:type="dxa"/>
            <w:shd w:val="clear" w:color="auto" w:fill="CCE3F5"/>
          </w:tcPr>
          <w:p w14:paraId="7C7259F3" w14:textId="6EE7C659" w:rsidR="00ED6A34" w:rsidRPr="00A11832" w:rsidRDefault="00ED6A34" w:rsidP="00A11832">
            <w:pPr>
              <w:pStyle w:val="TableTextBold"/>
            </w:pPr>
            <w:r w:rsidRPr="00A11832">
              <w:t>Total CAV Trust Funds Revenue</w:t>
            </w:r>
          </w:p>
        </w:tc>
        <w:tc>
          <w:tcPr>
            <w:tcW w:w="1514" w:type="dxa"/>
            <w:shd w:val="clear" w:color="auto" w:fill="CCE3F5"/>
          </w:tcPr>
          <w:p w14:paraId="49F1BE21" w14:textId="77777777" w:rsidR="00ED6A34" w:rsidRPr="00A11832" w:rsidRDefault="00ED6A34" w:rsidP="00006DE3">
            <w:pPr>
              <w:pStyle w:val="TableTextRightBold"/>
            </w:pPr>
            <w:r w:rsidRPr="00A11832">
              <w:t>738,110</w:t>
            </w:r>
          </w:p>
        </w:tc>
        <w:tc>
          <w:tcPr>
            <w:tcW w:w="1514" w:type="dxa"/>
            <w:shd w:val="clear" w:color="auto" w:fill="CCE3F5"/>
          </w:tcPr>
          <w:p w14:paraId="5A17E5C2" w14:textId="77777777" w:rsidR="00ED6A34" w:rsidRPr="00A11832" w:rsidRDefault="00ED6A34" w:rsidP="00006DE3">
            <w:pPr>
              <w:pStyle w:val="TableTextRightBold"/>
            </w:pPr>
            <w:r w:rsidRPr="00A11832">
              <w:t>18,253,311</w:t>
            </w:r>
          </w:p>
        </w:tc>
        <w:tc>
          <w:tcPr>
            <w:tcW w:w="1514" w:type="dxa"/>
            <w:shd w:val="clear" w:color="auto" w:fill="CCE3F5"/>
          </w:tcPr>
          <w:p w14:paraId="61D62149" w14:textId="77777777" w:rsidR="00ED6A34" w:rsidRPr="00A11832" w:rsidRDefault="00ED6A34" w:rsidP="00006DE3">
            <w:pPr>
              <w:pStyle w:val="TableTextRightBold"/>
            </w:pPr>
            <w:r w:rsidRPr="00A11832">
              <w:t>3,131,153</w:t>
            </w:r>
          </w:p>
        </w:tc>
        <w:tc>
          <w:tcPr>
            <w:tcW w:w="1514" w:type="dxa"/>
            <w:shd w:val="clear" w:color="auto" w:fill="CCE3F5"/>
          </w:tcPr>
          <w:p w14:paraId="6EC7D73E" w14:textId="77777777" w:rsidR="00ED6A34" w:rsidRPr="00A11832" w:rsidRDefault="00ED6A34" w:rsidP="00006DE3">
            <w:pPr>
              <w:pStyle w:val="TableTextRightBold"/>
            </w:pPr>
            <w:r w:rsidRPr="00A11832">
              <w:t>20,289,794</w:t>
            </w:r>
          </w:p>
        </w:tc>
        <w:tc>
          <w:tcPr>
            <w:tcW w:w="1514" w:type="dxa"/>
            <w:shd w:val="clear" w:color="auto" w:fill="CCE3F5"/>
          </w:tcPr>
          <w:p w14:paraId="03994AAE" w14:textId="77777777" w:rsidR="00ED6A34" w:rsidRPr="00A11832" w:rsidRDefault="00ED6A34" w:rsidP="00006DE3">
            <w:pPr>
              <w:pStyle w:val="TableTextRightBold"/>
            </w:pPr>
            <w:r w:rsidRPr="00A11832">
              <w:t>34,246,264</w:t>
            </w:r>
          </w:p>
        </w:tc>
        <w:tc>
          <w:tcPr>
            <w:tcW w:w="1514" w:type="dxa"/>
            <w:shd w:val="clear" w:color="auto" w:fill="CCE3F5"/>
          </w:tcPr>
          <w:p w14:paraId="2AD2B115" w14:textId="47852EC1" w:rsidR="00ED6A34" w:rsidRPr="00A11832" w:rsidRDefault="00ED6A34" w:rsidP="00006DE3">
            <w:pPr>
              <w:pStyle w:val="TableTextRightBold"/>
            </w:pPr>
            <w:r w:rsidRPr="00A11832">
              <w:t xml:space="preserve">1,267,029 </w:t>
            </w:r>
          </w:p>
        </w:tc>
        <w:tc>
          <w:tcPr>
            <w:tcW w:w="1514" w:type="dxa"/>
            <w:shd w:val="clear" w:color="auto" w:fill="CCE3F5"/>
          </w:tcPr>
          <w:p w14:paraId="6FE02B1F" w14:textId="7AF79C3B" w:rsidR="00ED6A34" w:rsidRPr="00A11832" w:rsidRDefault="00ED6A34" w:rsidP="00006DE3">
            <w:pPr>
              <w:pStyle w:val="TableTextRightBold"/>
            </w:pPr>
            <w:r w:rsidRPr="00A11832">
              <w:t xml:space="preserve">30,422,313 </w:t>
            </w:r>
          </w:p>
        </w:tc>
        <w:tc>
          <w:tcPr>
            <w:tcW w:w="1514" w:type="dxa"/>
            <w:shd w:val="clear" w:color="auto" w:fill="CCE3F5"/>
          </w:tcPr>
          <w:p w14:paraId="05E342D2" w14:textId="77777777" w:rsidR="00ED6A34" w:rsidRPr="00A11832" w:rsidRDefault="00ED6A34" w:rsidP="00006DE3">
            <w:pPr>
              <w:pStyle w:val="TableTextRightBold"/>
            </w:pPr>
            <w:r w:rsidRPr="00A11832">
              <w:t>108,347,974</w:t>
            </w:r>
          </w:p>
        </w:tc>
      </w:tr>
      <w:tr w:rsidR="00ED6A34" w14:paraId="28E70F5B" w14:textId="77777777" w:rsidTr="00555997">
        <w:trPr>
          <w:trHeight w:val="60"/>
        </w:trPr>
        <w:tc>
          <w:tcPr>
            <w:tcW w:w="1514" w:type="dxa"/>
            <w:gridSpan w:val="9"/>
            <w:shd w:val="clear" w:color="auto" w:fill="B2D5F0"/>
          </w:tcPr>
          <w:p w14:paraId="2C8FEF96" w14:textId="058D92AC" w:rsidR="00ED6A34" w:rsidRPr="00A11832" w:rsidRDefault="00ED6A34" w:rsidP="00006DE3">
            <w:pPr>
              <w:pStyle w:val="TableTextBold"/>
            </w:pPr>
            <w:r w:rsidRPr="00A11832">
              <w:t>CAV Trust Funds Expenditure</w:t>
            </w:r>
          </w:p>
        </w:tc>
      </w:tr>
      <w:tr w:rsidR="00ED6A34" w14:paraId="21319131" w14:textId="77777777" w:rsidTr="00555997">
        <w:trPr>
          <w:trHeight w:val="60"/>
        </w:trPr>
        <w:tc>
          <w:tcPr>
            <w:tcW w:w="6520" w:type="dxa"/>
          </w:tcPr>
          <w:p w14:paraId="4344E2EF" w14:textId="7E079B0B" w:rsidR="00ED6A34" w:rsidRDefault="00ED6A34" w:rsidP="00006DE3">
            <w:pPr>
              <w:pStyle w:val="TableText"/>
            </w:pPr>
            <w:r>
              <w:t>Audit services</w:t>
            </w:r>
          </w:p>
        </w:tc>
        <w:tc>
          <w:tcPr>
            <w:tcW w:w="1514" w:type="dxa"/>
          </w:tcPr>
          <w:p w14:paraId="44C2D29A" w14:textId="77777777" w:rsidR="00ED6A34" w:rsidRDefault="00ED6A34">
            <w:pPr>
              <w:spacing w:line="240" w:lineRule="auto"/>
              <w:rPr>
                <w:rFonts w:ascii="VIC-SemiBold" w:hAnsi="VIC-SemiBold" w:cstheme="minorBidi"/>
              </w:rPr>
            </w:pPr>
          </w:p>
        </w:tc>
        <w:tc>
          <w:tcPr>
            <w:tcW w:w="1514" w:type="dxa"/>
          </w:tcPr>
          <w:p w14:paraId="01162761" w14:textId="77777777" w:rsidR="00ED6A34" w:rsidRDefault="00ED6A34">
            <w:pPr>
              <w:spacing w:line="240" w:lineRule="auto"/>
              <w:rPr>
                <w:rFonts w:ascii="VIC-SemiBold" w:hAnsi="VIC-SemiBold" w:cstheme="minorBidi"/>
              </w:rPr>
            </w:pPr>
          </w:p>
        </w:tc>
        <w:tc>
          <w:tcPr>
            <w:tcW w:w="1514" w:type="dxa"/>
          </w:tcPr>
          <w:p w14:paraId="49F16803" w14:textId="77777777" w:rsidR="00ED6A34" w:rsidRDefault="00ED6A34">
            <w:pPr>
              <w:spacing w:line="240" w:lineRule="auto"/>
              <w:rPr>
                <w:rFonts w:ascii="VIC-SemiBold" w:hAnsi="VIC-SemiBold" w:cstheme="minorBidi"/>
              </w:rPr>
            </w:pPr>
          </w:p>
        </w:tc>
        <w:tc>
          <w:tcPr>
            <w:tcW w:w="1514" w:type="dxa"/>
          </w:tcPr>
          <w:p w14:paraId="4D3028A3" w14:textId="77777777" w:rsidR="00ED6A34" w:rsidRDefault="00ED6A34" w:rsidP="00006DE3">
            <w:pPr>
              <w:pStyle w:val="TableTextRight"/>
            </w:pPr>
            <w:r>
              <w:t>15,700</w:t>
            </w:r>
          </w:p>
        </w:tc>
        <w:tc>
          <w:tcPr>
            <w:tcW w:w="1514" w:type="dxa"/>
          </w:tcPr>
          <w:p w14:paraId="4B93C995" w14:textId="77777777" w:rsidR="00ED6A34" w:rsidRDefault="00ED6A34">
            <w:pPr>
              <w:spacing w:line="240" w:lineRule="auto"/>
              <w:rPr>
                <w:rFonts w:ascii="VIC-SemiBold" w:hAnsi="VIC-SemiBold" w:cstheme="minorBidi"/>
              </w:rPr>
            </w:pPr>
          </w:p>
        </w:tc>
        <w:tc>
          <w:tcPr>
            <w:tcW w:w="1514" w:type="dxa"/>
          </w:tcPr>
          <w:p w14:paraId="7FA94732" w14:textId="77777777" w:rsidR="00ED6A34" w:rsidRDefault="00ED6A34">
            <w:pPr>
              <w:spacing w:line="240" w:lineRule="auto"/>
              <w:rPr>
                <w:rFonts w:ascii="VIC-SemiBold" w:hAnsi="VIC-SemiBold" w:cstheme="minorBidi"/>
              </w:rPr>
            </w:pPr>
          </w:p>
        </w:tc>
        <w:tc>
          <w:tcPr>
            <w:tcW w:w="1514" w:type="dxa"/>
          </w:tcPr>
          <w:p w14:paraId="1C1D42DA" w14:textId="77777777" w:rsidR="00ED6A34" w:rsidRDefault="00ED6A34">
            <w:pPr>
              <w:spacing w:line="240" w:lineRule="auto"/>
              <w:rPr>
                <w:rFonts w:ascii="VIC-SemiBold" w:hAnsi="VIC-SemiBold" w:cstheme="minorBidi"/>
              </w:rPr>
            </w:pPr>
          </w:p>
        </w:tc>
        <w:tc>
          <w:tcPr>
            <w:tcW w:w="1514" w:type="dxa"/>
          </w:tcPr>
          <w:p w14:paraId="299A5813" w14:textId="77777777" w:rsidR="00ED6A34" w:rsidRDefault="00ED6A34" w:rsidP="00006DE3">
            <w:pPr>
              <w:pStyle w:val="TableTextRight"/>
            </w:pPr>
            <w:r>
              <w:t>15,700</w:t>
            </w:r>
          </w:p>
        </w:tc>
      </w:tr>
      <w:tr w:rsidR="00ED6A34" w14:paraId="08C58791" w14:textId="77777777" w:rsidTr="00555997">
        <w:trPr>
          <w:trHeight w:val="60"/>
        </w:trPr>
        <w:tc>
          <w:tcPr>
            <w:tcW w:w="6520" w:type="dxa"/>
          </w:tcPr>
          <w:p w14:paraId="059BD8CD" w14:textId="7B2F3882" w:rsidR="00ED6A34" w:rsidRDefault="00ED6A34" w:rsidP="00006DE3">
            <w:pPr>
              <w:pStyle w:val="TableText"/>
            </w:pPr>
            <w:r>
              <w:t>Claims on consumer guarantee funds</w:t>
            </w:r>
          </w:p>
        </w:tc>
        <w:tc>
          <w:tcPr>
            <w:tcW w:w="1514" w:type="dxa"/>
          </w:tcPr>
          <w:p w14:paraId="46D8D556" w14:textId="77777777" w:rsidR="00ED6A34" w:rsidRDefault="00ED6A34">
            <w:pPr>
              <w:spacing w:line="240" w:lineRule="auto"/>
              <w:rPr>
                <w:rFonts w:ascii="VIC-SemiBold" w:hAnsi="VIC-SemiBold" w:cstheme="minorBidi"/>
              </w:rPr>
            </w:pPr>
          </w:p>
        </w:tc>
        <w:tc>
          <w:tcPr>
            <w:tcW w:w="1514" w:type="dxa"/>
          </w:tcPr>
          <w:p w14:paraId="077D2C2C" w14:textId="77777777" w:rsidR="00ED6A34" w:rsidRDefault="00ED6A34">
            <w:pPr>
              <w:spacing w:line="240" w:lineRule="auto"/>
              <w:rPr>
                <w:rFonts w:ascii="VIC-SemiBold" w:hAnsi="VIC-SemiBold" w:cstheme="minorBidi"/>
              </w:rPr>
            </w:pPr>
          </w:p>
        </w:tc>
        <w:tc>
          <w:tcPr>
            <w:tcW w:w="1514" w:type="dxa"/>
          </w:tcPr>
          <w:p w14:paraId="681444FC" w14:textId="77777777" w:rsidR="00ED6A34" w:rsidRDefault="00ED6A34" w:rsidP="00006DE3">
            <w:pPr>
              <w:pStyle w:val="TableTextRight"/>
            </w:pPr>
            <w:r>
              <w:t>68,902</w:t>
            </w:r>
          </w:p>
        </w:tc>
        <w:tc>
          <w:tcPr>
            <w:tcW w:w="1514" w:type="dxa"/>
          </w:tcPr>
          <w:p w14:paraId="6CA76FCE" w14:textId="77777777" w:rsidR="00ED6A34" w:rsidRDefault="00ED6A34">
            <w:pPr>
              <w:spacing w:line="240" w:lineRule="auto"/>
              <w:rPr>
                <w:rFonts w:ascii="VIC-SemiBold" w:hAnsi="VIC-SemiBold" w:cstheme="minorBidi"/>
              </w:rPr>
            </w:pPr>
          </w:p>
        </w:tc>
        <w:tc>
          <w:tcPr>
            <w:tcW w:w="1514" w:type="dxa"/>
          </w:tcPr>
          <w:p w14:paraId="6E792021" w14:textId="77777777" w:rsidR="00ED6A34" w:rsidRDefault="00ED6A34">
            <w:pPr>
              <w:spacing w:line="240" w:lineRule="auto"/>
              <w:rPr>
                <w:rFonts w:ascii="VIC-SemiBold" w:hAnsi="VIC-SemiBold" w:cstheme="minorBidi"/>
              </w:rPr>
            </w:pPr>
          </w:p>
        </w:tc>
        <w:tc>
          <w:tcPr>
            <w:tcW w:w="1514" w:type="dxa"/>
          </w:tcPr>
          <w:p w14:paraId="37D27A37" w14:textId="77777777" w:rsidR="00ED6A34" w:rsidRDefault="00ED6A34">
            <w:pPr>
              <w:spacing w:line="240" w:lineRule="auto"/>
              <w:rPr>
                <w:rFonts w:ascii="VIC-SemiBold" w:hAnsi="VIC-SemiBold" w:cstheme="minorBidi"/>
              </w:rPr>
            </w:pPr>
          </w:p>
        </w:tc>
        <w:tc>
          <w:tcPr>
            <w:tcW w:w="1514" w:type="dxa"/>
          </w:tcPr>
          <w:p w14:paraId="20A75CEF" w14:textId="77777777" w:rsidR="00ED6A34" w:rsidRDefault="00ED6A34" w:rsidP="00006DE3">
            <w:pPr>
              <w:pStyle w:val="TableTextRight"/>
            </w:pPr>
            <w:r>
              <w:t>852,996</w:t>
            </w:r>
          </w:p>
        </w:tc>
        <w:tc>
          <w:tcPr>
            <w:tcW w:w="1514" w:type="dxa"/>
          </w:tcPr>
          <w:p w14:paraId="4FA50534" w14:textId="77777777" w:rsidR="00ED6A34" w:rsidRDefault="00ED6A34" w:rsidP="00006DE3">
            <w:pPr>
              <w:pStyle w:val="TableTextRight"/>
            </w:pPr>
            <w:r>
              <w:t>921,898</w:t>
            </w:r>
          </w:p>
        </w:tc>
      </w:tr>
      <w:tr w:rsidR="00ED6A34" w14:paraId="5EAA033F" w14:textId="77777777" w:rsidTr="00555997">
        <w:trPr>
          <w:trHeight w:val="60"/>
        </w:trPr>
        <w:tc>
          <w:tcPr>
            <w:tcW w:w="6520" w:type="dxa"/>
          </w:tcPr>
          <w:p w14:paraId="1CEE79D4" w14:textId="31A3A521" w:rsidR="00ED6A34" w:rsidRDefault="00ED6A34" w:rsidP="00006DE3">
            <w:pPr>
              <w:pStyle w:val="TableText"/>
            </w:pPr>
            <w:r>
              <w:t>Contractors, consultants and professional services</w:t>
            </w:r>
          </w:p>
        </w:tc>
        <w:tc>
          <w:tcPr>
            <w:tcW w:w="1514" w:type="dxa"/>
          </w:tcPr>
          <w:p w14:paraId="03C47DAE" w14:textId="77777777" w:rsidR="00ED6A34" w:rsidRDefault="00ED6A34">
            <w:pPr>
              <w:spacing w:line="240" w:lineRule="auto"/>
              <w:rPr>
                <w:rFonts w:ascii="VIC-SemiBold" w:hAnsi="VIC-SemiBold" w:cstheme="minorBidi"/>
              </w:rPr>
            </w:pPr>
          </w:p>
        </w:tc>
        <w:tc>
          <w:tcPr>
            <w:tcW w:w="1514" w:type="dxa"/>
          </w:tcPr>
          <w:p w14:paraId="24163083" w14:textId="77777777" w:rsidR="00ED6A34" w:rsidRDefault="00ED6A34" w:rsidP="00006DE3">
            <w:pPr>
              <w:pStyle w:val="TableTextRight"/>
            </w:pPr>
            <w:r>
              <w:t>1,730,175</w:t>
            </w:r>
          </w:p>
        </w:tc>
        <w:tc>
          <w:tcPr>
            <w:tcW w:w="1514" w:type="dxa"/>
          </w:tcPr>
          <w:p w14:paraId="024FE331" w14:textId="77777777" w:rsidR="00ED6A34" w:rsidRDefault="00ED6A34" w:rsidP="00006DE3">
            <w:pPr>
              <w:pStyle w:val="TableTextRight"/>
            </w:pPr>
            <w:r>
              <w:t>129,757</w:t>
            </w:r>
          </w:p>
        </w:tc>
        <w:tc>
          <w:tcPr>
            <w:tcW w:w="1514" w:type="dxa"/>
          </w:tcPr>
          <w:p w14:paraId="4DCB7ADC" w14:textId="77777777" w:rsidR="00ED6A34" w:rsidRDefault="00ED6A34" w:rsidP="00006DE3">
            <w:pPr>
              <w:pStyle w:val="TableTextRight"/>
            </w:pPr>
            <w:r>
              <w:t>670,376</w:t>
            </w:r>
          </w:p>
        </w:tc>
        <w:tc>
          <w:tcPr>
            <w:tcW w:w="1514" w:type="dxa"/>
          </w:tcPr>
          <w:p w14:paraId="12351C46" w14:textId="77777777" w:rsidR="00ED6A34" w:rsidRDefault="00ED6A34" w:rsidP="00006DE3">
            <w:pPr>
              <w:pStyle w:val="TableTextRight"/>
            </w:pPr>
            <w:r>
              <w:t>867,883</w:t>
            </w:r>
          </w:p>
        </w:tc>
        <w:tc>
          <w:tcPr>
            <w:tcW w:w="1514" w:type="dxa"/>
          </w:tcPr>
          <w:p w14:paraId="1A8A6573" w14:textId="77777777" w:rsidR="00ED6A34" w:rsidRDefault="00ED6A34" w:rsidP="00006DE3">
            <w:pPr>
              <w:pStyle w:val="TableTextRight"/>
            </w:pPr>
            <w:r>
              <w:t>169,050</w:t>
            </w:r>
          </w:p>
        </w:tc>
        <w:tc>
          <w:tcPr>
            <w:tcW w:w="1514" w:type="dxa"/>
          </w:tcPr>
          <w:p w14:paraId="4A62B336" w14:textId="77777777" w:rsidR="00ED6A34" w:rsidRDefault="00ED6A34" w:rsidP="00006DE3">
            <w:pPr>
              <w:pStyle w:val="TableTextRight"/>
            </w:pPr>
            <w:r>
              <w:t>2,358,487</w:t>
            </w:r>
          </w:p>
        </w:tc>
        <w:tc>
          <w:tcPr>
            <w:tcW w:w="1514" w:type="dxa"/>
          </w:tcPr>
          <w:p w14:paraId="4781EE91" w14:textId="77777777" w:rsidR="00ED6A34" w:rsidRDefault="00ED6A34" w:rsidP="00006DE3">
            <w:pPr>
              <w:pStyle w:val="TableTextRight"/>
            </w:pPr>
            <w:r>
              <w:t>5,925,728</w:t>
            </w:r>
          </w:p>
        </w:tc>
      </w:tr>
      <w:tr w:rsidR="00ED6A34" w14:paraId="58482D61" w14:textId="77777777" w:rsidTr="00555997">
        <w:trPr>
          <w:trHeight w:val="60"/>
        </w:trPr>
        <w:tc>
          <w:tcPr>
            <w:tcW w:w="6520" w:type="dxa"/>
          </w:tcPr>
          <w:p w14:paraId="3B4B682C" w14:textId="0FCEDA9A" w:rsidR="00ED6A34" w:rsidRDefault="00ED6A34" w:rsidP="00006DE3">
            <w:pPr>
              <w:pStyle w:val="TableText"/>
            </w:pPr>
            <w:r>
              <w:t>Employee related costs</w:t>
            </w:r>
          </w:p>
        </w:tc>
        <w:tc>
          <w:tcPr>
            <w:tcW w:w="1514" w:type="dxa"/>
          </w:tcPr>
          <w:p w14:paraId="56E8231E" w14:textId="77777777" w:rsidR="00ED6A34" w:rsidRDefault="00ED6A34">
            <w:pPr>
              <w:spacing w:line="240" w:lineRule="auto"/>
              <w:rPr>
                <w:rFonts w:ascii="VIC-SemiBold" w:hAnsi="VIC-SemiBold" w:cstheme="minorBidi"/>
              </w:rPr>
            </w:pPr>
          </w:p>
        </w:tc>
        <w:tc>
          <w:tcPr>
            <w:tcW w:w="1514" w:type="dxa"/>
          </w:tcPr>
          <w:p w14:paraId="22982C83" w14:textId="77777777" w:rsidR="00ED6A34" w:rsidRDefault="00ED6A34" w:rsidP="00006DE3">
            <w:pPr>
              <w:pStyle w:val="TableTextRight"/>
            </w:pPr>
            <w:r>
              <w:t>10,714,163</w:t>
            </w:r>
          </w:p>
        </w:tc>
        <w:tc>
          <w:tcPr>
            <w:tcW w:w="1514" w:type="dxa"/>
          </w:tcPr>
          <w:p w14:paraId="42F065AC" w14:textId="77777777" w:rsidR="00ED6A34" w:rsidRDefault="00ED6A34" w:rsidP="00006DE3">
            <w:pPr>
              <w:pStyle w:val="TableTextRight"/>
            </w:pPr>
            <w:r>
              <w:t>1,997,855</w:t>
            </w:r>
          </w:p>
        </w:tc>
        <w:tc>
          <w:tcPr>
            <w:tcW w:w="1514" w:type="dxa"/>
          </w:tcPr>
          <w:p w14:paraId="1B794749" w14:textId="77777777" w:rsidR="00ED6A34" w:rsidRDefault="00ED6A34" w:rsidP="00006DE3">
            <w:pPr>
              <w:pStyle w:val="TableTextRight"/>
            </w:pPr>
            <w:r>
              <w:t>2,333,015</w:t>
            </w:r>
          </w:p>
        </w:tc>
        <w:tc>
          <w:tcPr>
            <w:tcW w:w="1514" w:type="dxa"/>
          </w:tcPr>
          <w:p w14:paraId="16B08028" w14:textId="77777777" w:rsidR="00ED6A34" w:rsidRDefault="00ED6A34" w:rsidP="00006DE3">
            <w:pPr>
              <w:pStyle w:val="TableTextRight"/>
            </w:pPr>
            <w:r>
              <w:t>11,360,719</w:t>
            </w:r>
          </w:p>
        </w:tc>
        <w:tc>
          <w:tcPr>
            <w:tcW w:w="1514" w:type="dxa"/>
          </w:tcPr>
          <w:p w14:paraId="0C3140B2" w14:textId="77777777" w:rsidR="00ED6A34" w:rsidRDefault="00ED6A34" w:rsidP="00006DE3">
            <w:pPr>
              <w:pStyle w:val="TableTextRight"/>
            </w:pPr>
            <w:r>
              <w:t>1,040,342</w:t>
            </w:r>
          </w:p>
        </w:tc>
        <w:tc>
          <w:tcPr>
            <w:tcW w:w="1514" w:type="dxa"/>
          </w:tcPr>
          <w:p w14:paraId="588BAF0D" w14:textId="77777777" w:rsidR="00ED6A34" w:rsidRDefault="00ED6A34" w:rsidP="00006DE3">
            <w:pPr>
              <w:pStyle w:val="TableTextRight"/>
            </w:pPr>
            <w:r>
              <w:t>11,916,932</w:t>
            </w:r>
          </w:p>
        </w:tc>
        <w:tc>
          <w:tcPr>
            <w:tcW w:w="1514" w:type="dxa"/>
          </w:tcPr>
          <w:p w14:paraId="01C75D05" w14:textId="77777777" w:rsidR="00ED6A34" w:rsidRDefault="00ED6A34" w:rsidP="00006DE3">
            <w:pPr>
              <w:pStyle w:val="TableTextRight"/>
            </w:pPr>
            <w:r>
              <w:t>39,363,026</w:t>
            </w:r>
          </w:p>
        </w:tc>
      </w:tr>
      <w:tr w:rsidR="00ED6A34" w14:paraId="4B849A4F" w14:textId="77777777" w:rsidTr="00555997">
        <w:trPr>
          <w:trHeight w:val="60"/>
        </w:trPr>
        <w:tc>
          <w:tcPr>
            <w:tcW w:w="6520" w:type="dxa"/>
          </w:tcPr>
          <w:p w14:paraId="6401D4A7" w14:textId="0E042A45" w:rsidR="00ED6A34" w:rsidRDefault="00ED6A34" w:rsidP="00006DE3">
            <w:pPr>
              <w:pStyle w:val="TableText"/>
            </w:pPr>
            <w:r>
              <w:t>Grants paid</w:t>
            </w:r>
          </w:p>
        </w:tc>
        <w:tc>
          <w:tcPr>
            <w:tcW w:w="1514" w:type="dxa"/>
          </w:tcPr>
          <w:p w14:paraId="35480986" w14:textId="77777777" w:rsidR="00ED6A34" w:rsidRDefault="00ED6A34" w:rsidP="00006DE3">
            <w:pPr>
              <w:pStyle w:val="TableTextRight"/>
            </w:pPr>
            <w:r>
              <w:t>208,288</w:t>
            </w:r>
          </w:p>
        </w:tc>
        <w:tc>
          <w:tcPr>
            <w:tcW w:w="1514" w:type="dxa"/>
          </w:tcPr>
          <w:p w14:paraId="27A22103" w14:textId="77777777" w:rsidR="00ED6A34" w:rsidRDefault="00ED6A34" w:rsidP="00006DE3">
            <w:pPr>
              <w:pStyle w:val="TableTextRight"/>
            </w:pPr>
            <w:r>
              <w:t>4,323,251</w:t>
            </w:r>
          </w:p>
        </w:tc>
        <w:tc>
          <w:tcPr>
            <w:tcW w:w="1514" w:type="dxa"/>
          </w:tcPr>
          <w:p w14:paraId="11D946EF" w14:textId="77777777" w:rsidR="00ED6A34" w:rsidRDefault="00ED6A34">
            <w:pPr>
              <w:spacing w:line="240" w:lineRule="auto"/>
              <w:rPr>
                <w:rFonts w:ascii="VIC-SemiBold" w:hAnsi="VIC-SemiBold" w:cstheme="minorBidi"/>
              </w:rPr>
            </w:pPr>
          </w:p>
        </w:tc>
        <w:tc>
          <w:tcPr>
            <w:tcW w:w="1514" w:type="dxa"/>
          </w:tcPr>
          <w:p w14:paraId="5783064E" w14:textId="77777777" w:rsidR="00ED6A34" w:rsidRDefault="00ED6A34">
            <w:pPr>
              <w:spacing w:line="240" w:lineRule="auto"/>
              <w:rPr>
                <w:rFonts w:ascii="VIC-SemiBold" w:hAnsi="VIC-SemiBold" w:cstheme="minorBidi"/>
              </w:rPr>
            </w:pPr>
          </w:p>
        </w:tc>
        <w:tc>
          <w:tcPr>
            <w:tcW w:w="1514" w:type="dxa"/>
          </w:tcPr>
          <w:p w14:paraId="5895C31D" w14:textId="77777777" w:rsidR="00ED6A34" w:rsidRDefault="00ED6A34" w:rsidP="00006DE3">
            <w:pPr>
              <w:pStyle w:val="TableTextRight"/>
            </w:pPr>
            <w:r>
              <w:t>17,551,320</w:t>
            </w:r>
          </w:p>
        </w:tc>
        <w:tc>
          <w:tcPr>
            <w:tcW w:w="1514" w:type="dxa"/>
          </w:tcPr>
          <w:p w14:paraId="046B1524" w14:textId="77777777" w:rsidR="00ED6A34" w:rsidRDefault="00ED6A34">
            <w:pPr>
              <w:spacing w:line="240" w:lineRule="auto"/>
              <w:rPr>
                <w:rFonts w:ascii="VIC-SemiBold" w:hAnsi="VIC-SemiBold" w:cstheme="minorBidi"/>
              </w:rPr>
            </w:pPr>
          </w:p>
        </w:tc>
        <w:tc>
          <w:tcPr>
            <w:tcW w:w="1514" w:type="dxa"/>
          </w:tcPr>
          <w:p w14:paraId="1B16C53F" w14:textId="77777777" w:rsidR="00ED6A34" w:rsidRDefault="00ED6A34" w:rsidP="00006DE3">
            <w:pPr>
              <w:pStyle w:val="TableTextRight"/>
            </w:pPr>
            <w:r>
              <w:t>26,998,927</w:t>
            </w:r>
          </w:p>
        </w:tc>
        <w:tc>
          <w:tcPr>
            <w:tcW w:w="1514" w:type="dxa"/>
          </w:tcPr>
          <w:p w14:paraId="5399BA15" w14:textId="77777777" w:rsidR="00ED6A34" w:rsidRDefault="00ED6A34" w:rsidP="00006DE3">
            <w:pPr>
              <w:pStyle w:val="TableTextRight"/>
            </w:pPr>
            <w:r>
              <w:t>49,081,786</w:t>
            </w:r>
          </w:p>
        </w:tc>
      </w:tr>
      <w:tr w:rsidR="00ED6A34" w14:paraId="2D6EE66E" w14:textId="77777777" w:rsidTr="00555997">
        <w:trPr>
          <w:trHeight w:val="60"/>
        </w:trPr>
        <w:tc>
          <w:tcPr>
            <w:tcW w:w="6520" w:type="dxa"/>
          </w:tcPr>
          <w:p w14:paraId="3920AB02" w14:textId="4A1AACF5" w:rsidR="00ED6A34" w:rsidRDefault="00ED6A34" w:rsidP="00006DE3">
            <w:pPr>
              <w:pStyle w:val="TableText"/>
            </w:pPr>
            <w:r>
              <w:t>Information technology</w:t>
            </w:r>
          </w:p>
        </w:tc>
        <w:tc>
          <w:tcPr>
            <w:tcW w:w="1514" w:type="dxa"/>
          </w:tcPr>
          <w:p w14:paraId="354D2B31" w14:textId="77777777" w:rsidR="00ED6A34" w:rsidRDefault="00ED6A34">
            <w:pPr>
              <w:spacing w:line="240" w:lineRule="auto"/>
              <w:rPr>
                <w:rFonts w:ascii="VIC-SemiBold" w:hAnsi="VIC-SemiBold" w:cstheme="minorBidi"/>
              </w:rPr>
            </w:pPr>
          </w:p>
        </w:tc>
        <w:tc>
          <w:tcPr>
            <w:tcW w:w="1514" w:type="dxa"/>
          </w:tcPr>
          <w:p w14:paraId="6C7ECADE" w14:textId="77777777" w:rsidR="00ED6A34" w:rsidRDefault="00ED6A34" w:rsidP="00006DE3">
            <w:pPr>
              <w:pStyle w:val="TableTextRight"/>
            </w:pPr>
            <w:r>
              <w:t>68,322</w:t>
            </w:r>
          </w:p>
        </w:tc>
        <w:tc>
          <w:tcPr>
            <w:tcW w:w="1514" w:type="dxa"/>
          </w:tcPr>
          <w:p w14:paraId="57399F35" w14:textId="77777777" w:rsidR="00ED6A34" w:rsidRDefault="00ED6A34" w:rsidP="00006DE3">
            <w:pPr>
              <w:pStyle w:val="TableTextRight"/>
            </w:pPr>
            <w:r>
              <w:t>43,363</w:t>
            </w:r>
          </w:p>
        </w:tc>
        <w:tc>
          <w:tcPr>
            <w:tcW w:w="1514" w:type="dxa"/>
          </w:tcPr>
          <w:p w14:paraId="589D9822" w14:textId="77777777" w:rsidR="00ED6A34" w:rsidRDefault="00ED6A34" w:rsidP="00006DE3">
            <w:pPr>
              <w:pStyle w:val="TableTextRight"/>
            </w:pPr>
            <w:r>
              <w:t>49,060</w:t>
            </w:r>
          </w:p>
        </w:tc>
        <w:tc>
          <w:tcPr>
            <w:tcW w:w="1514" w:type="dxa"/>
          </w:tcPr>
          <w:p w14:paraId="30E22F10" w14:textId="77777777" w:rsidR="00ED6A34" w:rsidRDefault="00ED6A34" w:rsidP="00006DE3">
            <w:pPr>
              <w:pStyle w:val="TableTextRight"/>
            </w:pPr>
            <w:r>
              <w:t>178,835</w:t>
            </w:r>
          </w:p>
        </w:tc>
        <w:tc>
          <w:tcPr>
            <w:tcW w:w="1514" w:type="dxa"/>
          </w:tcPr>
          <w:p w14:paraId="70344310" w14:textId="77777777" w:rsidR="00ED6A34" w:rsidRDefault="00ED6A34" w:rsidP="00006DE3">
            <w:pPr>
              <w:pStyle w:val="TableTextRight"/>
            </w:pPr>
            <w:r>
              <w:t>25,378</w:t>
            </w:r>
          </w:p>
        </w:tc>
        <w:tc>
          <w:tcPr>
            <w:tcW w:w="1514" w:type="dxa"/>
          </w:tcPr>
          <w:p w14:paraId="1FFDBD3E" w14:textId="77777777" w:rsidR="00ED6A34" w:rsidRDefault="00ED6A34" w:rsidP="00006DE3">
            <w:pPr>
              <w:pStyle w:val="TableTextRight"/>
            </w:pPr>
            <w:r>
              <w:t>245,933</w:t>
            </w:r>
          </w:p>
        </w:tc>
        <w:tc>
          <w:tcPr>
            <w:tcW w:w="1514" w:type="dxa"/>
          </w:tcPr>
          <w:p w14:paraId="6451B3E3" w14:textId="77777777" w:rsidR="00ED6A34" w:rsidRDefault="00ED6A34" w:rsidP="00006DE3">
            <w:pPr>
              <w:pStyle w:val="TableTextRight"/>
            </w:pPr>
            <w:r>
              <w:t>610,891</w:t>
            </w:r>
          </w:p>
        </w:tc>
      </w:tr>
      <w:tr w:rsidR="00ED6A34" w14:paraId="722F5913" w14:textId="77777777" w:rsidTr="00555997">
        <w:trPr>
          <w:trHeight w:val="60"/>
        </w:trPr>
        <w:tc>
          <w:tcPr>
            <w:tcW w:w="6520" w:type="dxa"/>
          </w:tcPr>
          <w:p w14:paraId="128AD112" w14:textId="0D9DB392" w:rsidR="00ED6A34" w:rsidRDefault="00ED6A34" w:rsidP="00006DE3">
            <w:pPr>
              <w:pStyle w:val="TableText"/>
            </w:pPr>
            <w:r>
              <w:t>Occupancy costs</w:t>
            </w:r>
          </w:p>
        </w:tc>
        <w:tc>
          <w:tcPr>
            <w:tcW w:w="1514" w:type="dxa"/>
          </w:tcPr>
          <w:p w14:paraId="72836179" w14:textId="77777777" w:rsidR="00ED6A34" w:rsidRDefault="00ED6A34">
            <w:pPr>
              <w:spacing w:line="240" w:lineRule="auto"/>
              <w:rPr>
                <w:rFonts w:ascii="VIC-SemiBold" w:hAnsi="VIC-SemiBold" w:cstheme="minorBidi"/>
              </w:rPr>
            </w:pPr>
          </w:p>
        </w:tc>
        <w:tc>
          <w:tcPr>
            <w:tcW w:w="1514" w:type="dxa"/>
          </w:tcPr>
          <w:p w14:paraId="353F592B" w14:textId="77777777" w:rsidR="00ED6A34" w:rsidRDefault="00ED6A34" w:rsidP="00006DE3">
            <w:pPr>
              <w:pStyle w:val="TableTextRight"/>
            </w:pPr>
            <w:r>
              <w:t>55,630</w:t>
            </w:r>
          </w:p>
        </w:tc>
        <w:tc>
          <w:tcPr>
            <w:tcW w:w="1514" w:type="dxa"/>
          </w:tcPr>
          <w:p w14:paraId="5A4C83FC" w14:textId="77777777" w:rsidR="00ED6A34" w:rsidRDefault="00ED6A34" w:rsidP="00006DE3">
            <w:pPr>
              <w:pStyle w:val="TableTextRight"/>
            </w:pPr>
            <w:r>
              <w:t>17,189</w:t>
            </w:r>
          </w:p>
        </w:tc>
        <w:tc>
          <w:tcPr>
            <w:tcW w:w="1514" w:type="dxa"/>
          </w:tcPr>
          <w:p w14:paraId="447051AF" w14:textId="77777777" w:rsidR="00ED6A34" w:rsidRDefault="00ED6A34" w:rsidP="00006DE3">
            <w:pPr>
              <w:pStyle w:val="TableTextRight"/>
            </w:pPr>
            <w:r>
              <w:t>36,807</w:t>
            </w:r>
          </w:p>
        </w:tc>
        <w:tc>
          <w:tcPr>
            <w:tcW w:w="1514" w:type="dxa"/>
          </w:tcPr>
          <w:p w14:paraId="23FA7913" w14:textId="77777777" w:rsidR="00ED6A34" w:rsidRDefault="00ED6A34" w:rsidP="00006DE3">
            <w:pPr>
              <w:pStyle w:val="TableTextRight"/>
            </w:pPr>
            <w:r>
              <w:t>68,052</w:t>
            </w:r>
          </w:p>
        </w:tc>
        <w:tc>
          <w:tcPr>
            <w:tcW w:w="1514" w:type="dxa"/>
          </w:tcPr>
          <w:p w14:paraId="5B0380DA" w14:textId="77777777" w:rsidR="00ED6A34" w:rsidRDefault="00ED6A34" w:rsidP="00006DE3">
            <w:pPr>
              <w:pStyle w:val="TableTextRight"/>
            </w:pPr>
            <w:r>
              <w:t>12,325</w:t>
            </w:r>
          </w:p>
        </w:tc>
        <w:tc>
          <w:tcPr>
            <w:tcW w:w="1514" w:type="dxa"/>
          </w:tcPr>
          <w:p w14:paraId="307318D1" w14:textId="77777777" w:rsidR="00ED6A34" w:rsidRDefault="00ED6A34" w:rsidP="00006DE3">
            <w:pPr>
              <w:pStyle w:val="TableTextRight"/>
            </w:pPr>
            <w:r>
              <w:t>98,587</w:t>
            </w:r>
          </w:p>
        </w:tc>
        <w:tc>
          <w:tcPr>
            <w:tcW w:w="1514" w:type="dxa"/>
          </w:tcPr>
          <w:p w14:paraId="4A8BD9CD" w14:textId="77777777" w:rsidR="00ED6A34" w:rsidRDefault="00ED6A34" w:rsidP="00006DE3">
            <w:pPr>
              <w:pStyle w:val="TableTextRight"/>
            </w:pPr>
            <w:r>
              <w:t>288,590</w:t>
            </w:r>
          </w:p>
        </w:tc>
      </w:tr>
      <w:tr w:rsidR="00ED6A34" w14:paraId="20898B7C" w14:textId="77777777" w:rsidTr="00555997">
        <w:trPr>
          <w:trHeight w:val="60"/>
        </w:trPr>
        <w:tc>
          <w:tcPr>
            <w:tcW w:w="6520" w:type="dxa"/>
          </w:tcPr>
          <w:p w14:paraId="1D79124F" w14:textId="3BB3E0F0" w:rsidR="00ED6A34" w:rsidRDefault="00ED6A34" w:rsidP="00006DE3">
            <w:pPr>
              <w:pStyle w:val="TableText"/>
            </w:pPr>
            <w:r>
              <w:t>Other operating costs</w:t>
            </w:r>
          </w:p>
        </w:tc>
        <w:tc>
          <w:tcPr>
            <w:tcW w:w="1514" w:type="dxa"/>
          </w:tcPr>
          <w:p w14:paraId="48C02376" w14:textId="77777777" w:rsidR="00ED6A34" w:rsidRDefault="00ED6A34">
            <w:pPr>
              <w:spacing w:line="240" w:lineRule="auto"/>
              <w:rPr>
                <w:rFonts w:ascii="VIC-SemiBold" w:hAnsi="VIC-SemiBold" w:cstheme="minorBidi"/>
              </w:rPr>
            </w:pPr>
          </w:p>
        </w:tc>
        <w:tc>
          <w:tcPr>
            <w:tcW w:w="1514" w:type="dxa"/>
          </w:tcPr>
          <w:p w14:paraId="0E1D39A4" w14:textId="77777777" w:rsidR="00ED6A34" w:rsidRDefault="00ED6A34" w:rsidP="00006DE3">
            <w:pPr>
              <w:pStyle w:val="TableTextRight"/>
            </w:pPr>
            <w:r>
              <w:t>1,299,964</w:t>
            </w:r>
          </w:p>
        </w:tc>
        <w:tc>
          <w:tcPr>
            <w:tcW w:w="1514" w:type="dxa"/>
          </w:tcPr>
          <w:p w14:paraId="1238FEE7" w14:textId="77777777" w:rsidR="00ED6A34" w:rsidRDefault="00ED6A34" w:rsidP="00006DE3">
            <w:pPr>
              <w:pStyle w:val="TableTextRight"/>
            </w:pPr>
            <w:r>
              <w:t>478,295</w:t>
            </w:r>
          </w:p>
        </w:tc>
        <w:tc>
          <w:tcPr>
            <w:tcW w:w="1514" w:type="dxa"/>
          </w:tcPr>
          <w:p w14:paraId="2F97B1D8" w14:textId="77777777" w:rsidR="00ED6A34" w:rsidRDefault="00ED6A34" w:rsidP="00006DE3">
            <w:pPr>
              <w:pStyle w:val="TableTextRight"/>
            </w:pPr>
            <w:r>
              <w:t>477,560</w:t>
            </w:r>
          </w:p>
        </w:tc>
        <w:tc>
          <w:tcPr>
            <w:tcW w:w="1514" w:type="dxa"/>
          </w:tcPr>
          <w:p w14:paraId="698E81B6" w14:textId="77777777" w:rsidR="00ED6A34" w:rsidRDefault="00ED6A34" w:rsidP="00006DE3">
            <w:pPr>
              <w:pStyle w:val="TableTextRight"/>
            </w:pPr>
            <w:r>
              <w:t>2,104,032</w:t>
            </w:r>
          </w:p>
        </w:tc>
        <w:tc>
          <w:tcPr>
            <w:tcW w:w="1514" w:type="dxa"/>
          </w:tcPr>
          <w:p w14:paraId="1B12FF95" w14:textId="77777777" w:rsidR="00ED6A34" w:rsidRDefault="00ED6A34" w:rsidP="00006DE3">
            <w:pPr>
              <w:pStyle w:val="TableTextRight"/>
            </w:pPr>
            <w:r>
              <w:t>216,837</w:t>
            </w:r>
          </w:p>
        </w:tc>
        <w:tc>
          <w:tcPr>
            <w:tcW w:w="1514" w:type="dxa"/>
          </w:tcPr>
          <w:p w14:paraId="42E3B026" w14:textId="77777777" w:rsidR="00ED6A34" w:rsidRDefault="00ED6A34" w:rsidP="00006DE3">
            <w:pPr>
              <w:pStyle w:val="TableTextRight"/>
            </w:pPr>
            <w:r>
              <w:t>1,588,780</w:t>
            </w:r>
          </w:p>
        </w:tc>
        <w:tc>
          <w:tcPr>
            <w:tcW w:w="1514" w:type="dxa"/>
          </w:tcPr>
          <w:p w14:paraId="33E98469" w14:textId="77777777" w:rsidR="00ED6A34" w:rsidRDefault="00ED6A34" w:rsidP="00006DE3">
            <w:pPr>
              <w:pStyle w:val="TableTextRight"/>
            </w:pPr>
            <w:r>
              <w:t>6,165,468</w:t>
            </w:r>
          </w:p>
        </w:tc>
      </w:tr>
      <w:tr w:rsidR="00ED6A34" w14:paraId="67F65B85" w14:textId="77777777" w:rsidTr="00555997">
        <w:trPr>
          <w:trHeight w:val="60"/>
        </w:trPr>
        <w:tc>
          <w:tcPr>
            <w:tcW w:w="6520" w:type="dxa"/>
          </w:tcPr>
          <w:p w14:paraId="57B8D7A2" w14:textId="5ABD2249" w:rsidR="00ED6A34" w:rsidRDefault="00ED6A34" w:rsidP="00006DE3">
            <w:pPr>
              <w:pStyle w:val="TableText"/>
            </w:pPr>
            <w:r>
              <w:t>Outsourced contracted costs</w:t>
            </w:r>
          </w:p>
        </w:tc>
        <w:tc>
          <w:tcPr>
            <w:tcW w:w="1514" w:type="dxa"/>
          </w:tcPr>
          <w:p w14:paraId="6935358B" w14:textId="77777777" w:rsidR="00ED6A34" w:rsidRDefault="00ED6A34">
            <w:pPr>
              <w:spacing w:line="240" w:lineRule="auto"/>
              <w:rPr>
                <w:rFonts w:ascii="VIC-SemiBold" w:hAnsi="VIC-SemiBold" w:cstheme="minorBidi"/>
              </w:rPr>
            </w:pPr>
          </w:p>
        </w:tc>
        <w:tc>
          <w:tcPr>
            <w:tcW w:w="1514" w:type="dxa"/>
          </w:tcPr>
          <w:p w14:paraId="39541194" w14:textId="77777777" w:rsidR="00ED6A34" w:rsidRDefault="00ED6A34">
            <w:pPr>
              <w:spacing w:line="240" w:lineRule="auto"/>
              <w:rPr>
                <w:rFonts w:ascii="VIC-SemiBold" w:hAnsi="VIC-SemiBold" w:cstheme="minorBidi"/>
              </w:rPr>
            </w:pPr>
          </w:p>
        </w:tc>
        <w:tc>
          <w:tcPr>
            <w:tcW w:w="1514" w:type="dxa"/>
          </w:tcPr>
          <w:p w14:paraId="69332CCF" w14:textId="77777777" w:rsidR="00ED6A34" w:rsidRDefault="00ED6A34">
            <w:pPr>
              <w:spacing w:line="240" w:lineRule="auto"/>
              <w:rPr>
                <w:rFonts w:ascii="VIC-SemiBold" w:hAnsi="VIC-SemiBold" w:cstheme="minorBidi"/>
              </w:rPr>
            </w:pPr>
          </w:p>
        </w:tc>
        <w:tc>
          <w:tcPr>
            <w:tcW w:w="1514" w:type="dxa"/>
          </w:tcPr>
          <w:p w14:paraId="6B4AFD6E" w14:textId="77777777" w:rsidR="00ED6A34" w:rsidRDefault="00ED6A34" w:rsidP="00006DE3">
            <w:pPr>
              <w:pStyle w:val="TableTextRight"/>
            </w:pPr>
            <w:r>
              <w:t>6,179,380</w:t>
            </w:r>
          </w:p>
        </w:tc>
        <w:tc>
          <w:tcPr>
            <w:tcW w:w="1514" w:type="dxa"/>
          </w:tcPr>
          <w:p w14:paraId="36E944F2" w14:textId="77777777" w:rsidR="00ED6A34" w:rsidRDefault="00ED6A34">
            <w:pPr>
              <w:spacing w:line="240" w:lineRule="auto"/>
              <w:rPr>
                <w:rFonts w:ascii="VIC-SemiBold" w:hAnsi="VIC-SemiBold" w:cstheme="minorBidi"/>
              </w:rPr>
            </w:pPr>
          </w:p>
        </w:tc>
        <w:tc>
          <w:tcPr>
            <w:tcW w:w="1514" w:type="dxa"/>
          </w:tcPr>
          <w:p w14:paraId="2E06C59E" w14:textId="77777777" w:rsidR="00ED6A34" w:rsidRDefault="00ED6A34">
            <w:pPr>
              <w:spacing w:line="240" w:lineRule="auto"/>
              <w:rPr>
                <w:rFonts w:ascii="VIC-SemiBold" w:hAnsi="VIC-SemiBold" w:cstheme="minorBidi"/>
              </w:rPr>
            </w:pPr>
          </w:p>
        </w:tc>
        <w:tc>
          <w:tcPr>
            <w:tcW w:w="1514" w:type="dxa"/>
          </w:tcPr>
          <w:p w14:paraId="54D7FFBC" w14:textId="77777777" w:rsidR="00ED6A34" w:rsidRDefault="00ED6A34">
            <w:pPr>
              <w:spacing w:line="240" w:lineRule="auto"/>
              <w:rPr>
                <w:rFonts w:ascii="VIC-SemiBold" w:hAnsi="VIC-SemiBold" w:cstheme="minorBidi"/>
              </w:rPr>
            </w:pPr>
          </w:p>
        </w:tc>
        <w:tc>
          <w:tcPr>
            <w:tcW w:w="1514" w:type="dxa"/>
          </w:tcPr>
          <w:p w14:paraId="7D7AB81E" w14:textId="77777777" w:rsidR="00ED6A34" w:rsidRDefault="00ED6A34" w:rsidP="00006DE3">
            <w:pPr>
              <w:pStyle w:val="TableTextRight"/>
            </w:pPr>
            <w:r>
              <w:t>6,179,380</w:t>
            </w:r>
          </w:p>
        </w:tc>
      </w:tr>
      <w:tr w:rsidR="00ED6A34" w:rsidRPr="00A11832" w14:paraId="20DC4EE1" w14:textId="77777777" w:rsidTr="00555997">
        <w:trPr>
          <w:trHeight w:val="60"/>
        </w:trPr>
        <w:tc>
          <w:tcPr>
            <w:tcW w:w="6520" w:type="dxa"/>
            <w:shd w:val="clear" w:color="auto" w:fill="CCE3F5"/>
          </w:tcPr>
          <w:p w14:paraId="7121EAA2" w14:textId="3253EE3B" w:rsidR="00ED6A34" w:rsidRPr="00A11832" w:rsidRDefault="00ED6A34" w:rsidP="00006DE3">
            <w:pPr>
              <w:pStyle w:val="TableTextBold"/>
            </w:pPr>
            <w:r w:rsidRPr="00A11832">
              <w:t>Total CAV Trust Funds Expenditure</w:t>
            </w:r>
          </w:p>
        </w:tc>
        <w:tc>
          <w:tcPr>
            <w:tcW w:w="1514" w:type="dxa"/>
            <w:shd w:val="clear" w:color="auto" w:fill="CCE3F5"/>
          </w:tcPr>
          <w:p w14:paraId="3D334994" w14:textId="77777777" w:rsidR="00ED6A34" w:rsidRPr="00A11832" w:rsidRDefault="00ED6A34" w:rsidP="00006DE3">
            <w:pPr>
              <w:pStyle w:val="TableTextRightBold"/>
            </w:pPr>
            <w:r w:rsidRPr="00A11832">
              <w:t>208,288</w:t>
            </w:r>
          </w:p>
        </w:tc>
        <w:tc>
          <w:tcPr>
            <w:tcW w:w="1514" w:type="dxa"/>
            <w:shd w:val="clear" w:color="auto" w:fill="CCE3F5"/>
          </w:tcPr>
          <w:p w14:paraId="739A8F00" w14:textId="77777777" w:rsidR="00ED6A34" w:rsidRPr="00A11832" w:rsidRDefault="00ED6A34" w:rsidP="00006DE3">
            <w:pPr>
              <w:pStyle w:val="TableTextRightBold"/>
            </w:pPr>
            <w:r w:rsidRPr="00A11832">
              <w:t>18,191,505</w:t>
            </w:r>
          </w:p>
        </w:tc>
        <w:tc>
          <w:tcPr>
            <w:tcW w:w="1514" w:type="dxa"/>
            <w:shd w:val="clear" w:color="auto" w:fill="CCE3F5"/>
          </w:tcPr>
          <w:p w14:paraId="0B6CE3D8" w14:textId="77777777" w:rsidR="00ED6A34" w:rsidRPr="00A11832" w:rsidRDefault="00ED6A34" w:rsidP="00006DE3">
            <w:pPr>
              <w:pStyle w:val="TableTextRightBold"/>
            </w:pPr>
            <w:r w:rsidRPr="00A11832">
              <w:t>2,735,361</w:t>
            </w:r>
          </w:p>
        </w:tc>
        <w:tc>
          <w:tcPr>
            <w:tcW w:w="1514" w:type="dxa"/>
            <w:shd w:val="clear" w:color="auto" w:fill="CCE3F5"/>
          </w:tcPr>
          <w:p w14:paraId="6B6D9E39" w14:textId="77777777" w:rsidR="00ED6A34" w:rsidRPr="00A11832" w:rsidRDefault="00ED6A34" w:rsidP="00006DE3">
            <w:pPr>
              <w:pStyle w:val="TableTextRightBold"/>
            </w:pPr>
            <w:r w:rsidRPr="00A11832">
              <w:t>9,761,898</w:t>
            </w:r>
          </w:p>
        </w:tc>
        <w:tc>
          <w:tcPr>
            <w:tcW w:w="1514" w:type="dxa"/>
            <w:shd w:val="clear" w:color="auto" w:fill="CCE3F5"/>
          </w:tcPr>
          <w:p w14:paraId="675BD8DB" w14:textId="77777777" w:rsidR="00ED6A34" w:rsidRPr="00A11832" w:rsidRDefault="00ED6A34" w:rsidP="00006DE3">
            <w:pPr>
              <w:pStyle w:val="TableTextRightBold"/>
            </w:pPr>
            <w:r w:rsidRPr="00A11832">
              <w:t>32,130,841</w:t>
            </w:r>
          </w:p>
        </w:tc>
        <w:tc>
          <w:tcPr>
            <w:tcW w:w="1514" w:type="dxa"/>
            <w:shd w:val="clear" w:color="auto" w:fill="CCE3F5"/>
          </w:tcPr>
          <w:p w14:paraId="499B35FB" w14:textId="3481B522" w:rsidR="00ED6A34" w:rsidRPr="00A11832" w:rsidRDefault="00ED6A34" w:rsidP="00006DE3">
            <w:pPr>
              <w:pStyle w:val="TableTextRightBold"/>
            </w:pPr>
            <w:r w:rsidRPr="00A11832">
              <w:t xml:space="preserve">1,463,932 </w:t>
            </w:r>
          </w:p>
        </w:tc>
        <w:tc>
          <w:tcPr>
            <w:tcW w:w="1514" w:type="dxa"/>
            <w:shd w:val="clear" w:color="auto" w:fill="CCE3F5"/>
          </w:tcPr>
          <w:p w14:paraId="6272B1A7" w14:textId="77777777" w:rsidR="00ED6A34" w:rsidRPr="00A11832" w:rsidRDefault="00ED6A34" w:rsidP="00006DE3">
            <w:pPr>
              <w:pStyle w:val="TableTextRightBold"/>
            </w:pPr>
            <w:r w:rsidRPr="00A11832">
              <w:t>44,060,642</w:t>
            </w:r>
          </w:p>
        </w:tc>
        <w:tc>
          <w:tcPr>
            <w:tcW w:w="1514" w:type="dxa"/>
            <w:shd w:val="clear" w:color="auto" w:fill="CCE3F5"/>
          </w:tcPr>
          <w:p w14:paraId="65163AD8" w14:textId="77777777" w:rsidR="00ED6A34" w:rsidRPr="00A11832" w:rsidRDefault="00ED6A34" w:rsidP="00006DE3">
            <w:pPr>
              <w:pStyle w:val="TableTextRightBold"/>
            </w:pPr>
            <w:r w:rsidRPr="00A11832">
              <w:t>108,552,467</w:t>
            </w:r>
          </w:p>
        </w:tc>
      </w:tr>
      <w:tr w:rsidR="00ED6A34" w:rsidRPr="00A11832" w14:paraId="60AAF79D" w14:textId="77777777" w:rsidTr="00555997">
        <w:trPr>
          <w:trHeight w:val="60"/>
        </w:trPr>
        <w:tc>
          <w:tcPr>
            <w:tcW w:w="6520" w:type="dxa"/>
          </w:tcPr>
          <w:p w14:paraId="3ECAE27C" w14:textId="5E3C2EDA" w:rsidR="00ED6A34" w:rsidRPr="00A11832" w:rsidRDefault="00ED6A34" w:rsidP="00006DE3">
            <w:pPr>
              <w:pStyle w:val="TableTextBold"/>
            </w:pPr>
            <w:r w:rsidRPr="00A11832">
              <w:t>Trust Funds, opening equity 1 July 2018</w:t>
            </w:r>
          </w:p>
        </w:tc>
        <w:tc>
          <w:tcPr>
            <w:tcW w:w="1514" w:type="dxa"/>
          </w:tcPr>
          <w:p w14:paraId="085F733C" w14:textId="77777777" w:rsidR="00ED6A34" w:rsidRPr="00A11832" w:rsidRDefault="00ED6A34" w:rsidP="00006DE3">
            <w:pPr>
              <w:pStyle w:val="TableTextRightBold"/>
            </w:pPr>
            <w:r w:rsidRPr="00A11832">
              <w:t>4,298,908</w:t>
            </w:r>
          </w:p>
        </w:tc>
        <w:tc>
          <w:tcPr>
            <w:tcW w:w="1514" w:type="dxa"/>
          </w:tcPr>
          <w:p w14:paraId="50D48383" w14:textId="77777777" w:rsidR="00ED6A34" w:rsidRPr="00A11832" w:rsidRDefault="00ED6A34" w:rsidP="00006DE3">
            <w:pPr>
              <w:pStyle w:val="TableTextRightBold"/>
            </w:pPr>
            <w:r w:rsidRPr="00A11832">
              <w:t>21,160,067</w:t>
            </w:r>
          </w:p>
        </w:tc>
        <w:tc>
          <w:tcPr>
            <w:tcW w:w="1514" w:type="dxa"/>
          </w:tcPr>
          <w:p w14:paraId="03C613B5" w14:textId="77777777" w:rsidR="00ED6A34" w:rsidRPr="00A11832" w:rsidRDefault="00ED6A34" w:rsidP="00006DE3">
            <w:pPr>
              <w:pStyle w:val="TableTextRightBold"/>
            </w:pPr>
            <w:r w:rsidRPr="00A11832">
              <w:t>4,525,883</w:t>
            </w:r>
          </w:p>
        </w:tc>
        <w:tc>
          <w:tcPr>
            <w:tcW w:w="1514" w:type="dxa"/>
          </w:tcPr>
          <w:p w14:paraId="60EEB56F" w14:textId="77777777" w:rsidR="00ED6A34" w:rsidRPr="00A11832" w:rsidRDefault="00ED6A34" w:rsidP="00006DE3">
            <w:pPr>
              <w:pStyle w:val="TableTextRightBold"/>
            </w:pPr>
            <w:r w:rsidRPr="00A11832">
              <w:t>23,825,386</w:t>
            </w:r>
          </w:p>
        </w:tc>
        <w:tc>
          <w:tcPr>
            <w:tcW w:w="1514" w:type="dxa"/>
          </w:tcPr>
          <w:p w14:paraId="40B34362" w14:textId="77777777" w:rsidR="00ED6A34" w:rsidRPr="00A11832" w:rsidRDefault="00ED6A34" w:rsidP="00006DE3">
            <w:pPr>
              <w:pStyle w:val="TableTextRightBold"/>
            </w:pPr>
            <w:r w:rsidRPr="00A11832">
              <w:t>40,566,451</w:t>
            </w:r>
          </w:p>
        </w:tc>
        <w:tc>
          <w:tcPr>
            <w:tcW w:w="1514" w:type="dxa"/>
          </w:tcPr>
          <w:p w14:paraId="382CDB32" w14:textId="77777777" w:rsidR="00ED6A34" w:rsidRPr="00A11832" w:rsidRDefault="00ED6A34" w:rsidP="00006DE3">
            <w:pPr>
              <w:pStyle w:val="TableTextRightBold"/>
            </w:pPr>
            <w:r w:rsidRPr="00A11832">
              <w:t>1,235,448</w:t>
            </w:r>
          </w:p>
        </w:tc>
        <w:tc>
          <w:tcPr>
            <w:tcW w:w="1514" w:type="dxa"/>
          </w:tcPr>
          <w:p w14:paraId="2BE1E9C7" w14:textId="77777777" w:rsidR="00ED6A34" w:rsidRPr="00A11832" w:rsidRDefault="00ED6A34" w:rsidP="00006DE3">
            <w:pPr>
              <w:pStyle w:val="TableTextRightBold"/>
            </w:pPr>
            <w:r w:rsidRPr="00A11832">
              <w:t>200,860,190</w:t>
            </w:r>
          </w:p>
        </w:tc>
        <w:tc>
          <w:tcPr>
            <w:tcW w:w="1514" w:type="dxa"/>
          </w:tcPr>
          <w:p w14:paraId="14D23E41" w14:textId="77777777" w:rsidR="00ED6A34" w:rsidRPr="00A11832" w:rsidRDefault="00ED6A34" w:rsidP="00006DE3">
            <w:pPr>
              <w:pStyle w:val="TableTextRightBold"/>
            </w:pPr>
            <w:r w:rsidRPr="00A11832">
              <w:t>296,472,333</w:t>
            </w:r>
          </w:p>
        </w:tc>
      </w:tr>
      <w:tr w:rsidR="00ED6A34" w14:paraId="045CE751" w14:textId="77777777" w:rsidTr="00555997">
        <w:trPr>
          <w:trHeight w:val="60"/>
        </w:trPr>
        <w:tc>
          <w:tcPr>
            <w:tcW w:w="6520" w:type="dxa"/>
          </w:tcPr>
          <w:p w14:paraId="19EA1E20" w14:textId="739D535C" w:rsidR="00ED6A34" w:rsidRDefault="00ED6A34" w:rsidP="00006DE3">
            <w:pPr>
              <w:pStyle w:val="TableText"/>
            </w:pPr>
            <w:r>
              <w:t>Current year operating surplus/(deficit)</w:t>
            </w:r>
          </w:p>
        </w:tc>
        <w:tc>
          <w:tcPr>
            <w:tcW w:w="1514" w:type="dxa"/>
          </w:tcPr>
          <w:p w14:paraId="45926E2B" w14:textId="77777777" w:rsidR="00ED6A34" w:rsidRDefault="00ED6A34" w:rsidP="00006DE3">
            <w:pPr>
              <w:pStyle w:val="TableTextRight"/>
            </w:pPr>
            <w:r>
              <w:t>529,822</w:t>
            </w:r>
          </w:p>
        </w:tc>
        <w:tc>
          <w:tcPr>
            <w:tcW w:w="1514" w:type="dxa"/>
          </w:tcPr>
          <w:p w14:paraId="1D993879" w14:textId="77777777" w:rsidR="00ED6A34" w:rsidRDefault="00ED6A34" w:rsidP="00006DE3">
            <w:pPr>
              <w:pStyle w:val="TableTextRight"/>
            </w:pPr>
            <w:r>
              <w:t>61,806</w:t>
            </w:r>
          </w:p>
        </w:tc>
        <w:tc>
          <w:tcPr>
            <w:tcW w:w="1514" w:type="dxa"/>
          </w:tcPr>
          <w:p w14:paraId="1A182D10" w14:textId="77777777" w:rsidR="00ED6A34" w:rsidRDefault="00ED6A34" w:rsidP="00006DE3">
            <w:pPr>
              <w:pStyle w:val="TableTextRight"/>
            </w:pPr>
            <w:r>
              <w:t>395,792</w:t>
            </w:r>
          </w:p>
        </w:tc>
        <w:tc>
          <w:tcPr>
            <w:tcW w:w="1514" w:type="dxa"/>
          </w:tcPr>
          <w:p w14:paraId="2C856DA5" w14:textId="77777777" w:rsidR="00ED6A34" w:rsidRDefault="00ED6A34" w:rsidP="00006DE3">
            <w:pPr>
              <w:pStyle w:val="TableTextRight"/>
            </w:pPr>
            <w:r>
              <w:t>10,527,896</w:t>
            </w:r>
          </w:p>
        </w:tc>
        <w:tc>
          <w:tcPr>
            <w:tcW w:w="1514" w:type="dxa"/>
          </w:tcPr>
          <w:p w14:paraId="15CC1A93" w14:textId="77777777" w:rsidR="00ED6A34" w:rsidRDefault="00ED6A34" w:rsidP="00006DE3">
            <w:pPr>
              <w:pStyle w:val="TableTextRight"/>
            </w:pPr>
            <w:r>
              <w:t>2,115,423</w:t>
            </w:r>
          </w:p>
        </w:tc>
        <w:tc>
          <w:tcPr>
            <w:tcW w:w="1514" w:type="dxa"/>
          </w:tcPr>
          <w:p w14:paraId="522445C1" w14:textId="77777777" w:rsidR="00ED6A34" w:rsidRDefault="00ED6A34" w:rsidP="00006DE3">
            <w:pPr>
              <w:pStyle w:val="TableTextRight"/>
            </w:pPr>
            <w:r>
              <w:t>(196,903)</w:t>
            </w:r>
          </w:p>
        </w:tc>
        <w:tc>
          <w:tcPr>
            <w:tcW w:w="1514" w:type="dxa"/>
          </w:tcPr>
          <w:p w14:paraId="5494DA79" w14:textId="77777777" w:rsidR="00ED6A34" w:rsidRDefault="00ED6A34" w:rsidP="00006DE3">
            <w:pPr>
              <w:pStyle w:val="TableTextRight"/>
            </w:pPr>
            <w:r>
              <w:t>(13,638,329)</w:t>
            </w:r>
          </w:p>
        </w:tc>
        <w:tc>
          <w:tcPr>
            <w:tcW w:w="1514" w:type="dxa"/>
          </w:tcPr>
          <w:p w14:paraId="6D8E3A3B" w14:textId="77777777" w:rsidR="00ED6A34" w:rsidRDefault="00ED6A34" w:rsidP="00006DE3">
            <w:pPr>
              <w:pStyle w:val="TableTextRight"/>
            </w:pPr>
            <w:r>
              <w:t>(204,493)</w:t>
            </w:r>
          </w:p>
        </w:tc>
      </w:tr>
      <w:tr w:rsidR="00ED6A34" w14:paraId="282FE226" w14:textId="77777777" w:rsidTr="00555997">
        <w:trPr>
          <w:trHeight w:val="60"/>
        </w:trPr>
        <w:tc>
          <w:tcPr>
            <w:tcW w:w="6520" w:type="dxa"/>
          </w:tcPr>
          <w:p w14:paraId="7B22C7E4" w14:textId="136DD33D" w:rsidR="00ED6A34" w:rsidRDefault="00ED6A34" w:rsidP="00006DE3">
            <w:pPr>
              <w:pStyle w:val="TableTextBold"/>
            </w:pPr>
            <w:r>
              <w:t>Trust Funds, closing equity 30 June 2019</w:t>
            </w:r>
          </w:p>
        </w:tc>
        <w:tc>
          <w:tcPr>
            <w:tcW w:w="1514" w:type="dxa"/>
          </w:tcPr>
          <w:p w14:paraId="005B823F" w14:textId="77777777" w:rsidR="00ED6A34" w:rsidRDefault="00ED6A34" w:rsidP="00006DE3">
            <w:pPr>
              <w:pStyle w:val="TableTextRightBold"/>
            </w:pPr>
            <w:r>
              <w:t>4,828,730</w:t>
            </w:r>
          </w:p>
        </w:tc>
        <w:tc>
          <w:tcPr>
            <w:tcW w:w="1514" w:type="dxa"/>
          </w:tcPr>
          <w:p w14:paraId="51A06DA6" w14:textId="77777777" w:rsidR="00ED6A34" w:rsidRDefault="00ED6A34" w:rsidP="00006DE3">
            <w:pPr>
              <w:pStyle w:val="TableTextRightBold"/>
            </w:pPr>
            <w:r>
              <w:t>21,221,873</w:t>
            </w:r>
          </w:p>
        </w:tc>
        <w:tc>
          <w:tcPr>
            <w:tcW w:w="1514" w:type="dxa"/>
          </w:tcPr>
          <w:p w14:paraId="129B4D14" w14:textId="77777777" w:rsidR="00ED6A34" w:rsidRDefault="00ED6A34" w:rsidP="00006DE3">
            <w:pPr>
              <w:pStyle w:val="TableTextRightBold"/>
            </w:pPr>
            <w:r>
              <w:t>4,921,675</w:t>
            </w:r>
          </w:p>
        </w:tc>
        <w:tc>
          <w:tcPr>
            <w:tcW w:w="1514" w:type="dxa"/>
          </w:tcPr>
          <w:p w14:paraId="6AE8BCF9" w14:textId="77777777" w:rsidR="00ED6A34" w:rsidRDefault="00ED6A34" w:rsidP="00006DE3">
            <w:pPr>
              <w:pStyle w:val="TableTextRightBold"/>
            </w:pPr>
            <w:r>
              <w:t>34,353,282</w:t>
            </w:r>
          </w:p>
        </w:tc>
        <w:tc>
          <w:tcPr>
            <w:tcW w:w="1514" w:type="dxa"/>
          </w:tcPr>
          <w:p w14:paraId="7DA68BF2" w14:textId="77777777" w:rsidR="00ED6A34" w:rsidRDefault="00ED6A34" w:rsidP="00006DE3">
            <w:pPr>
              <w:pStyle w:val="TableTextRightBold"/>
            </w:pPr>
            <w:r>
              <w:t>42,681,874</w:t>
            </w:r>
          </w:p>
        </w:tc>
        <w:tc>
          <w:tcPr>
            <w:tcW w:w="1514" w:type="dxa"/>
          </w:tcPr>
          <w:p w14:paraId="7953CDE7" w14:textId="77777777" w:rsidR="00ED6A34" w:rsidRDefault="00ED6A34" w:rsidP="00006DE3">
            <w:pPr>
              <w:pStyle w:val="TableTextRightBold"/>
            </w:pPr>
            <w:r>
              <w:t>1,038,545</w:t>
            </w:r>
          </w:p>
        </w:tc>
        <w:tc>
          <w:tcPr>
            <w:tcW w:w="1514" w:type="dxa"/>
          </w:tcPr>
          <w:p w14:paraId="1F0F1506" w14:textId="77777777" w:rsidR="00ED6A34" w:rsidRDefault="00ED6A34" w:rsidP="00006DE3">
            <w:pPr>
              <w:pStyle w:val="TableTextRightBold"/>
            </w:pPr>
            <w:r>
              <w:t>187,221,861</w:t>
            </w:r>
          </w:p>
        </w:tc>
        <w:tc>
          <w:tcPr>
            <w:tcW w:w="1514" w:type="dxa"/>
          </w:tcPr>
          <w:p w14:paraId="20A655A2" w14:textId="77777777" w:rsidR="00ED6A34" w:rsidRDefault="00ED6A34" w:rsidP="00006DE3">
            <w:pPr>
              <w:pStyle w:val="TableTextRightBold"/>
            </w:pPr>
            <w:r>
              <w:t>296,267,840</w:t>
            </w:r>
          </w:p>
        </w:tc>
      </w:tr>
    </w:tbl>
    <w:p w14:paraId="74671F50" w14:textId="77777777" w:rsidR="00B65A4B" w:rsidRDefault="00B65A4B" w:rsidP="00BB1C65">
      <w:pPr>
        <w:pStyle w:val="Heading2"/>
        <w:sectPr w:rsidR="00B65A4B" w:rsidSect="00B65A4B">
          <w:footnotePr>
            <w:pos w:val="beneathText"/>
            <w:numRestart w:val="eachPage"/>
          </w:footnotePr>
          <w:pgSz w:w="23814" w:h="16840" w:orient="landscape" w:code="9"/>
          <w:pgMar w:top="1418" w:right="1418" w:bottom="1134" w:left="1418" w:header="510" w:footer="510" w:gutter="0"/>
          <w:cols w:space="708"/>
          <w:docGrid w:linePitch="360"/>
        </w:sectPr>
      </w:pPr>
    </w:p>
    <w:p w14:paraId="330869E1" w14:textId="5BB61C43" w:rsidR="00ED6A34" w:rsidRDefault="00ED6A34" w:rsidP="00BB1C65">
      <w:pPr>
        <w:pStyle w:val="Heading2"/>
      </w:pPr>
      <w:bookmarkStart w:id="19" w:name="_Toc21600827"/>
      <w:r>
        <w:lastRenderedPageBreak/>
        <w:t>Acts and regulations commenced or revoked in 2018–19</w:t>
      </w:r>
      <w:bookmarkEnd w:id="19"/>
    </w:p>
    <w:p w14:paraId="64D2A6B1" w14:textId="528C09F8" w:rsidR="00ED6A34" w:rsidRDefault="00ED6A34" w:rsidP="00BB1C65">
      <w:pPr>
        <w:pStyle w:val="Heading3"/>
      </w:pPr>
      <w:bookmarkStart w:id="20" w:name="_Toc21600828"/>
      <w:r>
        <w:t>Acts passed</w:t>
      </w:r>
      <w:bookmarkEnd w:id="20"/>
    </w:p>
    <w:tbl>
      <w:tblPr>
        <w:tblStyle w:val="TableGrid"/>
        <w:tblW w:w="9072" w:type="dxa"/>
        <w:tblLayout w:type="fixed"/>
        <w:tblLook w:val="06A0" w:firstRow="1" w:lastRow="0" w:firstColumn="1" w:lastColumn="0" w:noHBand="1" w:noVBand="1"/>
      </w:tblPr>
      <w:tblGrid>
        <w:gridCol w:w="7035"/>
        <w:gridCol w:w="2037"/>
      </w:tblGrid>
      <w:tr w:rsidR="00ED6A34" w14:paraId="1DB80182" w14:textId="77777777" w:rsidTr="00A41E9C">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0051B8DC" w14:textId="77777777" w:rsidR="00ED6A34" w:rsidRDefault="00ED6A34" w:rsidP="00006DE3">
            <w:pPr>
              <w:pStyle w:val="TableColHead"/>
            </w:pPr>
            <w:r>
              <w:t>Name</w:t>
            </w:r>
          </w:p>
        </w:tc>
        <w:tc>
          <w:tcPr>
            <w:tcW w:w="2155" w:type="dxa"/>
          </w:tcPr>
          <w:p w14:paraId="5A2D7A41" w14:textId="66D1B4BB" w:rsidR="00ED6A34" w:rsidRDefault="00ED6A34" w:rsidP="00006DE3">
            <w:pPr>
              <w:pStyle w:val="TableColHead"/>
            </w:pPr>
            <w:r>
              <w:t>Date of royal assent</w:t>
            </w:r>
          </w:p>
        </w:tc>
      </w:tr>
      <w:tr w:rsidR="00ED6A34" w14:paraId="4B4366F6" w14:textId="77777777" w:rsidTr="00A41E9C">
        <w:trPr>
          <w:trHeight w:val="68"/>
        </w:trPr>
        <w:tc>
          <w:tcPr>
            <w:tcW w:w="7483" w:type="dxa"/>
          </w:tcPr>
          <w:p w14:paraId="371E9DB0" w14:textId="0A3A244A" w:rsidR="00ED6A34" w:rsidRPr="00F3632D" w:rsidRDefault="00ED6A34" w:rsidP="00006DE3">
            <w:pPr>
              <w:pStyle w:val="TableText"/>
              <w:rPr>
                <w:rStyle w:val="Emphasis"/>
              </w:rPr>
            </w:pPr>
            <w:r w:rsidRPr="00F3632D">
              <w:rPr>
                <w:rStyle w:val="Emphasis"/>
              </w:rPr>
              <w:t>Owners Corporations Amendment (Short-stay Accommodation) Act 2018</w:t>
            </w:r>
          </w:p>
        </w:tc>
        <w:tc>
          <w:tcPr>
            <w:tcW w:w="2155" w:type="dxa"/>
          </w:tcPr>
          <w:p w14:paraId="2C942B07" w14:textId="48D75B1A" w:rsidR="00ED6A34" w:rsidRDefault="00ED6A34" w:rsidP="00006DE3">
            <w:pPr>
              <w:pStyle w:val="TableText"/>
            </w:pPr>
            <w:r>
              <w:t>14 August 2018</w:t>
            </w:r>
          </w:p>
        </w:tc>
      </w:tr>
      <w:tr w:rsidR="00ED6A34" w14:paraId="5B723444" w14:textId="77777777" w:rsidTr="00A41E9C">
        <w:trPr>
          <w:trHeight w:val="68"/>
        </w:trPr>
        <w:tc>
          <w:tcPr>
            <w:tcW w:w="7483" w:type="dxa"/>
          </w:tcPr>
          <w:p w14:paraId="73D1C6C7" w14:textId="4C4352AA" w:rsidR="00ED6A34" w:rsidRPr="00F3632D" w:rsidRDefault="00ED6A34" w:rsidP="00006DE3">
            <w:pPr>
              <w:pStyle w:val="TableText"/>
              <w:rPr>
                <w:rStyle w:val="Emphasis"/>
              </w:rPr>
            </w:pPr>
            <w:r w:rsidRPr="00F3632D">
              <w:rPr>
                <w:rStyle w:val="Emphasis"/>
              </w:rPr>
              <w:t>Residential Tenancies Amendment Act 2018</w:t>
            </w:r>
          </w:p>
        </w:tc>
        <w:tc>
          <w:tcPr>
            <w:tcW w:w="2155" w:type="dxa"/>
          </w:tcPr>
          <w:p w14:paraId="51C3B136" w14:textId="091CD050" w:rsidR="00ED6A34" w:rsidRDefault="00ED6A34" w:rsidP="00006DE3">
            <w:pPr>
              <w:pStyle w:val="TableText"/>
            </w:pPr>
            <w:r>
              <w:t>18 September 2018</w:t>
            </w:r>
          </w:p>
        </w:tc>
      </w:tr>
      <w:tr w:rsidR="00ED6A34" w14:paraId="16184050" w14:textId="77777777" w:rsidTr="00A41E9C">
        <w:trPr>
          <w:trHeight w:val="68"/>
        </w:trPr>
        <w:tc>
          <w:tcPr>
            <w:tcW w:w="7483" w:type="dxa"/>
          </w:tcPr>
          <w:p w14:paraId="474BF1C4" w14:textId="6F82CAFF" w:rsidR="00ED6A34" w:rsidRPr="00F3632D" w:rsidRDefault="00ED6A34" w:rsidP="00006DE3">
            <w:pPr>
              <w:pStyle w:val="TableText"/>
              <w:rPr>
                <w:rStyle w:val="Emphasis"/>
              </w:rPr>
            </w:pPr>
            <w:r w:rsidRPr="00F3632D">
              <w:rPr>
                <w:rStyle w:val="Emphasis"/>
              </w:rPr>
              <w:t>Residential Tenancies Amendment (Long-term Tenancy Agreements) Act 2018</w:t>
            </w:r>
          </w:p>
        </w:tc>
        <w:tc>
          <w:tcPr>
            <w:tcW w:w="2155" w:type="dxa"/>
          </w:tcPr>
          <w:p w14:paraId="4786B69B" w14:textId="1CC76C46" w:rsidR="00ED6A34" w:rsidRDefault="00ED6A34" w:rsidP="00006DE3">
            <w:pPr>
              <w:pStyle w:val="TableText"/>
            </w:pPr>
            <w:r>
              <w:t>28 August 2018</w:t>
            </w:r>
          </w:p>
        </w:tc>
      </w:tr>
      <w:tr w:rsidR="00ED6A34" w14:paraId="387D1CAA" w14:textId="77777777" w:rsidTr="00A41E9C">
        <w:trPr>
          <w:trHeight w:val="68"/>
        </w:trPr>
        <w:tc>
          <w:tcPr>
            <w:tcW w:w="7483" w:type="dxa"/>
          </w:tcPr>
          <w:p w14:paraId="3B67F509" w14:textId="2FC4EC5A" w:rsidR="00ED6A34" w:rsidRPr="00F3632D" w:rsidRDefault="00ED6A34" w:rsidP="00006DE3">
            <w:pPr>
              <w:pStyle w:val="TableText"/>
              <w:rPr>
                <w:rStyle w:val="Emphasis"/>
              </w:rPr>
            </w:pPr>
            <w:r w:rsidRPr="00F3632D">
              <w:rPr>
                <w:rStyle w:val="Emphasis"/>
              </w:rPr>
              <w:t>Sale of Land Amendment Act 2019</w:t>
            </w:r>
          </w:p>
        </w:tc>
        <w:tc>
          <w:tcPr>
            <w:tcW w:w="2155" w:type="dxa"/>
          </w:tcPr>
          <w:p w14:paraId="1E30280C" w14:textId="37964583" w:rsidR="00ED6A34" w:rsidRDefault="00ED6A34" w:rsidP="00006DE3">
            <w:pPr>
              <w:pStyle w:val="TableText"/>
            </w:pPr>
            <w:r>
              <w:t>4 June 2019</w:t>
            </w:r>
          </w:p>
        </w:tc>
      </w:tr>
    </w:tbl>
    <w:p w14:paraId="45E9AF80" w14:textId="57A93A2F" w:rsidR="00ED6A34" w:rsidRDefault="00ED6A34" w:rsidP="00BB1C65">
      <w:pPr>
        <w:pStyle w:val="Heading3"/>
      </w:pPr>
      <w:bookmarkStart w:id="21" w:name="_Toc21600829"/>
      <w:r>
        <w:t>Regulations commenced</w:t>
      </w:r>
      <w:bookmarkEnd w:id="21"/>
    </w:p>
    <w:tbl>
      <w:tblPr>
        <w:tblStyle w:val="TableGrid"/>
        <w:tblW w:w="9072" w:type="dxa"/>
        <w:tblLayout w:type="fixed"/>
        <w:tblLook w:val="06A0" w:firstRow="1" w:lastRow="0" w:firstColumn="1" w:lastColumn="0" w:noHBand="1" w:noVBand="1"/>
      </w:tblPr>
      <w:tblGrid>
        <w:gridCol w:w="7035"/>
        <w:gridCol w:w="2037"/>
      </w:tblGrid>
      <w:tr w:rsidR="00ED6A34" w14:paraId="435E061D" w14:textId="77777777" w:rsidTr="001F6E72">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30FEAB26" w14:textId="77777777" w:rsidR="00ED6A34" w:rsidRDefault="00ED6A34" w:rsidP="00006DE3">
            <w:pPr>
              <w:pStyle w:val="TableColHead"/>
            </w:pPr>
            <w:r>
              <w:t>Name</w:t>
            </w:r>
          </w:p>
        </w:tc>
        <w:tc>
          <w:tcPr>
            <w:tcW w:w="2155" w:type="dxa"/>
          </w:tcPr>
          <w:p w14:paraId="34F8AEFE" w14:textId="7330CFCB" w:rsidR="00ED6A34" w:rsidRDefault="00ED6A34" w:rsidP="00006DE3">
            <w:pPr>
              <w:pStyle w:val="TableColHead"/>
            </w:pPr>
            <w:r>
              <w:t>Date commenced</w:t>
            </w:r>
          </w:p>
        </w:tc>
      </w:tr>
      <w:tr w:rsidR="00ED6A34" w14:paraId="0B90CDCF" w14:textId="77777777" w:rsidTr="001F6E72">
        <w:trPr>
          <w:trHeight w:val="68"/>
        </w:trPr>
        <w:tc>
          <w:tcPr>
            <w:tcW w:w="7483" w:type="dxa"/>
          </w:tcPr>
          <w:p w14:paraId="091D5716" w14:textId="3FA9B8E6" w:rsidR="00ED6A34" w:rsidRDefault="00ED6A34" w:rsidP="00006DE3">
            <w:pPr>
              <w:pStyle w:val="TableText"/>
            </w:pPr>
            <w:r>
              <w:t>Associations Incorporation Reform Amendment Regulations 2018</w:t>
            </w:r>
          </w:p>
        </w:tc>
        <w:tc>
          <w:tcPr>
            <w:tcW w:w="2155" w:type="dxa"/>
          </w:tcPr>
          <w:p w14:paraId="45A2A495" w14:textId="3E9488A8" w:rsidR="00ED6A34" w:rsidRDefault="00ED6A34" w:rsidP="00006DE3">
            <w:pPr>
              <w:pStyle w:val="TableText"/>
            </w:pPr>
            <w:r>
              <w:t>1 July 2018</w:t>
            </w:r>
          </w:p>
        </w:tc>
      </w:tr>
      <w:tr w:rsidR="00ED6A34" w14:paraId="300C457B" w14:textId="77777777" w:rsidTr="001F6E72">
        <w:trPr>
          <w:trHeight w:val="68"/>
        </w:trPr>
        <w:tc>
          <w:tcPr>
            <w:tcW w:w="7483" w:type="dxa"/>
          </w:tcPr>
          <w:p w14:paraId="4D344455" w14:textId="32CADB46" w:rsidR="00ED6A34" w:rsidRDefault="00ED6A34" w:rsidP="00006DE3">
            <w:pPr>
              <w:pStyle w:val="TableText"/>
            </w:pPr>
            <w:r>
              <w:t xml:space="preserve">Australian Consumer Law and </w:t>
            </w:r>
            <w:proofErr w:type="gramStart"/>
            <w:r>
              <w:t>Fair Trading</w:t>
            </w:r>
            <w:proofErr w:type="gramEnd"/>
            <w:r>
              <w:t xml:space="preserve"> Act (Infringements) Regulations 2018</w:t>
            </w:r>
          </w:p>
        </w:tc>
        <w:tc>
          <w:tcPr>
            <w:tcW w:w="2155" w:type="dxa"/>
          </w:tcPr>
          <w:p w14:paraId="692E4B51" w14:textId="2C8DD38A" w:rsidR="00ED6A34" w:rsidRDefault="00ED6A34" w:rsidP="00006DE3">
            <w:pPr>
              <w:pStyle w:val="TableText"/>
            </w:pPr>
            <w:r>
              <w:t>1 August 2018</w:t>
            </w:r>
          </w:p>
        </w:tc>
      </w:tr>
      <w:tr w:rsidR="00ED6A34" w14:paraId="473611DE" w14:textId="77777777" w:rsidTr="001F6E72">
        <w:trPr>
          <w:trHeight w:val="68"/>
        </w:trPr>
        <w:tc>
          <w:tcPr>
            <w:tcW w:w="7483" w:type="dxa"/>
          </w:tcPr>
          <w:p w14:paraId="61D25E77" w14:textId="21114BC1" w:rsidR="00ED6A34" w:rsidRDefault="00ED6A34" w:rsidP="00006DE3">
            <w:pPr>
              <w:pStyle w:val="TableText"/>
            </w:pPr>
            <w:r>
              <w:t>Estate Agents (Fees) Regulations 2018</w:t>
            </w:r>
          </w:p>
        </w:tc>
        <w:tc>
          <w:tcPr>
            <w:tcW w:w="2155" w:type="dxa"/>
          </w:tcPr>
          <w:p w14:paraId="5E7EF2D1" w14:textId="240810AA" w:rsidR="00ED6A34" w:rsidRDefault="00ED6A34" w:rsidP="00006DE3">
            <w:pPr>
              <w:pStyle w:val="TableText"/>
            </w:pPr>
            <w:r>
              <w:t>1 July 2018</w:t>
            </w:r>
          </w:p>
        </w:tc>
      </w:tr>
      <w:tr w:rsidR="00ED6A34" w14:paraId="70487DE2" w14:textId="77777777" w:rsidTr="001F6E72">
        <w:trPr>
          <w:trHeight w:val="68"/>
        </w:trPr>
        <w:tc>
          <w:tcPr>
            <w:tcW w:w="7483" w:type="dxa"/>
          </w:tcPr>
          <w:p w14:paraId="0058589B" w14:textId="042E1BBD" w:rsidR="00ED6A34" w:rsidRDefault="00ED6A34" w:rsidP="00006DE3">
            <w:pPr>
              <w:pStyle w:val="TableText"/>
            </w:pPr>
            <w:r>
              <w:t>Estate Agents (General, Accounts and Audit) Amendment Regulations 2018</w:t>
            </w:r>
          </w:p>
        </w:tc>
        <w:tc>
          <w:tcPr>
            <w:tcW w:w="2155" w:type="dxa"/>
          </w:tcPr>
          <w:p w14:paraId="584BD573" w14:textId="511B9ABD" w:rsidR="00ED6A34" w:rsidRDefault="00ED6A34" w:rsidP="00006DE3">
            <w:pPr>
              <w:pStyle w:val="TableText"/>
            </w:pPr>
            <w:r>
              <w:t>11 July 2018</w:t>
            </w:r>
          </w:p>
        </w:tc>
      </w:tr>
      <w:tr w:rsidR="00ED6A34" w14:paraId="4539AB3C" w14:textId="77777777" w:rsidTr="001F6E72">
        <w:trPr>
          <w:trHeight w:val="68"/>
        </w:trPr>
        <w:tc>
          <w:tcPr>
            <w:tcW w:w="7483" w:type="dxa"/>
          </w:tcPr>
          <w:p w14:paraId="28123EEA" w14:textId="41F9FB08" w:rsidR="00ED6A34" w:rsidRDefault="00ED6A34" w:rsidP="00006DE3">
            <w:pPr>
              <w:pStyle w:val="TableText"/>
            </w:pPr>
            <w:r>
              <w:t>Fundraising Regulations 2019</w:t>
            </w:r>
          </w:p>
        </w:tc>
        <w:tc>
          <w:tcPr>
            <w:tcW w:w="2155" w:type="dxa"/>
          </w:tcPr>
          <w:p w14:paraId="5F045B91" w14:textId="2B19DF25" w:rsidR="00ED6A34" w:rsidRDefault="00ED6A34" w:rsidP="00006DE3">
            <w:pPr>
              <w:pStyle w:val="TableText"/>
            </w:pPr>
            <w:r>
              <w:t>1 June 2019</w:t>
            </w:r>
          </w:p>
        </w:tc>
      </w:tr>
      <w:tr w:rsidR="00ED6A34" w14:paraId="018CD211" w14:textId="77777777" w:rsidTr="001F6E72">
        <w:trPr>
          <w:trHeight w:val="68"/>
        </w:trPr>
        <w:tc>
          <w:tcPr>
            <w:tcW w:w="7483" w:type="dxa"/>
          </w:tcPr>
          <w:p w14:paraId="506AE34E" w14:textId="1EDE843D" w:rsidR="00ED6A34" w:rsidRDefault="00ED6A34" w:rsidP="00006DE3">
            <w:pPr>
              <w:pStyle w:val="TableText"/>
            </w:pPr>
            <w:r>
              <w:t>Motor Car Traders (Fees) Regulations 2018</w:t>
            </w:r>
          </w:p>
        </w:tc>
        <w:tc>
          <w:tcPr>
            <w:tcW w:w="2155" w:type="dxa"/>
          </w:tcPr>
          <w:p w14:paraId="2F9EFE41" w14:textId="58988277" w:rsidR="00ED6A34" w:rsidRDefault="00ED6A34" w:rsidP="00006DE3">
            <w:pPr>
              <w:pStyle w:val="TableText"/>
            </w:pPr>
            <w:r>
              <w:t>1 September 2018</w:t>
            </w:r>
          </w:p>
        </w:tc>
      </w:tr>
      <w:tr w:rsidR="00ED6A34" w14:paraId="6C3C9B8B" w14:textId="77777777" w:rsidTr="001F6E72">
        <w:trPr>
          <w:trHeight w:val="68"/>
        </w:trPr>
        <w:tc>
          <w:tcPr>
            <w:tcW w:w="7483" w:type="dxa"/>
          </w:tcPr>
          <w:p w14:paraId="12639079" w14:textId="2B73F0EE" w:rsidR="00ED6A34" w:rsidRDefault="00ED6A34" w:rsidP="00006DE3">
            <w:pPr>
              <w:pStyle w:val="TableText"/>
            </w:pPr>
            <w:r>
              <w:t>Motor Car Traders Regulations 2018</w:t>
            </w:r>
          </w:p>
        </w:tc>
        <w:tc>
          <w:tcPr>
            <w:tcW w:w="2155" w:type="dxa"/>
          </w:tcPr>
          <w:p w14:paraId="10AA3193" w14:textId="1FF3CA66" w:rsidR="00ED6A34" w:rsidRDefault="00ED6A34" w:rsidP="00006DE3">
            <w:pPr>
              <w:pStyle w:val="TableText"/>
            </w:pPr>
            <w:r>
              <w:t>1 September 2018</w:t>
            </w:r>
          </w:p>
        </w:tc>
      </w:tr>
      <w:tr w:rsidR="00ED6A34" w14:paraId="69BB3819" w14:textId="77777777" w:rsidTr="001F6E72">
        <w:trPr>
          <w:trHeight w:val="68"/>
        </w:trPr>
        <w:tc>
          <w:tcPr>
            <w:tcW w:w="7483" w:type="dxa"/>
          </w:tcPr>
          <w:p w14:paraId="6C282276" w14:textId="0304A149" w:rsidR="00ED6A34" w:rsidRDefault="00ED6A34" w:rsidP="00006DE3">
            <w:pPr>
              <w:pStyle w:val="TableText"/>
            </w:pPr>
            <w:r>
              <w:t>Owners Corporations Regulations 2018</w:t>
            </w:r>
          </w:p>
        </w:tc>
        <w:tc>
          <w:tcPr>
            <w:tcW w:w="2155" w:type="dxa"/>
          </w:tcPr>
          <w:p w14:paraId="5ABEEDF2" w14:textId="08FD871F" w:rsidR="00ED6A34" w:rsidRDefault="00ED6A34" w:rsidP="00006DE3">
            <w:pPr>
              <w:pStyle w:val="TableText"/>
            </w:pPr>
            <w:r>
              <w:t>2 December 2018</w:t>
            </w:r>
          </w:p>
        </w:tc>
      </w:tr>
      <w:tr w:rsidR="00ED6A34" w14:paraId="120CB906" w14:textId="77777777" w:rsidTr="001F6E72">
        <w:trPr>
          <w:trHeight w:val="68"/>
        </w:trPr>
        <w:tc>
          <w:tcPr>
            <w:tcW w:w="7483" w:type="dxa"/>
          </w:tcPr>
          <w:p w14:paraId="4E641975" w14:textId="158842A6" w:rsidR="00ED6A34" w:rsidRDefault="00ED6A34" w:rsidP="00006DE3">
            <w:pPr>
              <w:pStyle w:val="TableText"/>
            </w:pPr>
            <w:r>
              <w:t>Residential Tenancies Amendment Regulations 2019</w:t>
            </w:r>
          </w:p>
        </w:tc>
        <w:tc>
          <w:tcPr>
            <w:tcW w:w="2155" w:type="dxa"/>
          </w:tcPr>
          <w:p w14:paraId="71317970" w14:textId="4185D3EF" w:rsidR="00ED6A34" w:rsidRDefault="00ED6A34" w:rsidP="00006DE3">
            <w:pPr>
              <w:pStyle w:val="TableText"/>
            </w:pPr>
            <w:r>
              <w:t>19 June 2019</w:t>
            </w:r>
          </w:p>
        </w:tc>
      </w:tr>
      <w:tr w:rsidR="00ED6A34" w14:paraId="5DDF87A7" w14:textId="77777777" w:rsidTr="001F6E72">
        <w:trPr>
          <w:trHeight w:val="68"/>
        </w:trPr>
        <w:tc>
          <w:tcPr>
            <w:tcW w:w="7483" w:type="dxa"/>
          </w:tcPr>
          <w:p w14:paraId="0D22CE0F" w14:textId="231BE0DD" w:rsidR="00ED6A34" w:rsidRDefault="00ED6A34" w:rsidP="00006DE3">
            <w:pPr>
              <w:pStyle w:val="TableText"/>
            </w:pPr>
            <w:r>
              <w:t>Residential Tenancies Regulations 2019</w:t>
            </w:r>
          </w:p>
        </w:tc>
        <w:tc>
          <w:tcPr>
            <w:tcW w:w="2155" w:type="dxa"/>
          </w:tcPr>
          <w:p w14:paraId="0B47D5BE" w14:textId="6B9CE1C0" w:rsidR="00ED6A34" w:rsidRDefault="00ED6A34" w:rsidP="00006DE3">
            <w:pPr>
              <w:pStyle w:val="TableText"/>
            </w:pPr>
            <w:r>
              <w:t>3 April 2019</w:t>
            </w:r>
          </w:p>
        </w:tc>
      </w:tr>
      <w:tr w:rsidR="00ED6A34" w14:paraId="71568F48" w14:textId="77777777" w:rsidTr="001F6E72">
        <w:trPr>
          <w:trHeight w:val="68"/>
        </w:trPr>
        <w:tc>
          <w:tcPr>
            <w:tcW w:w="7483" w:type="dxa"/>
          </w:tcPr>
          <w:p w14:paraId="63640342" w14:textId="062EDA88" w:rsidR="00ED6A34" w:rsidRDefault="00ED6A34" w:rsidP="00006DE3">
            <w:pPr>
              <w:pStyle w:val="TableText"/>
            </w:pPr>
            <w:r>
              <w:t>Retirement Villages (Infringements) Regulations 2018</w:t>
            </w:r>
          </w:p>
        </w:tc>
        <w:tc>
          <w:tcPr>
            <w:tcW w:w="2155" w:type="dxa"/>
          </w:tcPr>
          <w:p w14:paraId="0EDDE2E8" w14:textId="690921DD" w:rsidR="00ED6A34" w:rsidRDefault="00ED6A34" w:rsidP="00006DE3">
            <w:pPr>
              <w:pStyle w:val="TableText"/>
            </w:pPr>
            <w:r>
              <w:t>1 November 2018</w:t>
            </w:r>
          </w:p>
        </w:tc>
      </w:tr>
    </w:tbl>
    <w:p w14:paraId="6FB0E674" w14:textId="77777777" w:rsidR="00483EF3" w:rsidRPr="00483EF3" w:rsidRDefault="00483EF3" w:rsidP="00483EF3">
      <w:pPr>
        <w:pStyle w:val="BodyText"/>
      </w:pPr>
      <w:r w:rsidRPr="00483EF3">
        <w:br w:type="page"/>
      </w:r>
    </w:p>
    <w:p w14:paraId="0F1391E1" w14:textId="317BA68B" w:rsidR="00ED6A34" w:rsidRDefault="00ED6A34" w:rsidP="00BB1C65">
      <w:pPr>
        <w:pStyle w:val="Heading3"/>
      </w:pPr>
      <w:bookmarkStart w:id="22" w:name="_Toc21600830"/>
      <w:r>
        <w:lastRenderedPageBreak/>
        <w:t>Regulations revoked</w:t>
      </w:r>
      <w:bookmarkEnd w:id="22"/>
    </w:p>
    <w:tbl>
      <w:tblPr>
        <w:tblStyle w:val="TableGrid"/>
        <w:tblW w:w="9072" w:type="dxa"/>
        <w:tblLayout w:type="fixed"/>
        <w:tblLook w:val="06A0" w:firstRow="1" w:lastRow="0" w:firstColumn="1" w:lastColumn="0" w:noHBand="1" w:noVBand="1"/>
      </w:tblPr>
      <w:tblGrid>
        <w:gridCol w:w="7035"/>
        <w:gridCol w:w="2037"/>
      </w:tblGrid>
      <w:tr w:rsidR="00ED6A34" w14:paraId="5F850DF8" w14:textId="77777777" w:rsidTr="001F6E72">
        <w:trPr>
          <w:cnfStyle w:val="100000000000" w:firstRow="1" w:lastRow="0" w:firstColumn="0" w:lastColumn="0" w:oddVBand="0" w:evenVBand="0" w:oddHBand="0" w:evenHBand="0" w:firstRowFirstColumn="0" w:firstRowLastColumn="0" w:lastRowFirstColumn="0" w:lastRowLastColumn="0"/>
          <w:trHeight w:val="68"/>
          <w:tblHeader/>
        </w:trPr>
        <w:tc>
          <w:tcPr>
            <w:tcW w:w="7483" w:type="dxa"/>
          </w:tcPr>
          <w:p w14:paraId="7CD02D91" w14:textId="77777777" w:rsidR="00ED6A34" w:rsidRDefault="00ED6A34" w:rsidP="00006DE3">
            <w:pPr>
              <w:pStyle w:val="TableColHead"/>
            </w:pPr>
            <w:r>
              <w:t>Name</w:t>
            </w:r>
          </w:p>
        </w:tc>
        <w:tc>
          <w:tcPr>
            <w:tcW w:w="2155" w:type="dxa"/>
          </w:tcPr>
          <w:p w14:paraId="597102CB" w14:textId="33A9917C" w:rsidR="00ED6A34" w:rsidRDefault="00ED6A34" w:rsidP="00006DE3">
            <w:pPr>
              <w:pStyle w:val="TableColHead"/>
            </w:pPr>
            <w:r>
              <w:t>Date revoked</w:t>
            </w:r>
          </w:p>
        </w:tc>
      </w:tr>
      <w:tr w:rsidR="00ED6A34" w14:paraId="45519076" w14:textId="77777777" w:rsidTr="001F6E72">
        <w:trPr>
          <w:trHeight w:val="68"/>
        </w:trPr>
        <w:tc>
          <w:tcPr>
            <w:tcW w:w="7483" w:type="dxa"/>
          </w:tcPr>
          <w:p w14:paraId="0E75D656" w14:textId="50FEE855" w:rsidR="00ED6A34" w:rsidRDefault="00ED6A34" w:rsidP="00006DE3">
            <w:pPr>
              <w:pStyle w:val="TableText"/>
            </w:pPr>
            <w:r>
              <w:t>Estate Agents (Fees) Regulations 2007</w:t>
            </w:r>
          </w:p>
        </w:tc>
        <w:tc>
          <w:tcPr>
            <w:tcW w:w="2155" w:type="dxa"/>
          </w:tcPr>
          <w:p w14:paraId="59AC62A7" w14:textId="2B0B5945" w:rsidR="00ED6A34" w:rsidRDefault="00ED6A34" w:rsidP="00006DE3">
            <w:pPr>
              <w:pStyle w:val="TableText"/>
            </w:pPr>
            <w:r>
              <w:t>1 July 2018</w:t>
            </w:r>
          </w:p>
        </w:tc>
      </w:tr>
      <w:tr w:rsidR="00ED6A34" w14:paraId="2FF7FB8D" w14:textId="77777777" w:rsidTr="001F6E72">
        <w:trPr>
          <w:trHeight w:val="68"/>
        </w:trPr>
        <w:tc>
          <w:tcPr>
            <w:tcW w:w="7483" w:type="dxa"/>
          </w:tcPr>
          <w:p w14:paraId="651FD901" w14:textId="7FAEF9D4" w:rsidR="00ED6A34" w:rsidRDefault="00ED6A34" w:rsidP="00006DE3">
            <w:pPr>
              <w:pStyle w:val="TableText"/>
            </w:pPr>
            <w:r>
              <w:t>Fundraising Regulations 2009</w:t>
            </w:r>
          </w:p>
        </w:tc>
        <w:tc>
          <w:tcPr>
            <w:tcW w:w="2155" w:type="dxa"/>
          </w:tcPr>
          <w:p w14:paraId="11D4E8E9" w14:textId="5C821298" w:rsidR="00ED6A34" w:rsidRDefault="00ED6A34" w:rsidP="00006DE3">
            <w:pPr>
              <w:pStyle w:val="TableText"/>
            </w:pPr>
            <w:r>
              <w:t>1 June 2019</w:t>
            </w:r>
          </w:p>
        </w:tc>
      </w:tr>
      <w:tr w:rsidR="00ED6A34" w14:paraId="409B8C32" w14:textId="77777777" w:rsidTr="001F6E72">
        <w:trPr>
          <w:trHeight w:val="68"/>
        </w:trPr>
        <w:tc>
          <w:tcPr>
            <w:tcW w:w="7483" w:type="dxa"/>
          </w:tcPr>
          <w:p w14:paraId="577A1FF2" w14:textId="1BCABE87" w:rsidR="00ED6A34" w:rsidRDefault="00ED6A34" w:rsidP="00006DE3">
            <w:pPr>
              <w:pStyle w:val="TableText"/>
            </w:pPr>
            <w:r>
              <w:t>Motor Car Traders Amendment (Infringement) Regulations 2014</w:t>
            </w:r>
          </w:p>
        </w:tc>
        <w:tc>
          <w:tcPr>
            <w:tcW w:w="2155" w:type="dxa"/>
          </w:tcPr>
          <w:p w14:paraId="03286AF3" w14:textId="69DCB8DA" w:rsidR="00ED6A34" w:rsidRDefault="00ED6A34" w:rsidP="00006DE3">
            <w:pPr>
              <w:pStyle w:val="TableText"/>
            </w:pPr>
            <w:r>
              <w:t>1 September 2018</w:t>
            </w:r>
          </w:p>
        </w:tc>
      </w:tr>
      <w:tr w:rsidR="00ED6A34" w14:paraId="0CBDD5C0" w14:textId="77777777" w:rsidTr="001F6E72">
        <w:trPr>
          <w:trHeight w:val="68"/>
        </w:trPr>
        <w:tc>
          <w:tcPr>
            <w:tcW w:w="7483" w:type="dxa"/>
          </w:tcPr>
          <w:p w14:paraId="2A5E428B" w14:textId="0F6C489F" w:rsidR="00ED6A34" w:rsidRDefault="00ED6A34" w:rsidP="00006DE3">
            <w:pPr>
              <w:pStyle w:val="TableText"/>
            </w:pPr>
            <w:r>
              <w:t>Motor Car Traders Amendment (Red Tape Reduction) Regulations 2014</w:t>
            </w:r>
          </w:p>
        </w:tc>
        <w:tc>
          <w:tcPr>
            <w:tcW w:w="2155" w:type="dxa"/>
          </w:tcPr>
          <w:p w14:paraId="7D2B99F2" w14:textId="252793D9" w:rsidR="00ED6A34" w:rsidRDefault="00ED6A34" w:rsidP="00006DE3">
            <w:pPr>
              <w:pStyle w:val="TableText"/>
            </w:pPr>
            <w:r>
              <w:t>1 September 2018</w:t>
            </w:r>
          </w:p>
        </w:tc>
      </w:tr>
      <w:tr w:rsidR="00ED6A34" w14:paraId="0B5EA3D9" w14:textId="77777777" w:rsidTr="001F6E72">
        <w:trPr>
          <w:trHeight w:val="68"/>
        </w:trPr>
        <w:tc>
          <w:tcPr>
            <w:tcW w:w="7483" w:type="dxa"/>
          </w:tcPr>
          <w:p w14:paraId="69BDCB8A" w14:textId="5C784210" w:rsidR="00ED6A34" w:rsidRDefault="00ED6A34" w:rsidP="00006DE3">
            <w:pPr>
              <w:pStyle w:val="TableText"/>
            </w:pPr>
            <w:r>
              <w:t>Motor Car Traders Amendment Regulations 2010</w:t>
            </w:r>
          </w:p>
        </w:tc>
        <w:tc>
          <w:tcPr>
            <w:tcW w:w="2155" w:type="dxa"/>
          </w:tcPr>
          <w:p w14:paraId="31364E17" w14:textId="3515B37F" w:rsidR="00ED6A34" w:rsidRDefault="00ED6A34" w:rsidP="00006DE3">
            <w:pPr>
              <w:pStyle w:val="TableText"/>
            </w:pPr>
            <w:r>
              <w:t>1 September 2018</w:t>
            </w:r>
          </w:p>
        </w:tc>
      </w:tr>
      <w:tr w:rsidR="00ED6A34" w14:paraId="4D825B09" w14:textId="77777777" w:rsidTr="001F6E72">
        <w:trPr>
          <w:trHeight w:val="68"/>
        </w:trPr>
        <w:tc>
          <w:tcPr>
            <w:tcW w:w="7483" w:type="dxa"/>
          </w:tcPr>
          <w:p w14:paraId="48C066FE" w14:textId="09C51F8F" w:rsidR="00ED6A34" w:rsidRDefault="00ED6A34" w:rsidP="00006DE3">
            <w:pPr>
              <w:pStyle w:val="TableText"/>
            </w:pPr>
            <w:r>
              <w:t>Motor Car Traders Amendment Regulations 2017</w:t>
            </w:r>
          </w:p>
        </w:tc>
        <w:tc>
          <w:tcPr>
            <w:tcW w:w="2155" w:type="dxa"/>
          </w:tcPr>
          <w:p w14:paraId="183BE9BB" w14:textId="35C0AED6" w:rsidR="00ED6A34" w:rsidRDefault="00ED6A34" w:rsidP="00006DE3">
            <w:pPr>
              <w:pStyle w:val="TableText"/>
            </w:pPr>
            <w:r>
              <w:t>1 September 2018</w:t>
            </w:r>
          </w:p>
        </w:tc>
      </w:tr>
      <w:tr w:rsidR="00ED6A34" w14:paraId="5B9C0286" w14:textId="77777777" w:rsidTr="001F6E72">
        <w:trPr>
          <w:trHeight w:val="68"/>
        </w:trPr>
        <w:tc>
          <w:tcPr>
            <w:tcW w:w="7483" w:type="dxa"/>
          </w:tcPr>
          <w:p w14:paraId="1CEB59A3" w14:textId="5D4EE353" w:rsidR="00ED6A34" w:rsidRDefault="00ED6A34" w:rsidP="00006DE3">
            <w:pPr>
              <w:pStyle w:val="TableText"/>
            </w:pPr>
            <w:r>
              <w:t>Motor Car Traders Regulations 2008</w:t>
            </w:r>
          </w:p>
        </w:tc>
        <w:tc>
          <w:tcPr>
            <w:tcW w:w="2155" w:type="dxa"/>
          </w:tcPr>
          <w:p w14:paraId="0BDA953D" w14:textId="52268758" w:rsidR="00ED6A34" w:rsidRDefault="00ED6A34" w:rsidP="00006DE3">
            <w:pPr>
              <w:pStyle w:val="TableText"/>
            </w:pPr>
            <w:r>
              <w:t>1 September 2018</w:t>
            </w:r>
          </w:p>
        </w:tc>
      </w:tr>
      <w:tr w:rsidR="00ED6A34" w14:paraId="402AC98D" w14:textId="77777777" w:rsidTr="001F6E72">
        <w:trPr>
          <w:trHeight w:val="68"/>
        </w:trPr>
        <w:tc>
          <w:tcPr>
            <w:tcW w:w="7483" w:type="dxa"/>
          </w:tcPr>
          <w:p w14:paraId="0B19C5D2" w14:textId="786785EF" w:rsidR="00ED6A34" w:rsidRDefault="00ED6A34" w:rsidP="00006DE3">
            <w:pPr>
              <w:pStyle w:val="TableText"/>
            </w:pPr>
            <w:r>
              <w:t>Owners Corporations Regulations 2007</w:t>
            </w:r>
          </w:p>
        </w:tc>
        <w:tc>
          <w:tcPr>
            <w:tcW w:w="2155" w:type="dxa"/>
          </w:tcPr>
          <w:p w14:paraId="76C6B56B" w14:textId="029D6661" w:rsidR="00ED6A34" w:rsidRDefault="00ED6A34" w:rsidP="00006DE3">
            <w:pPr>
              <w:pStyle w:val="TableText"/>
            </w:pPr>
            <w:r>
              <w:t>2 December 2018</w:t>
            </w:r>
          </w:p>
        </w:tc>
      </w:tr>
      <w:tr w:rsidR="00ED6A34" w14:paraId="5F74D48D" w14:textId="77777777" w:rsidTr="001F6E72">
        <w:trPr>
          <w:trHeight w:val="68"/>
        </w:trPr>
        <w:tc>
          <w:tcPr>
            <w:tcW w:w="7483" w:type="dxa"/>
          </w:tcPr>
          <w:p w14:paraId="4482ED7B" w14:textId="35DAB4E3" w:rsidR="00ED6A34" w:rsidRDefault="00ED6A34" w:rsidP="00006DE3">
            <w:pPr>
              <w:pStyle w:val="TableText"/>
            </w:pPr>
            <w:r>
              <w:t>Residential Tenancies Amendment (Infringements) Regulations 2012</w:t>
            </w:r>
          </w:p>
        </w:tc>
        <w:tc>
          <w:tcPr>
            <w:tcW w:w="2155" w:type="dxa"/>
          </w:tcPr>
          <w:p w14:paraId="6DDD578E" w14:textId="16C92BE7" w:rsidR="00ED6A34" w:rsidRDefault="00ED6A34" w:rsidP="00006DE3">
            <w:pPr>
              <w:pStyle w:val="TableText"/>
            </w:pPr>
            <w:r>
              <w:t>3 April 2019</w:t>
            </w:r>
          </w:p>
        </w:tc>
      </w:tr>
      <w:tr w:rsidR="00ED6A34" w14:paraId="64C45CE9" w14:textId="77777777" w:rsidTr="001F6E72">
        <w:trPr>
          <w:trHeight w:val="68"/>
        </w:trPr>
        <w:tc>
          <w:tcPr>
            <w:tcW w:w="7483" w:type="dxa"/>
          </w:tcPr>
          <w:p w14:paraId="200B09B4" w14:textId="3A7972F5" w:rsidR="00ED6A34" w:rsidRDefault="00ED6A34" w:rsidP="00006DE3">
            <w:pPr>
              <w:pStyle w:val="TableText"/>
            </w:pPr>
            <w:r>
              <w:t>Residential Tenancies Amendment (Notice to Vacate for Rooming Houses) Regulations 2017</w:t>
            </w:r>
          </w:p>
        </w:tc>
        <w:tc>
          <w:tcPr>
            <w:tcW w:w="2155" w:type="dxa"/>
          </w:tcPr>
          <w:p w14:paraId="6280081E" w14:textId="2CABA515" w:rsidR="00ED6A34" w:rsidRDefault="00ED6A34" w:rsidP="00006DE3">
            <w:pPr>
              <w:pStyle w:val="TableText"/>
            </w:pPr>
            <w:r>
              <w:t>3 April 2019</w:t>
            </w:r>
          </w:p>
        </w:tc>
      </w:tr>
      <w:tr w:rsidR="00ED6A34" w14:paraId="3072F388" w14:textId="77777777" w:rsidTr="001F6E72">
        <w:trPr>
          <w:trHeight w:val="68"/>
        </w:trPr>
        <w:tc>
          <w:tcPr>
            <w:tcW w:w="7483" w:type="dxa"/>
          </w:tcPr>
          <w:p w14:paraId="5C2D33B4" w14:textId="36D2C8C9" w:rsidR="00ED6A34" w:rsidRDefault="00ED6A34" w:rsidP="00006DE3">
            <w:pPr>
              <w:pStyle w:val="TableText"/>
            </w:pPr>
            <w:r>
              <w:t>Residential Tenancies Amendment (Prescribed Rating for Replacement Water Appliances) Regulations 2014</w:t>
            </w:r>
          </w:p>
        </w:tc>
        <w:tc>
          <w:tcPr>
            <w:tcW w:w="2155" w:type="dxa"/>
          </w:tcPr>
          <w:p w14:paraId="4D257128" w14:textId="4AD53E3D" w:rsidR="00ED6A34" w:rsidRDefault="00ED6A34" w:rsidP="00006DE3">
            <w:pPr>
              <w:pStyle w:val="TableText"/>
            </w:pPr>
            <w:r>
              <w:t>3 April 2019</w:t>
            </w:r>
          </w:p>
        </w:tc>
      </w:tr>
      <w:tr w:rsidR="00ED6A34" w14:paraId="7C4224C6" w14:textId="77777777" w:rsidTr="001F6E72">
        <w:trPr>
          <w:trHeight w:val="68"/>
        </w:trPr>
        <w:tc>
          <w:tcPr>
            <w:tcW w:w="7483" w:type="dxa"/>
          </w:tcPr>
          <w:p w14:paraId="44F586BE" w14:textId="3A05EC9F" w:rsidR="00ED6A34" w:rsidRDefault="00ED6A34" w:rsidP="00006DE3">
            <w:pPr>
              <w:pStyle w:val="TableText"/>
            </w:pPr>
            <w:r>
              <w:t>Residential Tenancies Amendment Regulations 2011</w:t>
            </w:r>
          </w:p>
        </w:tc>
        <w:tc>
          <w:tcPr>
            <w:tcW w:w="2155" w:type="dxa"/>
          </w:tcPr>
          <w:p w14:paraId="1A3EF4CD" w14:textId="2A125D37" w:rsidR="00ED6A34" w:rsidRDefault="00ED6A34" w:rsidP="00006DE3">
            <w:pPr>
              <w:pStyle w:val="TableText"/>
            </w:pPr>
            <w:r>
              <w:t>3 April 2019</w:t>
            </w:r>
          </w:p>
        </w:tc>
      </w:tr>
      <w:tr w:rsidR="00ED6A34" w14:paraId="7E157BB6" w14:textId="77777777" w:rsidTr="001F6E72">
        <w:trPr>
          <w:trHeight w:val="68"/>
        </w:trPr>
        <w:tc>
          <w:tcPr>
            <w:tcW w:w="7483" w:type="dxa"/>
          </w:tcPr>
          <w:p w14:paraId="1089CB00" w14:textId="28764402" w:rsidR="00ED6A34" w:rsidRDefault="00ED6A34" w:rsidP="00006DE3">
            <w:pPr>
              <w:pStyle w:val="TableText"/>
            </w:pPr>
            <w:r>
              <w:t>Residential Tenancies Amendment Regulations 2013</w:t>
            </w:r>
          </w:p>
        </w:tc>
        <w:tc>
          <w:tcPr>
            <w:tcW w:w="2155" w:type="dxa"/>
          </w:tcPr>
          <w:p w14:paraId="113D7746" w14:textId="00276C03" w:rsidR="00ED6A34" w:rsidRDefault="00ED6A34" w:rsidP="00006DE3">
            <w:pPr>
              <w:pStyle w:val="TableText"/>
            </w:pPr>
            <w:r>
              <w:t>3 April 2019</w:t>
            </w:r>
          </w:p>
        </w:tc>
      </w:tr>
      <w:tr w:rsidR="00ED6A34" w14:paraId="110691CA" w14:textId="77777777" w:rsidTr="001F6E72">
        <w:trPr>
          <w:trHeight w:val="68"/>
        </w:trPr>
        <w:tc>
          <w:tcPr>
            <w:tcW w:w="7483" w:type="dxa"/>
          </w:tcPr>
          <w:p w14:paraId="1937F9AB" w14:textId="66ACE8C1" w:rsidR="00ED6A34" w:rsidRDefault="00ED6A34" w:rsidP="00006DE3">
            <w:pPr>
              <w:pStyle w:val="TableText"/>
            </w:pPr>
            <w:r>
              <w:t>Residential Tenancies Amendment Regulations 2016</w:t>
            </w:r>
          </w:p>
        </w:tc>
        <w:tc>
          <w:tcPr>
            <w:tcW w:w="2155" w:type="dxa"/>
          </w:tcPr>
          <w:p w14:paraId="1371D50A" w14:textId="08543E03" w:rsidR="00ED6A34" w:rsidRDefault="00ED6A34" w:rsidP="00006DE3">
            <w:pPr>
              <w:pStyle w:val="TableText"/>
            </w:pPr>
            <w:r>
              <w:t xml:space="preserve">3 April 2019 </w:t>
            </w:r>
          </w:p>
        </w:tc>
      </w:tr>
      <w:tr w:rsidR="00ED6A34" w14:paraId="4BDA49DC" w14:textId="77777777" w:rsidTr="001F6E72">
        <w:trPr>
          <w:trHeight w:val="68"/>
        </w:trPr>
        <w:tc>
          <w:tcPr>
            <w:tcW w:w="7483" w:type="dxa"/>
          </w:tcPr>
          <w:p w14:paraId="4413ABDA" w14:textId="652692B2" w:rsidR="00ED6A34" w:rsidRDefault="00ED6A34" w:rsidP="00006DE3">
            <w:pPr>
              <w:pStyle w:val="TableText"/>
            </w:pPr>
            <w:r>
              <w:t>Residential Tenancy Amendment (Student Accommodation) Regulations 2010</w:t>
            </w:r>
          </w:p>
        </w:tc>
        <w:tc>
          <w:tcPr>
            <w:tcW w:w="2155" w:type="dxa"/>
          </w:tcPr>
          <w:p w14:paraId="41B4B03F" w14:textId="17AC078B" w:rsidR="00ED6A34" w:rsidRDefault="00ED6A34" w:rsidP="00006DE3">
            <w:pPr>
              <w:pStyle w:val="TableText"/>
            </w:pPr>
            <w:r>
              <w:t>3 April 2019</w:t>
            </w:r>
          </w:p>
        </w:tc>
      </w:tr>
      <w:tr w:rsidR="00ED6A34" w14:paraId="08D6FA32" w14:textId="77777777" w:rsidTr="001F6E72">
        <w:trPr>
          <w:trHeight w:val="68"/>
        </w:trPr>
        <w:tc>
          <w:tcPr>
            <w:tcW w:w="7483" w:type="dxa"/>
          </w:tcPr>
          <w:p w14:paraId="1050691F" w14:textId="11E1C216" w:rsidR="00ED6A34" w:rsidRDefault="00ED6A34" w:rsidP="00006DE3">
            <w:pPr>
              <w:pStyle w:val="TableText"/>
            </w:pPr>
            <w:r>
              <w:t>Residential Tenancies Miscellaneous Amendment Regulations 2011</w:t>
            </w:r>
          </w:p>
        </w:tc>
        <w:tc>
          <w:tcPr>
            <w:tcW w:w="2155" w:type="dxa"/>
          </w:tcPr>
          <w:p w14:paraId="77DD88D3" w14:textId="3C1B4893" w:rsidR="00ED6A34" w:rsidRDefault="00ED6A34" w:rsidP="00006DE3">
            <w:pPr>
              <w:pStyle w:val="TableText"/>
            </w:pPr>
            <w:r>
              <w:t xml:space="preserve">3 April 2019 </w:t>
            </w:r>
          </w:p>
        </w:tc>
      </w:tr>
      <w:tr w:rsidR="00ED6A34" w14:paraId="19685765" w14:textId="77777777" w:rsidTr="001F6E72">
        <w:trPr>
          <w:trHeight w:val="68"/>
        </w:trPr>
        <w:tc>
          <w:tcPr>
            <w:tcW w:w="7483" w:type="dxa"/>
          </w:tcPr>
          <w:p w14:paraId="3A49073D" w14:textId="699ACEEB" w:rsidR="00ED6A34" w:rsidRDefault="00ED6A34" w:rsidP="00006DE3">
            <w:pPr>
              <w:pStyle w:val="TableText"/>
            </w:pPr>
            <w:r>
              <w:t>Residential Tenancy Regulations 2008</w:t>
            </w:r>
          </w:p>
        </w:tc>
        <w:tc>
          <w:tcPr>
            <w:tcW w:w="2155" w:type="dxa"/>
          </w:tcPr>
          <w:p w14:paraId="1EA7760B" w14:textId="4B7A0D68" w:rsidR="00ED6A34" w:rsidRDefault="00ED6A34" w:rsidP="00006DE3">
            <w:pPr>
              <w:pStyle w:val="TableText"/>
            </w:pPr>
            <w:r>
              <w:t>3 April 2019</w:t>
            </w:r>
          </w:p>
        </w:tc>
      </w:tr>
      <w:tr w:rsidR="00ED6A34" w14:paraId="22454F58" w14:textId="77777777" w:rsidTr="001F6E72">
        <w:trPr>
          <w:trHeight w:val="68"/>
        </w:trPr>
        <w:tc>
          <w:tcPr>
            <w:tcW w:w="7483" w:type="dxa"/>
          </w:tcPr>
          <w:p w14:paraId="52ED7789" w14:textId="674BDC35" w:rsidR="00ED6A34" w:rsidRDefault="00ED6A34" w:rsidP="00006DE3">
            <w:pPr>
              <w:pStyle w:val="TableText"/>
            </w:pPr>
            <w:r>
              <w:t>Retirement Villages (Infringements) Regulations 2017</w:t>
            </w:r>
          </w:p>
        </w:tc>
        <w:tc>
          <w:tcPr>
            <w:tcW w:w="2155" w:type="dxa"/>
          </w:tcPr>
          <w:p w14:paraId="7B0FA54C" w14:textId="78A33E1C" w:rsidR="00ED6A34" w:rsidRDefault="00ED6A34" w:rsidP="00006DE3">
            <w:pPr>
              <w:pStyle w:val="TableText"/>
            </w:pPr>
            <w:r>
              <w:t>1 November 2018</w:t>
            </w:r>
          </w:p>
        </w:tc>
      </w:tr>
    </w:tbl>
    <w:p w14:paraId="530341E9" w14:textId="77777777" w:rsidR="00ED6A34" w:rsidRDefault="00ED6A34" w:rsidP="00BB1C65">
      <w:pPr>
        <w:pStyle w:val="Heading2"/>
      </w:pPr>
      <w:bookmarkStart w:id="23" w:name="_Toc21600831"/>
      <w:r>
        <w:lastRenderedPageBreak/>
        <w:t>Appendix</w:t>
      </w:r>
      <w:bookmarkEnd w:id="23"/>
    </w:p>
    <w:p w14:paraId="3F0458A4" w14:textId="7633723C" w:rsidR="00ED6A34" w:rsidRPr="00A11832" w:rsidRDefault="00ED6A34" w:rsidP="00A75F3C">
      <w:pPr>
        <w:pStyle w:val="BodyText"/>
        <w:rPr>
          <w:b/>
          <w:bCs/>
        </w:rPr>
      </w:pPr>
      <w:r w:rsidRPr="00A11832">
        <w:rPr>
          <w:b/>
          <w:bCs/>
        </w:rPr>
        <w:t xml:space="preserve">The list below details the legislation administered by Consumer Affairs Victoria </w:t>
      </w:r>
      <w:r w:rsidR="00A11832">
        <w:rPr>
          <w:b/>
          <w:bCs/>
        </w:rPr>
        <w:br/>
      </w:r>
      <w:r w:rsidRPr="00A11832">
        <w:rPr>
          <w:b/>
          <w:bCs/>
        </w:rPr>
        <w:t>as at 30 June 2019:</w:t>
      </w:r>
    </w:p>
    <w:p w14:paraId="24C972FB" w14:textId="2EB34C68" w:rsidR="00ED6A34" w:rsidRPr="00F3632D" w:rsidRDefault="00ED6A34" w:rsidP="00A75F3C">
      <w:pPr>
        <w:pStyle w:val="BodyText"/>
        <w:rPr>
          <w:rStyle w:val="Emphasis"/>
        </w:rPr>
      </w:pPr>
      <w:r w:rsidRPr="00F3632D">
        <w:rPr>
          <w:rStyle w:val="Emphasis"/>
        </w:rPr>
        <w:t>Associations Incorporation Reform Act 2012</w:t>
      </w:r>
    </w:p>
    <w:p w14:paraId="5F4CD422" w14:textId="66391658" w:rsidR="00ED6A34" w:rsidRPr="00F3632D" w:rsidRDefault="00ED6A34" w:rsidP="00A75F3C">
      <w:pPr>
        <w:pStyle w:val="BodyText"/>
        <w:rPr>
          <w:rStyle w:val="Emphasis"/>
        </w:rPr>
      </w:pPr>
      <w:r w:rsidRPr="00F3632D">
        <w:rPr>
          <w:rStyle w:val="Emphasis"/>
        </w:rPr>
        <w:t xml:space="preserve">Australian Consumer Law and </w:t>
      </w:r>
      <w:proofErr w:type="gramStart"/>
      <w:r w:rsidRPr="00F3632D">
        <w:rPr>
          <w:rStyle w:val="Emphasis"/>
        </w:rPr>
        <w:t>Fair Trading</w:t>
      </w:r>
      <w:proofErr w:type="gramEnd"/>
      <w:r w:rsidRPr="00F3632D">
        <w:rPr>
          <w:rStyle w:val="Emphasis"/>
        </w:rPr>
        <w:t xml:space="preserve"> Act 2012</w:t>
      </w:r>
    </w:p>
    <w:p w14:paraId="21730B19" w14:textId="29CA53AB" w:rsidR="00ED6A34" w:rsidRPr="00F3632D" w:rsidRDefault="00ED6A34" w:rsidP="00A75F3C">
      <w:pPr>
        <w:pStyle w:val="BodyText"/>
        <w:rPr>
          <w:rStyle w:val="Emphasis"/>
        </w:rPr>
      </w:pPr>
      <w:r w:rsidRPr="00F3632D">
        <w:rPr>
          <w:rStyle w:val="Emphasis"/>
        </w:rPr>
        <w:t>Business Licensing Authority Act 1998</w:t>
      </w:r>
    </w:p>
    <w:p w14:paraId="557D8364" w14:textId="2C35A52C" w:rsidR="00ED6A34" w:rsidRPr="00F3632D" w:rsidRDefault="00ED6A34" w:rsidP="00A75F3C">
      <w:pPr>
        <w:pStyle w:val="BodyText"/>
        <w:rPr>
          <w:rStyle w:val="Emphasis"/>
        </w:rPr>
      </w:pPr>
      <w:r w:rsidRPr="00F3632D">
        <w:rPr>
          <w:rStyle w:val="Emphasis"/>
        </w:rPr>
        <w:t>Business Names (Commonwealth Powers) Act 2011</w:t>
      </w:r>
    </w:p>
    <w:p w14:paraId="4B266DD7" w14:textId="344702C6" w:rsidR="00ED6A34" w:rsidRPr="00F3632D" w:rsidRDefault="00ED6A34" w:rsidP="00A75F3C">
      <w:pPr>
        <w:pStyle w:val="BodyText"/>
        <w:rPr>
          <w:rStyle w:val="Emphasis"/>
        </w:rPr>
      </w:pPr>
      <w:r w:rsidRPr="00F3632D">
        <w:rPr>
          <w:rStyle w:val="Emphasis"/>
        </w:rPr>
        <w:t>Chattel Securities Act 1987 except Part 3</w:t>
      </w:r>
    </w:p>
    <w:p w14:paraId="1C50BB22" w14:textId="117EC089" w:rsidR="00ED6A34" w:rsidRPr="00F3632D" w:rsidRDefault="00ED6A34" w:rsidP="00A75F3C">
      <w:pPr>
        <w:pStyle w:val="BodyText"/>
        <w:rPr>
          <w:rStyle w:val="Emphasis"/>
        </w:rPr>
      </w:pPr>
      <w:r w:rsidRPr="00F3632D">
        <w:rPr>
          <w:rStyle w:val="Emphasis"/>
        </w:rPr>
        <w:t>Company Titles (Home Units) Act 2013</w:t>
      </w:r>
    </w:p>
    <w:p w14:paraId="6027BBA6" w14:textId="207F3713" w:rsidR="00ED6A34" w:rsidRPr="00F3632D" w:rsidRDefault="00ED6A34" w:rsidP="00A75F3C">
      <w:pPr>
        <w:pStyle w:val="BodyText"/>
        <w:rPr>
          <w:rStyle w:val="Emphasis"/>
        </w:rPr>
      </w:pPr>
      <w:r w:rsidRPr="00F3632D">
        <w:rPr>
          <w:rStyle w:val="Emphasis"/>
        </w:rPr>
        <w:t>Consumer Credit (Victoria) Act 1995</w:t>
      </w:r>
    </w:p>
    <w:p w14:paraId="6F56C743" w14:textId="17C9F31E" w:rsidR="00ED6A34" w:rsidRPr="00F3632D" w:rsidRDefault="00ED6A34" w:rsidP="00A75F3C">
      <w:pPr>
        <w:pStyle w:val="BodyText"/>
        <w:rPr>
          <w:rStyle w:val="Emphasis"/>
        </w:rPr>
      </w:pPr>
      <w:r w:rsidRPr="00F3632D">
        <w:rPr>
          <w:rStyle w:val="Emphasis"/>
        </w:rPr>
        <w:t>Conveyancers Act 2006</w:t>
      </w:r>
    </w:p>
    <w:p w14:paraId="6F274E1F" w14:textId="03C9E480" w:rsidR="00ED6A34" w:rsidRPr="00F3632D" w:rsidRDefault="00ED6A34" w:rsidP="00A75F3C">
      <w:pPr>
        <w:pStyle w:val="BodyText"/>
        <w:rPr>
          <w:rStyle w:val="Emphasis"/>
        </w:rPr>
      </w:pPr>
      <w:r w:rsidRPr="00F3632D">
        <w:rPr>
          <w:rStyle w:val="Emphasis"/>
        </w:rPr>
        <w:t>Co-operatives National Law Application Act 2013</w:t>
      </w:r>
    </w:p>
    <w:p w14:paraId="51ECF3F8" w14:textId="6DDBBFC9" w:rsidR="00ED6A34" w:rsidRPr="00F3632D" w:rsidRDefault="00ED6A34" w:rsidP="00A75F3C">
      <w:pPr>
        <w:pStyle w:val="BodyText"/>
        <w:rPr>
          <w:rStyle w:val="Emphasis"/>
        </w:rPr>
      </w:pPr>
      <w:r w:rsidRPr="00F3632D">
        <w:rPr>
          <w:rStyle w:val="Emphasis"/>
        </w:rPr>
        <w:t>Credit Act 1984</w:t>
      </w:r>
    </w:p>
    <w:p w14:paraId="0A5862EA" w14:textId="62054673" w:rsidR="00ED6A34" w:rsidRPr="00F3632D" w:rsidRDefault="00ED6A34" w:rsidP="00A75F3C">
      <w:pPr>
        <w:pStyle w:val="BodyText"/>
        <w:rPr>
          <w:rStyle w:val="Emphasis"/>
        </w:rPr>
      </w:pPr>
      <w:r w:rsidRPr="00F3632D">
        <w:rPr>
          <w:rStyle w:val="Emphasis"/>
        </w:rPr>
        <w:t>Credit (Administration) Act 1984</w:t>
      </w:r>
    </w:p>
    <w:p w14:paraId="7BD75B1C" w14:textId="5CEF7534" w:rsidR="00ED6A34" w:rsidRPr="00F3632D" w:rsidRDefault="00ED6A34" w:rsidP="00A75F3C">
      <w:pPr>
        <w:pStyle w:val="BodyText"/>
        <w:rPr>
          <w:rStyle w:val="Emphasis"/>
        </w:rPr>
      </w:pPr>
      <w:r w:rsidRPr="00F3632D">
        <w:rPr>
          <w:rStyle w:val="Emphasis"/>
        </w:rPr>
        <w:t>Credit (Commonwealth Powers) Act 2010</w:t>
      </w:r>
    </w:p>
    <w:p w14:paraId="0FCF328B" w14:textId="472C4F9A" w:rsidR="00ED6A34" w:rsidRDefault="00ED6A34" w:rsidP="00A75F3C">
      <w:pPr>
        <w:pStyle w:val="BodyText"/>
      </w:pPr>
      <w:r w:rsidRPr="00F3632D">
        <w:rPr>
          <w:rStyle w:val="Emphasis"/>
        </w:rPr>
        <w:t xml:space="preserve">Domestic Building Contracts Act 1995 </w:t>
      </w:r>
      <w:r>
        <w:t>– except Part 5 (administered by the Attorney-General)</w:t>
      </w:r>
    </w:p>
    <w:p w14:paraId="1AD2AB3B" w14:textId="54E1FF73" w:rsidR="00ED6A34" w:rsidRPr="00F3632D" w:rsidRDefault="00ED6A34" w:rsidP="00A75F3C">
      <w:pPr>
        <w:pStyle w:val="BodyText"/>
        <w:rPr>
          <w:rStyle w:val="Emphasis"/>
        </w:rPr>
      </w:pPr>
      <w:r w:rsidRPr="00F3632D">
        <w:rPr>
          <w:rStyle w:val="Emphasis"/>
        </w:rPr>
        <w:t>Estate Agents Act 1980</w:t>
      </w:r>
    </w:p>
    <w:p w14:paraId="1EFFBAC5" w14:textId="5EECF973" w:rsidR="00ED6A34" w:rsidRPr="00F3632D" w:rsidRDefault="00ED6A34" w:rsidP="00A75F3C">
      <w:pPr>
        <w:pStyle w:val="BodyText"/>
        <w:rPr>
          <w:rStyle w:val="Emphasis"/>
        </w:rPr>
      </w:pPr>
      <w:r w:rsidRPr="00F3632D">
        <w:rPr>
          <w:rStyle w:val="Emphasis"/>
        </w:rPr>
        <w:t>Fundraising Act 1998</w:t>
      </w:r>
    </w:p>
    <w:p w14:paraId="53ACE438" w14:textId="7E3E5F19" w:rsidR="00ED6A34" w:rsidRPr="00F3632D" w:rsidRDefault="00ED6A34" w:rsidP="00A75F3C">
      <w:pPr>
        <w:pStyle w:val="BodyText"/>
        <w:rPr>
          <w:rStyle w:val="Emphasis"/>
        </w:rPr>
      </w:pPr>
      <w:r w:rsidRPr="00F3632D">
        <w:rPr>
          <w:rStyle w:val="Emphasis"/>
        </w:rPr>
        <w:t>Funerals Act 2006</w:t>
      </w:r>
    </w:p>
    <w:p w14:paraId="2ABC0B37" w14:textId="18AA0ABA" w:rsidR="00ED6A34" w:rsidRPr="00F3632D" w:rsidRDefault="00ED6A34" w:rsidP="00A75F3C">
      <w:pPr>
        <w:pStyle w:val="BodyText"/>
        <w:rPr>
          <w:rStyle w:val="Emphasis"/>
        </w:rPr>
      </w:pPr>
      <w:r w:rsidRPr="00F3632D">
        <w:rPr>
          <w:rStyle w:val="Emphasis"/>
        </w:rPr>
        <w:t>Goods Act 1958</w:t>
      </w:r>
    </w:p>
    <w:p w14:paraId="0B0712C7" w14:textId="0F398CA0" w:rsidR="00ED6A34" w:rsidRPr="00F3632D" w:rsidRDefault="00ED6A34" w:rsidP="00A75F3C">
      <w:pPr>
        <w:pStyle w:val="BodyText"/>
        <w:rPr>
          <w:rStyle w:val="Emphasis"/>
        </w:rPr>
      </w:pPr>
      <w:r w:rsidRPr="00F3632D">
        <w:rPr>
          <w:rStyle w:val="Emphasis"/>
        </w:rPr>
        <w:t>Motor Car Traders Act 1986</w:t>
      </w:r>
    </w:p>
    <w:p w14:paraId="29680EF2" w14:textId="0BFCAA79" w:rsidR="00ED6A34" w:rsidRPr="00F3632D" w:rsidRDefault="00ED6A34" w:rsidP="00A75F3C">
      <w:pPr>
        <w:pStyle w:val="BodyText"/>
        <w:rPr>
          <w:rStyle w:val="Emphasis"/>
        </w:rPr>
      </w:pPr>
      <w:r w:rsidRPr="00F3632D">
        <w:rPr>
          <w:rStyle w:val="Emphasis"/>
        </w:rPr>
        <w:t>Owners Corporations Act 2006</w:t>
      </w:r>
    </w:p>
    <w:p w14:paraId="18122BAA" w14:textId="48713837" w:rsidR="00ED6A34" w:rsidRPr="00F3632D" w:rsidRDefault="00ED6A34" w:rsidP="00A75F3C">
      <w:pPr>
        <w:pStyle w:val="BodyText"/>
        <w:rPr>
          <w:rStyle w:val="Emphasis"/>
        </w:rPr>
      </w:pPr>
      <w:r w:rsidRPr="00F3632D">
        <w:rPr>
          <w:rStyle w:val="Emphasis"/>
        </w:rPr>
        <w:t>Partnership Act 1958</w:t>
      </w:r>
    </w:p>
    <w:p w14:paraId="0C21D2C1" w14:textId="27D4151F" w:rsidR="00ED6A34" w:rsidRPr="00F3632D" w:rsidRDefault="00ED6A34" w:rsidP="00A75F3C">
      <w:pPr>
        <w:pStyle w:val="BodyText"/>
        <w:rPr>
          <w:rStyle w:val="Emphasis"/>
        </w:rPr>
      </w:pPr>
      <w:r w:rsidRPr="00F3632D">
        <w:rPr>
          <w:rStyle w:val="Emphasis"/>
        </w:rPr>
        <w:t>Residential Tenancies Act 1997:</w:t>
      </w:r>
    </w:p>
    <w:p w14:paraId="089F0039" w14:textId="43D5961F" w:rsidR="00ED6A34" w:rsidRDefault="00ED6A34" w:rsidP="00555997">
      <w:pPr>
        <w:pStyle w:val="ListBullet"/>
        <w:ind w:left="714"/>
      </w:pPr>
      <w:r>
        <w:t>Sections 23A–25, 27, 32, 33, 45–48, 74–77, 82, 90, 91, 91A, 102, 102A, 103, 104(1), 104(4), 104(5), 104(6), 105(2), 105(2A), 105(3), 124, 128, 130–134, 141–142B, 142D–212, 213AA–215, 230, 232–234, 241, 277, 289A, 291–327, 329–333, 335–339, 341, 343–366, 373–376, 385, 388, 388A, 390, 390A, 395–398, 399A-439M, 480, 486–499, 501–504, 505A–5I0C and 511</w:t>
      </w:r>
    </w:p>
    <w:p w14:paraId="56D83078" w14:textId="5F164E34" w:rsidR="00ED6A34" w:rsidRDefault="00ED6A34" w:rsidP="00555997">
      <w:pPr>
        <w:pStyle w:val="ListBullet"/>
        <w:ind w:left="714"/>
      </w:pPr>
      <w:r>
        <w:t>Section 66(1) jointly administered with Minister for Housing</w:t>
      </w:r>
    </w:p>
    <w:p w14:paraId="3EC85A6A" w14:textId="4D53C8F0" w:rsidR="00ED6A34" w:rsidRDefault="00ED6A34" w:rsidP="00555997">
      <w:pPr>
        <w:pStyle w:val="ListBullet"/>
        <w:ind w:left="714"/>
      </w:pPr>
      <w:r>
        <w:t>Section 142C jointly and severally administered with the Minister for Housing</w:t>
      </w:r>
    </w:p>
    <w:p w14:paraId="274160C9" w14:textId="2D5B896E" w:rsidR="00ED6A34" w:rsidRDefault="00ED6A34" w:rsidP="00555997">
      <w:pPr>
        <w:pStyle w:val="ListBullet"/>
        <w:ind w:left="714"/>
      </w:pPr>
      <w:r>
        <w:t>Part 12A and section 511 jointly and severally administered with the Minister for Disability, Ageing and Carers, and the Minister for Housing</w:t>
      </w:r>
    </w:p>
    <w:p w14:paraId="122AD56A" w14:textId="5273E7D8" w:rsidR="00ED6A34" w:rsidRDefault="00ED6A34" w:rsidP="00555997">
      <w:pPr>
        <w:pStyle w:val="ListBullet"/>
        <w:ind w:left="714"/>
      </w:pPr>
      <w:r>
        <w:lastRenderedPageBreak/>
        <w:t>The RTA is otherwise administered by the Attorney General, Minister for Housing and the Minister for Planning.</w:t>
      </w:r>
    </w:p>
    <w:p w14:paraId="104A078C" w14:textId="45E27AB7" w:rsidR="00ED6A34" w:rsidRPr="00F3632D" w:rsidRDefault="00ED6A34" w:rsidP="00A75F3C">
      <w:pPr>
        <w:pStyle w:val="BodyText"/>
        <w:rPr>
          <w:rStyle w:val="Emphasis"/>
        </w:rPr>
      </w:pPr>
      <w:r w:rsidRPr="00F3632D">
        <w:rPr>
          <w:rStyle w:val="Emphasis"/>
        </w:rPr>
        <w:t>Retirement Villages Act 1986</w:t>
      </w:r>
    </w:p>
    <w:p w14:paraId="031036A4" w14:textId="4D451983" w:rsidR="00ED6A34" w:rsidRPr="00F3632D" w:rsidRDefault="00ED6A34" w:rsidP="00A75F3C">
      <w:pPr>
        <w:pStyle w:val="BodyText"/>
        <w:rPr>
          <w:rStyle w:val="Emphasis"/>
        </w:rPr>
      </w:pPr>
      <w:r w:rsidRPr="00F3632D">
        <w:rPr>
          <w:rStyle w:val="Emphasis"/>
        </w:rPr>
        <w:t>Rooming House Operators Act 2016</w:t>
      </w:r>
    </w:p>
    <w:p w14:paraId="200CEE92" w14:textId="1BE2D5CC" w:rsidR="00ED6A34" w:rsidRPr="00F3632D" w:rsidRDefault="00ED6A34" w:rsidP="00A75F3C">
      <w:pPr>
        <w:pStyle w:val="BodyText"/>
        <w:rPr>
          <w:rStyle w:val="Emphasis"/>
        </w:rPr>
      </w:pPr>
      <w:r w:rsidRPr="00F3632D">
        <w:rPr>
          <w:rStyle w:val="Emphasis"/>
        </w:rPr>
        <w:t>Sale of Land Act 1962</w:t>
      </w:r>
    </w:p>
    <w:p w14:paraId="2B292B56" w14:textId="0D3A435B" w:rsidR="00ED6A34" w:rsidRPr="00F3632D" w:rsidRDefault="00ED6A34" w:rsidP="00A75F3C">
      <w:pPr>
        <w:pStyle w:val="BodyText"/>
        <w:rPr>
          <w:rStyle w:val="Emphasis"/>
        </w:rPr>
      </w:pPr>
      <w:r w:rsidRPr="00F3632D">
        <w:rPr>
          <w:rStyle w:val="Emphasis"/>
        </w:rPr>
        <w:t>Second-Hand Dealers and Pawnbrokers Act 1989</w:t>
      </w:r>
    </w:p>
    <w:p w14:paraId="657059FB" w14:textId="6FA5E996" w:rsidR="00ED6A34" w:rsidRPr="00F3632D" w:rsidRDefault="00ED6A34" w:rsidP="00A75F3C">
      <w:pPr>
        <w:pStyle w:val="BodyText"/>
        <w:rPr>
          <w:rStyle w:val="Emphasis"/>
        </w:rPr>
      </w:pPr>
      <w:r w:rsidRPr="00F3632D">
        <w:rPr>
          <w:rStyle w:val="Emphasis"/>
        </w:rPr>
        <w:t>Sex Work Act 1994</w:t>
      </w:r>
    </w:p>
    <w:p w14:paraId="2238E6ED" w14:textId="65994A3C" w:rsidR="00ED6A34" w:rsidRPr="00F3632D" w:rsidRDefault="00ED6A34" w:rsidP="00A75F3C">
      <w:pPr>
        <w:pStyle w:val="BodyText"/>
        <w:rPr>
          <w:rStyle w:val="Emphasis"/>
        </w:rPr>
      </w:pPr>
      <w:r w:rsidRPr="00F3632D">
        <w:rPr>
          <w:rStyle w:val="Emphasis"/>
        </w:rPr>
        <w:t>Subdivision Act 1988:</w:t>
      </w:r>
    </w:p>
    <w:p w14:paraId="7BFFC56C" w14:textId="574350A7" w:rsidR="00ED6A34" w:rsidRDefault="00ED6A34" w:rsidP="00555997">
      <w:pPr>
        <w:pStyle w:val="ListBullet"/>
        <w:ind w:left="714"/>
      </w:pPr>
      <w:r>
        <w:t>Part 5</w:t>
      </w:r>
    </w:p>
    <w:p w14:paraId="1E45AA56" w14:textId="38A4824B" w:rsidR="00ED6A34" w:rsidRDefault="00ED6A34" w:rsidP="00555997">
      <w:pPr>
        <w:pStyle w:val="ListBullet"/>
        <w:ind w:left="714"/>
      </w:pPr>
      <w:r>
        <w:t>Section 43 (insofar as it relates to part 5)</w:t>
      </w:r>
    </w:p>
    <w:p w14:paraId="71A46082" w14:textId="33A87132" w:rsidR="00ED6A34" w:rsidRDefault="00ED6A34" w:rsidP="00555997">
      <w:pPr>
        <w:pStyle w:val="ListBullet"/>
        <w:ind w:left="714"/>
      </w:pPr>
      <w:r>
        <w:t>The Act is otherwise administered by the Minister for Planning.</w:t>
      </w:r>
    </w:p>
    <w:p w14:paraId="4A174F11" w14:textId="4751757D" w:rsidR="00ED6A34" w:rsidRPr="00F3632D" w:rsidRDefault="00ED6A34" w:rsidP="00A75F3C">
      <w:pPr>
        <w:pStyle w:val="BodyText"/>
        <w:rPr>
          <w:rStyle w:val="Emphasis"/>
        </w:rPr>
      </w:pPr>
      <w:r w:rsidRPr="00F3632D">
        <w:rPr>
          <w:rStyle w:val="Emphasis"/>
        </w:rPr>
        <w:t>Travel Agents Repeal Act 2014</w:t>
      </w:r>
    </w:p>
    <w:p w14:paraId="7B41121E" w14:textId="6F83B63D" w:rsidR="00ED6A34" w:rsidRPr="00F3632D" w:rsidRDefault="00ED6A34" w:rsidP="00A75F3C">
      <w:pPr>
        <w:pStyle w:val="BodyText"/>
        <w:rPr>
          <w:rStyle w:val="Emphasis"/>
        </w:rPr>
      </w:pPr>
      <w:r w:rsidRPr="00F3632D">
        <w:rPr>
          <w:rStyle w:val="Emphasis"/>
        </w:rPr>
        <w:t>Veterans Act 2005:</w:t>
      </w:r>
    </w:p>
    <w:p w14:paraId="0A610C07" w14:textId="26411D89" w:rsidR="00ED6A34" w:rsidRDefault="00ED6A34" w:rsidP="00555997">
      <w:pPr>
        <w:pStyle w:val="ListBullet"/>
        <w:ind w:left="714"/>
      </w:pPr>
      <w:r>
        <w:t>Part 4 (the Act is otherwise administered by the Minister for Veterans).</w:t>
      </w:r>
    </w:p>
    <w:p w14:paraId="6AD0648F" w14:textId="2B38AA54" w:rsidR="00BF3355" w:rsidRDefault="00ED6A34" w:rsidP="00156239">
      <w:pPr>
        <w:pStyle w:val="BodyText"/>
        <w:rPr>
          <w:rStyle w:val="Emphasis"/>
        </w:rPr>
      </w:pPr>
      <w:r w:rsidRPr="00F3632D">
        <w:rPr>
          <w:rStyle w:val="Emphasis"/>
        </w:rPr>
        <w:t>Warehousemen’s Liens Act 1958</w:t>
      </w:r>
    </w:p>
    <w:p w14:paraId="524B7D82" w14:textId="77777777" w:rsidR="00A41E9C" w:rsidRDefault="00A41E9C" w:rsidP="00A41E9C">
      <w:pPr>
        <w:pStyle w:val="Heading2"/>
      </w:pPr>
      <w:bookmarkStart w:id="24" w:name="_Toc21600832"/>
      <w:r>
        <w:lastRenderedPageBreak/>
        <w:t>Consumer Affairs Victoria</w:t>
      </w:r>
      <w:bookmarkEnd w:id="24"/>
    </w:p>
    <w:p w14:paraId="351AD359" w14:textId="12A2C354" w:rsidR="00A41E9C" w:rsidRDefault="0063484E" w:rsidP="00A41E9C">
      <w:pPr>
        <w:pStyle w:val="BodyText"/>
      </w:pPr>
      <w:hyperlink r:id="rId17" w:history="1">
        <w:r w:rsidR="00A41E9C" w:rsidRPr="004746BC">
          <w:rPr>
            <w:rStyle w:val="Hyperlink"/>
          </w:rPr>
          <w:t>Consumer</w:t>
        </w:r>
        <w:r w:rsidR="00A41E9C">
          <w:rPr>
            <w:rStyle w:val="Hyperlink"/>
          </w:rPr>
          <w:t xml:space="preserve"> </w:t>
        </w:r>
        <w:r w:rsidR="00A41E9C" w:rsidRPr="004746BC">
          <w:rPr>
            <w:rStyle w:val="Hyperlink"/>
          </w:rPr>
          <w:t>Affairs</w:t>
        </w:r>
        <w:r w:rsidR="00A41E9C">
          <w:rPr>
            <w:rStyle w:val="Hyperlink"/>
          </w:rPr>
          <w:t xml:space="preserve"> </w:t>
        </w:r>
        <w:r w:rsidR="00A41E9C" w:rsidRPr="004746BC">
          <w:rPr>
            <w:rStyle w:val="Hyperlink"/>
          </w:rPr>
          <w:t>Victoria</w:t>
        </w:r>
        <w:r w:rsidR="00A41E9C">
          <w:rPr>
            <w:rStyle w:val="Hyperlink"/>
          </w:rPr>
          <w:t xml:space="preserve"> </w:t>
        </w:r>
        <w:r w:rsidR="00A41E9C" w:rsidRPr="004746BC">
          <w:rPr>
            <w:rStyle w:val="Hyperlink"/>
          </w:rPr>
          <w:t>website</w:t>
        </w:r>
      </w:hyperlink>
      <w:r w:rsidR="00A41E9C">
        <w:t xml:space="preserve"> &lt;consumer.vic.gov.au&gt;</w:t>
      </w:r>
    </w:p>
    <w:p w14:paraId="612ABF1E" w14:textId="092C2B43" w:rsidR="00A41E9C" w:rsidRPr="0098392C" w:rsidRDefault="0063484E" w:rsidP="00A41E9C">
      <w:pPr>
        <w:pStyle w:val="BodyText"/>
      </w:pPr>
      <w:hyperlink r:id="rId18" w:history="1">
        <w:r w:rsidR="00A41E9C">
          <w:rPr>
            <w:rStyle w:val="Hyperlink"/>
            <w:lang w:val="en-GB"/>
          </w:rPr>
          <w:t>Facebook page of Consumer Affairs Victoria</w:t>
        </w:r>
      </w:hyperlink>
      <w:r w:rsidR="00A41E9C">
        <w:rPr>
          <w:lang w:val="en-GB"/>
        </w:rPr>
        <w:t xml:space="preserve"> &lt;</w:t>
      </w:r>
      <w:r w:rsidR="00A41E9C" w:rsidRPr="000C3AB6">
        <w:rPr>
          <w:lang w:val="en-GB"/>
        </w:rPr>
        <w:t>facebook.com/</w:t>
      </w:r>
      <w:proofErr w:type="spellStart"/>
      <w:r w:rsidR="00A41E9C" w:rsidRPr="000C3AB6">
        <w:rPr>
          <w:lang w:val="en-GB"/>
        </w:rPr>
        <w:t>ConsumerAffairsVictoria</w:t>
      </w:r>
      <w:proofErr w:type="spellEnd"/>
      <w:r w:rsidR="00A41E9C">
        <w:rPr>
          <w:lang w:val="en-GB"/>
        </w:rPr>
        <w:t>&gt;</w:t>
      </w:r>
    </w:p>
    <w:p w14:paraId="3FF2CE2C" w14:textId="7E845039" w:rsidR="00A41E9C" w:rsidRDefault="0063484E" w:rsidP="00A41E9C">
      <w:pPr>
        <w:pStyle w:val="BodyText"/>
        <w:rPr>
          <w:lang w:val="en-GB"/>
        </w:rPr>
      </w:pPr>
      <w:hyperlink r:id="rId19" w:history="1">
        <w:r w:rsidR="00A41E9C">
          <w:rPr>
            <w:rStyle w:val="Hyperlink"/>
            <w:lang w:val="en-GB"/>
          </w:rPr>
          <w:t>Twitter page of Consumer Affairs Victoria</w:t>
        </w:r>
      </w:hyperlink>
      <w:r w:rsidR="00A41E9C">
        <w:rPr>
          <w:lang w:val="en-GB"/>
        </w:rPr>
        <w:t xml:space="preserve"> &lt;</w:t>
      </w:r>
      <w:r w:rsidR="00A41E9C" w:rsidRPr="000C3AB6">
        <w:rPr>
          <w:lang w:val="en-GB"/>
        </w:rPr>
        <w:t>twitter.com/</w:t>
      </w:r>
      <w:proofErr w:type="spellStart"/>
      <w:r w:rsidR="00A41E9C" w:rsidRPr="000C3AB6">
        <w:rPr>
          <w:lang w:val="en-GB"/>
        </w:rPr>
        <w:t>consumervic</w:t>
      </w:r>
      <w:proofErr w:type="spellEnd"/>
      <w:r w:rsidR="00A41E9C">
        <w:rPr>
          <w:lang w:val="en-GB"/>
        </w:rPr>
        <w:t>&gt;</w:t>
      </w:r>
    </w:p>
    <w:p w14:paraId="37EB2086" w14:textId="6B1D0F9F" w:rsidR="00A41E9C" w:rsidRPr="00A41E9C" w:rsidRDefault="0063484E" w:rsidP="00156239">
      <w:pPr>
        <w:pStyle w:val="BodyText"/>
        <w:rPr>
          <w:lang w:val="en-GB"/>
        </w:rPr>
      </w:pPr>
      <w:hyperlink r:id="rId20" w:history="1">
        <w:r w:rsidR="00A41E9C">
          <w:rPr>
            <w:rStyle w:val="Hyperlink"/>
            <w:lang w:val="en-GB"/>
          </w:rPr>
          <w:t>YouTube page of Consumer Affairs Victoria</w:t>
        </w:r>
      </w:hyperlink>
      <w:r w:rsidR="00A41E9C">
        <w:rPr>
          <w:lang w:val="en-GB"/>
        </w:rPr>
        <w:t xml:space="preserve"> &lt;</w:t>
      </w:r>
      <w:r w:rsidR="00A41E9C" w:rsidRPr="000C3AB6">
        <w:rPr>
          <w:lang w:val="en-GB"/>
        </w:rPr>
        <w:t>youtube.com/</w:t>
      </w:r>
      <w:proofErr w:type="spellStart"/>
      <w:r w:rsidR="00A41E9C" w:rsidRPr="000C3AB6">
        <w:rPr>
          <w:lang w:val="en-GB"/>
        </w:rPr>
        <w:t>consumervic</w:t>
      </w:r>
      <w:proofErr w:type="spellEnd"/>
      <w:r w:rsidR="00A41E9C">
        <w:rPr>
          <w:lang w:val="en-GB"/>
        </w:rPr>
        <w:t>&gt;</w:t>
      </w:r>
    </w:p>
    <w:sectPr w:rsidR="00A41E9C" w:rsidRPr="00A41E9C" w:rsidSect="00783BEE">
      <w:footnotePr>
        <w:pos w:val="beneathText"/>
        <w:numRestart w:val="eachPage"/>
      </w:footnotePr>
      <w:pgSz w:w="11906" w:h="16838" w:code="9"/>
      <w:pgMar w:top="1418" w:right="1418" w:bottom="1134"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FEF4C" w14:textId="77777777" w:rsidR="00C72669" w:rsidRDefault="00C72669" w:rsidP="00C71F11">
      <w:pPr>
        <w:spacing w:after="0" w:line="240" w:lineRule="auto"/>
      </w:pPr>
      <w:r>
        <w:separator/>
      </w:r>
    </w:p>
    <w:p w14:paraId="6BCC1970" w14:textId="77777777" w:rsidR="00C72669" w:rsidRDefault="00C72669"/>
    <w:p w14:paraId="53145404" w14:textId="77777777" w:rsidR="00C72669" w:rsidRDefault="00C72669"/>
  </w:endnote>
  <w:endnote w:type="continuationSeparator" w:id="0">
    <w:p w14:paraId="5703E0FE" w14:textId="77777777" w:rsidR="00C72669" w:rsidRDefault="00C72669" w:rsidP="00C71F11">
      <w:pPr>
        <w:spacing w:after="0" w:line="240" w:lineRule="auto"/>
      </w:pPr>
      <w:r>
        <w:continuationSeparator/>
      </w:r>
    </w:p>
    <w:p w14:paraId="4ADB47F0" w14:textId="77777777" w:rsidR="00C72669" w:rsidRDefault="00C72669"/>
    <w:p w14:paraId="39C3E3F3" w14:textId="77777777" w:rsidR="00C72669" w:rsidRDefault="00C72669"/>
  </w:endnote>
  <w:endnote w:type="continuationNotice" w:id="1">
    <w:p w14:paraId="606227D0" w14:textId="77777777" w:rsidR="00C72669" w:rsidRDefault="00C72669">
      <w:pPr>
        <w:spacing w:after="0" w:line="240" w:lineRule="auto"/>
      </w:pPr>
    </w:p>
    <w:p w14:paraId="309E404A" w14:textId="77777777" w:rsidR="00C72669" w:rsidRDefault="00C72669"/>
    <w:p w14:paraId="42DC8DBF" w14:textId="77777777" w:rsidR="00C72669" w:rsidRDefault="00C7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IC-SemiBold">
    <w:altName w:val="Courier Ne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C7D0" w14:textId="6E2F527E" w:rsidR="00C72669" w:rsidRDefault="00C72669" w:rsidP="00006DE3">
    <w:pPr>
      <w:pStyle w:val="Footer"/>
    </w:pPr>
    <w:r w:rsidRPr="00783BEE">
      <w:t>Consumer</w:t>
    </w:r>
    <w:r>
      <w:t xml:space="preserve"> </w:t>
    </w:r>
    <w:r w:rsidRPr="00783BEE">
      <w:t>Affairs</w:t>
    </w:r>
    <w:r>
      <w:t xml:space="preserve"> Victoria: Annual Report 2018–19</w:t>
    </w:r>
    <w:r w:rsidR="00A11832">
      <w:ptab w:relativeTo="margin" w:alignment="right" w:leader="none"/>
    </w:r>
    <w:r w:rsidRPr="00783BEE">
      <w:fldChar w:fldCharType="begin"/>
    </w:r>
    <w:r w:rsidRPr="00783BEE">
      <w:instrText xml:space="preserve"> PAGE   \* MERGEFORMAT </w:instrText>
    </w:r>
    <w:r w:rsidRPr="00783BEE">
      <w:fldChar w:fldCharType="separate"/>
    </w:r>
    <w:r>
      <w:rPr>
        <w:noProof/>
      </w:rPr>
      <w:t>41</w:t>
    </w:r>
    <w:r w:rsidRPr="00783B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BC79" w14:textId="1A70E522" w:rsidR="00C72669" w:rsidRPr="00455A12" w:rsidRDefault="00C72669" w:rsidP="00455A12">
      <w:pPr>
        <w:spacing w:after="0" w:line="240" w:lineRule="auto"/>
        <w:rPr>
          <w:color w:val="FFFFFF" w:themeColor="background1"/>
          <w:sz w:val="8"/>
          <w:szCs w:val="8"/>
        </w:rPr>
      </w:pPr>
    </w:p>
  </w:footnote>
  <w:footnote w:type="continuationSeparator" w:id="0">
    <w:p w14:paraId="7D728B39" w14:textId="77777777" w:rsidR="00C72669" w:rsidRDefault="00C72669" w:rsidP="00C71F11">
      <w:pPr>
        <w:spacing w:after="0" w:line="240" w:lineRule="auto"/>
      </w:pPr>
      <w:r>
        <w:continuationSeparator/>
      </w:r>
    </w:p>
    <w:p w14:paraId="2E540BA2" w14:textId="77777777" w:rsidR="00C72669" w:rsidRDefault="00C72669"/>
    <w:p w14:paraId="544502F1" w14:textId="77777777" w:rsidR="00C72669" w:rsidRDefault="00C72669"/>
  </w:footnote>
  <w:footnote w:type="continuationNotice" w:id="1">
    <w:p w14:paraId="1B519D0B" w14:textId="77777777" w:rsidR="00C72669" w:rsidRDefault="00C72669">
      <w:pPr>
        <w:spacing w:after="0" w:line="240" w:lineRule="auto"/>
      </w:pPr>
    </w:p>
    <w:p w14:paraId="25027D99" w14:textId="77777777" w:rsidR="00C72669" w:rsidRDefault="00C72669"/>
    <w:p w14:paraId="061B29B1" w14:textId="77777777" w:rsidR="00C72669" w:rsidRDefault="00C72669"/>
  </w:footnote>
  <w:footnote w:id="2">
    <w:p w14:paraId="6EC9C4CB" w14:textId="79A8E395" w:rsidR="00C72669" w:rsidRDefault="00C72669" w:rsidP="00A54548">
      <w:pPr>
        <w:pStyle w:val="FootnoteText"/>
      </w:pPr>
      <w:r>
        <w:rPr>
          <w:vertAlign w:val="superscript"/>
        </w:rPr>
        <w:footnoteRef/>
      </w:r>
      <w:r>
        <w:tab/>
        <w:t>The actual is lower than target due to lower than anticipated written correspondence received and fewer financial counselling services provided due to reported increased complexity.</w:t>
      </w:r>
    </w:p>
  </w:footnote>
  <w:footnote w:id="3">
    <w:p w14:paraId="1A625A2B" w14:textId="5F2FBC58" w:rsidR="00C72669" w:rsidRDefault="00C72669" w:rsidP="00A54548">
      <w:pPr>
        <w:pStyle w:val="FootnoteText"/>
      </w:pPr>
      <w:r>
        <w:rPr>
          <w:vertAlign w:val="superscript"/>
        </w:rPr>
        <w:footnoteRef/>
      </w:r>
      <w:r>
        <w:tab/>
        <w:t>This is a new measure introduced in 2018–19. The actual is higher than target due to a higher than anticipated number of official warnings and infringement notices issued.</w:t>
      </w:r>
    </w:p>
  </w:footnote>
  <w:footnote w:id="4">
    <w:p w14:paraId="4241CAD9" w14:textId="4559677E" w:rsidR="00C72669" w:rsidRDefault="00C72669" w:rsidP="00A54548">
      <w:pPr>
        <w:pStyle w:val="FootnoteText"/>
      </w:pPr>
      <w:r>
        <w:rPr>
          <w:vertAlign w:val="superscript"/>
        </w:rPr>
        <w:footnoteRef/>
      </w:r>
      <w:r>
        <w:tab/>
        <w:t xml:space="preserve">The actual is above target due to an increase in registration activity and estate agent transactions, in part as a result of making electronic transactions simpler through </w:t>
      </w:r>
      <w:proofErr w:type="spellStart"/>
      <w:r>
        <w:t>myCAV</w:t>
      </w:r>
      <w:proofErr w:type="spellEnd"/>
      <w:r>
        <w:t>.</w:t>
      </w:r>
    </w:p>
  </w:footnote>
  <w:footnote w:id="5">
    <w:p w14:paraId="05BB2883" w14:textId="11E4195A" w:rsidR="00C72669" w:rsidRDefault="00C72669" w:rsidP="00A54548">
      <w:pPr>
        <w:pStyle w:val="FootnoteText"/>
      </w:pPr>
      <w:r>
        <w:rPr>
          <w:vertAlign w:val="superscript"/>
        </w:rPr>
        <w:footnoteRef/>
      </w:r>
      <w:r>
        <w:tab/>
        <w:t>The actual is above target due to demand exceeding forecast for family violence financial counselling services. Additional funding has been provided in 2019–20 to meet this increased demand.</w:t>
      </w:r>
    </w:p>
  </w:footnote>
  <w:footnote w:id="6">
    <w:p w14:paraId="46DB275D" w14:textId="3D75F900" w:rsidR="00C72669" w:rsidRDefault="00C72669" w:rsidP="00A54548">
      <w:pPr>
        <w:pStyle w:val="FootnoteText"/>
      </w:pPr>
      <w:r>
        <w:rPr>
          <w:vertAlign w:val="superscript"/>
        </w:rPr>
        <w:footnoteRef/>
      </w:r>
      <w:r>
        <w:tab/>
        <w:t xml:space="preserve">The actual is below target. The result was impacted by the introduction of </w:t>
      </w:r>
      <w:proofErr w:type="spellStart"/>
      <w:r>
        <w:t>myCAV</w:t>
      </w:r>
      <w:proofErr w:type="spellEnd"/>
      <w:r>
        <w:t>, which requires estate agents and conveyancers to lodge any outstanding audit reports before they submit the current financial year. It is anticipated that compliance rates will improve in 2019–20.</w:t>
      </w:r>
    </w:p>
  </w:footnote>
  <w:footnote w:id="7">
    <w:p w14:paraId="76FF53DC" w14:textId="71DE4240" w:rsidR="00C72669" w:rsidRDefault="00C72669" w:rsidP="00A54548">
      <w:pPr>
        <w:pStyle w:val="FootnoteText"/>
      </w:pPr>
      <w:r>
        <w:rPr>
          <w:vertAlign w:val="superscript"/>
        </w:rPr>
        <w:footnoteRef/>
      </w:r>
      <w:r>
        <w:tab/>
        <w:t>This is a new measure introduced in 2018–19.</w:t>
      </w:r>
    </w:p>
  </w:footnote>
  <w:footnote w:id="8">
    <w:p w14:paraId="03EDE946" w14:textId="52F81698" w:rsidR="000F63E3" w:rsidRDefault="000F63E3">
      <w:pPr>
        <w:pStyle w:val="FootnoteText"/>
      </w:pPr>
      <w:r>
        <w:rPr>
          <w:rStyle w:val="FootnoteReference"/>
        </w:rPr>
        <w:footnoteRef/>
      </w:r>
      <w:r>
        <w:tab/>
      </w:r>
      <w:r w:rsidRPr="000F63E3">
        <w:t>The 2018</w:t>
      </w:r>
      <w:r w:rsidR="009812F7">
        <w:t>–</w:t>
      </w:r>
      <w:r w:rsidRPr="000F63E3">
        <w:t xml:space="preserve">19 Actual Total output cost was amended in </w:t>
      </w:r>
      <w:r w:rsidR="0063484E">
        <w:t>December</w:t>
      </w:r>
      <w:bookmarkStart w:id="11" w:name="_GoBack"/>
      <w:bookmarkEnd w:id="11"/>
      <w:r w:rsidRPr="000F63E3">
        <w:t xml:space="preserve"> 2019 to correct a transcription error, and differs from the version tabled in the Victorian Parliament on 17 October 2019.</w:t>
      </w:r>
    </w:p>
  </w:footnote>
  <w:footnote w:id="9">
    <w:p w14:paraId="3C4116E2" w14:textId="1CE7F604" w:rsidR="00C72669" w:rsidRDefault="00C72669" w:rsidP="00A54548">
      <w:pPr>
        <w:pStyle w:val="FootnoteText"/>
      </w:pPr>
      <w:r>
        <w:rPr>
          <w:vertAlign w:val="superscript"/>
        </w:rPr>
        <w:footnoteRef/>
      </w:r>
      <w:r>
        <w:tab/>
        <w:t>Data in Table 2 varies between years based on our regulatory risk priorities, legislative changes, government policy, the nature of our compliance program and the cyclical nature of our integrated compliance approach.</w:t>
      </w:r>
    </w:p>
  </w:footnote>
  <w:footnote w:id="10">
    <w:p w14:paraId="2F91FCE6" w14:textId="76A07580" w:rsidR="00C72669" w:rsidRDefault="00C72669" w:rsidP="00A54548">
      <w:pPr>
        <w:pStyle w:val="FootnoteText"/>
      </w:pPr>
      <w:r>
        <w:rPr>
          <w:vertAlign w:val="superscript"/>
        </w:rPr>
        <w:footnoteRef/>
      </w:r>
      <w:r>
        <w:tab/>
        <w:t>Official warnings are issued in accordance with our regulatory approach and compliance program, in lieu of infringement notices.</w:t>
      </w:r>
    </w:p>
  </w:footnote>
  <w:footnote w:id="11">
    <w:p w14:paraId="23345D70" w14:textId="04C8B134" w:rsidR="00C72669" w:rsidRDefault="00C72669" w:rsidP="00A54548">
      <w:pPr>
        <w:pStyle w:val="FootnoteText"/>
      </w:pPr>
      <w:r>
        <w:rPr>
          <w:vertAlign w:val="superscript"/>
        </w:rPr>
        <w:footnoteRef/>
      </w:r>
      <w:r>
        <w:tab/>
        <w:t>In 2018–19 the average value of infringement notices was $1,792.65, with a total value of $354,944.70.</w:t>
      </w:r>
    </w:p>
  </w:footnote>
  <w:footnote w:id="12">
    <w:p w14:paraId="0894C44A" w14:textId="2242DB8E" w:rsidR="00C72669" w:rsidRDefault="00C72669" w:rsidP="00A54548">
      <w:pPr>
        <w:pStyle w:val="FootnoteText"/>
      </w:pPr>
      <w:r>
        <w:rPr>
          <w:vertAlign w:val="superscript"/>
        </w:rPr>
        <w:footnoteRef/>
      </w:r>
      <w:r>
        <w:tab/>
        <w:t xml:space="preserve">Registration activity and estate agent transactions have increased, in part as a result of making electronic transactions simpler through </w:t>
      </w:r>
      <w:proofErr w:type="spellStart"/>
      <w:r>
        <w:t>myCAV</w:t>
      </w:r>
      <w:proofErr w:type="spellEnd"/>
      <w:r>
        <w:t>.</w:t>
      </w:r>
    </w:p>
  </w:footnote>
  <w:footnote w:id="13">
    <w:p w14:paraId="4E3B0DA5" w14:textId="48943810" w:rsidR="00C72669" w:rsidRDefault="00C72669" w:rsidP="00A54548">
      <w:pPr>
        <w:pStyle w:val="FootnoteText"/>
      </w:pPr>
      <w:r>
        <w:rPr>
          <w:vertAlign w:val="superscript"/>
        </w:rPr>
        <w:footnoteRef/>
      </w:r>
      <w:r>
        <w:tab/>
        <w:t>An increase in uptake of our digital services resulted in a reduced need for further telephone assistance.</w:t>
      </w:r>
    </w:p>
  </w:footnote>
  <w:footnote w:id="14">
    <w:p w14:paraId="42B090CE" w14:textId="79ED8AE2" w:rsidR="00C72669" w:rsidRDefault="00C72669" w:rsidP="00A54548">
      <w:pPr>
        <w:pStyle w:val="FootnoteText"/>
      </w:pPr>
      <w:r>
        <w:rPr>
          <w:vertAlign w:val="superscript"/>
        </w:rPr>
        <w:footnoteRef/>
      </w:r>
      <w:r>
        <w:tab/>
        <w:t>A new model of dispute resolution, focused on front line compliance and resolution, has resulted in a decrease in disputes finalised from 2017–18.</w:t>
      </w:r>
    </w:p>
  </w:footnote>
  <w:footnote w:id="15">
    <w:p w14:paraId="1C809B16" w14:textId="28F5F810" w:rsidR="00C72669" w:rsidRDefault="00C72669" w:rsidP="00A54548">
      <w:pPr>
        <w:pStyle w:val="FootnoteText"/>
      </w:pPr>
      <w:r>
        <w:rPr>
          <w:vertAlign w:val="superscript"/>
        </w:rPr>
        <w:footnoteRef/>
      </w:r>
      <w:r>
        <w:tab/>
        <w:t>The release of three scam videos in May 2018 largely influenced the increase in YouTube video views for 2017–18.</w:t>
      </w:r>
    </w:p>
  </w:footnote>
  <w:footnote w:id="16">
    <w:p w14:paraId="0CCA5118" w14:textId="3C3AD8A9" w:rsidR="00C72669" w:rsidRDefault="00C72669" w:rsidP="00A54548">
      <w:pPr>
        <w:pStyle w:val="FootnoteText"/>
      </w:pPr>
      <w:r>
        <w:rPr>
          <w:vertAlign w:val="superscript"/>
        </w:rPr>
        <w:footnoteRef/>
      </w:r>
      <w:r>
        <w:tab/>
        <w:t>Domestic Building Dispute Levy and Registration Fees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048E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34A5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4EF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B20E4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4A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2B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C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6E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D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1A38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16393"/>
    <w:multiLevelType w:val="multilevel"/>
    <w:tmpl w:val="8B9C5D6A"/>
    <w:styleLink w:val="CAVListStyleBullets"/>
    <w:lvl w:ilvl="0">
      <w:start w:val="1"/>
      <w:numFmt w:val="bullet"/>
      <w:lvlText w:val="•"/>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54270D4"/>
    <w:multiLevelType w:val="hybridMultilevel"/>
    <w:tmpl w:val="818EB0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9065395"/>
    <w:multiLevelType w:val="hybridMultilevel"/>
    <w:tmpl w:val="8348D64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06B55"/>
    <w:multiLevelType w:val="hybridMultilevel"/>
    <w:tmpl w:val="B264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45F47"/>
    <w:multiLevelType w:val="hybridMultilevel"/>
    <w:tmpl w:val="F880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5A6114"/>
    <w:multiLevelType w:val="hybridMultilevel"/>
    <w:tmpl w:val="AE403FA6"/>
    <w:lvl w:ilvl="0" w:tplc="8F74EDB4">
      <w:start w:val="1"/>
      <w:numFmt w:val="bullet"/>
      <w:lvlText w:val=""/>
      <w:lvlJc w:val="left"/>
      <w:pPr>
        <w:tabs>
          <w:tab w:val="num" w:pos="851"/>
        </w:tabs>
        <w:ind w:left="851" w:hanging="284"/>
      </w:pPr>
      <w:rPr>
        <w:rFonts w:ascii="Symbol" w:hAnsi="Symbol" w:hint="default"/>
        <w:b w:val="0"/>
        <w:i w:val="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A74DF"/>
    <w:multiLevelType w:val="hybridMultilevel"/>
    <w:tmpl w:val="D6A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EE46CD"/>
    <w:multiLevelType w:val="hybridMultilevel"/>
    <w:tmpl w:val="5F7CA888"/>
    <w:lvl w:ilvl="0" w:tplc="F8765A4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F73B3E"/>
    <w:multiLevelType w:val="hybridMultilevel"/>
    <w:tmpl w:val="FDE4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495426"/>
    <w:multiLevelType w:val="hybridMultilevel"/>
    <w:tmpl w:val="1BB8D97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22F30DF7"/>
    <w:multiLevelType w:val="hybridMultilevel"/>
    <w:tmpl w:val="F732B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947FC"/>
    <w:multiLevelType w:val="multilevel"/>
    <w:tmpl w:val="A88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3190C"/>
    <w:multiLevelType w:val="hybridMultilevel"/>
    <w:tmpl w:val="DF88031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32D70CCF"/>
    <w:multiLevelType w:val="hybridMultilevel"/>
    <w:tmpl w:val="4EAEF642"/>
    <w:lvl w:ilvl="0" w:tplc="14E4BDA0">
      <w:start w:val="1"/>
      <w:numFmt w:val="decimal"/>
      <w:lvlText w:val="%1."/>
      <w:lvlJc w:val="left"/>
      <w:pPr>
        <w:ind w:left="397" w:hanging="39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42E13FF"/>
    <w:multiLevelType w:val="hybridMultilevel"/>
    <w:tmpl w:val="3EC2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2785C"/>
    <w:multiLevelType w:val="multilevel"/>
    <w:tmpl w:val="8B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437DD1"/>
    <w:multiLevelType w:val="hybridMultilevel"/>
    <w:tmpl w:val="134A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E1F1A"/>
    <w:multiLevelType w:val="hybridMultilevel"/>
    <w:tmpl w:val="183E646A"/>
    <w:lvl w:ilvl="0" w:tplc="BC3CCCD8">
      <w:start w:val="1"/>
      <w:numFmt w:val="bulle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AC733A"/>
    <w:multiLevelType w:val="hybridMultilevel"/>
    <w:tmpl w:val="B5D6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191D"/>
    <w:multiLevelType w:val="hybridMultilevel"/>
    <w:tmpl w:val="4672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94059E"/>
    <w:multiLevelType w:val="hybridMultilevel"/>
    <w:tmpl w:val="7844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E28E2"/>
    <w:multiLevelType w:val="hybridMultilevel"/>
    <w:tmpl w:val="9574F4EE"/>
    <w:lvl w:ilvl="0" w:tplc="7548AAB0">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014BF"/>
    <w:multiLevelType w:val="hybridMultilevel"/>
    <w:tmpl w:val="4C30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012922"/>
    <w:multiLevelType w:val="hybridMultilevel"/>
    <w:tmpl w:val="54B4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A6CF6"/>
    <w:multiLevelType w:val="hybridMultilevel"/>
    <w:tmpl w:val="B6D4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C02C0"/>
    <w:multiLevelType w:val="hybridMultilevel"/>
    <w:tmpl w:val="5058D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13DC4"/>
    <w:multiLevelType w:val="hybridMultilevel"/>
    <w:tmpl w:val="AC7A3D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23"/>
  </w:num>
  <w:num w:numId="5">
    <w:abstractNumId w:val="18"/>
  </w:num>
  <w:num w:numId="6">
    <w:abstractNumId w:val="19"/>
  </w:num>
  <w:num w:numId="7">
    <w:abstractNumId w:val="10"/>
  </w:num>
  <w:num w:numId="8">
    <w:abstractNumId w:val="24"/>
  </w:num>
  <w:num w:numId="9">
    <w:abstractNumId w:val="25"/>
  </w:num>
  <w:num w:numId="10">
    <w:abstractNumId w:val="20"/>
  </w:num>
  <w:num w:numId="11">
    <w:abstractNumId w:val="11"/>
  </w:num>
  <w:num w:numId="12">
    <w:abstractNumId w:val="27"/>
  </w:num>
  <w:num w:numId="13">
    <w:abstractNumId w:val="29"/>
  </w:num>
  <w:num w:numId="14">
    <w:abstractNumId w:val="21"/>
  </w:num>
  <w:num w:numId="15">
    <w:abstractNumId w:val="26"/>
  </w:num>
  <w:num w:numId="16">
    <w:abstractNumId w:val="17"/>
  </w:num>
  <w:num w:numId="17">
    <w:abstractNumId w:val="13"/>
  </w:num>
  <w:num w:numId="18">
    <w:abstractNumId w:val="15"/>
  </w:num>
  <w:num w:numId="19">
    <w:abstractNumId w:val="36"/>
  </w:num>
  <w:num w:numId="20">
    <w:abstractNumId w:val="30"/>
  </w:num>
  <w:num w:numId="21">
    <w:abstractNumId w:val="32"/>
  </w:num>
  <w:num w:numId="22">
    <w:abstractNumId w:val="33"/>
  </w:num>
  <w:num w:numId="23">
    <w:abstractNumId w:val="31"/>
  </w:num>
  <w:num w:numId="24">
    <w:abstractNumId w:val="16"/>
  </w:num>
  <w:num w:numId="25">
    <w:abstractNumId w:val="34"/>
  </w:num>
  <w:num w:numId="26">
    <w:abstractNumId w:val="35"/>
  </w:num>
  <w:num w:numId="27">
    <w:abstractNumId w:val="14"/>
  </w:num>
  <w:num w:numId="28">
    <w:abstractNumId w:val="9"/>
  </w:num>
  <w:num w:numId="29">
    <w:abstractNumId w:val="7"/>
  </w:num>
  <w:num w:numId="30">
    <w:abstractNumId w:val="8"/>
  </w:num>
  <w:num w:numId="31">
    <w:abstractNumId w:val="3"/>
  </w:num>
  <w:num w:numId="32">
    <w:abstractNumId w:val="8"/>
    <w:lvlOverride w:ilvl="0">
      <w:startOverride w:val="1"/>
    </w:lvlOverride>
  </w:num>
  <w:num w:numId="33">
    <w:abstractNumId w:val="6"/>
  </w:num>
  <w:num w:numId="34">
    <w:abstractNumId w:val="5"/>
  </w:num>
  <w:num w:numId="35">
    <w:abstractNumId w:val="4"/>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31745"/>
  </w:hdrShapeDefaults>
  <w:footnotePr>
    <w:pos w:val="beneathText"/>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E80"/>
    <w:rsid w:val="000067F2"/>
    <w:rsid w:val="00006DE3"/>
    <w:rsid w:val="000113E0"/>
    <w:rsid w:val="00021DA6"/>
    <w:rsid w:val="0002752D"/>
    <w:rsid w:val="00030169"/>
    <w:rsid w:val="00031B1C"/>
    <w:rsid w:val="00035675"/>
    <w:rsid w:val="000359C2"/>
    <w:rsid w:val="00040AF8"/>
    <w:rsid w:val="00041B76"/>
    <w:rsid w:val="00042358"/>
    <w:rsid w:val="00045784"/>
    <w:rsid w:val="00052A73"/>
    <w:rsid w:val="00052AFF"/>
    <w:rsid w:val="00056D7F"/>
    <w:rsid w:val="00062049"/>
    <w:rsid w:val="00064594"/>
    <w:rsid w:val="0006613F"/>
    <w:rsid w:val="000662A2"/>
    <w:rsid w:val="00077DCC"/>
    <w:rsid w:val="00080476"/>
    <w:rsid w:val="00084F8C"/>
    <w:rsid w:val="00086AF2"/>
    <w:rsid w:val="00091597"/>
    <w:rsid w:val="000A16BF"/>
    <w:rsid w:val="000A4BC7"/>
    <w:rsid w:val="000A4D4B"/>
    <w:rsid w:val="000A74E4"/>
    <w:rsid w:val="000A7D79"/>
    <w:rsid w:val="000B151C"/>
    <w:rsid w:val="000B7932"/>
    <w:rsid w:val="000C2B36"/>
    <w:rsid w:val="000C5AA2"/>
    <w:rsid w:val="000D0E83"/>
    <w:rsid w:val="000D3E79"/>
    <w:rsid w:val="000D42DF"/>
    <w:rsid w:val="000D4FAE"/>
    <w:rsid w:val="000E344B"/>
    <w:rsid w:val="000F5315"/>
    <w:rsid w:val="000F63E3"/>
    <w:rsid w:val="001035E3"/>
    <w:rsid w:val="0010370A"/>
    <w:rsid w:val="00104254"/>
    <w:rsid w:val="00107B62"/>
    <w:rsid w:val="00110D4C"/>
    <w:rsid w:val="00112400"/>
    <w:rsid w:val="00120E5A"/>
    <w:rsid w:val="00122E20"/>
    <w:rsid w:val="00122EB0"/>
    <w:rsid w:val="00134625"/>
    <w:rsid w:val="00134A2A"/>
    <w:rsid w:val="001369DC"/>
    <w:rsid w:val="0014134E"/>
    <w:rsid w:val="0014204E"/>
    <w:rsid w:val="0014272B"/>
    <w:rsid w:val="00142DE7"/>
    <w:rsid w:val="00143662"/>
    <w:rsid w:val="0014701D"/>
    <w:rsid w:val="001510E8"/>
    <w:rsid w:val="00151EF4"/>
    <w:rsid w:val="00155192"/>
    <w:rsid w:val="001556C0"/>
    <w:rsid w:val="00155B9A"/>
    <w:rsid w:val="00156239"/>
    <w:rsid w:val="00156617"/>
    <w:rsid w:val="00160E40"/>
    <w:rsid w:val="0016680E"/>
    <w:rsid w:val="00171D5F"/>
    <w:rsid w:val="00177DC1"/>
    <w:rsid w:val="001809C5"/>
    <w:rsid w:val="00181631"/>
    <w:rsid w:val="001864FB"/>
    <w:rsid w:val="001A1A0A"/>
    <w:rsid w:val="001A3474"/>
    <w:rsid w:val="001B12D8"/>
    <w:rsid w:val="001B2499"/>
    <w:rsid w:val="001B396A"/>
    <w:rsid w:val="001B4898"/>
    <w:rsid w:val="001C0A36"/>
    <w:rsid w:val="001C410E"/>
    <w:rsid w:val="001C50E6"/>
    <w:rsid w:val="001C56C0"/>
    <w:rsid w:val="001D144A"/>
    <w:rsid w:val="001E0DD0"/>
    <w:rsid w:val="001E5B35"/>
    <w:rsid w:val="001F6E72"/>
    <w:rsid w:val="00201270"/>
    <w:rsid w:val="00201342"/>
    <w:rsid w:val="00204AE7"/>
    <w:rsid w:val="00215056"/>
    <w:rsid w:val="00217576"/>
    <w:rsid w:val="00226FBE"/>
    <w:rsid w:val="00232A4C"/>
    <w:rsid w:val="002334B6"/>
    <w:rsid w:val="0023482B"/>
    <w:rsid w:val="002352A5"/>
    <w:rsid w:val="00244EF7"/>
    <w:rsid w:val="002457A3"/>
    <w:rsid w:val="0024584B"/>
    <w:rsid w:val="00256840"/>
    <w:rsid w:val="00271A02"/>
    <w:rsid w:val="00275C07"/>
    <w:rsid w:val="00275D03"/>
    <w:rsid w:val="0027662D"/>
    <w:rsid w:val="002776C0"/>
    <w:rsid w:val="00281B8A"/>
    <w:rsid w:val="002875FA"/>
    <w:rsid w:val="002876F2"/>
    <w:rsid w:val="00295CF5"/>
    <w:rsid w:val="002A0546"/>
    <w:rsid w:val="002A3CA6"/>
    <w:rsid w:val="002B3B90"/>
    <w:rsid w:val="002B74E5"/>
    <w:rsid w:val="002C3944"/>
    <w:rsid w:val="002C5076"/>
    <w:rsid w:val="002D316F"/>
    <w:rsid w:val="002D7EB3"/>
    <w:rsid w:val="002E4FF0"/>
    <w:rsid w:val="002F063F"/>
    <w:rsid w:val="002F48D7"/>
    <w:rsid w:val="002F5743"/>
    <w:rsid w:val="002F6DD5"/>
    <w:rsid w:val="00312562"/>
    <w:rsid w:val="00314ABC"/>
    <w:rsid w:val="003151CE"/>
    <w:rsid w:val="00315661"/>
    <w:rsid w:val="00320590"/>
    <w:rsid w:val="00320BE0"/>
    <w:rsid w:val="0032140C"/>
    <w:rsid w:val="00321A0C"/>
    <w:rsid w:val="00321B25"/>
    <w:rsid w:val="00323337"/>
    <w:rsid w:val="0032485B"/>
    <w:rsid w:val="00325C37"/>
    <w:rsid w:val="00332305"/>
    <w:rsid w:val="00332BF3"/>
    <w:rsid w:val="00333E76"/>
    <w:rsid w:val="003346A8"/>
    <w:rsid w:val="003369A3"/>
    <w:rsid w:val="003379FA"/>
    <w:rsid w:val="00342EAB"/>
    <w:rsid w:val="003544EC"/>
    <w:rsid w:val="00355028"/>
    <w:rsid w:val="003641AB"/>
    <w:rsid w:val="0036577F"/>
    <w:rsid w:val="00366166"/>
    <w:rsid w:val="003719B9"/>
    <w:rsid w:val="003725FC"/>
    <w:rsid w:val="00372D46"/>
    <w:rsid w:val="00376E0E"/>
    <w:rsid w:val="003802F6"/>
    <w:rsid w:val="003833C8"/>
    <w:rsid w:val="0038367D"/>
    <w:rsid w:val="00383C48"/>
    <w:rsid w:val="00384747"/>
    <w:rsid w:val="003913BB"/>
    <w:rsid w:val="003932B1"/>
    <w:rsid w:val="003A2203"/>
    <w:rsid w:val="003A23B1"/>
    <w:rsid w:val="003A2F75"/>
    <w:rsid w:val="003B43FE"/>
    <w:rsid w:val="003B47C4"/>
    <w:rsid w:val="003B545A"/>
    <w:rsid w:val="003C5053"/>
    <w:rsid w:val="003C78F2"/>
    <w:rsid w:val="003D009B"/>
    <w:rsid w:val="003D3259"/>
    <w:rsid w:val="003D521F"/>
    <w:rsid w:val="003D666F"/>
    <w:rsid w:val="003E5E4C"/>
    <w:rsid w:val="003F183F"/>
    <w:rsid w:val="003F25B0"/>
    <w:rsid w:val="003F5D67"/>
    <w:rsid w:val="003F6265"/>
    <w:rsid w:val="00400AFE"/>
    <w:rsid w:val="00402906"/>
    <w:rsid w:val="00405DA7"/>
    <w:rsid w:val="004104CB"/>
    <w:rsid w:val="00410D44"/>
    <w:rsid w:val="00410EF4"/>
    <w:rsid w:val="004166EA"/>
    <w:rsid w:val="00416A25"/>
    <w:rsid w:val="004211EB"/>
    <w:rsid w:val="0042297C"/>
    <w:rsid w:val="00422C46"/>
    <w:rsid w:val="00430D03"/>
    <w:rsid w:val="00431A7C"/>
    <w:rsid w:val="00433A4A"/>
    <w:rsid w:val="00435045"/>
    <w:rsid w:val="00435C2C"/>
    <w:rsid w:val="00440488"/>
    <w:rsid w:val="00444135"/>
    <w:rsid w:val="00452669"/>
    <w:rsid w:val="00452C50"/>
    <w:rsid w:val="004555A8"/>
    <w:rsid w:val="00455A12"/>
    <w:rsid w:val="00461D0C"/>
    <w:rsid w:val="00464373"/>
    <w:rsid w:val="004645C0"/>
    <w:rsid w:val="00464A7E"/>
    <w:rsid w:val="004657E1"/>
    <w:rsid w:val="0047465C"/>
    <w:rsid w:val="00476A12"/>
    <w:rsid w:val="0048011B"/>
    <w:rsid w:val="004804BA"/>
    <w:rsid w:val="00483EF3"/>
    <w:rsid w:val="004840FA"/>
    <w:rsid w:val="00484D0A"/>
    <w:rsid w:val="004851FB"/>
    <w:rsid w:val="00486872"/>
    <w:rsid w:val="00486A5D"/>
    <w:rsid w:val="00492B18"/>
    <w:rsid w:val="00496AB9"/>
    <w:rsid w:val="004A02E4"/>
    <w:rsid w:val="004A4969"/>
    <w:rsid w:val="004B411F"/>
    <w:rsid w:val="004B59DF"/>
    <w:rsid w:val="004B67E1"/>
    <w:rsid w:val="004B6CD0"/>
    <w:rsid w:val="004C0ADA"/>
    <w:rsid w:val="004C2D08"/>
    <w:rsid w:val="004C66BC"/>
    <w:rsid w:val="004D0490"/>
    <w:rsid w:val="004D0BA4"/>
    <w:rsid w:val="004D744A"/>
    <w:rsid w:val="004D7E60"/>
    <w:rsid w:val="004E05CC"/>
    <w:rsid w:val="004E4902"/>
    <w:rsid w:val="004F0321"/>
    <w:rsid w:val="004F061C"/>
    <w:rsid w:val="004F765E"/>
    <w:rsid w:val="005003AA"/>
    <w:rsid w:val="005020E1"/>
    <w:rsid w:val="005038A8"/>
    <w:rsid w:val="00506885"/>
    <w:rsid w:val="00513074"/>
    <w:rsid w:val="0051734E"/>
    <w:rsid w:val="00524553"/>
    <w:rsid w:val="00524BC8"/>
    <w:rsid w:val="00526DF1"/>
    <w:rsid w:val="00535227"/>
    <w:rsid w:val="005419C2"/>
    <w:rsid w:val="00542656"/>
    <w:rsid w:val="00543432"/>
    <w:rsid w:val="00552098"/>
    <w:rsid w:val="00552326"/>
    <w:rsid w:val="00555997"/>
    <w:rsid w:val="005567D4"/>
    <w:rsid w:val="00556DF5"/>
    <w:rsid w:val="005638A4"/>
    <w:rsid w:val="00564D6C"/>
    <w:rsid w:val="00570715"/>
    <w:rsid w:val="00570982"/>
    <w:rsid w:val="00573381"/>
    <w:rsid w:val="00575180"/>
    <w:rsid w:val="0058055D"/>
    <w:rsid w:val="00587380"/>
    <w:rsid w:val="00597C5A"/>
    <w:rsid w:val="005A6618"/>
    <w:rsid w:val="005B1D31"/>
    <w:rsid w:val="005B35AF"/>
    <w:rsid w:val="005C0C79"/>
    <w:rsid w:val="005C2B48"/>
    <w:rsid w:val="005C51B2"/>
    <w:rsid w:val="005C7DB4"/>
    <w:rsid w:val="005C7EDC"/>
    <w:rsid w:val="005D12A7"/>
    <w:rsid w:val="005D2771"/>
    <w:rsid w:val="005D5646"/>
    <w:rsid w:val="005E393E"/>
    <w:rsid w:val="005F13E6"/>
    <w:rsid w:val="005F1BCD"/>
    <w:rsid w:val="005F58AA"/>
    <w:rsid w:val="006018AB"/>
    <w:rsid w:val="00604689"/>
    <w:rsid w:val="00605CF0"/>
    <w:rsid w:val="00607163"/>
    <w:rsid w:val="00607734"/>
    <w:rsid w:val="006136D4"/>
    <w:rsid w:val="00621D83"/>
    <w:rsid w:val="00624207"/>
    <w:rsid w:val="0062480A"/>
    <w:rsid w:val="00624CAA"/>
    <w:rsid w:val="00625180"/>
    <w:rsid w:val="00631074"/>
    <w:rsid w:val="0063411C"/>
    <w:rsid w:val="0063484E"/>
    <w:rsid w:val="0063768F"/>
    <w:rsid w:val="0064116B"/>
    <w:rsid w:val="00644683"/>
    <w:rsid w:val="00646284"/>
    <w:rsid w:val="00646671"/>
    <w:rsid w:val="00647A02"/>
    <w:rsid w:val="006524E8"/>
    <w:rsid w:val="00653983"/>
    <w:rsid w:val="00654297"/>
    <w:rsid w:val="00654592"/>
    <w:rsid w:val="006546F2"/>
    <w:rsid w:val="00654C98"/>
    <w:rsid w:val="0066310A"/>
    <w:rsid w:val="00671F59"/>
    <w:rsid w:val="0067302D"/>
    <w:rsid w:val="00674866"/>
    <w:rsid w:val="00675216"/>
    <w:rsid w:val="00676450"/>
    <w:rsid w:val="00676836"/>
    <w:rsid w:val="00676BE9"/>
    <w:rsid w:val="0068108F"/>
    <w:rsid w:val="00682042"/>
    <w:rsid w:val="006832C1"/>
    <w:rsid w:val="006960B9"/>
    <w:rsid w:val="006A44B1"/>
    <w:rsid w:val="006B0F6A"/>
    <w:rsid w:val="006D76BE"/>
    <w:rsid w:val="006E113C"/>
    <w:rsid w:val="006E194B"/>
    <w:rsid w:val="006F4C0B"/>
    <w:rsid w:val="006F57E8"/>
    <w:rsid w:val="006F608E"/>
    <w:rsid w:val="007174AB"/>
    <w:rsid w:val="00722D2C"/>
    <w:rsid w:val="00724BD6"/>
    <w:rsid w:val="0072626D"/>
    <w:rsid w:val="00731D68"/>
    <w:rsid w:val="00732553"/>
    <w:rsid w:val="007350A4"/>
    <w:rsid w:val="00735A3B"/>
    <w:rsid w:val="00742A5C"/>
    <w:rsid w:val="00743C19"/>
    <w:rsid w:val="00744281"/>
    <w:rsid w:val="00753B06"/>
    <w:rsid w:val="0075750A"/>
    <w:rsid w:val="0077304F"/>
    <w:rsid w:val="00777C8E"/>
    <w:rsid w:val="0078191F"/>
    <w:rsid w:val="00783BEE"/>
    <w:rsid w:val="00785126"/>
    <w:rsid w:val="00792F91"/>
    <w:rsid w:val="007935D2"/>
    <w:rsid w:val="00793BF9"/>
    <w:rsid w:val="007959A9"/>
    <w:rsid w:val="00797D7C"/>
    <w:rsid w:val="007A0FAA"/>
    <w:rsid w:val="007A2137"/>
    <w:rsid w:val="007A2663"/>
    <w:rsid w:val="007A3786"/>
    <w:rsid w:val="007A49A6"/>
    <w:rsid w:val="007A4B26"/>
    <w:rsid w:val="007A5331"/>
    <w:rsid w:val="007A655A"/>
    <w:rsid w:val="007A75A8"/>
    <w:rsid w:val="007B200E"/>
    <w:rsid w:val="007B6433"/>
    <w:rsid w:val="007B6E26"/>
    <w:rsid w:val="007C1EED"/>
    <w:rsid w:val="007D188A"/>
    <w:rsid w:val="007D39F7"/>
    <w:rsid w:val="007D59ED"/>
    <w:rsid w:val="007D750A"/>
    <w:rsid w:val="007E4229"/>
    <w:rsid w:val="007E454A"/>
    <w:rsid w:val="007F21DE"/>
    <w:rsid w:val="007F7301"/>
    <w:rsid w:val="00804AB6"/>
    <w:rsid w:val="00805CBE"/>
    <w:rsid w:val="008150FD"/>
    <w:rsid w:val="00817D14"/>
    <w:rsid w:val="008225EF"/>
    <w:rsid w:val="00834561"/>
    <w:rsid w:val="0083734C"/>
    <w:rsid w:val="0084359B"/>
    <w:rsid w:val="008570CA"/>
    <w:rsid w:val="0086119C"/>
    <w:rsid w:val="008621E5"/>
    <w:rsid w:val="00865C50"/>
    <w:rsid w:val="008661E1"/>
    <w:rsid w:val="00867443"/>
    <w:rsid w:val="0087028F"/>
    <w:rsid w:val="00872738"/>
    <w:rsid w:val="008734EB"/>
    <w:rsid w:val="008800C6"/>
    <w:rsid w:val="00883165"/>
    <w:rsid w:val="00896A7C"/>
    <w:rsid w:val="0089767F"/>
    <w:rsid w:val="008A134C"/>
    <w:rsid w:val="008A1B58"/>
    <w:rsid w:val="008A2567"/>
    <w:rsid w:val="008A5248"/>
    <w:rsid w:val="008A75EF"/>
    <w:rsid w:val="008B141D"/>
    <w:rsid w:val="008B1747"/>
    <w:rsid w:val="008C1BE0"/>
    <w:rsid w:val="008C3AD5"/>
    <w:rsid w:val="008C5A12"/>
    <w:rsid w:val="008C6D11"/>
    <w:rsid w:val="008E1660"/>
    <w:rsid w:val="008E44BD"/>
    <w:rsid w:val="008F2BD9"/>
    <w:rsid w:val="008F4AB1"/>
    <w:rsid w:val="00901F97"/>
    <w:rsid w:val="00902C22"/>
    <w:rsid w:val="009031C0"/>
    <w:rsid w:val="009055D9"/>
    <w:rsid w:val="0090722D"/>
    <w:rsid w:val="0091162E"/>
    <w:rsid w:val="00911E04"/>
    <w:rsid w:val="00914245"/>
    <w:rsid w:val="00916163"/>
    <w:rsid w:val="00921F95"/>
    <w:rsid w:val="00922A21"/>
    <w:rsid w:val="00923264"/>
    <w:rsid w:val="00930316"/>
    <w:rsid w:val="00941062"/>
    <w:rsid w:val="00942470"/>
    <w:rsid w:val="0094275C"/>
    <w:rsid w:val="0094409D"/>
    <w:rsid w:val="00955130"/>
    <w:rsid w:val="009569B2"/>
    <w:rsid w:val="00973A16"/>
    <w:rsid w:val="00973EC1"/>
    <w:rsid w:val="00974789"/>
    <w:rsid w:val="009812F7"/>
    <w:rsid w:val="00986354"/>
    <w:rsid w:val="00986E1E"/>
    <w:rsid w:val="009913D8"/>
    <w:rsid w:val="00995B04"/>
    <w:rsid w:val="0099615E"/>
    <w:rsid w:val="009A28FC"/>
    <w:rsid w:val="009A58E3"/>
    <w:rsid w:val="009A5D08"/>
    <w:rsid w:val="009A7231"/>
    <w:rsid w:val="009B2409"/>
    <w:rsid w:val="009B302A"/>
    <w:rsid w:val="009B4066"/>
    <w:rsid w:val="009B4514"/>
    <w:rsid w:val="009B486B"/>
    <w:rsid w:val="009C1266"/>
    <w:rsid w:val="009C226D"/>
    <w:rsid w:val="009C46FB"/>
    <w:rsid w:val="009C4C18"/>
    <w:rsid w:val="009D64E4"/>
    <w:rsid w:val="009E527F"/>
    <w:rsid w:val="009F40AB"/>
    <w:rsid w:val="009F69D8"/>
    <w:rsid w:val="009F76FB"/>
    <w:rsid w:val="009F79CB"/>
    <w:rsid w:val="00A01A33"/>
    <w:rsid w:val="00A03F43"/>
    <w:rsid w:val="00A048DA"/>
    <w:rsid w:val="00A0641C"/>
    <w:rsid w:val="00A10A1B"/>
    <w:rsid w:val="00A11832"/>
    <w:rsid w:val="00A178C0"/>
    <w:rsid w:val="00A17D48"/>
    <w:rsid w:val="00A22F65"/>
    <w:rsid w:val="00A231D9"/>
    <w:rsid w:val="00A26139"/>
    <w:rsid w:val="00A30ADD"/>
    <w:rsid w:val="00A37095"/>
    <w:rsid w:val="00A3768B"/>
    <w:rsid w:val="00A41E9C"/>
    <w:rsid w:val="00A4311B"/>
    <w:rsid w:val="00A433D9"/>
    <w:rsid w:val="00A446E5"/>
    <w:rsid w:val="00A46E9E"/>
    <w:rsid w:val="00A47141"/>
    <w:rsid w:val="00A509E4"/>
    <w:rsid w:val="00A54548"/>
    <w:rsid w:val="00A55D56"/>
    <w:rsid w:val="00A560FA"/>
    <w:rsid w:val="00A60484"/>
    <w:rsid w:val="00A61C24"/>
    <w:rsid w:val="00A61DA5"/>
    <w:rsid w:val="00A61E43"/>
    <w:rsid w:val="00A6563E"/>
    <w:rsid w:val="00A660B5"/>
    <w:rsid w:val="00A66856"/>
    <w:rsid w:val="00A66F3D"/>
    <w:rsid w:val="00A73103"/>
    <w:rsid w:val="00A73820"/>
    <w:rsid w:val="00A75F3C"/>
    <w:rsid w:val="00A762B1"/>
    <w:rsid w:val="00A765B2"/>
    <w:rsid w:val="00A76634"/>
    <w:rsid w:val="00A81648"/>
    <w:rsid w:val="00A82BDC"/>
    <w:rsid w:val="00A8331C"/>
    <w:rsid w:val="00A83F96"/>
    <w:rsid w:val="00A9006E"/>
    <w:rsid w:val="00A9379F"/>
    <w:rsid w:val="00A95B5B"/>
    <w:rsid w:val="00AA5C2C"/>
    <w:rsid w:val="00AB0C30"/>
    <w:rsid w:val="00AB5EBE"/>
    <w:rsid w:val="00AB604F"/>
    <w:rsid w:val="00AB72A6"/>
    <w:rsid w:val="00AC142D"/>
    <w:rsid w:val="00AC7C0D"/>
    <w:rsid w:val="00AD2B07"/>
    <w:rsid w:val="00AD429A"/>
    <w:rsid w:val="00AD49B7"/>
    <w:rsid w:val="00AF252C"/>
    <w:rsid w:val="00B00608"/>
    <w:rsid w:val="00B17387"/>
    <w:rsid w:val="00B20F92"/>
    <w:rsid w:val="00B34E68"/>
    <w:rsid w:val="00B35A06"/>
    <w:rsid w:val="00B45028"/>
    <w:rsid w:val="00B4504C"/>
    <w:rsid w:val="00B4776C"/>
    <w:rsid w:val="00B47AE6"/>
    <w:rsid w:val="00B5056D"/>
    <w:rsid w:val="00B5207C"/>
    <w:rsid w:val="00B61B3E"/>
    <w:rsid w:val="00B63D30"/>
    <w:rsid w:val="00B65A4B"/>
    <w:rsid w:val="00B67745"/>
    <w:rsid w:val="00B71611"/>
    <w:rsid w:val="00B74A1F"/>
    <w:rsid w:val="00B8015C"/>
    <w:rsid w:val="00B840D0"/>
    <w:rsid w:val="00B92DA9"/>
    <w:rsid w:val="00BA1C6E"/>
    <w:rsid w:val="00BA5EC4"/>
    <w:rsid w:val="00BA73CD"/>
    <w:rsid w:val="00BB1C65"/>
    <w:rsid w:val="00BC0C25"/>
    <w:rsid w:val="00BC1A18"/>
    <w:rsid w:val="00BC3086"/>
    <w:rsid w:val="00BC710E"/>
    <w:rsid w:val="00BD3E39"/>
    <w:rsid w:val="00BE2991"/>
    <w:rsid w:val="00BE38F4"/>
    <w:rsid w:val="00BF1C17"/>
    <w:rsid w:val="00BF1DDE"/>
    <w:rsid w:val="00BF2582"/>
    <w:rsid w:val="00BF3355"/>
    <w:rsid w:val="00BF4177"/>
    <w:rsid w:val="00BF4C8D"/>
    <w:rsid w:val="00C02F22"/>
    <w:rsid w:val="00C04AF5"/>
    <w:rsid w:val="00C076AD"/>
    <w:rsid w:val="00C1109D"/>
    <w:rsid w:val="00C119F0"/>
    <w:rsid w:val="00C14083"/>
    <w:rsid w:val="00C21F93"/>
    <w:rsid w:val="00C23DEB"/>
    <w:rsid w:val="00C24CCD"/>
    <w:rsid w:val="00C33158"/>
    <w:rsid w:val="00C343DC"/>
    <w:rsid w:val="00C344CE"/>
    <w:rsid w:val="00C4593F"/>
    <w:rsid w:val="00C459D9"/>
    <w:rsid w:val="00C47290"/>
    <w:rsid w:val="00C50534"/>
    <w:rsid w:val="00C55852"/>
    <w:rsid w:val="00C6201E"/>
    <w:rsid w:val="00C659AA"/>
    <w:rsid w:val="00C66D4D"/>
    <w:rsid w:val="00C71F11"/>
    <w:rsid w:val="00C72669"/>
    <w:rsid w:val="00C77B2D"/>
    <w:rsid w:val="00C80444"/>
    <w:rsid w:val="00C84E51"/>
    <w:rsid w:val="00C90E80"/>
    <w:rsid w:val="00C931D0"/>
    <w:rsid w:val="00C968C2"/>
    <w:rsid w:val="00CA2659"/>
    <w:rsid w:val="00CA4CBC"/>
    <w:rsid w:val="00CA51C7"/>
    <w:rsid w:val="00CA6435"/>
    <w:rsid w:val="00CB56D1"/>
    <w:rsid w:val="00CB60E1"/>
    <w:rsid w:val="00CC0AD3"/>
    <w:rsid w:val="00CC2D56"/>
    <w:rsid w:val="00CC2DB9"/>
    <w:rsid w:val="00CC71B2"/>
    <w:rsid w:val="00CD3C2E"/>
    <w:rsid w:val="00CE0746"/>
    <w:rsid w:val="00CE2CE5"/>
    <w:rsid w:val="00CE2ED4"/>
    <w:rsid w:val="00CE79C3"/>
    <w:rsid w:val="00CE7A30"/>
    <w:rsid w:val="00CF0935"/>
    <w:rsid w:val="00CF1401"/>
    <w:rsid w:val="00CF4293"/>
    <w:rsid w:val="00CF66CA"/>
    <w:rsid w:val="00D0059A"/>
    <w:rsid w:val="00D0096D"/>
    <w:rsid w:val="00D03A6F"/>
    <w:rsid w:val="00D06633"/>
    <w:rsid w:val="00D074DB"/>
    <w:rsid w:val="00D0795D"/>
    <w:rsid w:val="00D13EEA"/>
    <w:rsid w:val="00D172EB"/>
    <w:rsid w:val="00D2163E"/>
    <w:rsid w:val="00D2321D"/>
    <w:rsid w:val="00D272EB"/>
    <w:rsid w:val="00D30C2C"/>
    <w:rsid w:val="00D365B6"/>
    <w:rsid w:val="00D366EA"/>
    <w:rsid w:val="00D3688B"/>
    <w:rsid w:val="00D47362"/>
    <w:rsid w:val="00D524F2"/>
    <w:rsid w:val="00D54B9E"/>
    <w:rsid w:val="00D56F91"/>
    <w:rsid w:val="00D600AA"/>
    <w:rsid w:val="00D60893"/>
    <w:rsid w:val="00D86219"/>
    <w:rsid w:val="00D8797C"/>
    <w:rsid w:val="00D90A2F"/>
    <w:rsid w:val="00D933A2"/>
    <w:rsid w:val="00D9667B"/>
    <w:rsid w:val="00D967BB"/>
    <w:rsid w:val="00D97603"/>
    <w:rsid w:val="00DA1B8D"/>
    <w:rsid w:val="00DA3262"/>
    <w:rsid w:val="00DA3E9A"/>
    <w:rsid w:val="00DA685F"/>
    <w:rsid w:val="00DB2D0C"/>
    <w:rsid w:val="00DC4139"/>
    <w:rsid w:val="00DE084A"/>
    <w:rsid w:val="00DE723C"/>
    <w:rsid w:val="00DF0BE8"/>
    <w:rsid w:val="00DF586C"/>
    <w:rsid w:val="00E0180B"/>
    <w:rsid w:val="00E0216D"/>
    <w:rsid w:val="00E02D71"/>
    <w:rsid w:val="00E15E1B"/>
    <w:rsid w:val="00E20138"/>
    <w:rsid w:val="00E21774"/>
    <w:rsid w:val="00E22FCC"/>
    <w:rsid w:val="00E26D06"/>
    <w:rsid w:val="00E316E3"/>
    <w:rsid w:val="00E33D24"/>
    <w:rsid w:val="00E3430A"/>
    <w:rsid w:val="00E3598E"/>
    <w:rsid w:val="00E35F92"/>
    <w:rsid w:val="00E44B22"/>
    <w:rsid w:val="00E44BB1"/>
    <w:rsid w:val="00E5265B"/>
    <w:rsid w:val="00E52787"/>
    <w:rsid w:val="00E56F47"/>
    <w:rsid w:val="00E611C5"/>
    <w:rsid w:val="00E623E3"/>
    <w:rsid w:val="00E63928"/>
    <w:rsid w:val="00E64C56"/>
    <w:rsid w:val="00E72BDE"/>
    <w:rsid w:val="00E769DC"/>
    <w:rsid w:val="00E87BCB"/>
    <w:rsid w:val="00E953DB"/>
    <w:rsid w:val="00E96742"/>
    <w:rsid w:val="00EA01CD"/>
    <w:rsid w:val="00EA1DE2"/>
    <w:rsid w:val="00EA437D"/>
    <w:rsid w:val="00EA4A06"/>
    <w:rsid w:val="00EA541C"/>
    <w:rsid w:val="00EA58F3"/>
    <w:rsid w:val="00EA67A5"/>
    <w:rsid w:val="00EB1889"/>
    <w:rsid w:val="00EB465D"/>
    <w:rsid w:val="00EC5022"/>
    <w:rsid w:val="00EC5A1F"/>
    <w:rsid w:val="00ED133B"/>
    <w:rsid w:val="00ED345C"/>
    <w:rsid w:val="00ED6A34"/>
    <w:rsid w:val="00EE29E7"/>
    <w:rsid w:val="00EE2EF2"/>
    <w:rsid w:val="00EE3875"/>
    <w:rsid w:val="00EF0311"/>
    <w:rsid w:val="00EF1095"/>
    <w:rsid w:val="00EF2417"/>
    <w:rsid w:val="00F001C0"/>
    <w:rsid w:val="00F03D10"/>
    <w:rsid w:val="00F04442"/>
    <w:rsid w:val="00F04806"/>
    <w:rsid w:val="00F23412"/>
    <w:rsid w:val="00F2784E"/>
    <w:rsid w:val="00F3485C"/>
    <w:rsid w:val="00F3632D"/>
    <w:rsid w:val="00F36802"/>
    <w:rsid w:val="00F4149E"/>
    <w:rsid w:val="00F41A61"/>
    <w:rsid w:val="00F420A4"/>
    <w:rsid w:val="00F421E8"/>
    <w:rsid w:val="00F55B08"/>
    <w:rsid w:val="00F55E4C"/>
    <w:rsid w:val="00F568B3"/>
    <w:rsid w:val="00F56DD5"/>
    <w:rsid w:val="00F657D2"/>
    <w:rsid w:val="00F663C9"/>
    <w:rsid w:val="00F71DC9"/>
    <w:rsid w:val="00F7724B"/>
    <w:rsid w:val="00F86F41"/>
    <w:rsid w:val="00F87043"/>
    <w:rsid w:val="00F91196"/>
    <w:rsid w:val="00FA03AD"/>
    <w:rsid w:val="00FA1D02"/>
    <w:rsid w:val="00FA2FB5"/>
    <w:rsid w:val="00FB00B6"/>
    <w:rsid w:val="00FB38BE"/>
    <w:rsid w:val="00FB4DA0"/>
    <w:rsid w:val="00FB7AB9"/>
    <w:rsid w:val="00FC025D"/>
    <w:rsid w:val="00FC2CA1"/>
    <w:rsid w:val="00FC31F0"/>
    <w:rsid w:val="00FC5621"/>
    <w:rsid w:val="00FE08DA"/>
    <w:rsid w:val="00FE3D90"/>
    <w:rsid w:val="00FE7C21"/>
    <w:rsid w:val="00FF0EE1"/>
    <w:rsid w:val="00FF22A3"/>
    <w:rsid w:val="00FF30B8"/>
    <w:rsid w:val="00FF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A24B676"/>
  <w15:docId w15:val="{D4CFE38F-7BED-479A-A10E-8EEC04E4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semiHidden="1" w:uiPriority="98" w:qFormat="1"/>
    <w:lsdException w:name="Closing" w:semiHidden="1" w:unhideWhenUsed="1"/>
    <w:lsdException w:name="Signature" w:semiHidden="1" w:unhideWhenUsed="1"/>
    <w:lsdException w:name="Default Paragraph Font" w:semiHidden="1" w:uiPriority="9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98" w:qFormat="1"/>
    <w:lsdException w:name="Intense Reference" w:semiHidden="1" w:uiPriority="98"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548"/>
    <w:pPr>
      <w:spacing w:after="160" w:line="259" w:lineRule="auto"/>
    </w:pPr>
    <w:rPr>
      <w:sz w:val="22"/>
      <w:szCs w:val="22"/>
      <w:lang w:eastAsia="en-US"/>
    </w:rPr>
  </w:style>
  <w:style w:type="paragraph" w:styleId="Heading1">
    <w:name w:val="heading 1"/>
    <w:basedOn w:val="Normal"/>
    <w:next w:val="Normal"/>
    <w:link w:val="Heading1Char"/>
    <w:uiPriority w:val="9"/>
    <w:qFormat/>
    <w:rsid w:val="00062049"/>
    <w:pPr>
      <w:jc w:val="center"/>
      <w:outlineLvl w:val="0"/>
    </w:pPr>
    <w:rPr>
      <w:rFonts w:ascii="Arial" w:hAnsi="Arial" w:cs="Arial"/>
      <w:sz w:val="48"/>
      <w:szCs w:val="48"/>
    </w:rPr>
  </w:style>
  <w:style w:type="paragraph" w:styleId="Heading2">
    <w:name w:val="heading 2"/>
    <w:basedOn w:val="Normal"/>
    <w:next w:val="Normal"/>
    <w:link w:val="Heading2Char"/>
    <w:uiPriority w:val="9"/>
    <w:unhideWhenUsed/>
    <w:qFormat/>
    <w:rsid w:val="00902C22"/>
    <w:pPr>
      <w:keepNext/>
      <w:keepLines/>
      <w:pageBreakBefore/>
      <w:spacing w:after="400" w:line="240" w:lineRule="auto"/>
      <w:outlineLvl w:val="1"/>
    </w:pPr>
    <w:rPr>
      <w:rFonts w:ascii="Arial" w:eastAsia="Times New Roman" w:hAnsi="Arial"/>
      <w:bCs/>
      <w:iCs/>
      <w:sz w:val="44"/>
      <w:szCs w:val="28"/>
    </w:rPr>
  </w:style>
  <w:style w:type="paragraph" w:styleId="Heading3">
    <w:name w:val="heading 3"/>
    <w:basedOn w:val="Normal"/>
    <w:next w:val="Normal"/>
    <w:link w:val="Heading3Char"/>
    <w:uiPriority w:val="9"/>
    <w:unhideWhenUsed/>
    <w:qFormat/>
    <w:rsid w:val="00C076AD"/>
    <w:pPr>
      <w:keepNext/>
      <w:keepLines/>
      <w:spacing w:before="300" w:after="120" w:line="240" w:lineRule="auto"/>
      <w:outlineLvl w:val="2"/>
    </w:pPr>
    <w:rPr>
      <w:rFonts w:ascii="Arial" w:eastAsia="Times New Roman" w:hAnsi="Arial"/>
      <w:b/>
      <w:bCs/>
      <w:color w:val="0072CE"/>
      <w:sz w:val="30"/>
      <w:szCs w:val="28"/>
    </w:rPr>
  </w:style>
  <w:style w:type="paragraph" w:styleId="Heading4">
    <w:name w:val="heading 4"/>
    <w:basedOn w:val="Normal"/>
    <w:next w:val="Normal"/>
    <w:link w:val="Heading4Char"/>
    <w:uiPriority w:val="9"/>
    <w:unhideWhenUsed/>
    <w:qFormat/>
    <w:rsid w:val="00C076AD"/>
    <w:pPr>
      <w:keepNext/>
      <w:keepLines/>
      <w:spacing w:before="300" w:after="120" w:line="240" w:lineRule="auto"/>
      <w:outlineLvl w:val="3"/>
    </w:pPr>
    <w:rPr>
      <w:rFonts w:ascii="Arial" w:eastAsia="Times New Roman" w:hAnsi="Arial"/>
      <w:b/>
      <w:bCs/>
      <w:sz w:val="26"/>
      <w:szCs w:val="26"/>
    </w:rPr>
  </w:style>
  <w:style w:type="paragraph" w:styleId="Heading5">
    <w:name w:val="heading 5"/>
    <w:basedOn w:val="Normal"/>
    <w:next w:val="Normal"/>
    <w:link w:val="Heading5Char"/>
    <w:uiPriority w:val="9"/>
    <w:unhideWhenUsed/>
    <w:qFormat/>
    <w:rsid w:val="00D03A6F"/>
    <w:pPr>
      <w:keepNext/>
      <w:keepLines/>
      <w:spacing w:before="300" w:after="120" w:line="240" w:lineRule="auto"/>
      <w:outlineLvl w:val="4"/>
    </w:pPr>
    <w:rPr>
      <w:rFonts w:ascii="Arial" w:eastAsia="Times New Roman" w:hAnsi="Arial"/>
      <w:b/>
      <w:bCs/>
      <w:iCs/>
      <w:szCs w:val="26"/>
    </w:rPr>
  </w:style>
  <w:style w:type="paragraph" w:styleId="Heading6">
    <w:name w:val="heading 6"/>
    <w:basedOn w:val="Normal"/>
    <w:next w:val="Normal"/>
    <w:link w:val="Heading6Char"/>
    <w:uiPriority w:val="9"/>
    <w:unhideWhenUsed/>
    <w:qFormat/>
    <w:rsid w:val="00D03A6F"/>
    <w:pPr>
      <w:spacing w:before="240" w:after="60"/>
      <w:outlineLvl w:val="5"/>
    </w:pPr>
    <w:rPr>
      <w:rFonts w:ascii="Arial" w:eastAsia="Times New Roman"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2049"/>
    <w:rPr>
      <w:rFonts w:ascii="Arial" w:hAnsi="Arial" w:cs="Arial"/>
      <w:sz w:val="48"/>
      <w:szCs w:val="48"/>
      <w:lang w:eastAsia="en-US"/>
    </w:rPr>
  </w:style>
  <w:style w:type="paragraph" w:customStyle="1" w:styleId="TableText">
    <w:name w:val="Table Text"/>
    <w:basedOn w:val="Normal"/>
    <w:uiPriority w:val="11"/>
    <w:qFormat/>
    <w:rsid w:val="00A178C0"/>
    <w:pPr>
      <w:spacing w:before="80" w:after="60" w:line="240" w:lineRule="auto"/>
    </w:pPr>
    <w:rPr>
      <w:rFonts w:ascii="Arial" w:hAnsi="Arial"/>
      <w:sz w:val="18"/>
    </w:rPr>
  </w:style>
  <w:style w:type="character" w:customStyle="1" w:styleId="Heading2Char">
    <w:name w:val="Heading 2 Char"/>
    <w:link w:val="Heading2"/>
    <w:uiPriority w:val="9"/>
    <w:rsid w:val="00902C22"/>
    <w:rPr>
      <w:rFonts w:ascii="Arial" w:eastAsia="Times New Roman" w:hAnsi="Arial"/>
      <w:bCs/>
      <w:iCs/>
      <w:sz w:val="44"/>
      <w:szCs w:val="28"/>
      <w:lang w:eastAsia="en-US"/>
    </w:rPr>
  </w:style>
  <w:style w:type="character" w:customStyle="1" w:styleId="Heading3Char">
    <w:name w:val="Heading 3 Char"/>
    <w:link w:val="Heading3"/>
    <w:uiPriority w:val="9"/>
    <w:rsid w:val="00C076AD"/>
    <w:rPr>
      <w:rFonts w:ascii="Arial" w:eastAsia="Times New Roman" w:hAnsi="Arial"/>
      <w:b/>
      <w:bCs/>
      <w:color w:val="0072CE"/>
      <w:sz w:val="30"/>
      <w:szCs w:val="28"/>
      <w:lang w:eastAsia="en-US"/>
    </w:rPr>
  </w:style>
  <w:style w:type="paragraph" w:styleId="TOC1">
    <w:name w:val="toc 1"/>
    <w:basedOn w:val="Normal"/>
    <w:next w:val="Normal"/>
    <w:autoRedefine/>
    <w:uiPriority w:val="39"/>
    <w:unhideWhenUsed/>
    <w:rsid w:val="00122E20"/>
    <w:pPr>
      <w:tabs>
        <w:tab w:val="right" w:leader="dot" w:pos="9072"/>
      </w:tabs>
      <w:spacing w:before="200" w:after="80"/>
    </w:pPr>
    <w:rPr>
      <w:rFonts w:ascii="Arial" w:hAnsi="Arial"/>
      <w:b/>
      <w:sz w:val="20"/>
    </w:rPr>
  </w:style>
  <w:style w:type="paragraph" w:styleId="TOC2">
    <w:name w:val="toc 2"/>
    <w:basedOn w:val="Normal"/>
    <w:next w:val="Normal"/>
    <w:autoRedefine/>
    <w:uiPriority w:val="39"/>
    <w:unhideWhenUsed/>
    <w:rsid w:val="004B59DF"/>
    <w:pPr>
      <w:tabs>
        <w:tab w:val="right" w:leader="dot" w:pos="9072"/>
      </w:tabs>
      <w:spacing w:before="120" w:after="120" w:line="240" w:lineRule="auto"/>
    </w:pPr>
    <w:rPr>
      <w:rFonts w:ascii="Arial" w:hAnsi="Arial"/>
      <w:noProof/>
      <w:sz w:val="20"/>
    </w:rPr>
  </w:style>
  <w:style w:type="paragraph" w:styleId="TOC3">
    <w:name w:val="toc 3"/>
    <w:basedOn w:val="Normal"/>
    <w:next w:val="Normal"/>
    <w:autoRedefine/>
    <w:uiPriority w:val="39"/>
    <w:unhideWhenUsed/>
    <w:rsid w:val="00C90E80"/>
    <w:pPr>
      <w:ind w:left="440"/>
    </w:pPr>
  </w:style>
  <w:style w:type="character" w:styleId="Hyperlink">
    <w:name w:val="Hyperlink"/>
    <w:uiPriority w:val="99"/>
    <w:unhideWhenUsed/>
    <w:rsid w:val="00C90E80"/>
    <w:rPr>
      <w:color w:val="0563C1"/>
      <w:u w:val="single"/>
    </w:rPr>
  </w:style>
  <w:style w:type="paragraph" w:styleId="BodyText">
    <w:name w:val="Body Text"/>
    <w:link w:val="BodyTextChar"/>
    <w:uiPriority w:val="99"/>
    <w:rsid w:val="004166EA"/>
    <w:pPr>
      <w:spacing w:before="160" w:after="160" w:line="312" w:lineRule="auto"/>
    </w:pPr>
    <w:rPr>
      <w:rFonts w:ascii="Arial" w:eastAsia="Times New Roman" w:hAnsi="Arial" w:cs="Arial"/>
      <w:szCs w:val="24"/>
      <w:lang w:eastAsia="en-US"/>
    </w:rPr>
  </w:style>
  <w:style w:type="character" w:customStyle="1" w:styleId="BodyTextChar">
    <w:name w:val="Body Text Char"/>
    <w:link w:val="BodyText"/>
    <w:uiPriority w:val="99"/>
    <w:rsid w:val="004166EA"/>
    <w:rPr>
      <w:rFonts w:ascii="Arial" w:eastAsia="Times New Roman" w:hAnsi="Arial" w:cs="Arial"/>
      <w:szCs w:val="24"/>
      <w:lang w:eastAsia="en-US"/>
    </w:rPr>
  </w:style>
  <w:style w:type="paragraph" w:customStyle="1" w:styleId="TableColHead">
    <w:name w:val="Table Col Head"/>
    <w:basedOn w:val="Normal"/>
    <w:uiPriority w:val="11"/>
    <w:qFormat/>
    <w:rsid w:val="00A178C0"/>
    <w:pPr>
      <w:spacing w:before="80" w:after="60" w:line="240" w:lineRule="auto"/>
    </w:pPr>
    <w:rPr>
      <w:rFonts w:ascii="Arial" w:hAnsi="Arial" w:cs="Arial"/>
      <w:b/>
      <w:color w:val="FFFFFF"/>
      <w:w w:val="110"/>
      <w:sz w:val="18"/>
      <w:szCs w:val="18"/>
    </w:rPr>
  </w:style>
  <w:style w:type="paragraph" w:customStyle="1" w:styleId="TableTextRight">
    <w:name w:val="Table Text Right"/>
    <w:basedOn w:val="TableText"/>
    <w:qFormat/>
    <w:rsid w:val="008C1BE0"/>
    <w:pPr>
      <w:jc w:val="right"/>
    </w:pPr>
  </w:style>
  <w:style w:type="table" w:styleId="TableGrid">
    <w:name w:val="Table Grid"/>
    <w:basedOn w:val="TableNormal"/>
    <w:uiPriority w:val="39"/>
    <w:rsid w:val="00914245"/>
    <w:tblPr>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F4FB"/>
    </w:tcPr>
    <w:tblStylePr w:type="firstRow">
      <w:tblPr/>
      <w:tcPr>
        <w:tcBorders>
          <w:insideV w:val="single" w:sz="4" w:space="0" w:color="FFFFFF"/>
        </w:tcBorders>
        <w:shd w:val="clear" w:color="auto" w:fill="0072CE"/>
        <w:vAlign w:val="bottom"/>
      </w:tcPr>
    </w:tblStylePr>
  </w:style>
  <w:style w:type="paragraph" w:styleId="Header">
    <w:name w:val="header"/>
    <w:basedOn w:val="Normal"/>
    <w:link w:val="HeaderChar"/>
    <w:uiPriority w:val="99"/>
    <w:unhideWhenUsed/>
    <w:rsid w:val="00C71F11"/>
    <w:pPr>
      <w:tabs>
        <w:tab w:val="center" w:pos="4513"/>
        <w:tab w:val="right" w:pos="9026"/>
      </w:tabs>
    </w:pPr>
  </w:style>
  <w:style w:type="character" w:customStyle="1" w:styleId="HeaderChar">
    <w:name w:val="Header Char"/>
    <w:link w:val="Header"/>
    <w:uiPriority w:val="99"/>
    <w:rsid w:val="00C71F11"/>
    <w:rPr>
      <w:sz w:val="22"/>
      <w:szCs w:val="22"/>
      <w:lang w:eastAsia="en-US"/>
    </w:rPr>
  </w:style>
  <w:style w:type="paragraph" w:styleId="Footer">
    <w:name w:val="footer"/>
    <w:basedOn w:val="Normal"/>
    <w:link w:val="FooterChar"/>
    <w:uiPriority w:val="99"/>
    <w:unhideWhenUsed/>
    <w:rsid w:val="00783BEE"/>
    <w:pPr>
      <w:tabs>
        <w:tab w:val="right" w:pos="9072"/>
      </w:tabs>
      <w:spacing w:after="0" w:line="240" w:lineRule="auto"/>
    </w:pPr>
    <w:rPr>
      <w:rFonts w:ascii="Arial" w:hAnsi="Arial"/>
      <w:sz w:val="18"/>
    </w:rPr>
  </w:style>
  <w:style w:type="character" w:customStyle="1" w:styleId="FooterChar">
    <w:name w:val="Footer Char"/>
    <w:link w:val="Footer"/>
    <w:uiPriority w:val="99"/>
    <w:rsid w:val="00783BEE"/>
    <w:rPr>
      <w:rFonts w:ascii="Arial" w:hAnsi="Arial"/>
      <w:sz w:val="18"/>
      <w:szCs w:val="22"/>
      <w:lang w:eastAsia="en-US"/>
    </w:rPr>
  </w:style>
  <w:style w:type="paragraph" w:styleId="Caption">
    <w:name w:val="caption"/>
    <w:basedOn w:val="Normal"/>
    <w:next w:val="Normal"/>
    <w:uiPriority w:val="35"/>
    <w:unhideWhenUsed/>
    <w:qFormat/>
    <w:rsid w:val="003544EC"/>
    <w:pPr>
      <w:keepNext/>
      <w:keepLines/>
      <w:spacing w:before="300" w:after="120" w:line="240" w:lineRule="auto"/>
    </w:pPr>
    <w:rPr>
      <w:rFonts w:ascii="Arial" w:hAnsi="Arial" w:cs="Arial"/>
      <w:b/>
      <w:bCs/>
      <w:szCs w:val="20"/>
    </w:rPr>
  </w:style>
  <w:style w:type="paragraph" w:styleId="TOC4">
    <w:name w:val="toc 4"/>
    <w:basedOn w:val="Normal"/>
    <w:next w:val="Normal"/>
    <w:autoRedefine/>
    <w:uiPriority w:val="39"/>
    <w:semiHidden/>
    <w:rsid w:val="004F0321"/>
    <w:pPr>
      <w:spacing w:after="100"/>
      <w:ind w:left="660"/>
    </w:pPr>
    <w:rPr>
      <w:rFonts w:eastAsia="Times New Roman"/>
      <w:lang w:eastAsia="en-AU"/>
    </w:rPr>
  </w:style>
  <w:style w:type="paragraph" w:styleId="TOC5">
    <w:name w:val="toc 5"/>
    <w:basedOn w:val="Normal"/>
    <w:next w:val="Normal"/>
    <w:autoRedefine/>
    <w:uiPriority w:val="39"/>
    <w:semiHidden/>
    <w:rsid w:val="004F0321"/>
    <w:pPr>
      <w:spacing w:after="100"/>
      <w:ind w:left="880"/>
    </w:pPr>
    <w:rPr>
      <w:rFonts w:eastAsia="Times New Roman"/>
      <w:lang w:eastAsia="en-AU"/>
    </w:rPr>
  </w:style>
  <w:style w:type="paragraph" w:styleId="TOC6">
    <w:name w:val="toc 6"/>
    <w:basedOn w:val="Normal"/>
    <w:next w:val="Normal"/>
    <w:autoRedefine/>
    <w:uiPriority w:val="39"/>
    <w:semiHidden/>
    <w:rsid w:val="004F0321"/>
    <w:pPr>
      <w:spacing w:after="100"/>
      <w:ind w:left="1100"/>
    </w:pPr>
    <w:rPr>
      <w:rFonts w:eastAsia="Times New Roman"/>
      <w:lang w:eastAsia="en-AU"/>
    </w:rPr>
  </w:style>
  <w:style w:type="paragraph" w:styleId="TOC7">
    <w:name w:val="toc 7"/>
    <w:basedOn w:val="Normal"/>
    <w:next w:val="Normal"/>
    <w:autoRedefine/>
    <w:uiPriority w:val="39"/>
    <w:semiHidden/>
    <w:rsid w:val="004F0321"/>
    <w:pPr>
      <w:spacing w:after="100"/>
      <w:ind w:left="1320"/>
    </w:pPr>
    <w:rPr>
      <w:rFonts w:eastAsia="Times New Roman"/>
      <w:lang w:eastAsia="en-AU"/>
    </w:rPr>
  </w:style>
  <w:style w:type="paragraph" w:styleId="TOC8">
    <w:name w:val="toc 8"/>
    <w:basedOn w:val="Normal"/>
    <w:next w:val="Normal"/>
    <w:autoRedefine/>
    <w:uiPriority w:val="39"/>
    <w:semiHidden/>
    <w:rsid w:val="004F0321"/>
    <w:pPr>
      <w:spacing w:after="100"/>
      <w:ind w:left="1540"/>
    </w:pPr>
    <w:rPr>
      <w:rFonts w:eastAsia="Times New Roman"/>
      <w:lang w:eastAsia="en-AU"/>
    </w:rPr>
  </w:style>
  <w:style w:type="paragraph" w:styleId="TOC9">
    <w:name w:val="toc 9"/>
    <w:basedOn w:val="Normal"/>
    <w:next w:val="Normal"/>
    <w:autoRedefine/>
    <w:uiPriority w:val="39"/>
    <w:semiHidden/>
    <w:rsid w:val="004F0321"/>
    <w:pPr>
      <w:spacing w:after="100"/>
      <w:ind w:left="1760"/>
    </w:pPr>
    <w:rPr>
      <w:rFonts w:eastAsia="Times New Roman"/>
      <w:lang w:eastAsia="en-AU"/>
    </w:rPr>
  </w:style>
  <w:style w:type="paragraph" w:styleId="NoSpacing">
    <w:name w:val="No Spacing"/>
    <w:uiPriority w:val="98"/>
    <w:semiHidden/>
    <w:qFormat/>
    <w:rsid w:val="004F0321"/>
    <w:rPr>
      <w:sz w:val="22"/>
      <w:szCs w:val="22"/>
      <w:lang w:eastAsia="en-US"/>
    </w:rPr>
  </w:style>
  <w:style w:type="paragraph" w:styleId="NormalWeb">
    <w:name w:val="Normal (Web)"/>
    <w:basedOn w:val="Normal"/>
    <w:uiPriority w:val="99"/>
    <w:semiHidden/>
    <w:rsid w:val="00B74A1F"/>
    <w:rPr>
      <w:rFonts w:ascii="Times New Roman" w:hAnsi="Times New Roman"/>
      <w:sz w:val="24"/>
      <w:szCs w:val="24"/>
    </w:rPr>
  </w:style>
  <w:style w:type="paragraph" w:styleId="ListParagraph">
    <w:name w:val="List Paragraph"/>
    <w:basedOn w:val="Normal"/>
    <w:uiPriority w:val="99"/>
    <w:semiHidden/>
    <w:qFormat/>
    <w:rsid w:val="00A26139"/>
    <w:pPr>
      <w:spacing w:after="200" w:line="276" w:lineRule="auto"/>
      <w:ind w:left="720"/>
      <w:contextualSpacing/>
    </w:pPr>
  </w:style>
  <w:style w:type="paragraph" w:customStyle="1" w:styleId="TableColHeadRight">
    <w:name w:val="Table Col Head Right"/>
    <w:basedOn w:val="TableColHead"/>
    <w:qFormat/>
    <w:rsid w:val="008C1BE0"/>
    <w:pPr>
      <w:jc w:val="right"/>
    </w:pPr>
  </w:style>
  <w:style w:type="paragraph" w:customStyle="1" w:styleId="TableTextBold">
    <w:name w:val="Table Text Bold"/>
    <w:basedOn w:val="TableText"/>
    <w:qFormat/>
    <w:rsid w:val="00CE2CE5"/>
    <w:rPr>
      <w:b/>
    </w:rPr>
  </w:style>
  <w:style w:type="paragraph" w:styleId="ListBullet2">
    <w:name w:val="List Bullet 2"/>
    <w:basedOn w:val="Normal"/>
    <w:uiPriority w:val="99"/>
    <w:rsid w:val="00A231D9"/>
    <w:pPr>
      <w:numPr>
        <w:numId w:val="29"/>
      </w:numPr>
      <w:contextualSpacing/>
    </w:pPr>
  </w:style>
  <w:style w:type="numbering" w:customStyle="1" w:styleId="CAVListStyleBullets">
    <w:name w:val="CAV List Style: Bullets"/>
    <w:uiPriority w:val="99"/>
    <w:rsid w:val="00C659AA"/>
    <w:pPr>
      <w:numPr>
        <w:numId w:val="7"/>
      </w:numPr>
    </w:pPr>
  </w:style>
  <w:style w:type="paragraph" w:styleId="BlockText">
    <w:name w:val="Block Text"/>
    <w:basedOn w:val="Normal"/>
    <w:semiHidden/>
    <w:rsid w:val="00C04AF5"/>
    <w:pPr>
      <w:spacing w:before="240" w:after="120" w:line="240" w:lineRule="auto"/>
      <w:ind w:left="1440" w:right="1440"/>
    </w:pPr>
    <w:rPr>
      <w:rFonts w:ascii="Arial" w:hAnsi="Arial" w:cs="Arial"/>
      <w:color w:val="FF0000"/>
      <w:u w:val="single"/>
      <w:lang w:eastAsia="en-AU"/>
    </w:rPr>
  </w:style>
  <w:style w:type="paragraph" w:styleId="FootnoteText">
    <w:name w:val="footnote text"/>
    <w:basedOn w:val="Normal"/>
    <w:link w:val="FootnoteTextChar"/>
    <w:uiPriority w:val="99"/>
    <w:rsid w:val="00A54548"/>
    <w:pPr>
      <w:spacing w:before="60" w:after="60" w:line="264" w:lineRule="auto"/>
      <w:ind w:left="340" w:hanging="340"/>
    </w:pPr>
    <w:rPr>
      <w:rFonts w:ascii="Arial" w:hAnsi="Arial" w:cs="Arial"/>
      <w:sz w:val="18"/>
      <w:szCs w:val="16"/>
    </w:rPr>
  </w:style>
  <w:style w:type="character" w:styleId="Emphasis">
    <w:name w:val="Emphasis"/>
    <w:uiPriority w:val="20"/>
    <w:qFormat/>
    <w:rsid w:val="00422C46"/>
    <w:rPr>
      <w:i/>
      <w:iCs/>
    </w:rPr>
  </w:style>
  <w:style w:type="character" w:styleId="Strong">
    <w:name w:val="Strong"/>
    <w:uiPriority w:val="22"/>
    <w:qFormat/>
    <w:rsid w:val="008A5248"/>
    <w:rPr>
      <w:b/>
      <w:bCs/>
    </w:rPr>
  </w:style>
  <w:style w:type="character" w:styleId="CommentReference">
    <w:name w:val="annotation reference"/>
    <w:uiPriority w:val="99"/>
    <w:semiHidden/>
    <w:unhideWhenUsed/>
    <w:rsid w:val="00E44B22"/>
    <w:rPr>
      <w:sz w:val="16"/>
      <w:szCs w:val="16"/>
    </w:rPr>
  </w:style>
  <w:style w:type="paragraph" w:styleId="CommentText">
    <w:name w:val="annotation text"/>
    <w:basedOn w:val="Normal"/>
    <w:link w:val="CommentTextChar"/>
    <w:uiPriority w:val="99"/>
    <w:semiHidden/>
    <w:unhideWhenUsed/>
    <w:rsid w:val="00E44B22"/>
    <w:rPr>
      <w:sz w:val="20"/>
      <w:szCs w:val="20"/>
    </w:rPr>
  </w:style>
  <w:style w:type="character" w:customStyle="1" w:styleId="CommentTextChar">
    <w:name w:val="Comment Text Char"/>
    <w:link w:val="CommentText"/>
    <w:uiPriority w:val="99"/>
    <w:semiHidden/>
    <w:rsid w:val="00E44B22"/>
    <w:rPr>
      <w:lang w:eastAsia="en-US"/>
    </w:rPr>
  </w:style>
  <w:style w:type="paragraph" w:styleId="CommentSubject">
    <w:name w:val="annotation subject"/>
    <w:basedOn w:val="CommentText"/>
    <w:next w:val="CommentText"/>
    <w:link w:val="CommentSubjectChar"/>
    <w:uiPriority w:val="99"/>
    <w:semiHidden/>
    <w:unhideWhenUsed/>
    <w:rsid w:val="00E44B22"/>
    <w:rPr>
      <w:b/>
      <w:bCs/>
    </w:rPr>
  </w:style>
  <w:style w:type="character" w:customStyle="1" w:styleId="CommentSubjectChar">
    <w:name w:val="Comment Subject Char"/>
    <w:link w:val="CommentSubject"/>
    <w:uiPriority w:val="99"/>
    <w:semiHidden/>
    <w:rsid w:val="00E44B22"/>
    <w:rPr>
      <w:b/>
      <w:bCs/>
      <w:lang w:eastAsia="en-US"/>
    </w:rPr>
  </w:style>
  <w:style w:type="paragraph" w:styleId="BalloonText">
    <w:name w:val="Balloon Text"/>
    <w:basedOn w:val="Normal"/>
    <w:link w:val="BalloonTextChar"/>
    <w:uiPriority w:val="99"/>
    <w:semiHidden/>
    <w:unhideWhenUsed/>
    <w:rsid w:val="00E44B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4B22"/>
    <w:rPr>
      <w:rFonts w:ascii="Segoe UI" w:hAnsi="Segoe UI" w:cs="Segoe UI"/>
      <w:sz w:val="18"/>
      <w:szCs w:val="18"/>
      <w:lang w:eastAsia="en-US"/>
    </w:rPr>
  </w:style>
  <w:style w:type="character" w:customStyle="1" w:styleId="Heading4Char">
    <w:name w:val="Heading 4 Char"/>
    <w:link w:val="Heading4"/>
    <w:uiPriority w:val="9"/>
    <w:rsid w:val="00C076AD"/>
    <w:rPr>
      <w:rFonts w:ascii="Arial" w:eastAsia="Times New Roman" w:hAnsi="Arial"/>
      <w:b/>
      <w:bCs/>
      <w:sz w:val="26"/>
      <w:szCs w:val="26"/>
      <w:lang w:eastAsia="en-US"/>
    </w:rPr>
  </w:style>
  <w:style w:type="paragraph" w:styleId="Revision">
    <w:name w:val="Revision"/>
    <w:hidden/>
    <w:uiPriority w:val="99"/>
    <w:semiHidden/>
    <w:rsid w:val="00A73820"/>
    <w:rPr>
      <w:sz w:val="22"/>
      <w:szCs w:val="22"/>
      <w:lang w:eastAsia="en-US"/>
    </w:rPr>
  </w:style>
  <w:style w:type="character" w:customStyle="1" w:styleId="FootnoteTextChar">
    <w:name w:val="Footnote Text Char"/>
    <w:link w:val="FootnoteText"/>
    <w:uiPriority w:val="99"/>
    <w:rsid w:val="00A54548"/>
    <w:rPr>
      <w:rFonts w:ascii="Arial" w:hAnsi="Arial" w:cs="Arial"/>
      <w:sz w:val="18"/>
      <w:szCs w:val="16"/>
      <w:lang w:eastAsia="en-US"/>
    </w:rPr>
  </w:style>
  <w:style w:type="character" w:styleId="FootnoteReference">
    <w:name w:val="footnote reference"/>
    <w:uiPriority w:val="99"/>
    <w:rsid w:val="003D521F"/>
    <w:rPr>
      <w:vertAlign w:val="superscript"/>
    </w:rPr>
  </w:style>
  <w:style w:type="paragraph" w:customStyle="1" w:styleId="BodyTextSmallSpace">
    <w:name w:val="Body Text Small Space"/>
    <w:basedOn w:val="BodyText"/>
    <w:qFormat/>
    <w:rsid w:val="005003AA"/>
    <w:pPr>
      <w:spacing w:after="0"/>
    </w:pPr>
  </w:style>
  <w:style w:type="paragraph" w:styleId="TableofFigures">
    <w:name w:val="table of figures"/>
    <w:basedOn w:val="Normal"/>
    <w:next w:val="Normal"/>
    <w:uiPriority w:val="99"/>
    <w:semiHidden/>
    <w:unhideWhenUsed/>
    <w:rsid w:val="00624207"/>
  </w:style>
  <w:style w:type="character" w:styleId="FollowedHyperlink">
    <w:name w:val="FollowedHyperlink"/>
    <w:uiPriority w:val="99"/>
    <w:semiHidden/>
    <w:unhideWhenUsed/>
    <w:rsid w:val="004F061C"/>
    <w:rPr>
      <w:color w:val="954F72"/>
      <w:u w:val="single"/>
    </w:rPr>
  </w:style>
  <w:style w:type="paragraph" w:styleId="ListBullet">
    <w:name w:val="List Bullet"/>
    <w:basedOn w:val="Normal"/>
    <w:uiPriority w:val="99"/>
    <w:rsid w:val="00A10A1B"/>
    <w:pPr>
      <w:numPr>
        <w:numId w:val="28"/>
      </w:numPr>
      <w:spacing w:after="40" w:line="312" w:lineRule="auto"/>
      <w:ind w:left="357" w:hanging="357"/>
    </w:pPr>
    <w:rPr>
      <w:rFonts w:ascii="Arial" w:hAnsi="Arial"/>
      <w:sz w:val="20"/>
    </w:rPr>
  </w:style>
  <w:style w:type="character" w:customStyle="1" w:styleId="Heading5Char">
    <w:name w:val="Heading 5 Char"/>
    <w:link w:val="Heading5"/>
    <w:uiPriority w:val="9"/>
    <w:rsid w:val="00D03A6F"/>
    <w:rPr>
      <w:rFonts w:ascii="Arial" w:eastAsia="Times New Roman" w:hAnsi="Arial"/>
      <w:b/>
      <w:bCs/>
      <w:iCs/>
      <w:sz w:val="22"/>
      <w:szCs w:val="26"/>
      <w:lang w:eastAsia="en-US"/>
    </w:rPr>
  </w:style>
  <w:style w:type="paragraph" w:styleId="ListNumber">
    <w:name w:val="List Number"/>
    <w:basedOn w:val="Normal"/>
    <w:uiPriority w:val="99"/>
    <w:rsid w:val="00896A7C"/>
    <w:pPr>
      <w:numPr>
        <w:numId w:val="30"/>
      </w:numPr>
      <w:spacing w:line="312" w:lineRule="auto"/>
      <w:ind w:left="357" w:hanging="357"/>
      <w:contextualSpacing/>
    </w:pPr>
    <w:rPr>
      <w:rFonts w:ascii="Arial" w:hAnsi="Arial"/>
      <w:sz w:val="20"/>
    </w:rPr>
  </w:style>
  <w:style w:type="character" w:customStyle="1" w:styleId="UnresolvedMention1">
    <w:name w:val="Unresolved Mention1"/>
    <w:uiPriority w:val="99"/>
    <w:semiHidden/>
    <w:unhideWhenUsed/>
    <w:rsid w:val="003B545A"/>
    <w:rPr>
      <w:color w:val="808080"/>
      <w:shd w:val="clear" w:color="auto" w:fill="E6E6E6"/>
    </w:rPr>
  </w:style>
  <w:style w:type="character" w:customStyle="1" w:styleId="Heading6Char">
    <w:name w:val="Heading 6 Char"/>
    <w:link w:val="Heading6"/>
    <w:uiPriority w:val="9"/>
    <w:rsid w:val="00D03A6F"/>
    <w:rPr>
      <w:rFonts w:ascii="Arial" w:eastAsia="Times New Roman" w:hAnsi="Arial"/>
      <w:b/>
      <w:bCs/>
      <w:szCs w:val="22"/>
      <w:lang w:eastAsia="en-US"/>
    </w:rPr>
  </w:style>
  <w:style w:type="paragraph" w:customStyle="1" w:styleId="TableTextRightBold">
    <w:name w:val="Table Text Right Bold"/>
    <w:basedOn w:val="TableTextRight"/>
    <w:qFormat/>
    <w:rsid w:val="00006DE3"/>
    <w:rPr>
      <w:b/>
    </w:rPr>
  </w:style>
  <w:style w:type="character" w:customStyle="1" w:styleId="Superscript">
    <w:name w:val="Superscript"/>
    <w:uiPriority w:val="99"/>
    <w:rsid w:val="00D600AA"/>
    <w:rPr>
      <w:vertAlign w:val="superscript"/>
    </w:rPr>
  </w:style>
  <w:style w:type="paragraph" w:styleId="TOCHeading">
    <w:name w:val="TOC Heading"/>
    <w:basedOn w:val="Heading1"/>
    <w:next w:val="Normal"/>
    <w:uiPriority w:val="39"/>
    <w:semiHidden/>
    <w:unhideWhenUsed/>
    <w:qFormat/>
    <w:rsid w:val="00C77B2D"/>
    <w:pPr>
      <w:keepNext/>
      <w:keepLines/>
      <w:spacing w:before="480" w:after="0"/>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724">
      <w:bodyDiv w:val="1"/>
      <w:marLeft w:val="0"/>
      <w:marRight w:val="0"/>
      <w:marTop w:val="0"/>
      <w:marBottom w:val="0"/>
      <w:divBdr>
        <w:top w:val="none" w:sz="0" w:space="0" w:color="auto"/>
        <w:left w:val="none" w:sz="0" w:space="0" w:color="auto"/>
        <w:bottom w:val="none" w:sz="0" w:space="0" w:color="auto"/>
        <w:right w:val="none" w:sz="0" w:space="0" w:color="auto"/>
      </w:divBdr>
    </w:div>
    <w:div w:id="67700473">
      <w:bodyDiv w:val="1"/>
      <w:marLeft w:val="0"/>
      <w:marRight w:val="0"/>
      <w:marTop w:val="0"/>
      <w:marBottom w:val="0"/>
      <w:divBdr>
        <w:top w:val="none" w:sz="0" w:space="0" w:color="auto"/>
        <w:left w:val="none" w:sz="0" w:space="0" w:color="auto"/>
        <w:bottom w:val="none" w:sz="0" w:space="0" w:color="auto"/>
        <w:right w:val="none" w:sz="0" w:space="0" w:color="auto"/>
      </w:divBdr>
    </w:div>
    <w:div w:id="78991551">
      <w:bodyDiv w:val="1"/>
      <w:marLeft w:val="0"/>
      <w:marRight w:val="0"/>
      <w:marTop w:val="0"/>
      <w:marBottom w:val="0"/>
      <w:divBdr>
        <w:top w:val="none" w:sz="0" w:space="0" w:color="auto"/>
        <w:left w:val="none" w:sz="0" w:space="0" w:color="auto"/>
        <w:bottom w:val="none" w:sz="0" w:space="0" w:color="auto"/>
        <w:right w:val="none" w:sz="0" w:space="0" w:color="auto"/>
      </w:divBdr>
    </w:div>
    <w:div w:id="94137366">
      <w:bodyDiv w:val="1"/>
      <w:marLeft w:val="0"/>
      <w:marRight w:val="0"/>
      <w:marTop w:val="0"/>
      <w:marBottom w:val="0"/>
      <w:divBdr>
        <w:top w:val="none" w:sz="0" w:space="0" w:color="auto"/>
        <w:left w:val="none" w:sz="0" w:space="0" w:color="auto"/>
        <w:bottom w:val="none" w:sz="0" w:space="0" w:color="auto"/>
        <w:right w:val="none" w:sz="0" w:space="0" w:color="auto"/>
      </w:divBdr>
    </w:div>
    <w:div w:id="119108128">
      <w:bodyDiv w:val="1"/>
      <w:marLeft w:val="0"/>
      <w:marRight w:val="0"/>
      <w:marTop w:val="0"/>
      <w:marBottom w:val="0"/>
      <w:divBdr>
        <w:top w:val="none" w:sz="0" w:space="0" w:color="auto"/>
        <w:left w:val="none" w:sz="0" w:space="0" w:color="auto"/>
        <w:bottom w:val="none" w:sz="0" w:space="0" w:color="auto"/>
        <w:right w:val="none" w:sz="0" w:space="0" w:color="auto"/>
      </w:divBdr>
    </w:div>
    <w:div w:id="177160737">
      <w:bodyDiv w:val="1"/>
      <w:marLeft w:val="0"/>
      <w:marRight w:val="0"/>
      <w:marTop w:val="0"/>
      <w:marBottom w:val="0"/>
      <w:divBdr>
        <w:top w:val="none" w:sz="0" w:space="0" w:color="auto"/>
        <w:left w:val="none" w:sz="0" w:space="0" w:color="auto"/>
        <w:bottom w:val="none" w:sz="0" w:space="0" w:color="auto"/>
        <w:right w:val="none" w:sz="0" w:space="0" w:color="auto"/>
      </w:divBdr>
    </w:div>
    <w:div w:id="179854712">
      <w:bodyDiv w:val="1"/>
      <w:marLeft w:val="0"/>
      <w:marRight w:val="0"/>
      <w:marTop w:val="0"/>
      <w:marBottom w:val="0"/>
      <w:divBdr>
        <w:top w:val="none" w:sz="0" w:space="0" w:color="auto"/>
        <w:left w:val="none" w:sz="0" w:space="0" w:color="auto"/>
        <w:bottom w:val="none" w:sz="0" w:space="0" w:color="auto"/>
        <w:right w:val="none" w:sz="0" w:space="0" w:color="auto"/>
      </w:divBdr>
    </w:div>
    <w:div w:id="246889497">
      <w:bodyDiv w:val="1"/>
      <w:marLeft w:val="0"/>
      <w:marRight w:val="0"/>
      <w:marTop w:val="0"/>
      <w:marBottom w:val="0"/>
      <w:divBdr>
        <w:top w:val="none" w:sz="0" w:space="0" w:color="auto"/>
        <w:left w:val="none" w:sz="0" w:space="0" w:color="auto"/>
        <w:bottom w:val="none" w:sz="0" w:space="0" w:color="auto"/>
        <w:right w:val="none" w:sz="0" w:space="0" w:color="auto"/>
      </w:divBdr>
    </w:div>
    <w:div w:id="248735409">
      <w:bodyDiv w:val="1"/>
      <w:marLeft w:val="0"/>
      <w:marRight w:val="0"/>
      <w:marTop w:val="0"/>
      <w:marBottom w:val="0"/>
      <w:divBdr>
        <w:top w:val="none" w:sz="0" w:space="0" w:color="auto"/>
        <w:left w:val="none" w:sz="0" w:space="0" w:color="auto"/>
        <w:bottom w:val="none" w:sz="0" w:space="0" w:color="auto"/>
        <w:right w:val="none" w:sz="0" w:space="0" w:color="auto"/>
      </w:divBdr>
    </w:div>
    <w:div w:id="269624268">
      <w:bodyDiv w:val="1"/>
      <w:marLeft w:val="0"/>
      <w:marRight w:val="0"/>
      <w:marTop w:val="0"/>
      <w:marBottom w:val="0"/>
      <w:divBdr>
        <w:top w:val="none" w:sz="0" w:space="0" w:color="auto"/>
        <w:left w:val="none" w:sz="0" w:space="0" w:color="auto"/>
        <w:bottom w:val="none" w:sz="0" w:space="0" w:color="auto"/>
        <w:right w:val="none" w:sz="0" w:space="0" w:color="auto"/>
      </w:divBdr>
    </w:div>
    <w:div w:id="306325682">
      <w:bodyDiv w:val="1"/>
      <w:marLeft w:val="0"/>
      <w:marRight w:val="0"/>
      <w:marTop w:val="0"/>
      <w:marBottom w:val="0"/>
      <w:divBdr>
        <w:top w:val="none" w:sz="0" w:space="0" w:color="auto"/>
        <w:left w:val="none" w:sz="0" w:space="0" w:color="auto"/>
        <w:bottom w:val="none" w:sz="0" w:space="0" w:color="auto"/>
        <w:right w:val="none" w:sz="0" w:space="0" w:color="auto"/>
      </w:divBdr>
    </w:div>
    <w:div w:id="324090989">
      <w:bodyDiv w:val="1"/>
      <w:marLeft w:val="0"/>
      <w:marRight w:val="0"/>
      <w:marTop w:val="0"/>
      <w:marBottom w:val="0"/>
      <w:divBdr>
        <w:top w:val="none" w:sz="0" w:space="0" w:color="auto"/>
        <w:left w:val="none" w:sz="0" w:space="0" w:color="auto"/>
        <w:bottom w:val="none" w:sz="0" w:space="0" w:color="auto"/>
        <w:right w:val="none" w:sz="0" w:space="0" w:color="auto"/>
      </w:divBdr>
    </w:div>
    <w:div w:id="447622962">
      <w:bodyDiv w:val="1"/>
      <w:marLeft w:val="0"/>
      <w:marRight w:val="0"/>
      <w:marTop w:val="0"/>
      <w:marBottom w:val="0"/>
      <w:divBdr>
        <w:top w:val="none" w:sz="0" w:space="0" w:color="auto"/>
        <w:left w:val="none" w:sz="0" w:space="0" w:color="auto"/>
        <w:bottom w:val="none" w:sz="0" w:space="0" w:color="auto"/>
        <w:right w:val="none" w:sz="0" w:space="0" w:color="auto"/>
      </w:divBdr>
    </w:div>
    <w:div w:id="602615279">
      <w:bodyDiv w:val="1"/>
      <w:marLeft w:val="0"/>
      <w:marRight w:val="0"/>
      <w:marTop w:val="0"/>
      <w:marBottom w:val="0"/>
      <w:divBdr>
        <w:top w:val="none" w:sz="0" w:space="0" w:color="auto"/>
        <w:left w:val="none" w:sz="0" w:space="0" w:color="auto"/>
        <w:bottom w:val="none" w:sz="0" w:space="0" w:color="auto"/>
        <w:right w:val="none" w:sz="0" w:space="0" w:color="auto"/>
      </w:divBdr>
    </w:div>
    <w:div w:id="604195287">
      <w:bodyDiv w:val="1"/>
      <w:marLeft w:val="0"/>
      <w:marRight w:val="0"/>
      <w:marTop w:val="0"/>
      <w:marBottom w:val="0"/>
      <w:divBdr>
        <w:top w:val="none" w:sz="0" w:space="0" w:color="auto"/>
        <w:left w:val="none" w:sz="0" w:space="0" w:color="auto"/>
        <w:bottom w:val="none" w:sz="0" w:space="0" w:color="auto"/>
        <w:right w:val="none" w:sz="0" w:space="0" w:color="auto"/>
      </w:divBdr>
    </w:div>
    <w:div w:id="615451468">
      <w:bodyDiv w:val="1"/>
      <w:marLeft w:val="0"/>
      <w:marRight w:val="0"/>
      <w:marTop w:val="0"/>
      <w:marBottom w:val="0"/>
      <w:divBdr>
        <w:top w:val="none" w:sz="0" w:space="0" w:color="auto"/>
        <w:left w:val="none" w:sz="0" w:space="0" w:color="auto"/>
        <w:bottom w:val="none" w:sz="0" w:space="0" w:color="auto"/>
        <w:right w:val="none" w:sz="0" w:space="0" w:color="auto"/>
      </w:divBdr>
    </w:div>
    <w:div w:id="687145850">
      <w:bodyDiv w:val="1"/>
      <w:marLeft w:val="0"/>
      <w:marRight w:val="0"/>
      <w:marTop w:val="0"/>
      <w:marBottom w:val="0"/>
      <w:divBdr>
        <w:top w:val="none" w:sz="0" w:space="0" w:color="auto"/>
        <w:left w:val="none" w:sz="0" w:space="0" w:color="auto"/>
        <w:bottom w:val="none" w:sz="0" w:space="0" w:color="auto"/>
        <w:right w:val="none" w:sz="0" w:space="0" w:color="auto"/>
      </w:divBdr>
    </w:div>
    <w:div w:id="719675233">
      <w:bodyDiv w:val="1"/>
      <w:marLeft w:val="0"/>
      <w:marRight w:val="0"/>
      <w:marTop w:val="0"/>
      <w:marBottom w:val="0"/>
      <w:divBdr>
        <w:top w:val="none" w:sz="0" w:space="0" w:color="auto"/>
        <w:left w:val="none" w:sz="0" w:space="0" w:color="auto"/>
        <w:bottom w:val="none" w:sz="0" w:space="0" w:color="auto"/>
        <w:right w:val="none" w:sz="0" w:space="0" w:color="auto"/>
      </w:divBdr>
    </w:div>
    <w:div w:id="756513019">
      <w:bodyDiv w:val="1"/>
      <w:marLeft w:val="0"/>
      <w:marRight w:val="0"/>
      <w:marTop w:val="0"/>
      <w:marBottom w:val="0"/>
      <w:divBdr>
        <w:top w:val="none" w:sz="0" w:space="0" w:color="auto"/>
        <w:left w:val="none" w:sz="0" w:space="0" w:color="auto"/>
        <w:bottom w:val="none" w:sz="0" w:space="0" w:color="auto"/>
        <w:right w:val="none" w:sz="0" w:space="0" w:color="auto"/>
      </w:divBdr>
    </w:div>
    <w:div w:id="1287397041">
      <w:bodyDiv w:val="1"/>
      <w:marLeft w:val="0"/>
      <w:marRight w:val="0"/>
      <w:marTop w:val="0"/>
      <w:marBottom w:val="0"/>
      <w:divBdr>
        <w:top w:val="none" w:sz="0" w:space="0" w:color="auto"/>
        <w:left w:val="none" w:sz="0" w:space="0" w:color="auto"/>
        <w:bottom w:val="none" w:sz="0" w:space="0" w:color="auto"/>
        <w:right w:val="none" w:sz="0" w:space="0" w:color="auto"/>
      </w:divBdr>
    </w:div>
    <w:div w:id="1322276776">
      <w:bodyDiv w:val="1"/>
      <w:marLeft w:val="0"/>
      <w:marRight w:val="0"/>
      <w:marTop w:val="0"/>
      <w:marBottom w:val="0"/>
      <w:divBdr>
        <w:top w:val="none" w:sz="0" w:space="0" w:color="auto"/>
        <w:left w:val="none" w:sz="0" w:space="0" w:color="auto"/>
        <w:bottom w:val="none" w:sz="0" w:space="0" w:color="auto"/>
        <w:right w:val="none" w:sz="0" w:space="0" w:color="auto"/>
      </w:divBdr>
    </w:div>
    <w:div w:id="1328286301">
      <w:bodyDiv w:val="1"/>
      <w:marLeft w:val="0"/>
      <w:marRight w:val="0"/>
      <w:marTop w:val="0"/>
      <w:marBottom w:val="0"/>
      <w:divBdr>
        <w:top w:val="none" w:sz="0" w:space="0" w:color="auto"/>
        <w:left w:val="none" w:sz="0" w:space="0" w:color="auto"/>
        <w:bottom w:val="none" w:sz="0" w:space="0" w:color="auto"/>
        <w:right w:val="none" w:sz="0" w:space="0" w:color="auto"/>
      </w:divBdr>
    </w:div>
    <w:div w:id="1437676124">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484932626">
      <w:bodyDiv w:val="1"/>
      <w:marLeft w:val="0"/>
      <w:marRight w:val="0"/>
      <w:marTop w:val="0"/>
      <w:marBottom w:val="0"/>
      <w:divBdr>
        <w:top w:val="none" w:sz="0" w:space="0" w:color="auto"/>
        <w:left w:val="none" w:sz="0" w:space="0" w:color="auto"/>
        <w:bottom w:val="none" w:sz="0" w:space="0" w:color="auto"/>
        <w:right w:val="none" w:sz="0" w:space="0" w:color="auto"/>
      </w:divBdr>
      <w:divsChild>
        <w:div w:id="1172337714">
          <w:marLeft w:val="0"/>
          <w:marRight w:val="0"/>
          <w:marTop w:val="0"/>
          <w:marBottom w:val="0"/>
          <w:divBdr>
            <w:top w:val="none" w:sz="0" w:space="0" w:color="auto"/>
            <w:left w:val="none" w:sz="0" w:space="0" w:color="auto"/>
            <w:bottom w:val="none" w:sz="0" w:space="0" w:color="auto"/>
            <w:right w:val="none" w:sz="0" w:space="0" w:color="auto"/>
          </w:divBdr>
        </w:div>
      </w:divsChild>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13640862">
      <w:bodyDiv w:val="1"/>
      <w:marLeft w:val="0"/>
      <w:marRight w:val="0"/>
      <w:marTop w:val="0"/>
      <w:marBottom w:val="0"/>
      <w:divBdr>
        <w:top w:val="none" w:sz="0" w:space="0" w:color="auto"/>
        <w:left w:val="none" w:sz="0" w:space="0" w:color="auto"/>
        <w:bottom w:val="none" w:sz="0" w:space="0" w:color="auto"/>
        <w:right w:val="none" w:sz="0" w:space="0" w:color="auto"/>
      </w:divBdr>
    </w:div>
    <w:div w:id="1525553732">
      <w:bodyDiv w:val="1"/>
      <w:marLeft w:val="0"/>
      <w:marRight w:val="0"/>
      <w:marTop w:val="0"/>
      <w:marBottom w:val="0"/>
      <w:divBdr>
        <w:top w:val="none" w:sz="0" w:space="0" w:color="auto"/>
        <w:left w:val="none" w:sz="0" w:space="0" w:color="auto"/>
        <w:bottom w:val="none" w:sz="0" w:space="0" w:color="auto"/>
        <w:right w:val="none" w:sz="0" w:space="0" w:color="auto"/>
      </w:divBdr>
      <w:divsChild>
        <w:div w:id="372467232">
          <w:marLeft w:val="274"/>
          <w:marRight w:val="0"/>
          <w:marTop w:val="86"/>
          <w:marBottom w:val="0"/>
          <w:divBdr>
            <w:top w:val="none" w:sz="0" w:space="0" w:color="auto"/>
            <w:left w:val="none" w:sz="0" w:space="0" w:color="auto"/>
            <w:bottom w:val="none" w:sz="0" w:space="0" w:color="auto"/>
            <w:right w:val="none" w:sz="0" w:space="0" w:color="auto"/>
          </w:divBdr>
        </w:div>
        <w:div w:id="1300647180">
          <w:marLeft w:val="274"/>
          <w:marRight w:val="0"/>
          <w:marTop w:val="86"/>
          <w:marBottom w:val="0"/>
          <w:divBdr>
            <w:top w:val="none" w:sz="0" w:space="0" w:color="auto"/>
            <w:left w:val="none" w:sz="0" w:space="0" w:color="auto"/>
            <w:bottom w:val="none" w:sz="0" w:space="0" w:color="auto"/>
            <w:right w:val="none" w:sz="0" w:space="0" w:color="auto"/>
          </w:divBdr>
        </w:div>
        <w:div w:id="1693341467">
          <w:marLeft w:val="274"/>
          <w:marRight w:val="0"/>
          <w:marTop w:val="86"/>
          <w:marBottom w:val="0"/>
          <w:divBdr>
            <w:top w:val="none" w:sz="0" w:space="0" w:color="auto"/>
            <w:left w:val="none" w:sz="0" w:space="0" w:color="auto"/>
            <w:bottom w:val="none" w:sz="0" w:space="0" w:color="auto"/>
            <w:right w:val="none" w:sz="0" w:space="0" w:color="auto"/>
          </w:divBdr>
        </w:div>
      </w:divsChild>
    </w:div>
    <w:div w:id="1697073557">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806922394">
      <w:bodyDiv w:val="1"/>
      <w:marLeft w:val="0"/>
      <w:marRight w:val="0"/>
      <w:marTop w:val="0"/>
      <w:marBottom w:val="0"/>
      <w:divBdr>
        <w:top w:val="none" w:sz="0" w:space="0" w:color="auto"/>
        <w:left w:val="none" w:sz="0" w:space="0" w:color="auto"/>
        <w:bottom w:val="none" w:sz="0" w:space="0" w:color="auto"/>
        <w:right w:val="none" w:sz="0" w:space="0" w:color="auto"/>
      </w:divBdr>
    </w:div>
    <w:div w:id="1813980390">
      <w:bodyDiv w:val="1"/>
      <w:marLeft w:val="0"/>
      <w:marRight w:val="0"/>
      <w:marTop w:val="0"/>
      <w:marBottom w:val="0"/>
      <w:divBdr>
        <w:top w:val="none" w:sz="0" w:space="0" w:color="auto"/>
        <w:left w:val="none" w:sz="0" w:space="0" w:color="auto"/>
        <w:bottom w:val="none" w:sz="0" w:space="0" w:color="auto"/>
        <w:right w:val="none" w:sz="0" w:space="0" w:color="auto"/>
      </w:divBdr>
    </w:div>
    <w:div w:id="1816216685">
      <w:bodyDiv w:val="1"/>
      <w:marLeft w:val="0"/>
      <w:marRight w:val="0"/>
      <w:marTop w:val="0"/>
      <w:marBottom w:val="0"/>
      <w:divBdr>
        <w:top w:val="none" w:sz="0" w:space="0" w:color="auto"/>
        <w:left w:val="none" w:sz="0" w:space="0" w:color="auto"/>
        <w:bottom w:val="none" w:sz="0" w:space="0" w:color="auto"/>
        <w:right w:val="none" w:sz="0" w:space="0" w:color="auto"/>
      </w:divBdr>
    </w:div>
    <w:div w:id="1874076455">
      <w:bodyDiv w:val="1"/>
      <w:marLeft w:val="0"/>
      <w:marRight w:val="0"/>
      <w:marTop w:val="0"/>
      <w:marBottom w:val="0"/>
      <w:divBdr>
        <w:top w:val="none" w:sz="0" w:space="0" w:color="auto"/>
        <w:left w:val="none" w:sz="0" w:space="0" w:color="auto"/>
        <w:bottom w:val="none" w:sz="0" w:space="0" w:color="auto"/>
        <w:right w:val="none" w:sz="0" w:space="0" w:color="auto"/>
      </w:divBdr>
    </w:div>
    <w:div w:id="1911038311">
      <w:bodyDiv w:val="1"/>
      <w:marLeft w:val="0"/>
      <w:marRight w:val="0"/>
      <w:marTop w:val="0"/>
      <w:marBottom w:val="0"/>
      <w:divBdr>
        <w:top w:val="none" w:sz="0" w:space="0" w:color="auto"/>
        <w:left w:val="none" w:sz="0" w:space="0" w:color="auto"/>
        <w:bottom w:val="none" w:sz="0" w:space="0" w:color="auto"/>
        <w:right w:val="none" w:sz="0" w:space="0" w:color="auto"/>
      </w:divBdr>
    </w:div>
    <w:div w:id="1934164282">
      <w:bodyDiv w:val="1"/>
      <w:marLeft w:val="0"/>
      <w:marRight w:val="0"/>
      <w:marTop w:val="0"/>
      <w:marBottom w:val="0"/>
      <w:divBdr>
        <w:top w:val="none" w:sz="0" w:space="0" w:color="auto"/>
        <w:left w:val="none" w:sz="0" w:space="0" w:color="auto"/>
        <w:bottom w:val="none" w:sz="0" w:space="0" w:color="auto"/>
        <w:right w:val="none" w:sz="0" w:space="0" w:color="auto"/>
      </w:divBdr>
    </w:div>
    <w:div w:id="1949459399">
      <w:bodyDiv w:val="1"/>
      <w:marLeft w:val="0"/>
      <w:marRight w:val="0"/>
      <w:marTop w:val="0"/>
      <w:marBottom w:val="0"/>
      <w:divBdr>
        <w:top w:val="none" w:sz="0" w:space="0" w:color="auto"/>
        <w:left w:val="none" w:sz="0" w:space="0" w:color="auto"/>
        <w:bottom w:val="none" w:sz="0" w:space="0" w:color="auto"/>
        <w:right w:val="none" w:sz="0" w:space="0" w:color="auto"/>
      </w:divBdr>
    </w:div>
    <w:div w:id="2026129576">
      <w:bodyDiv w:val="1"/>
      <w:marLeft w:val="0"/>
      <w:marRight w:val="0"/>
      <w:marTop w:val="0"/>
      <w:marBottom w:val="0"/>
      <w:divBdr>
        <w:top w:val="none" w:sz="0" w:space="0" w:color="auto"/>
        <w:left w:val="none" w:sz="0" w:space="0" w:color="auto"/>
        <w:bottom w:val="none" w:sz="0" w:space="0" w:color="auto"/>
        <w:right w:val="none" w:sz="0" w:space="0" w:color="auto"/>
      </w:divBdr>
    </w:div>
    <w:div w:id="2066440490">
      <w:bodyDiv w:val="1"/>
      <w:marLeft w:val="0"/>
      <w:marRight w:val="0"/>
      <w:marTop w:val="0"/>
      <w:marBottom w:val="0"/>
      <w:divBdr>
        <w:top w:val="none" w:sz="0" w:space="0" w:color="auto"/>
        <w:left w:val="none" w:sz="0" w:space="0" w:color="auto"/>
        <w:bottom w:val="none" w:sz="0" w:space="0" w:color="auto"/>
        <w:right w:val="none" w:sz="0" w:space="0" w:color="auto"/>
      </w:divBdr>
    </w:div>
    <w:div w:id="2089302896">
      <w:bodyDiv w:val="1"/>
      <w:marLeft w:val="0"/>
      <w:marRight w:val="0"/>
      <w:marTop w:val="0"/>
      <w:marBottom w:val="0"/>
      <w:divBdr>
        <w:top w:val="none" w:sz="0" w:space="0" w:color="auto"/>
        <w:left w:val="none" w:sz="0" w:space="0" w:color="auto"/>
        <w:bottom w:val="none" w:sz="0" w:space="0" w:color="auto"/>
        <w:right w:val="none" w:sz="0" w:space="0" w:color="auto"/>
      </w:divBdr>
    </w:div>
    <w:div w:id="21280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s://www.facebook.com/ConsumerAffairsVictori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mer.vic.gov.au" TargetMode="External"/><Relationship Id="rId17" Type="http://schemas.openxmlformats.org/officeDocument/2006/relationships/hyperlink" Target="https://www.consumer.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youtube.com/consumerv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hyperlink" Target="https://twitter.com/consumervi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3A83-F3EF-4BC5-B324-F68E5B173B56}">
  <ds:schemaRefs>
    <ds:schemaRef ds:uri="http://schemas.openxmlformats.org/officeDocument/2006/bibliography"/>
  </ds:schemaRefs>
</ds:datastoreItem>
</file>

<file path=customXml/itemProps2.xml><?xml version="1.0" encoding="utf-8"?>
<ds:datastoreItem xmlns:ds="http://schemas.openxmlformats.org/officeDocument/2006/customXml" ds:itemID="{CD458BCC-9B14-42A5-B378-30C59D66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Consumer Affairs Victoria Annual Report 2018-19</vt:lpstr>
    </vt:vector>
  </TitlesOfParts>
  <Company>Victorian Department of Justice and Community Safety</Company>
  <LinksUpToDate>false</LinksUpToDate>
  <CharactersWithSpaces>55009</CharactersWithSpaces>
  <SharedDoc>false</SharedDoc>
  <HLinks>
    <vt:vector size="132" baseType="variant">
      <vt:variant>
        <vt:i4>3211309</vt:i4>
      </vt:variant>
      <vt:variant>
        <vt:i4>120</vt:i4>
      </vt:variant>
      <vt:variant>
        <vt:i4>0</vt:i4>
      </vt:variant>
      <vt:variant>
        <vt:i4>5</vt:i4>
      </vt:variant>
      <vt:variant>
        <vt:lpwstr>http://www.youtube.com/consumervic</vt:lpwstr>
      </vt:variant>
      <vt:variant>
        <vt:lpwstr/>
      </vt:variant>
      <vt:variant>
        <vt:i4>7536702</vt:i4>
      </vt:variant>
      <vt:variant>
        <vt:i4>117</vt:i4>
      </vt:variant>
      <vt:variant>
        <vt:i4>0</vt:i4>
      </vt:variant>
      <vt:variant>
        <vt:i4>5</vt:i4>
      </vt:variant>
      <vt:variant>
        <vt:lpwstr>https://twitter.com/consumervic</vt:lpwstr>
      </vt:variant>
      <vt:variant>
        <vt:lpwstr/>
      </vt:variant>
      <vt:variant>
        <vt:i4>4718659</vt:i4>
      </vt:variant>
      <vt:variant>
        <vt:i4>114</vt:i4>
      </vt:variant>
      <vt:variant>
        <vt:i4>0</vt:i4>
      </vt:variant>
      <vt:variant>
        <vt:i4>5</vt:i4>
      </vt:variant>
      <vt:variant>
        <vt:lpwstr>https://www.facebook.com/ConsumerAffairsVictoria</vt:lpwstr>
      </vt:variant>
      <vt:variant>
        <vt:lpwstr/>
      </vt:variant>
      <vt:variant>
        <vt:i4>65536</vt:i4>
      </vt:variant>
      <vt:variant>
        <vt:i4>111</vt:i4>
      </vt:variant>
      <vt:variant>
        <vt:i4>0</vt:i4>
      </vt:variant>
      <vt:variant>
        <vt:i4>5</vt:i4>
      </vt:variant>
      <vt:variant>
        <vt:lpwstr>https://www.consumer.vic.gov.au/</vt:lpwstr>
      </vt:variant>
      <vt:variant>
        <vt:lpwstr/>
      </vt:variant>
      <vt:variant>
        <vt:i4>1900594</vt:i4>
      </vt:variant>
      <vt:variant>
        <vt:i4>104</vt:i4>
      </vt:variant>
      <vt:variant>
        <vt:i4>0</vt:i4>
      </vt:variant>
      <vt:variant>
        <vt:i4>5</vt:i4>
      </vt:variant>
      <vt:variant>
        <vt:lpwstr/>
      </vt:variant>
      <vt:variant>
        <vt:lpwstr>_Toc524534097</vt:lpwstr>
      </vt:variant>
      <vt:variant>
        <vt:i4>1900594</vt:i4>
      </vt:variant>
      <vt:variant>
        <vt:i4>98</vt:i4>
      </vt:variant>
      <vt:variant>
        <vt:i4>0</vt:i4>
      </vt:variant>
      <vt:variant>
        <vt:i4>5</vt:i4>
      </vt:variant>
      <vt:variant>
        <vt:lpwstr/>
      </vt:variant>
      <vt:variant>
        <vt:lpwstr>_Toc524534096</vt:lpwstr>
      </vt:variant>
      <vt:variant>
        <vt:i4>1900594</vt:i4>
      </vt:variant>
      <vt:variant>
        <vt:i4>92</vt:i4>
      </vt:variant>
      <vt:variant>
        <vt:i4>0</vt:i4>
      </vt:variant>
      <vt:variant>
        <vt:i4>5</vt:i4>
      </vt:variant>
      <vt:variant>
        <vt:lpwstr/>
      </vt:variant>
      <vt:variant>
        <vt:lpwstr>_Toc524534095</vt:lpwstr>
      </vt:variant>
      <vt:variant>
        <vt:i4>1900594</vt:i4>
      </vt:variant>
      <vt:variant>
        <vt:i4>86</vt:i4>
      </vt:variant>
      <vt:variant>
        <vt:i4>0</vt:i4>
      </vt:variant>
      <vt:variant>
        <vt:i4>5</vt:i4>
      </vt:variant>
      <vt:variant>
        <vt:lpwstr/>
      </vt:variant>
      <vt:variant>
        <vt:lpwstr>_Toc524534094</vt:lpwstr>
      </vt:variant>
      <vt:variant>
        <vt:i4>1900594</vt:i4>
      </vt:variant>
      <vt:variant>
        <vt:i4>80</vt:i4>
      </vt:variant>
      <vt:variant>
        <vt:i4>0</vt:i4>
      </vt:variant>
      <vt:variant>
        <vt:i4>5</vt:i4>
      </vt:variant>
      <vt:variant>
        <vt:lpwstr/>
      </vt:variant>
      <vt:variant>
        <vt:lpwstr>_Toc524534093</vt:lpwstr>
      </vt:variant>
      <vt:variant>
        <vt:i4>1900594</vt:i4>
      </vt:variant>
      <vt:variant>
        <vt:i4>74</vt:i4>
      </vt:variant>
      <vt:variant>
        <vt:i4>0</vt:i4>
      </vt:variant>
      <vt:variant>
        <vt:i4>5</vt:i4>
      </vt:variant>
      <vt:variant>
        <vt:lpwstr/>
      </vt:variant>
      <vt:variant>
        <vt:lpwstr>_Toc524534092</vt:lpwstr>
      </vt:variant>
      <vt:variant>
        <vt:i4>1900594</vt:i4>
      </vt:variant>
      <vt:variant>
        <vt:i4>68</vt:i4>
      </vt:variant>
      <vt:variant>
        <vt:i4>0</vt:i4>
      </vt:variant>
      <vt:variant>
        <vt:i4>5</vt:i4>
      </vt:variant>
      <vt:variant>
        <vt:lpwstr/>
      </vt:variant>
      <vt:variant>
        <vt:lpwstr>_Toc524534091</vt:lpwstr>
      </vt:variant>
      <vt:variant>
        <vt:i4>1900594</vt:i4>
      </vt:variant>
      <vt:variant>
        <vt:i4>62</vt:i4>
      </vt:variant>
      <vt:variant>
        <vt:i4>0</vt:i4>
      </vt:variant>
      <vt:variant>
        <vt:i4>5</vt:i4>
      </vt:variant>
      <vt:variant>
        <vt:lpwstr/>
      </vt:variant>
      <vt:variant>
        <vt:lpwstr>_Toc524534090</vt:lpwstr>
      </vt:variant>
      <vt:variant>
        <vt:i4>1835058</vt:i4>
      </vt:variant>
      <vt:variant>
        <vt:i4>56</vt:i4>
      </vt:variant>
      <vt:variant>
        <vt:i4>0</vt:i4>
      </vt:variant>
      <vt:variant>
        <vt:i4>5</vt:i4>
      </vt:variant>
      <vt:variant>
        <vt:lpwstr/>
      </vt:variant>
      <vt:variant>
        <vt:lpwstr>_Toc524534089</vt:lpwstr>
      </vt:variant>
      <vt:variant>
        <vt:i4>1835058</vt:i4>
      </vt:variant>
      <vt:variant>
        <vt:i4>50</vt:i4>
      </vt:variant>
      <vt:variant>
        <vt:i4>0</vt:i4>
      </vt:variant>
      <vt:variant>
        <vt:i4>5</vt:i4>
      </vt:variant>
      <vt:variant>
        <vt:lpwstr/>
      </vt:variant>
      <vt:variant>
        <vt:lpwstr>_Toc524534088</vt:lpwstr>
      </vt:variant>
      <vt:variant>
        <vt:i4>1835058</vt:i4>
      </vt:variant>
      <vt:variant>
        <vt:i4>44</vt:i4>
      </vt:variant>
      <vt:variant>
        <vt:i4>0</vt:i4>
      </vt:variant>
      <vt:variant>
        <vt:i4>5</vt:i4>
      </vt:variant>
      <vt:variant>
        <vt:lpwstr/>
      </vt:variant>
      <vt:variant>
        <vt:lpwstr>_Toc524534087</vt:lpwstr>
      </vt:variant>
      <vt:variant>
        <vt:i4>1835058</vt:i4>
      </vt:variant>
      <vt:variant>
        <vt:i4>38</vt:i4>
      </vt:variant>
      <vt:variant>
        <vt:i4>0</vt:i4>
      </vt:variant>
      <vt:variant>
        <vt:i4>5</vt:i4>
      </vt:variant>
      <vt:variant>
        <vt:lpwstr/>
      </vt:variant>
      <vt:variant>
        <vt:lpwstr>_Toc524534086</vt:lpwstr>
      </vt:variant>
      <vt:variant>
        <vt:i4>1835058</vt:i4>
      </vt:variant>
      <vt:variant>
        <vt:i4>32</vt:i4>
      </vt:variant>
      <vt:variant>
        <vt:i4>0</vt:i4>
      </vt:variant>
      <vt:variant>
        <vt:i4>5</vt:i4>
      </vt:variant>
      <vt:variant>
        <vt:lpwstr/>
      </vt:variant>
      <vt:variant>
        <vt:lpwstr>_Toc524534085</vt:lpwstr>
      </vt:variant>
      <vt:variant>
        <vt:i4>1835058</vt:i4>
      </vt:variant>
      <vt:variant>
        <vt:i4>26</vt:i4>
      </vt:variant>
      <vt:variant>
        <vt:i4>0</vt:i4>
      </vt:variant>
      <vt:variant>
        <vt:i4>5</vt:i4>
      </vt:variant>
      <vt:variant>
        <vt:lpwstr/>
      </vt:variant>
      <vt:variant>
        <vt:lpwstr>_Toc524534084</vt:lpwstr>
      </vt:variant>
      <vt:variant>
        <vt:i4>1835058</vt:i4>
      </vt:variant>
      <vt:variant>
        <vt:i4>20</vt:i4>
      </vt:variant>
      <vt:variant>
        <vt:i4>0</vt:i4>
      </vt:variant>
      <vt:variant>
        <vt:i4>5</vt:i4>
      </vt:variant>
      <vt:variant>
        <vt:lpwstr/>
      </vt:variant>
      <vt:variant>
        <vt:lpwstr>_Toc524534083</vt:lpwstr>
      </vt:variant>
      <vt:variant>
        <vt:i4>1835058</vt:i4>
      </vt:variant>
      <vt:variant>
        <vt:i4>14</vt:i4>
      </vt:variant>
      <vt:variant>
        <vt:i4>0</vt:i4>
      </vt:variant>
      <vt:variant>
        <vt:i4>5</vt:i4>
      </vt:variant>
      <vt:variant>
        <vt:lpwstr/>
      </vt:variant>
      <vt:variant>
        <vt:lpwstr>_Toc524534082</vt:lpwstr>
      </vt:variant>
      <vt:variant>
        <vt:i4>1835058</vt:i4>
      </vt:variant>
      <vt:variant>
        <vt:i4>8</vt:i4>
      </vt:variant>
      <vt:variant>
        <vt:i4>0</vt:i4>
      </vt:variant>
      <vt:variant>
        <vt:i4>5</vt:i4>
      </vt:variant>
      <vt:variant>
        <vt:lpwstr/>
      </vt:variant>
      <vt:variant>
        <vt:lpwstr>_Toc524534081</vt:lpwstr>
      </vt:variant>
      <vt:variant>
        <vt:i4>1835058</vt:i4>
      </vt:variant>
      <vt:variant>
        <vt:i4>2</vt:i4>
      </vt:variant>
      <vt:variant>
        <vt:i4>0</vt:i4>
      </vt:variant>
      <vt:variant>
        <vt:i4>5</vt:i4>
      </vt:variant>
      <vt:variant>
        <vt:lpwstr/>
      </vt:variant>
      <vt:variant>
        <vt:lpwstr>_Toc524534080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Affairs Victoria Annual Report 2018-19</dc:title>
  <dc:creator>Consumer Affairs Victoria</dc:creator>
  <cp:lastModifiedBy>Fiona L Creedy (DJCS)</cp:lastModifiedBy>
  <cp:revision>5</cp:revision>
  <cp:lastPrinted>2019-10-08T02:44:00Z</cp:lastPrinted>
  <dcterms:created xsi:type="dcterms:W3CDTF">2019-11-28T23:34:00Z</dcterms:created>
  <dcterms:modified xsi:type="dcterms:W3CDTF">2019-12-04T05:09:00Z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