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1C47B" w14:textId="77777777" w:rsidR="00C90E80" w:rsidRPr="00062049" w:rsidRDefault="00C90E80" w:rsidP="002F5743">
      <w:pPr>
        <w:pStyle w:val="Heading1"/>
        <w:spacing w:before="4400" w:after="7500"/>
      </w:pPr>
      <w:r w:rsidRPr="00062049">
        <w:t>Consumer Affairs Victoria</w:t>
      </w:r>
      <w:r w:rsidR="00B92DA9" w:rsidRPr="00062049">
        <w:br/>
      </w:r>
      <w:r w:rsidRPr="00062049">
        <w:t>Annual Report 2015-16</w:t>
      </w:r>
    </w:p>
    <w:p w14:paraId="58D1C47C" w14:textId="77777777" w:rsidR="00062049" w:rsidRPr="003D521F" w:rsidRDefault="00295480" w:rsidP="00FF30B8">
      <w:pPr>
        <w:pStyle w:val="BodyText"/>
        <w:jc w:val="right"/>
      </w:pPr>
      <w:r>
        <w:pict w14:anchorId="58D1CA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nsumer Affairs Victoria" style="width:150.5pt;height:41.5pt">
            <v:imagedata r:id="rId9" o:title="~1319072"/>
          </v:shape>
        </w:pict>
      </w:r>
    </w:p>
    <w:p w14:paraId="58D1C47D" w14:textId="77777777" w:rsidR="00EF0311" w:rsidRPr="00A446E5" w:rsidRDefault="008B1747" w:rsidP="00902C22">
      <w:pPr>
        <w:pStyle w:val="Heading2"/>
      </w:pPr>
      <w:bookmarkStart w:id="0" w:name="_Toc457494682"/>
      <w:bookmarkStart w:id="1" w:name="_Toc457494981"/>
      <w:bookmarkStart w:id="2" w:name="_Ref457552715"/>
      <w:bookmarkStart w:id="3" w:name="_Toc464830756"/>
      <w:r w:rsidRPr="00FA03AD">
        <w:lastRenderedPageBreak/>
        <w:t xml:space="preserve">Letter to the </w:t>
      </w:r>
      <w:r w:rsidR="00440488" w:rsidRPr="00FA03AD">
        <w:t>M</w:t>
      </w:r>
      <w:r w:rsidR="00C90E80" w:rsidRPr="00FA03AD">
        <w:t>inister</w:t>
      </w:r>
      <w:bookmarkEnd w:id="0"/>
      <w:bookmarkEnd w:id="1"/>
      <w:bookmarkEnd w:id="2"/>
      <w:bookmarkEnd w:id="3"/>
    </w:p>
    <w:p w14:paraId="58D1C47E" w14:textId="77777777" w:rsidR="00A61E43" w:rsidRDefault="00295480" w:rsidP="00056D7F">
      <w:pPr>
        <w:pStyle w:val="BodyText"/>
        <w:spacing w:after="60"/>
      </w:pPr>
      <w:r>
        <w:pict w14:anchorId="58D1CA09">
          <v:shape id="_x0000_i1026" type="#_x0000_t75" alt="The Hon. Marlene Kairouz MP, Minister for Consumer Affairs, Gaming and Liquor Regulation&#10;" style="width:227pt;height:255.5pt">
            <v:imagedata r:id="rId10" o:title="MInister resized"/>
          </v:shape>
        </w:pict>
      </w:r>
    </w:p>
    <w:p w14:paraId="58D1C47F" w14:textId="77777777" w:rsidR="00A61E43" w:rsidRPr="00A446E5" w:rsidRDefault="00A446E5" w:rsidP="008661E1">
      <w:pPr>
        <w:pStyle w:val="PhotoCaption"/>
      </w:pPr>
      <w:r w:rsidRPr="00A446E5">
        <w:t>The Hon. Marlene Kairouz MP</w:t>
      </w:r>
      <w:r w:rsidR="0058055D">
        <w:br/>
      </w:r>
      <w:r w:rsidRPr="00A446E5">
        <w:t>Minister for Consumer Affairs, Gaming and Liquor Regulation</w:t>
      </w:r>
    </w:p>
    <w:p w14:paraId="58D1C480" w14:textId="77777777" w:rsidR="00E35F92" w:rsidRDefault="00E35F92" w:rsidP="003833C8">
      <w:pPr>
        <w:pStyle w:val="BodyText"/>
      </w:pPr>
      <w:r>
        <w:t xml:space="preserve">Dear </w:t>
      </w:r>
      <w:r w:rsidR="00440488">
        <w:t>M</w:t>
      </w:r>
      <w:r>
        <w:t>inister,</w:t>
      </w:r>
    </w:p>
    <w:p w14:paraId="58D1C481" w14:textId="77777777" w:rsidR="00E35F92" w:rsidRDefault="00E35F92" w:rsidP="003833C8">
      <w:pPr>
        <w:pStyle w:val="BodyText"/>
      </w:pPr>
      <w:r>
        <w:t xml:space="preserve">In accordance with the </w:t>
      </w:r>
      <w:r w:rsidRPr="005A6618">
        <w:rPr>
          <w:i/>
        </w:rPr>
        <w:t>Australian Consumer Law and Fair Trading Act 2012</w:t>
      </w:r>
      <w:r>
        <w:t xml:space="preserve">, the </w:t>
      </w:r>
      <w:r w:rsidRPr="005A6618">
        <w:rPr>
          <w:i/>
        </w:rPr>
        <w:t>Credit (Administration) Act 1984</w:t>
      </w:r>
      <w:r>
        <w:t xml:space="preserve"> and the </w:t>
      </w:r>
      <w:r w:rsidRPr="005A6618">
        <w:rPr>
          <w:i/>
        </w:rPr>
        <w:t>Veterans Act 2005</w:t>
      </w:r>
      <w:r>
        <w:t>, I am pleased to present the Consumer Affairs Victoria Annual Report for the year ending 30 June 2016.</w:t>
      </w:r>
    </w:p>
    <w:p w14:paraId="58D1C482" w14:textId="77777777" w:rsidR="00E35F92" w:rsidRDefault="00E35F92" w:rsidP="003833C8">
      <w:pPr>
        <w:pStyle w:val="BodyText"/>
      </w:pPr>
      <w:r>
        <w:t>Yours sincerely,</w:t>
      </w:r>
    </w:p>
    <w:p w14:paraId="58D1C483" w14:textId="77777777" w:rsidR="00D06633" w:rsidRDefault="00295480" w:rsidP="003833C8">
      <w:pPr>
        <w:pStyle w:val="BodyText"/>
      </w:pPr>
      <w:r>
        <w:rPr>
          <w:noProof/>
        </w:rPr>
        <w:pict w14:anchorId="58D1CA0A">
          <v:shape id="Picture 11" o:spid="_x0000_i1027" type="#_x0000_t75" alt="Simon Cohen signature" style="width:71.5pt;height:41.5pt;visibility:visible">
            <v:imagedata r:id="rId11" o:title="Simon Cohen signature"/>
          </v:shape>
        </w:pict>
      </w:r>
    </w:p>
    <w:p w14:paraId="58D1C484" w14:textId="77777777" w:rsidR="007A2663" w:rsidRDefault="00E35F92" w:rsidP="003833C8">
      <w:pPr>
        <w:pStyle w:val="BodyText"/>
      </w:pPr>
      <w:r>
        <w:t>Simon Cohen</w:t>
      </w:r>
      <w:r w:rsidR="003833C8">
        <w:br/>
      </w:r>
      <w:r>
        <w:t>Director</w:t>
      </w:r>
      <w:r w:rsidR="00D06633">
        <w:t xml:space="preserve">, </w:t>
      </w:r>
      <w:r>
        <w:t>Consumer Affairs Victoria</w:t>
      </w:r>
      <w:r w:rsidR="003833C8">
        <w:br/>
      </w:r>
      <w:r w:rsidR="007A2663">
        <w:t>Deputy Secretary, Regulation, Department of Justice and Regulation</w:t>
      </w:r>
    </w:p>
    <w:p w14:paraId="58D1C485" w14:textId="77777777" w:rsidR="00C90E80" w:rsidRPr="00FA03AD" w:rsidRDefault="00C90E80" w:rsidP="003833C8">
      <w:pPr>
        <w:pStyle w:val="Heading2"/>
      </w:pPr>
      <w:bookmarkStart w:id="4" w:name="_Toc457494683"/>
      <w:bookmarkStart w:id="5" w:name="_Toc457494982"/>
      <w:bookmarkStart w:id="6" w:name="_Toc464830757"/>
      <w:r w:rsidRPr="00FA03AD">
        <w:lastRenderedPageBreak/>
        <w:t>Director’s foreword</w:t>
      </w:r>
      <w:bookmarkEnd w:id="4"/>
      <w:bookmarkEnd w:id="5"/>
      <w:bookmarkEnd w:id="6"/>
    </w:p>
    <w:p w14:paraId="58D1C486" w14:textId="77777777" w:rsidR="00D06633" w:rsidRDefault="00295480" w:rsidP="00056D7F">
      <w:pPr>
        <w:pStyle w:val="BodyText"/>
        <w:spacing w:after="60"/>
        <w:rPr>
          <w:noProof/>
        </w:rPr>
      </w:pPr>
      <w:r>
        <w:rPr>
          <w:noProof/>
        </w:rPr>
        <w:pict w14:anchorId="58D1CA0B">
          <v:shape id="_x0000_i1028" type="#_x0000_t75" alt="Simon Cohen, Director, Consumer Affairs Victoria" style="width:227pt;height:254pt">
            <v:imagedata r:id="rId12" o:title="Simon Cohen resized"/>
          </v:shape>
        </w:pict>
      </w:r>
    </w:p>
    <w:p w14:paraId="58D1C487" w14:textId="77777777" w:rsidR="0058055D" w:rsidRDefault="0058055D" w:rsidP="00030169">
      <w:pPr>
        <w:pStyle w:val="PhotoCaption"/>
        <w:rPr>
          <w:noProof/>
        </w:rPr>
      </w:pPr>
      <w:r>
        <w:rPr>
          <w:noProof/>
        </w:rPr>
        <w:t>Simon Cohen</w:t>
      </w:r>
    </w:p>
    <w:p w14:paraId="58D1C488" w14:textId="77777777" w:rsidR="00321A0C" w:rsidRDefault="00321A0C" w:rsidP="003833C8">
      <w:pPr>
        <w:pStyle w:val="BodyText"/>
      </w:pPr>
      <w:r>
        <w:t>It is with pleasure that I present Consumer Affairs Victoria’s Annual Report 2015-16.</w:t>
      </w:r>
    </w:p>
    <w:p w14:paraId="58D1C489" w14:textId="77777777" w:rsidR="00321A0C" w:rsidRDefault="006960B9" w:rsidP="003833C8">
      <w:pPr>
        <w:pStyle w:val="BodyText"/>
      </w:pPr>
      <w:r>
        <w:t xml:space="preserve">As Victoria’s consumer affairs regulator, </w:t>
      </w:r>
      <w:r w:rsidR="00321A0C">
        <w:t>our team works</w:t>
      </w:r>
      <w:r>
        <w:t xml:space="preserve"> to </w:t>
      </w:r>
      <w:r w:rsidR="00321A0C">
        <w:t xml:space="preserve">promote a fair </w:t>
      </w:r>
      <w:r w:rsidR="00080476">
        <w:t xml:space="preserve">and competitive </w:t>
      </w:r>
      <w:r w:rsidR="00321A0C">
        <w:t>marketplace.</w:t>
      </w:r>
    </w:p>
    <w:p w14:paraId="58D1C48A" w14:textId="77777777" w:rsidR="00EE29E7" w:rsidRDefault="00321A0C" w:rsidP="003833C8">
      <w:pPr>
        <w:pStyle w:val="BodyText"/>
      </w:pPr>
      <w:r>
        <w:t xml:space="preserve">This report outlines </w:t>
      </w:r>
      <w:r w:rsidR="00275C07">
        <w:t xml:space="preserve">some of </w:t>
      </w:r>
      <w:r>
        <w:t xml:space="preserve">the achievements we have made this year, providing services to hundreds of thousands </w:t>
      </w:r>
      <w:r w:rsidR="00440488">
        <w:t xml:space="preserve">of </w:t>
      </w:r>
      <w:r>
        <w:t>Victorian businesses, consumers and others.</w:t>
      </w:r>
    </w:p>
    <w:p w14:paraId="58D1C48B" w14:textId="77777777" w:rsidR="00526DF1" w:rsidRPr="00CA6435" w:rsidRDefault="00440488" w:rsidP="003833C8">
      <w:pPr>
        <w:pStyle w:val="BodyText"/>
        <w:rPr>
          <w:shd w:val="clear" w:color="auto" w:fill="FFFFFF"/>
        </w:rPr>
      </w:pPr>
      <w:r>
        <w:rPr>
          <w:shd w:val="clear" w:color="auto" w:fill="FFFFFF"/>
        </w:rPr>
        <w:t xml:space="preserve">We </w:t>
      </w:r>
      <w:r w:rsidR="00526DF1" w:rsidRPr="00CA6435">
        <w:rPr>
          <w:shd w:val="clear" w:color="auto" w:fill="FFFFFF"/>
        </w:rPr>
        <w:t>made it easier for incorporated associations to manage their affairs efficiently with the introduction of myCAV</w:t>
      </w:r>
      <w:r w:rsidR="00EA1DE2">
        <w:rPr>
          <w:shd w:val="clear" w:color="auto" w:fill="FFFFFF"/>
        </w:rPr>
        <w:t>, an online transaction portal.</w:t>
      </w:r>
    </w:p>
    <w:p w14:paraId="58D1C48C" w14:textId="77777777" w:rsidR="00EE29E7" w:rsidRDefault="00526DF1" w:rsidP="003833C8">
      <w:pPr>
        <w:pStyle w:val="BodyText"/>
        <w:rPr>
          <w:shd w:val="clear" w:color="auto" w:fill="FFFFFF"/>
        </w:rPr>
      </w:pPr>
      <w:r w:rsidRPr="00CA6435">
        <w:rPr>
          <w:shd w:val="clear" w:color="auto" w:fill="FFFFFF"/>
        </w:rPr>
        <w:t xml:space="preserve">We </w:t>
      </w:r>
      <w:r w:rsidR="00FC31F0">
        <w:rPr>
          <w:shd w:val="clear" w:color="auto" w:fill="FFFFFF"/>
        </w:rPr>
        <w:t>took action</w:t>
      </w:r>
      <w:r w:rsidRPr="00CA6435">
        <w:rPr>
          <w:shd w:val="clear" w:color="auto" w:fill="FFFFFF"/>
        </w:rPr>
        <w:t xml:space="preserve"> to address dishonest or illegal business practices</w:t>
      </w:r>
      <w:r w:rsidR="00440488">
        <w:rPr>
          <w:shd w:val="clear" w:color="auto" w:fill="FFFFFF"/>
        </w:rPr>
        <w:t xml:space="preserve"> - </w:t>
      </w:r>
      <w:r w:rsidRPr="00CA6435">
        <w:rPr>
          <w:shd w:val="clear" w:color="auto" w:fill="FFFFFF"/>
        </w:rPr>
        <w:t>for example</w:t>
      </w:r>
      <w:r w:rsidR="00440488">
        <w:rPr>
          <w:shd w:val="clear" w:color="auto" w:fill="FFFFFF"/>
        </w:rPr>
        <w:t xml:space="preserve">, </w:t>
      </w:r>
      <w:r w:rsidRPr="00CA6435">
        <w:rPr>
          <w:shd w:val="clear" w:color="auto" w:fill="FFFFFF"/>
        </w:rPr>
        <w:t xml:space="preserve">where estate agents have not appropriately managed </w:t>
      </w:r>
      <w:r w:rsidR="00C459D9">
        <w:rPr>
          <w:shd w:val="clear" w:color="auto" w:fill="FFFFFF"/>
        </w:rPr>
        <w:t xml:space="preserve">or had taken </w:t>
      </w:r>
      <w:r w:rsidRPr="00CA6435">
        <w:rPr>
          <w:shd w:val="clear" w:color="auto" w:fill="FFFFFF"/>
        </w:rPr>
        <w:t>clients’ money held in trust funds.</w:t>
      </w:r>
    </w:p>
    <w:p w14:paraId="58D1C48D" w14:textId="77777777" w:rsidR="00FC31F0" w:rsidRDefault="00FC31F0" w:rsidP="003833C8">
      <w:pPr>
        <w:pStyle w:val="BodyText"/>
        <w:rPr>
          <w:lang w:eastAsia="en-AU"/>
        </w:rPr>
      </w:pPr>
      <w:r>
        <w:rPr>
          <w:lang w:eastAsia="en-AU"/>
        </w:rPr>
        <w:t>In addition to our efforts to assist businesses to comply with consumer laws, we have provided information and services to Victorians to enable them to exercise their consumer rights.</w:t>
      </w:r>
    </w:p>
    <w:p w14:paraId="58D1C48E" w14:textId="77777777" w:rsidR="00E20138" w:rsidRDefault="00E20138" w:rsidP="003833C8">
      <w:pPr>
        <w:pStyle w:val="BodyText"/>
        <w:rPr>
          <w:lang w:eastAsia="en-AU"/>
        </w:rPr>
      </w:pPr>
      <w:r>
        <w:rPr>
          <w:lang w:eastAsia="en-AU"/>
        </w:rPr>
        <w:t xml:space="preserve">We continued to increase our digital presence. For </w:t>
      </w:r>
      <w:r w:rsidR="00275C07">
        <w:rPr>
          <w:lang w:eastAsia="en-AU"/>
        </w:rPr>
        <w:t xml:space="preserve">many </w:t>
      </w:r>
      <w:r>
        <w:rPr>
          <w:lang w:eastAsia="en-AU"/>
        </w:rPr>
        <w:t xml:space="preserve">people, our website is the first and only place they look for information and this year the site was visited three and a half million times. We were also able to </w:t>
      </w:r>
      <w:r w:rsidR="00FB7AB9">
        <w:rPr>
          <w:lang w:eastAsia="en-AU"/>
        </w:rPr>
        <w:t>reach hundreds</w:t>
      </w:r>
      <w:r>
        <w:rPr>
          <w:lang w:eastAsia="en-AU"/>
        </w:rPr>
        <w:t xml:space="preserve"> of thousands of people through our social media platforms.</w:t>
      </w:r>
    </w:p>
    <w:p w14:paraId="58D1C48F" w14:textId="77777777" w:rsidR="00526DF1" w:rsidRDefault="00FC31F0" w:rsidP="003833C8">
      <w:pPr>
        <w:pStyle w:val="BodyText"/>
        <w:rPr>
          <w:lang w:eastAsia="en-AU"/>
        </w:rPr>
      </w:pPr>
      <w:r>
        <w:rPr>
          <w:lang w:eastAsia="en-AU"/>
        </w:rPr>
        <w:t>We</w:t>
      </w:r>
      <w:r w:rsidR="00526DF1">
        <w:rPr>
          <w:lang w:eastAsia="en-AU"/>
        </w:rPr>
        <w:t xml:space="preserve"> provided information and advice to almost 350,000 callers to our telephone services and responded to over 60,000 written and online queries.</w:t>
      </w:r>
    </w:p>
    <w:p w14:paraId="58D1C490" w14:textId="77777777" w:rsidR="00526DF1" w:rsidRDefault="0023482B" w:rsidP="003833C8">
      <w:pPr>
        <w:pStyle w:val="BodyText"/>
        <w:rPr>
          <w:lang w:eastAsia="en-AU"/>
        </w:rPr>
      </w:pPr>
      <w:r>
        <w:rPr>
          <w:lang w:eastAsia="en-AU"/>
        </w:rPr>
        <w:t>Importantly, we provided</w:t>
      </w:r>
      <w:r w:rsidR="00526DF1">
        <w:rPr>
          <w:lang w:eastAsia="en-AU"/>
        </w:rPr>
        <w:t xml:space="preserve"> intensive assistance </w:t>
      </w:r>
      <w:r>
        <w:rPr>
          <w:lang w:eastAsia="en-AU"/>
        </w:rPr>
        <w:t>to around 40,000 Victorians in need under our consumer and tenancy assistance</w:t>
      </w:r>
      <w:r w:rsidR="004804BA">
        <w:rPr>
          <w:lang w:eastAsia="en-AU"/>
        </w:rPr>
        <w:t>,</w:t>
      </w:r>
      <w:r>
        <w:rPr>
          <w:lang w:eastAsia="en-AU"/>
        </w:rPr>
        <w:t xml:space="preserve"> and</w:t>
      </w:r>
      <w:r w:rsidR="00526DF1">
        <w:rPr>
          <w:lang w:eastAsia="en-AU"/>
        </w:rPr>
        <w:t xml:space="preserve"> financial counselling </w:t>
      </w:r>
      <w:r w:rsidR="004804BA">
        <w:rPr>
          <w:lang w:eastAsia="en-AU"/>
        </w:rPr>
        <w:t>programs</w:t>
      </w:r>
      <w:r w:rsidR="00526DF1">
        <w:rPr>
          <w:lang w:eastAsia="en-AU"/>
        </w:rPr>
        <w:t>.</w:t>
      </w:r>
    </w:p>
    <w:p w14:paraId="58D1C491" w14:textId="77777777" w:rsidR="00EE29E7" w:rsidRDefault="004804BA" w:rsidP="003833C8">
      <w:pPr>
        <w:pStyle w:val="BodyText"/>
      </w:pPr>
      <w:r>
        <w:t>W</w:t>
      </w:r>
      <w:r w:rsidR="0023482B">
        <w:t xml:space="preserve">e </w:t>
      </w:r>
      <w:r w:rsidR="00EA1DE2">
        <w:t>also made progress in ensuring that the consumer law framework continues to evolve with the changing market.</w:t>
      </w:r>
    </w:p>
    <w:p w14:paraId="58D1C492" w14:textId="77777777" w:rsidR="00EE29E7" w:rsidRDefault="00435C2C" w:rsidP="003833C8">
      <w:pPr>
        <w:pStyle w:val="BodyText"/>
      </w:pPr>
      <w:r>
        <w:lastRenderedPageBreak/>
        <w:t>L</w:t>
      </w:r>
      <w:r w:rsidR="00526DF1">
        <w:t>egislation to establish</w:t>
      </w:r>
      <w:r w:rsidR="00526DF1" w:rsidRPr="003F6265">
        <w:t xml:space="preserve"> a ne</w:t>
      </w:r>
      <w:r w:rsidR="00FC31F0">
        <w:t xml:space="preserve">w building </w:t>
      </w:r>
      <w:r>
        <w:t>dispute resolution</w:t>
      </w:r>
      <w:r w:rsidR="00FC31F0">
        <w:t xml:space="preserve"> service and</w:t>
      </w:r>
      <w:r w:rsidR="008F2BD9">
        <w:t xml:space="preserve"> </w:t>
      </w:r>
      <w:r w:rsidR="00440488">
        <w:t xml:space="preserve">to provide </w:t>
      </w:r>
      <w:r w:rsidR="00526DF1">
        <w:t xml:space="preserve">the framework for a </w:t>
      </w:r>
      <w:r w:rsidR="00440488">
        <w:t>r</w:t>
      </w:r>
      <w:r w:rsidR="00526DF1">
        <w:t xml:space="preserve">ooming </w:t>
      </w:r>
      <w:r w:rsidR="00440488">
        <w:t>h</w:t>
      </w:r>
      <w:r w:rsidR="00526DF1">
        <w:t xml:space="preserve">ouse </w:t>
      </w:r>
      <w:r w:rsidR="00440488">
        <w:t>o</w:t>
      </w:r>
      <w:r w:rsidR="00526DF1">
        <w:t xml:space="preserve">perators </w:t>
      </w:r>
      <w:r w:rsidR="00440488">
        <w:t>l</w:t>
      </w:r>
      <w:r w:rsidR="00526DF1">
        <w:t xml:space="preserve">icensing </w:t>
      </w:r>
      <w:r w:rsidR="00440488">
        <w:t>s</w:t>
      </w:r>
      <w:r w:rsidR="00526DF1">
        <w:t>cheme to protect</w:t>
      </w:r>
      <w:r w:rsidR="00526DF1" w:rsidRPr="003F6265">
        <w:t xml:space="preserve"> </w:t>
      </w:r>
      <w:r w:rsidR="00526DF1">
        <w:t>residents</w:t>
      </w:r>
      <w:r>
        <w:t xml:space="preserve"> both received Royal Assent</w:t>
      </w:r>
      <w:r w:rsidR="00526DF1" w:rsidRPr="003F6265">
        <w:t>.</w:t>
      </w:r>
    </w:p>
    <w:p w14:paraId="58D1C493" w14:textId="77777777" w:rsidR="00526DF1" w:rsidRDefault="00526DF1" w:rsidP="003833C8">
      <w:pPr>
        <w:pStyle w:val="BodyText"/>
      </w:pPr>
      <w:r>
        <w:t xml:space="preserve">We commenced a </w:t>
      </w:r>
      <w:r w:rsidRPr="00A61DA5">
        <w:t>review</w:t>
      </w:r>
      <w:r>
        <w:t xml:space="preserve"> of</w:t>
      </w:r>
      <w:r w:rsidRPr="00A61DA5">
        <w:t xml:space="preserve"> a number of Acts that affect the way people buy and sell property</w:t>
      </w:r>
      <w:r w:rsidR="004804BA">
        <w:t xml:space="preserve"> and </w:t>
      </w:r>
      <w:r>
        <w:t xml:space="preserve">continue to explore current </w:t>
      </w:r>
      <w:r w:rsidRPr="00A61DA5">
        <w:t xml:space="preserve">housing-related issues through the review of the </w:t>
      </w:r>
      <w:r w:rsidRPr="00E72BDE">
        <w:rPr>
          <w:i/>
        </w:rPr>
        <w:t>Residential Tenancies Act 1997</w:t>
      </w:r>
      <w:r w:rsidR="004804BA">
        <w:t>, part of the government’s Fairer Safer Housing initiative.</w:t>
      </w:r>
    </w:p>
    <w:p w14:paraId="58D1C494" w14:textId="77777777" w:rsidR="00CF4293" w:rsidRDefault="00FC31F0" w:rsidP="003833C8">
      <w:pPr>
        <w:pStyle w:val="BodyText"/>
      </w:pPr>
      <w:r>
        <w:t xml:space="preserve">We have had a successful year, exceeding </w:t>
      </w:r>
      <w:r w:rsidR="00CF4293">
        <w:t>all of our performance targets.</w:t>
      </w:r>
    </w:p>
    <w:p w14:paraId="58D1C495" w14:textId="77777777" w:rsidR="00FC31F0" w:rsidRDefault="004804BA" w:rsidP="003833C8">
      <w:pPr>
        <w:pStyle w:val="BodyText"/>
      </w:pPr>
      <w:r>
        <w:t xml:space="preserve">This report reflects the commitment and passion of </w:t>
      </w:r>
      <w:r w:rsidR="000067F2">
        <w:t>C</w:t>
      </w:r>
      <w:r>
        <w:t xml:space="preserve">onsumer </w:t>
      </w:r>
      <w:r w:rsidR="000067F2">
        <w:t>A</w:t>
      </w:r>
      <w:r>
        <w:t xml:space="preserve">ffairs officers </w:t>
      </w:r>
      <w:r w:rsidR="00FC31F0">
        <w:t>to provide high-quality services to assist the Victorian community.</w:t>
      </w:r>
      <w:r>
        <w:t xml:space="preserve"> I appreciate the support I have received from the Consumer Affairs team in my first year as Director.</w:t>
      </w:r>
    </w:p>
    <w:p w14:paraId="58D1C496" w14:textId="77777777" w:rsidR="00FC31F0" w:rsidRDefault="00FC31F0" w:rsidP="003833C8">
      <w:pPr>
        <w:pStyle w:val="BodyText"/>
      </w:pPr>
      <w:r>
        <w:t xml:space="preserve">I hope you will enjoy reading through our Annual Report, which is also available at </w:t>
      </w:r>
      <w:r w:rsidR="00332BF3">
        <w:t xml:space="preserve">the </w:t>
      </w:r>
      <w:hyperlink r:id="rId13" w:history="1">
        <w:r w:rsidR="00332BF3" w:rsidRPr="00332BF3">
          <w:rPr>
            <w:rStyle w:val="Hyperlink"/>
          </w:rPr>
          <w:t>Annual Report page on the Consumer Affairs Victoria website</w:t>
        </w:r>
      </w:hyperlink>
      <w:r w:rsidR="00332BF3">
        <w:t xml:space="preserve"> &lt;</w:t>
      </w:r>
      <w:r w:rsidRPr="00332BF3">
        <w:t>consumer.vic.gov.au/annualreport</w:t>
      </w:r>
      <w:r w:rsidR="00332BF3">
        <w:t>&gt;</w:t>
      </w:r>
      <w:r>
        <w:t xml:space="preserve"> and supplemented with videos and interactive information.</w:t>
      </w:r>
    </w:p>
    <w:p w14:paraId="58D1C497" w14:textId="77777777" w:rsidR="00D06633" w:rsidRDefault="00295480" w:rsidP="003833C8">
      <w:pPr>
        <w:pStyle w:val="BodyText"/>
      </w:pPr>
      <w:r>
        <w:rPr>
          <w:noProof/>
        </w:rPr>
        <w:pict w14:anchorId="58D1CA0C">
          <v:shape id="_x0000_i1029" type="#_x0000_t75" alt="Simon Cohen signature" style="width:71.5pt;height:41.5pt;visibility:visible">
            <v:imagedata r:id="rId11" o:title="Simon Cohen signature"/>
          </v:shape>
        </w:pict>
      </w:r>
    </w:p>
    <w:p w14:paraId="58D1C498" w14:textId="77777777" w:rsidR="004804BA" w:rsidRPr="00CA6435" w:rsidRDefault="00EA1DE2" w:rsidP="003833C8">
      <w:pPr>
        <w:pStyle w:val="BodyText"/>
        <w:rPr>
          <w:shd w:val="clear" w:color="auto" w:fill="FFFFFF"/>
        </w:rPr>
      </w:pPr>
      <w:r>
        <w:t>Simon Cohen</w:t>
      </w:r>
      <w:r w:rsidR="003833C8">
        <w:br/>
      </w:r>
      <w:r>
        <w:t>Director</w:t>
      </w:r>
      <w:r w:rsidR="004804BA">
        <w:t xml:space="preserve">, </w:t>
      </w:r>
      <w:r>
        <w:t>Consumer Affairs Victoria</w:t>
      </w:r>
      <w:r w:rsidR="003833C8">
        <w:br/>
      </w:r>
      <w:r w:rsidR="004804BA">
        <w:t>Deputy Secretary, Regulation, Department of Justice and Regulation</w:t>
      </w:r>
    </w:p>
    <w:p w14:paraId="58D1C499" w14:textId="77777777" w:rsidR="00C90E80" w:rsidRPr="00C90E80" w:rsidRDefault="00C90E80" w:rsidP="004C66BC">
      <w:pPr>
        <w:pStyle w:val="TOCHeading1"/>
      </w:pPr>
      <w:r w:rsidRPr="00C90E80">
        <w:lastRenderedPageBreak/>
        <w:t>Contents</w:t>
      </w:r>
    </w:p>
    <w:p w14:paraId="58D1C49A" w14:textId="77777777" w:rsidR="00056D7F" w:rsidRPr="0047465C" w:rsidRDefault="004B59DF">
      <w:pPr>
        <w:pStyle w:val="TOC1"/>
        <w:rPr>
          <w:rFonts w:ascii="Calibri" w:eastAsia="Times New Roman" w:hAnsi="Calibri"/>
          <w:b w:val="0"/>
          <w:noProof/>
          <w:sz w:val="22"/>
          <w:lang w:eastAsia="en-AU"/>
        </w:rPr>
      </w:pPr>
      <w:r>
        <w:rPr>
          <w:b w:val="0"/>
          <w:bCs/>
        </w:rPr>
        <w:fldChar w:fldCharType="begin"/>
      </w:r>
      <w:r>
        <w:rPr>
          <w:b w:val="0"/>
          <w:bCs/>
        </w:rPr>
        <w:instrText xml:space="preserve"> TOC \h \z \t "Heading 2,1,Heading 3,2" </w:instrText>
      </w:r>
      <w:r>
        <w:rPr>
          <w:b w:val="0"/>
          <w:bCs/>
        </w:rPr>
        <w:fldChar w:fldCharType="separate"/>
      </w:r>
      <w:hyperlink w:anchor="_Toc464830756" w:history="1">
        <w:r w:rsidR="00056D7F" w:rsidRPr="00F16127">
          <w:rPr>
            <w:rStyle w:val="Hyperlink"/>
            <w:noProof/>
          </w:rPr>
          <w:t>Letter to the Minister</w:t>
        </w:r>
        <w:r w:rsidR="00056D7F">
          <w:rPr>
            <w:noProof/>
            <w:webHidden/>
          </w:rPr>
          <w:tab/>
        </w:r>
        <w:r w:rsidR="00056D7F">
          <w:rPr>
            <w:noProof/>
            <w:webHidden/>
          </w:rPr>
          <w:fldChar w:fldCharType="begin"/>
        </w:r>
        <w:r w:rsidR="00056D7F">
          <w:rPr>
            <w:noProof/>
            <w:webHidden/>
          </w:rPr>
          <w:instrText xml:space="preserve"> PAGEREF _Toc464830756 \h </w:instrText>
        </w:r>
        <w:r w:rsidR="00056D7F">
          <w:rPr>
            <w:noProof/>
            <w:webHidden/>
          </w:rPr>
        </w:r>
        <w:r w:rsidR="00056D7F">
          <w:rPr>
            <w:noProof/>
            <w:webHidden/>
          </w:rPr>
          <w:fldChar w:fldCharType="separate"/>
        </w:r>
        <w:r w:rsidR="00355028">
          <w:rPr>
            <w:noProof/>
            <w:webHidden/>
          </w:rPr>
          <w:t>2</w:t>
        </w:r>
        <w:r w:rsidR="00056D7F">
          <w:rPr>
            <w:noProof/>
            <w:webHidden/>
          </w:rPr>
          <w:fldChar w:fldCharType="end"/>
        </w:r>
      </w:hyperlink>
    </w:p>
    <w:p w14:paraId="58D1C49B" w14:textId="77777777" w:rsidR="00056D7F" w:rsidRPr="0047465C" w:rsidRDefault="00056D7F">
      <w:pPr>
        <w:pStyle w:val="TOC1"/>
        <w:rPr>
          <w:rFonts w:ascii="Calibri" w:eastAsia="Times New Roman" w:hAnsi="Calibri"/>
          <w:b w:val="0"/>
          <w:noProof/>
          <w:sz w:val="22"/>
          <w:lang w:eastAsia="en-AU"/>
        </w:rPr>
      </w:pPr>
      <w:hyperlink w:anchor="_Toc464830757" w:history="1">
        <w:r w:rsidRPr="00F16127">
          <w:rPr>
            <w:rStyle w:val="Hyperlink"/>
            <w:noProof/>
          </w:rPr>
          <w:t>Director’s foreword</w:t>
        </w:r>
        <w:r>
          <w:rPr>
            <w:noProof/>
            <w:webHidden/>
          </w:rPr>
          <w:tab/>
        </w:r>
        <w:r>
          <w:rPr>
            <w:noProof/>
            <w:webHidden/>
          </w:rPr>
          <w:fldChar w:fldCharType="begin"/>
        </w:r>
        <w:r>
          <w:rPr>
            <w:noProof/>
            <w:webHidden/>
          </w:rPr>
          <w:instrText xml:space="preserve"> PAGEREF _Toc464830757 \h </w:instrText>
        </w:r>
        <w:r>
          <w:rPr>
            <w:noProof/>
            <w:webHidden/>
          </w:rPr>
        </w:r>
        <w:r>
          <w:rPr>
            <w:noProof/>
            <w:webHidden/>
          </w:rPr>
          <w:fldChar w:fldCharType="separate"/>
        </w:r>
        <w:r w:rsidR="00355028">
          <w:rPr>
            <w:noProof/>
            <w:webHidden/>
          </w:rPr>
          <w:t>3</w:t>
        </w:r>
        <w:r>
          <w:rPr>
            <w:noProof/>
            <w:webHidden/>
          </w:rPr>
          <w:fldChar w:fldCharType="end"/>
        </w:r>
      </w:hyperlink>
    </w:p>
    <w:p w14:paraId="58D1C49C" w14:textId="77777777" w:rsidR="00056D7F" w:rsidRPr="0047465C" w:rsidRDefault="00056D7F">
      <w:pPr>
        <w:pStyle w:val="TOC1"/>
        <w:rPr>
          <w:rFonts w:ascii="Calibri" w:eastAsia="Times New Roman" w:hAnsi="Calibri"/>
          <w:b w:val="0"/>
          <w:noProof/>
          <w:sz w:val="22"/>
          <w:lang w:eastAsia="en-AU"/>
        </w:rPr>
      </w:pPr>
      <w:hyperlink w:anchor="_Toc464830758" w:history="1">
        <w:r w:rsidRPr="00F16127">
          <w:rPr>
            <w:rStyle w:val="Hyperlink"/>
            <w:noProof/>
          </w:rPr>
          <w:t>About us</w:t>
        </w:r>
        <w:r>
          <w:rPr>
            <w:noProof/>
            <w:webHidden/>
          </w:rPr>
          <w:tab/>
        </w:r>
        <w:r>
          <w:rPr>
            <w:noProof/>
            <w:webHidden/>
          </w:rPr>
          <w:fldChar w:fldCharType="begin"/>
        </w:r>
        <w:r>
          <w:rPr>
            <w:noProof/>
            <w:webHidden/>
          </w:rPr>
          <w:instrText xml:space="preserve"> PAGEREF _Toc464830758 \h </w:instrText>
        </w:r>
        <w:r>
          <w:rPr>
            <w:noProof/>
            <w:webHidden/>
          </w:rPr>
        </w:r>
        <w:r>
          <w:rPr>
            <w:noProof/>
            <w:webHidden/>
          </w:rPr>
          <w:fldChar w:fldCharType="separate"/>
        </w:r>
        <w:r w:rsidR="00355028">
          <w:rPr>
            <w:noProof/>
            <w:webHidden/>
          </w:rPr>
          <w:t>3</w:t>
        </w:r>
        <w:r>
          <w:rPr>
            <w:noProof/>
            <w:webHidden/>
          </w:rPr>
          <w:fldChar w:fldCharType="end"/>
        </w:r>
      </w:hyperlink>
    </w:p>
    <w:p w14:paraId="58D1C49D" w14:textId="77777777" w:rsidR="00056D7F" w:rsidRPr="0047465C" w:rsidRDefault="00056D7F">
      <w:pPr>
        <w:pStyle w:val="TOC2"/>
        <w:rPr>
          <w:rFonts w:ascii="Calibri" w:eastAsia="Times New Roman" w:hAnsi="Calibri"/>
          <w:sz w:val="22"/>
          <w:lang w:eastAsia="en-AU"/>
        </w:rPr>
      </w:pPr>
      <w:hyperlink w:anchor="_Toc464830759" w:history="1">
        <w:r w:rsidRPr="00F16127">
          <w:rPr>
            <w:rStyle w:val="Hyperlink"/>
          </w:rPr>
          <w:t>Our vision</w:t>
        </w:r>
        <w:r>
          <w:rPr>
            <w:webHidden/>
          </w:rPr>
          <w:tab/>
        </w:r>
        <w:r>
          <w:rPr>
            <w:webHidden/>
          </w:rPr>
          <w:fldChar w:fldCharType="begin"/>
        </w:r>
        <w:r>
          <w:rPr>
            <w:webHidden/>
          </w:rPr>
          <w:instrText xml:space="preserve"> PAGEREF _Toc464830759 \h </w:instrText>
        </w:r>
        <w:r>
          <w:rPr>
            <w:webHidden/>
          </w:rPr>
        </w:r>
        <w:r>
          <w:rPr>
            <w:webHidden/>
          </w:rPr>
          <w:fldChar w:fldCharType="separate"/>
        </w:r>
        <w:r w:rsidR="00355028">
          <w:rPr>
            <w:webHidden/>
          </w:rPr>
          <w:t>3</w:t>
        </w:r>
        <w:r>
          <w:rPr>
            <w:webHidden/>
          </w:rPr>
          <w:fldChar w:fldCharType="end"/>
        </w:r>
      </w:hyperlink>
    </w:p>
    <w:p w14:paraId="58D1C49E" w14:textId="77777777" w:rsidR="00056D7F" w:rsidRPr="0047465C" w:rsidRDefault="00056D7F">
      <w:pPr>
        <w:pStyle w:val="TOC2"/>
        <w:rPr>
          <w:rFonts w:ascii="Calibri" w:eastAsia="Times New Roman" w:hAnsi="Calibri"/>
          <w:sz w:val="22"/>
          <w:lang w:eastAsia="en-AU"/>
        </w:rPr>
      </w:pPr>
      <w:hyperlink w:anchor="_Toc464830760" w:history="1">
        <w:r w:rsidRPr="00F16127">
          <w:rPr>
            <w:rStyle w:val="Hyperlink"/>
          </w:rPr>
          <w:t>Our goals</w:t>
        </w:r>
        <w:r>
          <w:rPr>
            <w:webHidden/>
          </w:rPr>
          <w:tab/>
        </w:r>
        <w:r>
          <w:rPr>
            <w:webHidden/>
          </w:rPr>
          <w:fldChar w:fldCharType="begin"/>
        </w:r>
        <w:r>
          <w:rPr>
            <w:webHidden/>
          </w:rPr>
          <w:instrText xml:space="preserve"> PAGEREF _Toc464830760 \h </w:instrText>
        </w:r>
        <w:r>
          <w:rPr>
            <w:webHidden/>
          </w:rPr>
        </w:r>
        <w:r>
          <w:rPr>
            <w:webHidden/>
          </w:rPr>
          <w:fldChar w:fldCharType="separate"/>
        </w:r>
        <w:r w:rsidR="00355028">
          <w:rPr>
            <w:webHidden/>
          </w:rPr>
          <w:t>3</w:t>
        </w:r>
        <w:r>
          <w:rPr>
            <w:webHidden/>
          </w:rPr>
          <w:fldChar w:fldCharType="end"/>
        </w:r>
      </w:hyperlink>
    </w:p>
    <w:p w14:paraId="58D1C49F" w14:textId="77777777" w:rsidR="00056D7F" w:rsidRPr="0047465C" w:rsidRDefault="00056D7F">
      <w:pPr>
        <w:pStyle w:val="TOC2"/>
        <w:rPr>
          <w:rFonts w:ascii="Calibri" w:eastAsia="Times New Roman" w:hAnsi="Calibri"/>
          <w:sz w:val="22"/>
          <w:lang w:eastAsia="en-AU"/>
        </w:rPr>
      </w:pPr>
      <w:hyperlink w:anchor="_Toc464830761" w:history="1">
        <w:r w:rsidRPr="00F16127">
          <w:rPr>
            <w:rStyle w:val="Hyperlink"/>
          </w:rPr>
          <w:t>Our functions</w:t>
        </w:r>
        <w:r>
          <w:rPr>
            <w:webHidden/>
          </w:rPr>
          <w:tab/>
        </w:r>
        <w:r>
          <w:rPr>
            <w:webHidden/>
          </w:rPr>
          <w:fldChar w:fldCharType="begin"/>
        </w:r>
        <w:r>
          <w:rPr>
            <w:webHidden/>
          </w:rPr>
          <w:instrText xml:space="preserve"> PAGEREF _Toc464830761 \h </w:instrText>
        </w:r>
        <w:r>
          <w:rPr>
            <w:webHidden/>
          </w:rPr>
        </w:r>
        <w:r>
          <w:rPr>
            <w:webHidden/>
          </w:rPr>
          <w:fldChar w:fldCharType="separate"/>
        </w:r>
        <w:r w:rsidR="00355028">
          <w:rPr>
            <w:webHidden/>
          </w:rPr>
          <w:t>3</w:t>
        </w:r>
        <w:r>
          <w:rPr>
            <w:webHidden/>
          </w:rPr>
          <w:fldChar w:fldCharType="end"/>
        </w:r>
      </w:hyperlink>
    </w:p>
    <w:p w14:paraId="58D1C4A0" w14:textId="77777777" w:rsidR="00056D7F" w:rsidRPr="0047465C" w:rsidRDefault="00056D7F">
      <w:pPr>
        <w:pStyle w:val="TOC2"/>
        <w:rPr>
          <w:rFonts w:ascii="Calibri" w:eastAsia="Times New Roman" w:hAnsi="Calibri"/>
          <w:sz w:val="22"/>
          <w:lang w:eastAsia="en-AU"/>
        </w:rPr>
      </w:pPr>
      <w:hyperlink w:anchor="_Toc464830762" w:history="1">
        <w:r w:rsidRPr="00F16127">
          <w:rPr>
            <w:rStyle w:val="Hyperlink"/>
          </w:rPr>
          <w:t>Our regulatory approach</w:t>
        </w:r>
        <w:r>
          <w:rPr>
            <w:webHidden/>
          </w:rPr>
          <w:tab/>
        </w:r>
        <w:r>
          <w:rPr>
            <w:webHidden/>
          </w:rPr>
          <w:fldChar w:fldCharType="begin"/>
        </w:r>
        <w:r>
          <w:rPr>
            <w:webHidden/>
          </w:rPr>
          <w:instrText xml:space="preserve"> PAGEREF _Toc464830762 \h </w:instrText>
        </w:r>
        <w:r>
          <w:rPr>
            <w:webHidden/>
          </w:rPr>
        </w:r>
        <w:r>
          <w:rPr>
            <w:webHidden/>
          </w:rPr>
          <w:fldChar w:fldCharType="separate"/>
        </w:r>
        <w:r w:rsidR="00355028">
          <w:rPr>
            <w:webHidden/>
          </w:rPr>
          <w:t>3</w:t>
        </w:r>
        <w:r>
          <w:rPr>
            <w:webHidden/>
          </w:rPr>
          <w:fldChar w:fldCharType="end"/>
        </w:r>
      </w:hyperlink>
    </w:p>
    <w:p w14:paraId="58D1C4A1" w14:textId="77777777" w:rsidR="00056D7F" w:rsidRPr="0047465C" w:rsidRDefault="00056D7F">
      <w:pPr>
        <w:pStyle w:val="TOC1"/>
        <w:rPr>
          <w:rFonts w:ascii="Calibri" w:eastAsia="Times New Roman" w:hAnsi="Calibri"/>
          <w:b w:val="0"/>
          <w:noProof/>
          <w:sz w:val="22"/>
          <w:lang w:eastAsia="en-AU"/>
        </w:rPr>
      </w:pPr>
      <w:hyperlink w:anchor="_Toc464830763" w:history="1">
        <w:r w:rsidRPr="00F16127">
          <w:rPr>
            <w:rStyle w:val="Hyperlink"/>
            <w:noProof/>
          </w:rPr>
          <w:t>Our performance</w:t>
        </w:r>
        <w:r>
          <w:rPr>
            <w:noProof/>
            <w:webHidden/>
          </w:rPr>
          <w:tab/>
        </w:r>
        <w:r>
          <w:rPr>
            <w:noProof/>
            <w:webHidden/>
          </w:rPr>
          <w:fldChar w:fldCharType="begin"/>
        </w:r>
        <w:r>
          <w:rPr>
            <w:noProof/>
            <w:webHidden/>
          </w:rPr>
          <w:instrText xml:space="preserve"> PAGEREF _Toc464830763 \h </w:instrText>
        </w:r>
        <w:r>
          <w:rPr>
            <w:noProof/>
            <w:webHidden/>
          </w:rPr>
        </w:r>
        <w:r>
          <w:rPr>
            <w:noProof/>
            <w:webHidden/>
          </w:rPr>
          <w:fldChar w:fldCharType="separate"/>
        </w:r>
        <w:r w:rsidR="00355028">
          <w:rPr>
            <w:noProof/>
            <w:webHidden/>
          </w:rPr>
          <w:t>3</w:t>
        </w:r>
        <w:r>
          <w:rPr>
            <w:noProof/>
            <w:webHidden/>
          </w:rPr>
          <w:fldChar w:fldCharType="end"/>
        </w:r>
      </w:hyperlink>
    </w:p>
    <w:p w14:paraId="58D1C4A2" w14:textId="77777777" w:rsidR="00056D7F" w:rsidRPr="0047465C" w:rsidRDefault="00056D7F">
      <w:pPr>
        <w:pStyle w:val="TOC1"/>
        <w:rPr>
          <w:rFonts w:ascii="Calibri" w:eastAsia="Times New Roman" w:hAnsi="Calibri"/>
          <w:b w:val="0"/>
          <w:noProof/>
          <w:sz w:val="22"/>
          <w:lang w:eastAsia="en-AU"/>
        </w:rPr>
      </w:pPr>
      <w:hyperlink w:anchor="_Toc464830764" w:history="1">
        <w:r w:rsidRPr="00F16127">
          <w:rPr>
            <w:rStyle w:val="Hyperlink"/>
            <w:noProof/>
          </w:rPr>
          <w:t>Our achievements</w:t>
        </w:r>
        <w:r>
          <w:rPr>
            <w:noProof/>
            <w:webHidden/>
          </w:rPr>
          <w:tab/>
        </w:r>
        <w:r>
          <w:rPr>
            <w:noProof/>
            <w:webHidden/>
          </w:rPr>
          <w:fldChar w:fldCharType="begin"/>
        </w:r>
        <w:r>
          <w:rPr>
            <w:noProof/>
            <w:webHidden/>
          </w:rPr>
          <w:instrText xml:space="preserve"> PAGEREF _Toc464830764 \h </w:instrText>
        </w:r>
        <w:r>
          <w:rPr>
            <w:noProof/>
            <w:webHidden/>
          </w:rPr>
        </w:r>
        <w:r>
          <w:rPr>
            <w:noProof/>
            <w:webHidden/>
          </w:rPr>
          <w:fldChar w:fldCharType="separate"/>
        </w:r>
        <w:r w:rsidR="00355028">
          <w:rPr>
            <w:noProof/>
            <w:webHidden/>
          </w:rPr>
          <w:t>3</w:t>
        </w:r>
        <w:r>
          <w:rPr>
            <w:noProof/>
            <w:webHidden/>
          </w:rPr>
          <w:fldChar w:fldCharType="end"/>
        </w:r>
      </w:hyperlink>
    </w:p>
    <w:p w14:paraId="58D1C4A3" w14:textId="77777777" w:rsidR="00056D7F" w:rsidRPr="0047465C" w:rsidRDefault="00056D7F">
      <w:pPr>
        <w:pStyle w:val="TOC2"/>
        <w:rPr>
          <w:rFonts w:ascii="Calibri" w:eastAsia="Times New Roman" w:hAnsi="Calibri"/>
          <w:sz w:val="22"/>
          <w:lang w:eastAsia="en-AU"/>
        </w:rPr>
      </w:pPr>
      <w:hyperlink w:anchor="_Toc464830765" w:history="1">
        <w:r w:rsidRPr="00F16127">
          <w:rPr>
            <w:rStyle w:val="Hyperlink"/>
          </w:rPr>
          <w:t>Goal 1 – Businesses are compliant with consumer laws</w:t>
        </w:r>
        <w:r>
          <w:rPr>
            <w:webHidden/>
          </w:rPr>
          <w:tab/>
        </w:r>
        <w:r>
          <w:rPr>
            <w:webHidden/>
          </w:rPr>
          <w:fldChar w:fldCharType="begin"/>
        </w:r>
        <w:r>
          <w:rPr>
            <w:webHidden/>
          </w:rPr>
          <w:instrText xml:space="preserve"> PAGEREF _Toc464830765 \h </w:instrText>
        </w:r>
        <w:r>
          <w:rPr>
            <w:webHidden/>
          </w:rPr>
        </w:r>
        <w:r>
          <w:rPr>
            <w:webHidden/>
          </w:rPr>
          <w:fldChar w:fldCharType="separate"/>
        </w:r>
        <w:r w:rsidR="00355028">
          <w:rPr>
            <w:webHidden/>
          </w:rPr>
          <w:t>3</w:t>
        </w:r>
        <w:r>
          <w:rPr>
            <w:webHidden/>
          </w:rPr>
          <w:fldChar w:fldCharType="end"/>
        </w:r>
      </w:hyperlink>
    </w:p>
    <w:p w14:paraId="58D1C4A4" w14:textId="77777777" w:rsidR="00056D7F" w:rsidRPr="0047465C" w:rsidRDefault="00056D7F">
      <w:pPr>
        <w:pStyle w:val="TOC2"/>
        <w:rPr>
          <w:rFonts w:ascii="Calibri" w:eastAsia="Times New Roman" w:hAnsi="Calibri"/>
          <w:sz w:val="22"/>
          <w:lang w:eastAsia="en-AU"/>
        </w:rPr>
      </w:pPr>
      <w:hyperlink w:anchor="_Toc464830766" w:history="1">
        <w:r w:rsidRPr="00F16127">
          <w:rPr>
            <w:rStyle w:val="Hyperlink"/>
          </w:rPr>
          <w:t>Goal 2 – Victorians exercise their consumer rights</w:t>
        </w:r>
        <w:r>
          <w:rPr>
            <w:webHidden/>
          </w:rPr>
          <w:tab/>
        </w:r>
        <w:r>
          <w:rPr>
            <w:webHidden/>
          </w:rPr>
          <w:fldChar w:fldCharType="begin"/>
        </w:r>
        <w:r>
          <w:rPr>
            <w:webHidden/>
          </w:rPr>
          <w:instrText xml:space="preserve"> PAGEREF _Toc464830766 \h </w:instrText>
        </w:r>
        <w:r>
          <w:rPr>
            <w:webHidden/>
          </w:rPr>
        </w:r>
        <w:r>
          <w:rPr>
            <w:webHidden/>
          </w:rPr>
          <w:fldChar w:fldCharType="separate"/>
        </w:r>
        <w:r w:rsidR="00355028">
          <w:rPr>
            <w:webHidden/>
          </w:rPr>
          <w:t>3</w:t>
        </w:r>
        <w:r>
          <w:rPr>
            <w:webHidden/>
          </w:rPr>
          <w:fldChar w:fldCharType="end"/>
        </w:r>
      </w:hyperlink>
    </w:p>
    <w:p w14:paraId="58D1C4A5" w14:textId="77777777" w:rsidR="00056D7F" w:rsidRPr="0047465C" w:rsidRDefault="00056D7F">
      <w:pPr>
        <w:pStyle w:val="TOC2"/>
        <w:rPr>
          <w:rFonts w:ascii="Calibri" w:eastAsia="Times New Roman" w:hAnsi="Calibri"/>
          <w:sz w:val="22"/>
          <w:lang w:eastAsia="en-AU"/>
        </w:rPr>
      </w:pPr>
      <w:hyperlink w:anchor="_Toc464830767" w:history="1">
        <w:r w:rsidRPr="00F16127">
          <w:rPr>
            <w:rStyle w:val="Hyperlink"/>
          </w:rPr>
          <w:t>Goal 3 – A fair and safe rental market</w:t>
        </w:r>
        <w:r>
          <w:rPr>
            <w:webHidden/>
          </w:rPr>
          <w:tab/>
        </w:r>
        <w:r>
          <w:rPr>
            <w:webHidden/>
          </w:rPr>
          <w:fldChar w:fldCharType="begin"/>
        </w:r>
        <w:r>
          <w:rPr>
            <w:webHidden/>
          </w:rPr>
          <w:instrText xml:space="preserve"> PAGEREF _Toc464830767 \h </w:instrText>
        </w:r>
        <w:r>
          <w:rPr>
            <w:webHidden/>
          </w:rPr>
        </w:r>
        <w:r>
          <w:rPr>
            <w:webHidden/>
          </w:rPr>
          <w:fldChar w:fldCharType="separate"/>
        </w:r>
        <w:r w:rsidR="00355028">
          <w:rPr>
            <w:webHidden/>
          </w:rPr>
          <w:t>3</w:t>
        </w:r>
        <w:r>
          <w:rPr>
            <w:webHidden/>
          </w:rPr>
          <w:fldChar w:fldCharType="end"/>
        </w:r>
      </w:hyperlink>
    </w:p>
    <w:p w14:paraId="58D1C4A6" w14:textId="77777777" w:rsidR="00056D7F" w:rsidRPr="0047465C" w:rsidRDefault="00056D7F">
      <w:pPr>
        <w:pStyle w:val="TOC2"/>
        <w:rPr>
          <w:rFonts w:ascii="Calibri" w:eastAsia="Times New Roman" w:hAnsi="Calibri"/>
          <w:sz w:val="22"/>
          <w:lang w:eastAsia="en-AU"/>
        </w:rPr>
      </w:pPr>
      <w:hyperlink w:anchor="_Toc464830768" w:history="1">
        <w:r w:rsidRPr="00F16127">
          <w:rPr>
            <w:rStyle w:val="Hyperlink"/>
          </w:rPr>
          <w:t>Goal 4 – A modern and effective consumer law framework</w:t>
        </w:r>
        <w:r>
          <w:rPr>
            <w:webHidden/>
          </w:rPr>
          <w:tab/>
        </w:r>
        <w:r>
          <w:rPr>
            <w:webHidden/>
          </w:rPr>
          <w:fldChar w:fldCharType="begin"/>
        </w:r>
        <w:r>
          <w:rPr>
            <w:webHidden/>
          </w:rPr>
          <w:instrText xml:space="preserve"> PAGEREF _Toc464830768 \h </w:instrText>
        </w:r>
        <w:r>
          <w:rPr>
            <w:webHidden/>
          </w:rPr>
        </w:r>
        <w:r>
          <w:rPr>
            <w:webHidden/>
          </w:rPr>
          <w:fldChar w:fldCharType="separate"/>
        </w:r>
        <w:r w:rsidR="00355028">
          <w:rPr>
            <w:webHidden/>
          </w:rPr>
          <w:t>3</w:t>
        </w:r>
        <w:r>
          <w:rPr>
            <w:webHidden/>
          </w:rPr>
          <w:fldChar w:fldCharType="end"/>
        </w:r>
      </w:hyperlink>
    </w:p>
    <w:p w14:paraId="58D1C4A7" w14:textId="77777777" w:rsidR="00056D7F" w:rsidRPr="0047465C" w:rsidRDefault="00056D7F">
      <w:pPr>
        <w:pStyle w:val="TOC2"/>
        <w:rPr>
          <w:rFonts w:ascii="Calibri" w:eastAsia="Times New Roman" w:hAnsi="Calibri"/>
          <w:sz w:val="22"/>
          <w:lang w:eastAsia="en-AU"/>
        </w:rPr>
      </w:pPr>
      <w:hyperlink w:anchor="_Toc464830769" w:history="1">
        <w:r w:rsidRPr="00F16127">
          <w:rPr>
            <w:rStyle w:val="Hyperlink"/>
          </w:rPr>
          <w:t>Goal 5 – A sustainable and innovative regulator</w:t>
        </w:r>
        <w:r>
          <w:rPr>
            <w:webHidden/>
          </w:rPr>
          <w:tab/>
        </w:r>
        <w:r>
          <w:rPr>
            <w:webHidden/>
          </w:rPr>
          <w:fldChar w:fldCharType="begin"/>
        </w:r>
        <w:r>
          <w:rPr>
            <w:webHidden/>
          </w:rPr>
          <w:instrText xml:space="preserve"> PAGEREF _Toc464830769 \h </w:instrText>
        </w:r>
        <w:r>
          <w:rPr>
            <w:webHidden/>
          </w:rPr>
        </w:r>
        <w:r>
          <w:rPr>
            <w:webHidden/>
          </w:rPr>
          <w:fldChar w:fldCharType="separate"/>
        </w:r>
        <w:r w:rsidR="00355028">
          <w:rPr>
            <w:webHidden/>
          </w:rPr>
          <w:t>3</w:t>
        </w:r>
        <w:r>
          <w:rPr>
            <w:webHidden/>
          </w:rPr>
          <w:fldChar w:fldCharType="end"/>
        </w:r>
      </w:hyperlink>
    </w:p>
    <w:p w14:paraId="58D1C4A8" w14:textId="77777777" w:rsidR="00056D7F" w:rsidRPr="0047465C" w:rsidRDefault="00056D7F">
      <w:pPr>
        <w:pStyle w:val="TOC1"/>
        <w:rPr>
          <w:rFonts w:ascii="Calibri" w:eastAsia="Times New Roman" w:hAnsi="Calibri"/>
          <w:b w:val="0"/>
          <w:noProof/>
          <w:sz w:val="22"/>
          <w:lang w:eastAsia="en-AU"/>
        </w:rPr>
      </w:pPr>
      <w:hyperlink w:anchor="_Toc464830770" w:history="1">
        <w:r w:rsidRPr="00F16127">
          <w:rPr>
            <w:rStyle w:val="Hyperlink"/>
            <w:noProof/>
          </w:rPr>
          <w:t>Financial information 2015-16</w:t>
        </w:r>
        <w:r>
          <w:rPr>
            <w:noProof/>
            <w:webHidden/>
          </w:rPr>
          <w:tab/>
        </w:r>
        <w:r>
          <w:rPr>
            <w:noProof/>
            <w:webHidden/>
          </w:rPr>
          <w:fldChar w:fldCharType="begin"/>
        </w:r>
        <w:r>
          <w:rPr>
            <w:noProof/>
            <w:webHidden/>
          </w:rPr>
          <w:instrText xml:space="preserve"> PAGEREF _Toc464830770 \h </w:instrText>
        </w:r>
        <w:r>
          <w:rPr>
            <w:noProof/>
            <w:webHidden/>
          </w:rPr>
        </w:r>
        <w:r>
          <w:rPr>
            <w:noProof/>
            <w:webHidden/>
          </w:rPr>
          <w:fldChar w:fldCharType="separate"/>
        </w:r>
        <w:r w:rsidR="00355028">
          <w:rPr>
            <w:noProof/>
            <w:webHidden/>
          </w:rPr>
          <w:t>3</w:t>
        </w:r>
        <w:r>
          <w:rPr>
            <w:noProof/>
            <w:webHidden/>
          </w:rPr>
          <w:fldChar w:fldCharType="end"/>
        </w:r>
      </w:hyperlink>
    </w:p>
    <w:p w14:paraId="58D1C4A9" w14:textId="77777777" w:rsidR="00056D7F" w:rsidRPr="0047465C" w:rsidRDefault="00056D7F">
      <w:pPr>
        <w:pStyle w:val="TOC1"/>
        <w:rPr>
          <w:rFonts w:ascii="Calibri" w:eastAsia="Times New Roman" w:hAnsi="Calibri"/>
          <w:b w:val="0"/>
          <w:noProof/>
          <w:sz w:val="22"/>
          <w:lang w:eastAsia="en-AU"/>
        </w:rPr>
      </w:pPr>
      <w:hyperlink w:anchor="_Toc464830771" w:history="1">
        <w:r w:rsidRPr="00F16127">
          <w:rPr>
            <w:rStyle w:val="Hyperlink"/>
            <w:noProof/>
          </w:rPr>
          <w:t>Appendix</w:t>
        </w:r>
        <w:r>
          <w:rPr>
            <w:noProof/>
            <w:webHidden/>
          </w:rPr>
          <w:tab/>
        </w:r>
        <w:r>
          <w:rPr>
            <w:noProof/>
            <w:webHidden/>
          </w:rPr>
          <w:fldChar w:fldCharType="begin"/>
        </w:r>
        <w:r>
          <w:rPr>
            <w:noProof/>
            <w:webHidden/>
          </w:rPr>
          <w:instrText xml:space="preserve"> PAGEREF _Toc464830771 \h </w:instrText>
        </w:r>
        <w:r>
          <w:rPr>
            <w:noProof/>
            <w:webHidden/>
          </w:rPr>
        </w:r>
        <w:r>
          <w:rPr>
            <w:noProof/>
            <w:webHidden/>
          </w:rPr>
          <w:fldChar w:fldCharType="separate"/>
        </w:r>
        <w:r w:rsidR="00355028">
          <w:rPr>
            <w:noProof/>
            <w:webHidden/>
          </w:rPr>
          <w:t>3</w:t>
        </w:r>
        <w:r>
          <w:rPr>
            <w:noProof/>
            <w:webHidden/>
          </w:rPr>
          <w:fldChar w:fldCharType="end"/>
        </w:r>
      </w:hyperlink>
    </w:p>
    <w:p w14:paraId="58D1C4AA" w14:textId="77777777" w:rsidR="00056D7F" w:rsidRPr="0047465C" w:rsidRDefault="00056D7F">
      <w:pPr>
        <w:pStyle w:val="TOC2"/>
        <w:rPr>
          <w:rFonts w:ascii="Calibri" w:eastAsia="Times New Roman" w:hAnsi="Calibri"/>
          <w:sz w:val="22"/>
          <w:lang w:eastAsia="en-AU"/>
        </w:rPr>
      </w:pPr>
      <w:hyperlink w:anchor="_Toc464830772" w:history="1">
        <w:r w:rsidRPr="00F16127">
          <w:rPr>
            <w:rStyle w:val="Hyperlink"/>
          </w:rPr>
          <w:t>Legislation administered by Consumer Affairs Victoria</w:t>
        </w:r>
        <w:r>
          <w:rPr>
            <w:webHidden/>
          </w:rPr>
          <w:tab/>
        </w:r>
        <w:r>
          <w:rPr>
            <w:webHidden/>
          </w:rPr>
          <w:fldChar w:fldCharType="begin"/>
        </w:r>
        <w:r>
          <w:rPr>
            <w:webHidden/>
          </w:rPr>
          <w:instrText xml:space="preserve"> PAGEREF _Toc464830772 \h </w:instrText>
        </w:r>
        <w:r>
          <w:rPr>
            <w:webHidden/>
          </w:rPr>
        </w:r>
        <w:r>
          <w:rPr>
            <w:webHidden/>
          </w:rPr>
          <w:fldChar w:fldCharType="separate"/>
        </w:r>
        <w:r w:rsidR="00355028">
          <w:rPr>
            <w:webHidden/>
          </w:rPr>
          <w:t>3</w:t>
        </w:r>
        <w:r>
          <w:rPr>
            <w:webHidden/>
          </w:rPr>
          <w:fldChar w:fldCharType="end"/>
        </w:r>
      </w:hyperlink>
    </w:p>
    <w:p w14:paraId="58D1C4AB" w14:textId="77777777" w:rsidR="00056D7F" w:rsidRPr="0047465C" w:rsidRDefault="00056D7F">
      <w:pPr>
        <w:pStyle w:val="TOC1"/>
        <w:rPr>
          <w:rFonts w:ascii="Calibri" w:eastAsia="Times New Roman" w:hAnsi="Calibri"/>
          <w:b w:val="0"/>
          <w:noProof/>
          <w:sz w:val="22"/>
          <w:lang w:eastAsia="en-AU"/>
        </w:rPr>
      </w:pPr>
      <w:hyperlink w:anchor="_Toc464830773" w:history="1">
        <w:r w:rsidRPr="00F16127">
          <w:rPr>
            <w:rStyle w:val="Hyperlink"/>
            <w:noProof/>
          </w:rPr>
          <w:t>Consumer Affairs Victoria</w:t>
        </w:r>
        <w:r>
          <w:rPr>
            <w:noProof/>
            <w:webHidden/>
          </w:rPr>
          <w:tab/>
        </w:r>
        <w:r>
          <w:rPr>
            <w:noProof/>
            <w:webHidden/>
          </w:rPr>
          <w:fldChar w:fldCharType="begin"/>
        </w:r>
        <w:r>
          <w:rPr>
            <w:noProof/>
            <w:webHidden/>
          </w:rPr>
          <w:instrText xml:space="preserve"> PAGEREF _Toc464830773 \h </w:instrText>
        </w:r>
        <w:r>
          <w:rPr>
            <w:noProof/>
            <w:webHidden/>
          </w:rPr>
        </w:r>
        <w:r>
          <w:rPr>
            <w:noProof/>
            <w:webHidden/>
          </w:rPr>
          <w:fldChar w:fldCharType="separate"/>
        </w:r>
        <w:r w:rsidR="00355028">
          <w:rPr>
            <w:noProof/>
            <w:webHidden/>
          </w:rPr>
          <w:t>3</w:t>
        </w:r>
        <w:r>
          <w:rPr>
            <w:noProof/>
            <w:webHidden/>
          </w:rPr>
          <w:fldChar w:fldCharType="end"/>
        </w:r>
      </w:hyperlink>
    </w:p>
    <w:p w14:paraId="58D1C4AC" w14:textId="77777777" w:rsidR="00056D7F" w:rsidRPr="0047465C" w:rsidRDefault="00056D7F">
      <w:pPr>
        <w:pStyle w:val="TOC2"/>
        <w:rPr>
          <w:rFonts w:ascii="Calibri" w:eastAsia="Times New Roman" w:hAnsi="Calibri"/>
          <w:sz w:val="22"/>
          <w:lang w:eastAsia="en-AU"/>
        </w:rPr>
      </w:pPr>
      <w:hyperlink w:anchor="_Toc464830774" w:history="1">
        <w:r w:rsidRPr="00F16127">
          <w:rPr>
            <w:rStyle w:val="Hyperlink"/>
          </w:rPr>
          <w:t>Accessibility</w:t>
        </w:r>
        <w:r>
          <w:rPr>
            <w:webHidden/>
          </w:rPr>
          <w:tab/>
        </w:r>
        <w:r>
          <w:rPr>
            <w:webHidden/>
          </w:rPr>
          <w:fldChar w:fldCharType="begin"/>
        </w:r>
        <w:r>
          <w:rPr>
            <w:webHidden/>
          </w:rPr>
          <w:instrText xml:space="preserve"> PAGEREF _Toc464830774 \h </w:instrText>
        </w:r>
        <w:r>
          <w:rPr>
            <w:webHidden/>
          </w:rPr>
        </w:r>
        <w:r>
          <w:rPr>
            <w:webHidden/>
          </w:rPr>
          <w:fldChar w:fldCharType="separate"/>
        </w:r>
        <w:r w:rsidR="00355028">
          <w:rPr>
            <w:webHidden/>
          </w:rPr>
          <w:t>3</w:t>
        </w:r>
        <w:r>
          <w:rPr>
            <w:webHidden/>
          </w:rPr>
          <w:fldChar w:fldCharType="end"/>
        </w:r>
      </w:hyperlink>
    </w:p>
    <w:p w14:paraId="58D1C4AD" w14:textId="77777777" w:rsidR="004F061C" w:rsidRDefault="004B59DF" w:rsidP="0058055D">
      <w:pPr>
        <w:pStyle w:val="BodyText"/>
      </w:pPr>
      <w:r>
        <w:rPr>
          <w:b/>
          <w:bCs/>
        </w:rPr>
        <w:fldChar w:fldCharType="end"/>
      </w:r>
    </w:p>
    <w:p w14:paraId="58D1C4AE" w14:textId="77777777" w:rsidR="00B61B3E" w:rsidRDefault="004F061C" w:rsidP="003833C8">
      <w:pPr>
        <w:pStyle w:val="BodyText"/>
      </w:pPr>
      <w:r>
        <w:t>Ordered to be published</w:t>
      </w:r>
      <w:r w:rsidR="003833C8">
        <w:br/>
      </w:r>
      <w:r>
        <w:t>Victorian Government Printer</w:t>
      </w:r>
      <w:r w:rsidR="003833C8">
        <w:br/>
      </w:r>
      <w:r>
        <w:t>October 2016</w:t>
      </w:r>
    </w:p>
    <w:p w14:paraId="58D1C4AF" w14:textId="77777777" w:rsidR="004F061C" w:rsidRDefault="004F061C" w:rsidP="003833C8">
      <w:pPr>
        <w:pStyle w:val="BodyText"/>
      </w:pPr>
      <w:r w:rsidRPr="004F061C">
        <w:t>PP No 211, Session 2014-2016</w:t>
      </w:r>
    </w:p>
    <w:p w14:paraId="58D1C4B0" w14:textId="77777777" w:rsidR="00C90E80" w:rsidRDefault="00C90E80" w:rsidP="003833C8">
      <w:pPr>
        <w:pStyle w:val="Heading2"/>
      </w:pPr>
      <w:bookmarkStart w:id="7" w:name="_Toc457494684"/>
      <w:bookmarkStart w:id="8" w:name="_Toc457494983"/>
      <w:bookmarkStart w:id="9" w:name="_Toc464830758"/>
      <w:r>
        <w:lastRenderedPageBreak/>
        <w:t>About us</w:t>
      </w:r>
      <w:bookmarkEnd w:id="7"/>
      <w:bookmarkEnd w:id="8"/>
      <w:bookmarkEnd w:id="9"/>
    </w:p>
    <w:p w14:paraId="58D1C4B1" w14:textId="77777777" w:rsidR="00080476" w:rsidRDefault="00080476" w:rsidP="003833C8">
      <w:pPr>
        <w:pStyle w:val="BodyText"/>
      </w:pPr>
      <w:r>
        <w:t>Consumer Affairs Victoria is the state’s primary consumer regulator.</w:t>
      </w:r>
      <w:r w:rsidR="004804BA">
        <w:t xml:space="preserve"> We are part of the Regulation Division </w:t>
      </w:r>
      <w:r w:rsidR="000067F2">
        <w:t>of</w:t>
      </w:r>
      <w:r w:rsidR="004804BA">
        <w:t xml:space="preserve"> the Victorian Government Department of Justice and Regulation.</w:t>
      </w:r>
    </w:p>
    <w:p w14:paraId="58D1C4B2" w14:textId="77777777" w:rsidR="00080476" w:rsidRPr="00B74A1F" w:rsidRDefault="00080476" w:rsidP="003833C8">
      <w:pPr>
        <w:pStyle w:val="BodyText"/>
      </w:pPr>
      <w:r w:rsidRPr="00B74A1F">
        <w:t>The impact of our work is far-reaching</w:t>
      </w:r>
      <w:r w:rsidR="00732553">
        <w:t xml:space="preserve">. We </w:t>
      </w:r>
      <w:r>
        <w:t xml:space="preserve">regulate </w:t>
      </w:r>
      <w:r w:rsidRPr="00452669">
        <w:t>the entire Victorian</w:t>
      </w:r>
      <w:r w:rsidR="008A2567">
        <w:t xml:space="preserve"> consumer</w:t>
      </w:r>
      <w:r w:rsidRPr="00452669">
        <w:t xml:space="preserve"> market</w:t>
      </w:r>
      <w:r w:rsidR="008A2567">
        <w:t>place through the Australian Consumer Law,</w:t>
      </w:r>
      <w:r>
        <w:t xml:space="preserve"> as well as administering </w:t>
      </w:r>
      <w:r w:rsidR="004804BA">
        <w:t>30</w:t>
      </w:r>
      <w:r>
        <w:t xml:space="preserve"> Acts of the Victorian Parliament regulating a</w:t>
      </w:r>
      <w:r w:rsidR="00435C2C">
        <w:t xml:space="preserve"> range of industries, including:</w:t>
      </w:r>
      <w:r>
        <w:t xml:space="preserve"> </w:t>
      </w:r>
      <w:r w:rsidRPr="00B74A1F">
        <w:t>estate agents, conveyancers, motor car traders, sex work service providers, owners corporation managers, second-hand dealers and pawnbrokers.</w:t>
      </w:r>
    </w:p>
    <w:p w14:paraId="58D1C4B3" w14:textId="77777777" w:rsidR="00C90E80" w:rsidRPr="00201270" w:rsidRDefault="00C90E80" w:rsidP="00201270">
      <w:pPr>
        <w:pStyle w:val="Heading3"/>
      </w:pPr>
      <w:bookmarkStart w:id="10" w:name="_Toc457494685"/>
      <w:bookmarkStart w:id="11" w:name="_Toc457494984"/>
      <w:bookmarkStart w:id="12" w:name="_Toc464830759"/>
      <w:r w:rsidRPr="00201270">
        <w:t>Our vision</w:t>
      </w:r>
      <w:bookmarkEnd w:id="10"/>
      <w:bookmarkEnd w:id="11"/>
      <w:bookmarkEnd w:id="12"/>
    </w:p>
    <w:p w14:paraId="58D1C4B4" w14:textId="77777777" w:rsidR="00C90E80" w:rsidRDefault="004F0321" w:rsidP="0058055D">
      <w:pPr>
        <w:pStyle w:val="BodyText"/>
      </w:pPr>
      <w:r>
        <w:t>A fair and competitive marketplace in Victoria.</w:t>
      </w:r>
    </w:p>
    <w:p w14:paraId="58D1C4B5" w14:textId="77777777" w:rsidR="00C90E80" w:rsidRDefault="00C90E80" w:rsidP="00201270">
      <w:pPr>
        <w:pStyle w:val="Heading3"/>
      </w:pPr>
      <w:bookmarkStart w:id="13" w:name="_Toc457494686"/>
      <w:bookmarkStart w:id="14" w:name="_Toc457494985"/>
      <w:bookmarkStart w:id="15" w:name="_Toc464830760"/>
      <w:r>
        <w:t>Our goals</w:t>
      </w:r>
      <w:bookmarkEnd w:id="13"/>
      <w:bookmarkEnd w:id="14"/>
      <w:bookmarkEnd w:id="15"/>
    </w:p>
    <w:p w14:paraId="58D1C4B6" w14:textId="77777777" w:rsidR="004F0321" w:rsidRPr="004F0321" w:rsidRDefault="004F0321" w:rsidP="003D521F">
      <w:pPr>
        <w:pStyle w:val="ListNumber"/>
      </w:pPr>
      <w:r w:rsidRPr="004F0321">
        <w:t>Businesses are compliant with consumer laws</w:t>
      </w:r>
    </w:p>
    <w:p w14:paraId="58D1C4B7" w14:textId="77777777" w:rsidR="004F0321" w:rsidRPr="004F0321" w:rsidRDefault="004F0321" w:rsidP="003D521F">
      <w:pPr>
        <w:pStyle w:val="ListNumber"/>
      </w:pPr>
      <w:r w:rsidRPr="004F0321">
        <w:t>Victorians exercise their consumer rights</w:t>
      </w:r>
    </w:p>
    <w:p w14:paraId="58D1C4B8" w14:textId="77777777" w:rsidR="004F0321" w:rsidRPr="004F0321" w:rsidRDefault="004F0321" w:rsidP="003D521F">
      <w:pPr>
        <w:pStyle w:val="ListNumber"/>
      </w:pPr>
      <w:r w:rsidRPr="004F0321">
        <w:t>A fair and safe rental market for Victorians</w:t>
      </w:r>
    </w:p>
    <w:p w14:paraId="58D1C4B9" w14:textId="77777777" w:rsidR="004F0321" w:rsidRPr="004F0321" w:rsidRDefault="004F0321" w:rsidP="003D521F">
      <w:pPr>
        <w:pStyle w:val="ListNumber"/>
      </w:pPr>
      <w:r w:rsidRPr="004F0321">
        <w:t>A modern and effective consumer law framework</w:t>
      </w:r>
    </w:p>
    <w:p w14:paraId="58D1C4BA" w14:textId="77777777" w:rsidR="004F0321" w:rsidRPr="004F0321" w:rsidRDefault="004F0321" w:rsidP="003D521F">
      <w:pPr>
        <w:pStyle w:val="ListNumber"/>
      </w:pPr>
      <w:r w:rsidRPr="004F0321">
        <w:t>A sustainable and innovative regulator</w:t>
      </w:r>
    </w:p>
    <w:p w14:paraId="58D1C4BB" w14:textId="77777777" w:rsidR="00C90E80" w:rsidRDefault="00C90E80" w:rsidP="00201270">
      <w:pPr>
        <w:pStyle w:val="Heading3"/>
      </w:pPr>
      <w:bookmarkStart w:id="16" w:name="_Toc457494687"/>
      <w:bookmarkStart w:id="17" w:name="_Toc457494986"/>
      <w:bookmarkStart w:id="18" w:name="_Toc464830761"/>
      <w:r>
        <w:t>Our functions</w:t>
      </w:r>
      <w:bookmarkEnd w:id="16"/>
      <w:bookmarkEnd w:id="17"/>
      <w:bookmarkEnd w:id="18"/>
    </w:p>
    <w:p w14:paraId="58D1C4BC" w14:textId="77777777" w:rsidR="00EE29E7" w:rsidRDefault="004F0321" w:rsidP="0058055D">
      <w:pPr>
        <w:pStyle w:val="BodyText"/>
      </w:pPr>
      <w:r w:rsidRPr="004F0321">
        <w:t>Our role is to:</w:t>
      </w:r>
    </w:p>
    <w:p w14:paraId="58D1C4BD" w14:textId="77777777" w:rsidR="00EE29E7" w:rsidRDefault="004F0321" w:rsidP="00631074">
      <w:pPr>
        <w:pStyle w:val="ListBullet"/>
      </w:pPr>
      <w:r w:rsidRPr="004F0321">
        <w:t>review and advise the Victorian Government on the consumer protection framework</w:t>
      </w:r>
    </w:p>
    <w:p w14:paraId="58D1C4BE" w14:textId="77777777" w:rsidR="00EE29E7" w:rsidRDefault="004F0321" w:rsidP="00631074">
      <w:pPr>
        <w:pStyle w:val="ListBullet"/>
      </w:pPr>
      <w:r w:rsidRPr="004F0321">
        <w:t>provide information and advice to consumers, tenants, businesses and landlords on their rights, responsibilities and changes to relevant laws</w:t>
      </w:r>
    </w:p>
    <w:p w14:paraId="58D1C4BF" w14:textId="77777777" w:rsidR="004F0321" w:rsidRDefault="004F0321" w:rsidP="00631074">
      <w:pPr>
        <w:pStyle w:val="ListBullet"/>
      </w:pPr>
      <w:r w:rsidRPr="004F0321">
        <w:t>register and license businesses and occupations</w:t>
      </w:r>
    </w:p>
    <w:p w14:paraId="58D1C4C0" w14:textId="77777777" w:rsidR="00EE29E7" w:rsidRDefault="004F0321" w:rsidP="00631074">
      <w:pPr>
        <w:pStyle w:val="ListBullet"/>
      </w:pPr>
      <w:r w:rsidRPr="00C80444">
        <w:t>conciliate disputes between consumers and traders, and tenants and landlords</w:t>
      </w:r>
    </w:p>
    <w:p w14:paraId="58D1C4C1" w14:textId="77777777" w:rsidR="00EE29E7" w:rsidRDefault="004F0321" w:rsidP="00631074">
      <w:pPr>
        <w:pStyle w:val="ListBullet"/>
      </w:pPr>
      <w:r w:rsidRPr="004F0321">
        <w:t>ensure compliance with consumer laws.</w:t>
      </w:r>
    </w:p>
    <w:p w14:paraId="58D1C4C2" w14:textId="77777777" w:rsidR="00C90E80" w:rsidRDefault="004F0321" w:rsidP="00631074">
      <w:pPr>
        <w:pStyle w:val="BodyText"/>
      </w:pPr>
      <w:r w:rsidRPr="004F0321">
        <w:t xml:space="preserve">We provide administrative support to several statutory offices and bodies including the Business Licensing Authority, the Estate Agents Council, the Motor Car Traders Claims Committee and the Residential Tenancies Bond Authority, as well as supporting </w:t>
      </w:r>
      <w:r w:rsidR="00B34E68">
        <w:t>c</w:t>
      </w:r>
      <w:r w:rsidRPr="004F0321">
        <w:t xml:space="preserve">onsumer </w:t>
      </w:r>
      <w:r w:rsidR="00B34E68">
        <w:t>a</w:t>
      </w:r>
      <w:r w:rsidRPr="004F0321">
        <w:t>ffairs ministerial advisory roles.</w:t>
      </w:r>
    </w:p>
    <w:p w14:paraId="58D1C4C3" w14:textId="77777777" w:rsidR="00C90E80" w:rsidRDefault="00FF7A3C" w:rsidP="00201270">
      <w:pPr>
        <w:pStyle w:val="Heading3"/>
      </w:pPr>
      <w:bookmarkStart w:id="19" w:name="_Toc457494688"/>
      <w:bookmarkStart w:id="20" w:name="_Toc457494987"/>
      <w:r>
        <w:br w:type="page"/>
      </w:r>
      <w:bookmarkStart w:id="21" w:name="_Toc464830762"/>
      <w:r w:rsidR="00C90E80">
        <w:lastRenderedPageBreak/>
        <w:t>Our regulatory approach</w:t>
      </w:r>
      <w:bookmarkEnd w:id="19"/>
      <w:bookmarkEnd w:id="20"/>
      <w:bookmarkEnd w:id="21"/>
    </w:p>
    <w:p w14:paraId="58D1C4C4" w14:textId="77777777" w:rsidR="00EE29E7" w:rsidRDefault="00B74A1F" w:rsidP="00631074">
      <w:pPr>
        <w:pStyle w:val="BodyText"/>
      </w:pPr>
      <w:r>
        <w:t xml:space="preserve">Consumer Affairs Victoria is a modern regulator </w:t>
      </w:r>
      <w:r w:rsidR="00080476">
        <w:t>and we take an intelligence-led,</w:t>
      </w:r>
      <w:r>
        <w:t xml:space="preserve"> risk-based </w:t>
      </w:r>
      <w:r w:rsidR="00080476">
        <w:t>and outcome</w:t>
      </w:r>
      <w:r w:rsidR="00732553">
        <w:t>-</w:t>
      </w:r>
      <w:r w:rsidR="00080476">
        <w:t xml:space="preserve">focussed </w:t>
      </w:r>
      <w:r>
        <w:t xml:space="preserve">approach to ensuring businesses comply </w:t>
      </w:r>
      <w:r w:rsidR="00732553">
        <w:t xml:space="preserve">with the law </w:t>
      </w:r>
      <w:r>
        <w:t>and</w:t>
      </w:r>
      <w:r w:rsidR="004F0321" w:rsidRPr="004F0321">
        <w:t xml:space="preserve"> consumers are protected. We use an integrated compliance approach to ensure businesses comply with consumer laws, </w:t>
      </w:r>
      <w:r>
        <w:t>consumer</w:t>
      </w:r>
      <w:r w:rsidR="00A433D9">
        <w:t>s</w:t>
      </w:r>
      <w:r>
        <w:t xml:space="preserve"> </w:t>
      </w:r>
      <w:r w:rsidR="007F7301">
        <w:t>can exercise their rights</w:t>
      </w:r>
      <w:r>
        <w:t xml:space="preserve"> </w:t>
      </w:r>
      <w:r w:rsidR="004F0321" w:rsidRPr="004F0321">
        <w:t>and to promote a thriving Victorian economy.</w:t>
      </w:r>
    </w:p>
    <w:p w14:paraId="58D1C4C5" w14:textId="77777777" w:rsidR="004F0321" w:rsidRPr="004F0321" w:rsidRDefault="004F0321" w:rsidP="003D521F">
      <w:pPr>
        <w:pStyle w:val="BodyText"/>
      </w:pPr>
      <w:r w:rsidRPr="004F0321">
        <w:t xml:space="preserve">Integrated compliance is about using all </w:t>
      </w:r>
      <w:r w:rsidR="00A433D9">
        <w:t xml:space="preserve">of </w:t>
      </w:r>
      <w:r w:rsidRPr="004F0321">
        <w:t>our tools effectively. We:</w:t>
      </w:r>
    </w:p>
    <w:p w14:paraId="58D1C4C6" w14:textId="77777777" w:rsidR="004F0321" w:rsidRPr="004F0321" w:rsidRDefault="004F0321" w:rsidP="00631074">
      <w:pPr>
        <w:pStyle w:val="ListBullet"/>
      </w:pPr>
      <w:r w:rsidRPr="004F0321">
        <w:t>provide compliance information to businesses</w:t>
      </w:r>
      <w:r w:rsidR="004804BA">
        <w:t>, organisations and landlords</w:t>
      </w:r>
      <w:r w:rsidRPr="004F0321">
        <w:t xml:space="preserve"> so that they understand their obligations and the consequences of not meeting them</w:t>
      </w:r>
    </w:p>
    <w:p w14:paraId="58D1C4C7" w14:textId="77777777" w:rsidR="00EE29E7" w:rsidRDefault="004F0321" w:rsidP="00631074">
      <w:pPr>
        <w:pStyle w:val="ListBullet"/>
      </w:pPr>
      <w:r w:rsidRPr="004F0321">
        <w:t xml:space="preserve">work with </w:t>
      </w:r>
      <w:r w:rsidR="00452669">
        <w:t>our</w:t>
      </w:r>
      <w:r w:rsidRPr="004F0321">
        <w:t xml:space="preserve"> partners to achieve compliance</w:t>
      </w:r>
      <w:r w:rsidR="009D64E4">
        <w:t>. T</w:t>
      </w:r>
      <w:r w:rsidRPr="004F0321">
        <w:t xml:space="preserve">his </w:t>
      </w:r>
      <w:r w:rsidR="004804BA">
        <w:t>includes</w:t>
      </w:r>
      <w:r w:rsidR="004804BA" w:rsidRPr="004F0321">
        <w:t xml:space="preserve"> </w:t>
      </w:r>
      <w:r w:rsidRPr="004F0321">
        <w:t xml:space="preserve">working with our </w:t>
      </w:r>
      <w:r w:rsidR="004804BA">
        <w:t xml:space="preserve">consumer protection </w:t>
      </w:r>
      <w:r w:rsidRPr="004F0321">
        <w:t>colleagues in other jurisdictions, as well as</w:t>
      </w:r>
      <w:r w:rsidR="004804BA">
        <w:t xml:space="preserve"> industry and government</w:t>
      </w:r>
      <w:r w:rsidRPr="004F0321">
        <w:t xml:space="preserve"> organisations</w:t>
      </w:r>
      <w:r w:rsidR="004804BA">
        <w:t xml:space="preserve"> that operate in the sectors we regulate</w:t>
      </w:r>
    </w:p>
    <w:p w14:paraId="58D1C4C8" w14:textId="77777777" w:rsidR="004F0321" w:rsidRPr="004F0321" w:rsidRDefault="004F0321" w:rsidP="00631074">
      <w:pPr>
        <w:pStyle w:val="ListBullet"/>
      </w:pPr>
      <w:r w:rsidRPr="004F0321">
        <w:t>provide information to consumers and tenants to help them assert their rights in a dispute, thus holding businesses account</w:t>
      </w:r>
      <w:r w:rsidR="00A433D9">
        <w:t>able</w:t>
      </w:r>
      <w:r w:rsidRPr="004F0321">
        <w:t xml:space="preserve"> for compliance.</w:t>
      </w:r>
    </w:p>
    <w:p w14:paraId="58D1C4C9" w14:textId="77777777" w:rsidR="004F0321" w:rsidRPr="004F0321" w:rsidRDefault="004F0321" w:rsidP="00631074">
      <w:pPr>
        <w:pStyle w:val="BodyText"/>
      </w:pPr>
      <w:r w:rsidRPr="004F0321">
        <w:t>We use compliance tools to monitor businesses, stop misconduct and prevent future breaches. We take a risk-based approach to compliance monitoring, targeting those that pose the highest risk to Victorians.</w:t>
      </w:r>
      <w:r w:rsidR="004804BA">
        <w:t xml:space="preserve"> Our inspection services are place-based and delivered in partnership with the Regional Services Network, leveraging local knowledge and </w:t>
      </w:r>
      <w:r w:rsidR="00E3430A">
        <w:t>networks to maximise our impact.</w:t>
      </w:r>
    </w:p>
    <w:p w14:paraId="58D1C4CA" w14:textId="77777777" w:rsidR="00C90E80" w:rsidRDefault="004F0321" w:rsidP="00631074">
      <w:pPr>
        <w:pStyle w:val="BodyText"/>
      </w:pPr>
      <w:r w:rsidRPr="004F0321">
        <w:t>For the most serious matters or systemic non-compliance, we take enforcement action to put a stop to, and deter, unlawful conduct</w:t>
      </w:r>
      <w:r w:rsidR="00B74A1F">
        <w:t>.</w:t>
      </w:r>
    </w:p>
    <w:p w14:paraId="58D1C4CB" w14:textId="77777777" w:rsidR="00C90E80" w:rsidRDefault="00C90E80" w:rsidP="00631074">
      <w:pPr>
        <w:pStyle w:val="Heading2"/>
      </w:pPr>
      <w:bookmarkStart w:id="22" w:name="_Toc457494690"/>
      <w:bookmarkStart w:id="23" w:name="_Toc457494989"/>
      <w:bookmarkStart w:id="24" w:name="_Toc464830763"/>
      <w:r>
        <w:lastRenderedPageBreak/>
        <w:t>Our performance</w:t>
      </w:r>
      <w:bookmarkEnd w:id="22"/>
      <w:bookmarkEnd w:id="23"/>
      <w:bookmarkEnd w:id="24"/>
    </w:p>
    <w:p w14:paraId="58D1C4CC" w14:textId="77777777" w:rsidR="005A6618" w:rsidRDefault="00323337" w:rsidP="00631074">
      <w:pPr>
        <w:pStyle w:val="BodyText"/>
      </w:pPr>
      <w:r w:rsidRPr="00B74A1F">
        <w:t xml:space="preserve">This section </w:t>
      </w:r>
      <w:r w:rsidR="0075750A">
        <w:t>provides a report of</w:t>
      </w:r>
      <w:r w:rsidRPr="00B74A1F">
        <w:t xml:space="preserve"> our </w:t>
      </w:r>
      <w:r w:rsidR="008A2567">
        <w:t>performance against targets specified in the Budget Paper Number 3 2015-16</w:t>
      </w:r>
      <w:r w:rsidR="00B92DA9">
        <w:t>.</w:t>
      </w:r>
    </w:p>
    <w:p w14:paraId="58D1C4CD" w14:textId="77777777" w:rsidR="00B45028" w:rsidRPr="00B74A1F" w:rsidRDefault="00323337" w:rsidP="00631074">
      <w:pPr>
        <w:pStyle w:val="BodyText"/>
      </w:pPr>
      <w:r w:rsidRPr="00B74A1F">
        <w:t>For budget purposes, outputs are defined as those goods and services provided to government by departments, agencies, statutory bodies and through funding provided to others, such as community agencies. The table below reports actual performance against targets for each output measure.</w:t>
      </w:r>
    </w:p>
    <w:tbl>
      <w:tblPr>
        <w:tblW w:w="9072" w:type="dxa"/>
        <w:tblInd w:w="108" w:type="dxa"/>
        <w:tblBorders>
          <w:top w:val="single" w:sz="4" w:space="0" w:color="0072CE"/>
          <w:left w:val="single" w:sz="4" w:space="0" w:color="0072CE"/>
          <w:bottom w:val="single" w:sz="4" w:space="0" w:color="0072CE"/>
          <w:right w:val="single" w:sz="4" w:space="0" w:color="0072CE"/>
          <w:insideH w:val="single" w:sz="4" w:space="0" w:color="0072CE"/>
          <w:insideV w:val="single" w:sz="4" w:space="0" w:color="0072CE"/>
        </w:tblBorders>
        <w:tblLayout w:type="fixed"/>
        <w:tblLook w:val="0020" w:firstRow="1" w:lastRow="0" w:firstColumn="0" w:lastColumn="0" w:noHBand="0" w:noVBand="0"/>
      </w:tblPr>
      <w:tblGrid>
        <w:gridCol w:w="4137"/>
        <w:gridCol w:w="1042"/>
        <w:gridCol w:w="973"/>
        <w:gridCol w:w="973"/>
        <w:gridCol w:w="974"/>
        <w:gridCol w:w="973"/>
      </w:tblGrid>
      <w:tr w:rsidR="00C6201E" w:rsidRPr="0099615E" w14:paraId="58D1C4D4" w14:textId="77777777" w:rsidTr="00C6201E">
        <w:tc>
          <w:tcPr>
            <w:tcW w:w="4235" w:type="dxa"/>
            <w:tcBorders>
              <w:right w:val="single" w:sz="4" w:space="0" w:color="FFFFFF"/>
            </w:tcBorders>
            <w:shd w:val="clear" w:color="auto" w:fill="0072CE"/>
            <w:vAlign w:val="bottom"/>
          </w:tcPr>
          <w:p w14:paraId="58D1C4CE" w14:textId="77777777" w:rsidR="00323337" w:rsidRPr="0099615E" w:rsidRDefault="00323337" w:rsidP="00333E76">
            <w:pPr>
              <w:pStyle w:val="TableColHead"/>
            </w:pPr>
          </w:p>
        </w:tc>
        <w:tc>
          <w:tcPr>
            <w:tcW w:w="1062" w:type="dxa"/>
            <w:tcBorders>
              <w:left w:val="single" w:sz="4" w:space="0" w:color="FFFFFF"/>
              <w:right w:val="single" w:sz="4" w:space="0" w:color="FFFFFF"/>
            </w:tcBorders>
            <w:shd w:val="clear" w:color="auto" w:fill="0072CE"/>
            <w:vAlign w:val="bottom"/>
          </w:tcPr>
          <w:p w14:paraId="58D1C4CF" w14:textId="77777777" w:rsidR="00323337" w:rsidRPr="00A178C0" w:rsidRDefault="00323337" w:rsidP="0099615E">
            <w:pPr>
              <w:pStyle w:val="TableColHeadRight"/>
            </w:pPr>
            <w:r w:rsidRPr="00A178C0">
              <w:t>Unit of measure</w:t>
            </w:r>
          </w:p>
        </w:tc>
        <w:tc>
          <w:tcPr>
            <w:tcW w:w="992" w:type="dxa"/>
            <w:tcBorders>
              <w:left w:val="single" w:sz="4" w:space="0" w:color="FFFFFF"/>
              <w:right w:val="single" w:sz="4" w:space="0" w:color="FFFFFF"/>
            </w:tcBorders>
            <w:shd w:val="clear" w:color="auto" w:fill="0072CE"/>
            <w:vAlign w:val="bottom"/>
          </w:tcPr>
          <w:p w14:paraId="58D1C4D0" w14:textId="77777777" w:rsidR="00323337" w:rsidRPr="00A178C0" w:rsidRDefault="00323337" w:rsidP="0099615E">
            <w:pPr>
              <w:pStyle w:val="TableColHeadRight"/>
            </w:pPr>
            <w:r w:rsidRPr="00A178C0">
              <w:t>2013-14 Actual</w:t>
            </w:r>
          </w:p>
        </w:tc>
        <w:tc>
          <w:tcPr>
            <w:tcW w:w="992" w:type="dxa"/>
            <w:tcBorders>
              <w:left w:val="single" w:sz="4" w:space="0" w:color="FFFFFF"/>
              <w:right w:val="single" w:sz="4" w:space="0" w:color="FFFFFF"/>
            </w:tcBorders>
            <w:shd w:val="clear" w:color="auto" w:fill="0072CE"/>
            <w:vAlign w:val="bottom"/>
          </w:tcPr>
          <w:p w14:paraId="58D1C4D1" w14:textId="77777777" w:rsidR="00323337" w:rsidRPr="00A178C0" w:rsidRDefault="00323337" w:rsidP="0099615E">
            <w:pPr>
              <w:pStyle w:val="TableColHeadRight"/>
            </w:pPr>
            <w:r w:rsidRPr="00A178C0">
              <w:t>2014-15 Actual</w:t>
            </w:r>
          </w:p>
        </w:tc>
        <w:tc>
          <w:tcPr>
            <w:tcW w:w="993" w:type="dxa"/>
            <w:tcBorders>
              <w:left w:val="single" w:sz="4" w:space="0" w:color="FFFFFF"/>
              <w:right w:val="single" w:sz="4" w:space="0" w:color="FFFFFF"/>
            </w:tcBorders>
            <w:shd w:val="clear" w:color="auto" w:fill="0072CE"/>
            <w:vAlign w:val="bottom"/>
          </w:tcPr>
          <w:p w14:paraId="58D1C4D2" w14:textId="77777777" w:rsidR="00323337" w:rsidRPr="00A178C0" w:rsidRDefault="00323337" w:rsidP="0099615E">
            <w:pPr>
              <w:pStyle w:val="TableColHeadRight"/>
            </w:pPr>
            <w:r w:rsidRPr="00A178C0">
              <w:t>2015-16</w:t>
            </w:r>
            <w:r w:rsidR="00226FBE" w:rsidRPr="00A178C0">
              <w:t xml:space="preserve"> </w:t>
            </w:r>
            <w:r w:rsidRPr="00A178C0">
              <w:t>Target</w:t>
            </w:r>
          </w:p>
        </w:tc>
        <w:tc>
          <w:tcPr>
            <w:tcW w:w="992" w:type="dxa"/>
            <w:tcBorders>
              <w:left w:val="single" w:sz="4" w:space="0" w:color="FFFFFF"/>
            </w:tcBorders>
            <w:shd w:val="clear" w:color="auto" w:fill="0072CE"/>
            <w:vAlign w:val="bottom"/>
          </w:tcPr>
          <w:p w14:paraId="58D1C4D3" w14:textId="77777777" w:rsidR="00323337" w:rsidRPr="00A178C0" w:rsidRDefault="00323337" w:rsidP="0099615E">
            <w:pPr>
              <w:pStyle w:val="TableColHeadRight"/>
            </w:pPr>
            <w:r w:rsidRPr="00A178C0">
              <w:t>2015-16</w:t>
            </w:r>
            <w:r w:rsidR="00226FBE" w:rsidRPr="00A178C0">
              <w:t xml:space="preserve"> </w:t>
            </w:r>
            <w:r w:rsidRPr="00A178C0">
              <w:t>Actual</w:t>
            </w:r>
          </w:p>
        </w:tc>
      </w:tr>
      <w:tr w:rsidR="00323337" w:rsidRPr="008C1BE0" w14:paraId="58D1C4D6" w14:textId="77777777" w:rsidTr="00C6201E">
        <w:tc>
          <w:tcPr>
            <w:tcW w:w="9266" w:type="dxa"/>
            <w:gridSpan w:val="6"/>
            <w:shd w:val="clear" w:color="auto" w:fill="C7ECF8"/>
          </w:tcPr>
          <w:p w14:paraId="58D1C4D5" w14:textId="77777777" w:rsidR="00323337" w:rsidRPr="00CE2CE5" w:rsidRDefault="00323337" w:rsidP="00CE2CE5">
            <w:pPr>
              <w:pStyle w:val="TableTextBold"/>
            </w:pPr>
            <w:r w:rsidRPr="00CE2CE5">
              <w:t>Quantity</w:t>
            </w:r>
          </w:p>
        </w:tc>
      </w:tr>
      <w:tr w:rsidR="00323337" w:rsidRPr="0075750A" w14:paraId="58D1C4DD" w14:textId="77777777" w:rsidTr="00C6201E">
        <w:tc>
          <w:tcPr>
            <w:tcW w:w="4235" w:type="dxa"/>
            <w:shd w:val="clear" w:color="auto" w:fill="E5F6FC"/>
          </w:tcPr>
          <w:p w14:paraId="58D1C4D7" w14:textId="77777777" w:rsidR="00323337" w:rsidRPr="00A178C0" w:rsidRDefault="00624207" w:rsidP="0099615E">
            <w:pPr>
              <w:pStyle w:val="TableText"/>
            </w:pPr>
            <w:r w:rsidRPr="00A178C0">
              <w:t>Information and advice provided to consumers, tenants and businesses: through telephone service</w:t>
            </w:r>
          </w:p>
        </w:tc>
        <w:tc>
          <w:tcPr>
            <w:tcW w:w="1062" w:type="dxa"/>
            <w:shd w:val="clear" w:color="auto" w:fill="E5F6FC"/>
          </w:tcPr>
          <w:p w14:paraId="58D1C4D8" w14:textId="77777777" w:rsidR="00323337" w:rsidRPr="0075750A" w:rsidRDefault="00323337" w:rsidP="0099615E">
            <w:pPr>
              <w:pStyle w:val="TableTextRight"/>
            </w:pPr>
            <w:r w:rsidRPr="0075750A">
              <w:t>number</w:t>
            </w:r>
          </w:p>
        </w:tc>
        <w:tc>
          <w:tcPr>
            <w:tcW w:w="992" w:type="dxa"/>
            <w:shd w:val="clear" w:color="auto" w:fill="E5F6FC"/>
          </w:tcPr>
          <w:p w14:paraId="58D1C4D9" w14:textId="77777777" w:rsidR="00323337" w:rsidRPr="0075750A" w:rsidRDefault="00323337" w:rsidP="0099615E">
            <w:pPr>
              <w:pStyle w:val="TableTextRight"/>
            </w:pPr>
            <w:r w:rsidRPr="0075750A">
              <w:t>390,349</w:t>
            </w:r>
          </w:p>
        </w:tc>
        <w:tc>
          <w:tcPr>
            <w:tcW w:w="992" w:type="dxa"/>
            <w:shd w:val="clear" w:color="auto" w:fill="E5F6FC"/>
          </w:tcPr>
          <w:p w14:paraId="58D1C4DA" w14:textId="77777777" w:rsidR="00323337" w:rsidRPr="0075750A" w:rsidRDefault="00323337" w:rsidP="0099615E">
            <w:pPr>
              <w:pStyle w:val="TableTextRight"/>
            </w:pPr>
            <w:r w:rsidRPr="0075750A">
              <w:t>352,369</w:t>
            </w:r>
          </w:p>
        </w:tc>
        <w:tc>
          <w:tcPr>
            <w:tcW w:w="993" w:type="dxa"/>
            <w:shd w:val="clear" w:color="auto" w:fill="E5F6FC"/>
          </w:tcPr>
          <w:p w14:paraId="58D1C4DB" w14:textId="77777777" w:rsidR="00323337" w:rsidRPr="0075750A" w:rsidRDefault="003F25B0" w:rsidP="0099615E">
            <w:pPr>
              <w:pStyle w:val="TableTextRight"/>
            </w:pPr>
            <w:r w:rsidRPr="0075750A">
              <w:t>346,500</w:t>
            </w:r>
          </w:p>
        </w:tc>
        <w:tc>
          <w:tcPr>
            <w:tcW w:w="992" w:type="dxa"/>
            <w:shd w:val="clear" w:color="auto" w:fill="C7ECF8"/>
          </w:tcPr>
          <w:p w14:paraId="58D1C4DC" w14:textId="77777777" w:rsidR="00323337" w:rsidRPr="0075750A" w:rsidRDefault="003F25B0" w:rsidP="0099615E">
            <w:pPr>
              <w:pStyle w:val="TableTextRight"/>
            </w:pPr>
            <w:r w:rsidRPr="0075750A">
              <w:t>349,985</w:t>
            </w:r>
          </w:p>
        </w:tc>
      </w:tr>
      <w:tr w:rsidR="00323337" w:rsidRPr="0075750A" w14:paraId="58D1C4E4" w14:textId="77777777" w:rsidTr="00C6201E">
        <w:tc>
          <w:tcPr>
            <w:tcW w:w="4235" w:type="dxa"/>
            <w:shd w:val="clear" w:color="auto" w:fill="E5F6FC"/>
          </w:tcPr>
          <w:p w14:paraId="58D1C4DE" w14:textId="77777777" w:rsidR="00323337" w:rsidRPr="00A178C0" w:rsidRDefault="00624207" w:rsidP="0099615E">
            <w:pPr>
              <w:pStyle w:val="TableText"/>
            </w:pPr>
            <w:r w:rsidRPr="00A178C0">
              <w:t>Information and advice provided to consumers, tenants and businesses: through other services including written correspondence, face to face and dispute assistance</w:t>
            </w:r>
          </w:p>
        </w:tc>
        <w:tc>
          <w:tcPr>
            <w:tcW w:w="1062" w:type="dxa"/>
            <w:shd w:val="clear" w:color="auto" w:fill="E5F6FC"/>
          </w:tcPr>
          <w:p w14:paraId="58D1C4DF" w14:textId="77777777" w:rsidR="00323337" w:rsidRPr="0075750A" w:rsidRDefault="00323337" w:rsidP="0099615E">
            <w:pPr>
              <w:pStyle w:val="TableTextRight"/>
            </w:pPr>
            <w:r w:rsidRPr="0075750A">
              <w:t>number</w:t>
            </w:r>
          </w:p>
        </w:tc>
        <w:tc>
          <w:tcPr>
            <w:tcW w:w="992" w:type="dxa"/>
            <w:shd w:val="clear" w:color="auto" w:fill="E5F6FC"/>
          </w:tcPr>
          <w:p w14:paraId="58D1C4E0" w14:textId="77777777" w:rsidR="00323337" w:rsidRPr="0075750A" w:rsidRDefault="00323337" w:rsidP="0099615E">
            <w:pPr>
              <w:pStyle w:val="TableTextRight"/>
            </w:pPr>
            <w:r w:rsidRPr="0075750A">
              <w:t>133,729</w:t>
            </w:r>
          </w:p>
        </w:tc>
        <w:tc>
          <w:tcPr>
            <w:tcW w:w="992" w:type="dxa"/>
            <w:shd w:val="clear" w:color="auto" w:fill="E5F6FC"/>
          </w:tcPr>
          <w:p w14:paraId="58D1C4E1" w14:textId="77777777" w:rsidR="00323337" w:rsidRPr="0075750A" w:rsidRDefault="00323337" w:rsidP="0099615E">
            <w:pPr>
              <w:pStyle w:val="TableTextRight"/>
            </w:pPr>
            <w:r w:rsidRPr="0075750A">
              <w:t>129,430</w:t>
            </w:r>
          </w:p>
        </w:tc>
        <w:tc>
          <w:tcPr>
            <w:tcW w:w="993" w:type="dxa"/>
            <w:shd w:val="clear" w:color="auto" w:fill="E5F6FC"/>
          </w:tcPr>
          <w:p w14:paraId="58D1C4E2" w14:textId="77777777" w:rsidR="00323337" w:rsidRPr="0075750A" w:rsidRDefault="003F25B0" w:rsidP="0099615E">
            <w:pPr>
              <w:pStyle w:val="TableTextRight"/>
            </w:pPr>
            <w:r w:rsidRPr="0075750A">
              <w:t>123,000</w:t>
            </w:r>
          </w:p>
        </w:tc>
        <w:tc>
          <w:tcPr>
            <w:tcW w:w="992" w:type="dxa"/>
            <w:shd w:val="clear" w:color="auto" w:fill="C7ECF8"/>
          </w:tcPr>
          <w:p w14:paraId="58D1C4E3" w14:textId="77777777" w:rsidR="00323337" w:rsidRPr="0075750A" w:rsidRDefault="003F25B0" w:rsidP="0099615E">
            <w:pPr>
              <w:pStyle w:val="TableTextRight"/>
            </w:pPr>
            <w:r w:rsidRPr="0075750A">
              <w:t>123,309</w:t>
            </w:r>
          </w:p>
        </w:tc>
      </w:tr>
      <w:tr w:rsidR="00323337" w:rsidRPr="0075750A" w14:paraId="58D1C4EB" w14:textId="77777777" w:rsidTr="00C6201E">
        <w:tc>
          <w:tcPr>
            <w:tcW w:w="4235" w:type="dxa"/>
            <w:shd w:val="clear" w:color="auto" w:fill="E5F6FC"/>
          </w:tcPr>
          <w:p w14:paraId="58D1C4E5" w14:textId="77777777" w:rsidR="00323337" w:rsidRPr="00A178C0" w:rsidRDefault="00624207" w:rsidP="0099615E">
            <w:pPr>
              <w:pStyle w:val="TableText"/>
            </w:pPr>
            <w:r w:rsidRPr="00A178C0">
              <w:t>Compliance activities, from compliance assistance through to court actions</w:t>
            </w:r>
            <w:r w:rsidR="003D521F">
              <w:rPr>
                <w:rStyle w:val="FootnoteReference"/>
              </w:rPr>
              <w:footnoteReference w:id="2"/>
            </w:r>
          </w:p>
        </w:tc>
        <w:tc>
          <w:tcPr>
            <w:tcW w:w="1062" w:type="dxa"/>
            <w:shd w:val="clear" w:color="auto" w:fill="E5F6FC"/>
          </w:tcPr>
          <w:p w14:paraId="58D1C4E6" w14:textId="77777777" w:rsidR="00323337" w:rsidRPr="0075750A" w:rsidRDefault="00323337" w:rsidP="0099615E">
            <w:pPr>
              <w:pStyle w:val="TableTextRight"/>
            </w:pPr>
            <w:r w:rsidRPr="0075750A">
              <w:t>number</w:t>
            </w:r>
          </w:p>
        </w:tc>
        <w:tc>
          <w:tcPr>
            <w:tcW w:w="992" w:type="dxa"/>
            <w:shd w:val="clear" w:color="auto" w:fill="E5F6FC"/>
          </w:tcPr>
          <w:p w14:paraId="58D1C4E7" w14:textId="77777777" w:rsidR="00323337" w:rsidRPr="0075750A" w:rsidRDefault="00323337" w:rsidP="0099615E">
            <w:pPr>
              <w:pStyle w:val="TableTextRight"/>
            </w:pPr>
            <w:r w:rsidRPr="0075750A">
              <w:t>10,588</w:t>
            </w:r>
          </w:p>
        </w:tc>
        <w:tc>
          <w:tcPr>
            <w:tcW w:w="992" w:type="dxa"/>
            <w:shd w:val="clear" w:color="auto" w:fill="E5F6FC"/>
          </w:tcPr>
          <w:p w14:paraId="58D1C4E8" w14:textId="77777777" w:rsidR="00323337" w:rsidRPr="0075750A" w:rsidRDefault="00323337" w:rsidP="0099615E">
            <w:pPr>
              <w:pStyle w:val="TableTextRight"/>
            </w:pPr>
            <w:r w:rsidRPr="0075750A">
              <w:t>11,344</w:t>
            </w:r>
          </w:p>
        </w:tc>
        <w:tc>
          <w:tcPr>
            <w:tcW w:w="993" w:type="dxa"/>
            <w:shd w:val="clear" w:color="auto" w:fill="E5F6FC"/>
          </w:tcPr>
          <w:p w14:paraId="58D1C4E9" w14:textId="77777777" w:rsidR="00323337" w:rsidRPr="0075750A" w:rsidRDefault="003F25B0" w:rsidP="0099615E">
            <w:pPr>
              <w:pStyle w:val="TableTextRight"/>
            </w:pPr>
            <w:r w:rsidRPr="0075750A">
              <w:t>9,600</w:t>
            </w:r>
          </w:p>
        </w:tc>
        <w:tc>
          <w:tcPr>
            <w:tcW w:w="992" w:type="dxa"/>
            <w:shd w:val="clear" w:color="auto" w:fill="C7ECF8"/>
          </w:tcPr>
          <w:p w14:paraId="58D1C4EA" w14:textId="77777777" w:rsidR="00323337" w:rsidRPr="0075750A" w:rsidRDefault="003F25B0" w:rsidP="0099615E">
            <w:pPr>
              <w:pStyle w:val="TableTextRight"/>
            </w:pPr>
            <w:r w:rsidRPr="0075750A">
              <w:t>9,774</w:t>
            </w:r>
          </w:p>
        </w:tc>
      </w:tr>
      <w:tr w:rsidR="00323337" w:rsidRPr="0075750A" w14:paraId="58D1C4F2" w14:textId="77777777" w:rsidTr="00C6201E">
        <w:tc>
          <w:tcPr>
            <w:tcW w:w="4235" w:type="dxa"/>
            <w:shd w:val="clear" w:color="auto" w:fill="E5F6FC"/>
          </w:tcPr>
          <w:p w14:paraId="58D1C4EC" w14:textId="77777777" w:rsidR="00323337" w:rsidRPr="0075750A" w:rsidRDefault="00323337" w:rsidP="0099615E">
            <w:pPr>
              <w:pStyle w:val="TableText"/>
            </w:pPr>
            <w:r w:rsidRPr="0075750A">
              <w:t>Transactions undertaken: registr</w:t>
            </w:r>
            <w:r w:rsidR="00C23DEB" w:rsidRPr="0075750A">
              <w:t>ation and licensing transactions</w:t>
            </w:r>
            <w:r w:rsidR="00384747">
              <w:rPr>
                <w:rStyle w:val="FootnoteReference"/>
              </w:rPr>
              <w:footnoteReference w:id="3"/>
            </w:r>
          </w:p>
        </w:tc>
        <w:tc>
          <w:tcPr>
            <w:tcW w:w="1062" w:type="dxa"/>
            <w:shd w:val="clear" w:color="auto" w:fill="E5F6FC"/>
          </w:tcPr>
          <w:p w14:paraId="58D1C4ED" w14:textId="77777777" w:rsidR="00323337" w:rsidRPr="0075750A" w:rsidRDefault="00323337" w:rsidP="0099615E">
            <w:pPr>
              <w:pStyle w:val="TableTextRight"/>
            </w:pPr>
            <w:r w:rsidRPr="0075750A">
              <w:t>number</w:t>
            </w:r>
          </w:p>
        </w:tc>
        <w:tc>
          <w:tcPr>
            <w:tcW w:w="992" w:type="dxa"/>
            <w:shd w:val="clear" w:color="auto" w:fill="E5F6FC"/>
          </w:tcPr>
          <w:p w14:paraId="58D1C4EE" w14:textId="77777777" w:rsidR="00323337" w:rsidRPr="0075750A" w:rsidRDefault="00323337" w:rsidP="0099615E">
            <w:pPr>
              <w:pStyle w:val="TableTextRight"/>
            </w:pPr>
            <w:r w:rsidRPr="0075750A">
              <w:t>67,520</w:t>
            </w:r>
          </w:p>
        </w:tc>
        <w:tc>
          <w:tcPr>
            <w:tcW w:w="992" w:type="dxa"/>
            <w:shd w:val="clear" w:color="auto" w:fill="E5F6FC"/>
          </w:tcPr>
          <w:p w14:paraId="58D1C4EF" w14:textId="77777777" w:rsidR="00323337" w:rsidRPr="0075750A" w:rsidRDefault="00323337" w:rsidP="0099615E">
            <w:pPr>
              <w:pStyle w:val="TableTextRight"/>
            </w:pPr>
            <w:r w:rsidRPr="0075750A">
              <w:t>70,679</w:t>
            </w:r>
          </w:p>
        </w:tc>
        <w:tc>
          <w:tcPr>
            <w:tcW w:w="993" w:type="dxa"/>
            <w:shd w:val="clear" w:color="auto" w:fill="E5F6FC"/>
          </w:tcPr>
          <w:p w14:paraId="58D1C4F0" w14:textId="77777777" w:rsidR="00323337" w:rsidRPr="0075750A" w:rsidRDefault="003F25B0" w:rsidP="0099615E">
            <w:pPr>
              <w:pStyle w:val="TableTextRight"/>
            </w:pPr>
            <w:r w:rsidRPr="0075750A">
              <w:t>69,500</w:t>
            </w:r>
          </w:p>
        </w:tc>
        <w:tc>
          <w:tcPr>
            <w:tcW w:w="992" w:type="dxa"/>
            <w:shd w:val="clear" w:color="auto" w:fill="C7ECF8"/>
          </w:tcPr>
          <w:p w14:paraId="58D1C4F1" w14:textId="77777777" w:rsidR="00323337" w:rsidRPr="0075750A" w:rsidRDefault="003F25B0" w:rsidP="0099615E">
            <w:pPr>
              <w:pStyle w:val="TableTextRight"/>
            </w:pPr>
            <w:r w:rsidRPr="0075750A">
              <w:t>88,221</w:t>
            </w:r>
          </w:p>
        </w:tc>
      </w:tr>
      <w:tr w:rsidR="00323337" w:rsidRPr="0075750A" w14:paraId="58D1C4F9" w14:textId="77777777" w:rsidTr="00C6201E">
        <w:tc>
          <w:tcPr>
            <w:tcW w:w="4235" w:type="dxa"/>
            <w:shd w:val="clear" w:color="auto" w:fill="E5F6FC"/>
          </w:tcPr>
          <w:p w14:paraId="58D1C4F3" w14:textId="77777777" w:rsidR="00323337" w:rsidRPr="0075750A" w:rsidRDefault="00624207" w:rsidP="0099615E">
            <w:pPr>
              <w:pStyle w:val="TableText"/>
            </w:pPr>
            <w:r w:rsidRPr="0075750A">
              <w:t>Transactions undertaken: Residential Tenancies Bonds Authority (RTBA) transactions</w:t>
            </w:r>
          </w:p>
        </w:tc>
        <w:tc>
          <w:tcPr>
            <w:tcW w:w="1062" w:type="dxa"/>
            <w:shd w:val="clear" w:color="auto" w:fill="E5F6FC"/>
          </w:tcPr>
          <w:p w14:paraId="58D1C4F4" w14:textId="77777777" w:rsidR="00323337" w:rsidRPr="0075750A" w:rsidRDefault="00323337" w:rsidP="0099615E">
            <w:pPr>
              <w:pStyle w:val="TableTextRight"/>
            </w:pPr>
            <w:r w:rsidRPr="0075750A">
              <w:t>number</w:t>
            </w:r>
          </w:p>
        </w:tc>
        <w:tc>
          <w:tcPr>
            <w:tcW w:w="992" w:type="dxa"/>
            <w:shd w:val="clear" w:color="auto" w:fill="E5F6FC"/>
          </w:tcPr>
          <w:p w14:paraId="58D1C4F5" w14:textId="77777777" w:rsidR="00323337" w:rsidRPr="0075750A" w:rsidRDefault="00323337" w:rsidP="0099615E">
            <w:pPr>
              <w:pStyle w:val="TableTextRight"/>
            </w:pPr>
            <w:r w:rsidRPr="0075750A">
              <w:t>419,135</w:t>
            </w:r>
          </w:p>
        </w:tc>
        <w:tc>
          <w:tcPr>
            <w:tcW w:w="992" w:type="dxa"/>
            <w:shd w:val="clear" w:color="auto" w:fill="E5F6FC"/>
          </w:tcPr>
          <w:p w14:paraId="58D1C4F6" w14:textId="77777777" w:rsidR="00323337" w:rsidRPr="0075750A" w:rsidRDefault="00323337" w:rsidP="0099615E">
            <w:pPr>
              <w:pStyle w:val="TableTextRight"/>
            </w:pPr>
            <w:r w:rsidRPr="0075750A">
              <w:t>432,569</w:t>
            </w:r>
          </w:p>
        </w:tc>
        <w:tc>
          <w:tcPr>
            <w:tcW w:w="993" w:type="dxa"/>
            <w:shd w:val="clear" w:color="auto" w:fill="E5F6FC"/>
          </w:tcPr>
          <w:p w14:paraId="58D1C4F7" w14:textId="77777777" w:rsidR="00323337" w:rsidRPr="0075750A" w:rsidRDefault="003F25B0" w:rsidP="0099615E">
            <w:pPr>
              <w:pStyle w:val="TableTextRight"/>
            </w:pPr>
            <w:r w:rsidRPr="0075750A">
              <w:t>433,500</w:t>
            </w:r>
          </w:p>
        </w:tc>
        <w:tc>
          <w:tcPr>
            <w:tcW w:w="992" w:type="dxa"/>
            <w:shd w:val="clear" w:color="auto" w:fill="C7ECF8"/>
          </w:tcPr>
          <w:p w14:paraId="58D1C4F8" w14:textId="77777777" w:rsidR="00323337" w:rsidRPr="0075750A" w:rsidRDefault="003F25B0" w:rsidP="0099615E">
            <w:pPr>
              <w:pStyle w:val="TableTextRight"/>
            </w:pPr>
            <w:r w:rsidRPr="0075750A">
              <w:t>447,934</w:t>
            </w:r>
          </w:p>
        </w:tc>
      </w:tr>
      <w:tr w:rsidR="00323337" w:rsidRPr="0099615E" w14:paraId="58D1C4FB" w14:textId="77777777" w:rsidTr="00C6201E">
        <w:tc>
          <w:tcPr>
            <w:tcW w:w="9266" w:type="dxa"/>
            <w:gridSpan w:val="6"/>
            <w:shd w:val="clear" w:color="auto" w:fill="C7ECF8"/>
          </w:tcPr>
          <w:p w14:paraId="58D1C4FA" w14:textId="77777777" w:rsidR="00323337" w:rsidRPr="00333E76" w:rsidRDefault="00323337" w:rsidP="00CE2CE5">
            <w:pPr>
              <w:pStyle w:val="TableTextBold"/>
              <w:rPr>
                <w:w w:val="110"/>
              </w:rPr>
            </w:pPr>
            <w:r w:rsidRPr="00333E76">
              <w:rPr>
                <w:w w:val="110"/>
              </w:rPr>
              <w:t>Quality</w:t>
            </w:r>
          </w:p>
        </w:tc>
      </w:tr>
      <w:tr w:rsidR="00323337" w:rsidRPr="0075750A" w14:paraId="58D1C502" w14:textId="77777777" w:rsidTr="00C6201E">
        <w:tc>
          <w:tcPr>
            <w:tcW w:w="4235" w:type="dxa"/>
            <w:shd w:val="clear" w:color="auto" w:fill="E5F6FC"/>
          </w:tcPr>
          <w:p w14:paraId="58D1C4FC" w14:textId="77777777" w:rsidR="00323337" w:rsidRPr="0075750A" w:rsidRDefault="003F25B0" w:rsidP="0099615E">
            <w:pPr>
              <w:pStyle w:val="TableText"/>
            </w:pPr>
            <w:r w:rsidRPr="0075750A">
              <w:t>Rate of compliance with key</w:t>
            </w:r>
            <w:r w:rsidR="00C23DEB" w:rsidRPr="0075750A">
              <w:t xml:space="preserve"> consumer laws</w:t>
            </w:r>
            <w:r w:rsidR="00F91196">
              <w:rPr>
                <w:rStyle w:val="FootnoteReference"/>
              </w:rPr>
              <w:footnoteReference w:id="4"/>
            </w:r>
          </w:p>
        </w:tc>
        <w:tc>
          <w:tcPr>
            <w:tcW w:w="1062" w:type="dxa"/>
            <w:shd w:val="clear" w:color="auto" w:fill="E5F6FC"/>
          </w:tcPr>
          <w:p w14:paraId="58D1C4FD" w14:textId="77777777" w:rsidR="00323337" w:rsidRPr="0075750A" w:rsidRDefault="00323337" w:rsidP="0099615E">
            <w:pPr>
              <w:pStyle w:val="TableTextRight"/>
            </w:pPr>
            <w:r w:rsidRPr="0075750A">
              <w:t>per cent</w:t>
            </w:r>
          </w:p>
        </w:tc>
        <w:tc>
          <w:tcPr>
            <w:tcW w:w="992" w:type="dxa"/>
            <w:shd w:val="clear" w:color="auto" w:fill="E5F6FC"/>
          </w:tcPr>
          <w:p w14:paraId="58D1C4FE" w14:textId="77777777" w:rsidR="00323337" w:rsidRPr="0075750A" w:rsidRDefault="00323337" w:rsidP="0099615E">
            <w:pPr>
              <w:pStyle w:val="TableTextRight"/>
            </w:pPr>
          </w:p>
        </w:tc>
        <w:tc>
          <w:tcPr>
            <w:tcW w:w="992" w:type="dxa"/>
            <w:shd w:val="clear" w:color="auto" w:fill="E5F6FC"/>
          </w:tcPr>
          <w:p w14:paraId="58D1C4FF" w14:textId="77777777" w:rsidR="00323337" w:rsidRPr="0075750A" w:rsidRDefault="00323337" w:rsidP="0099615E">
            <w:pPr>
              <w:pStyle w:val="TableTextRight"/>
            </w:pPr>
          </w:p>
        </w:tc>
        <w:tc>
          <w:tcPr>
            <w:tcW w:w="993" w:type="dxa"/>
            <w:shd w:val="clear" w:color="auto" w:fill="E5F6FC"/>
          </w:tcPr>
          <w:p w14:paraId="58D1C500" w14:textId="77777777" w:rsidR="00323337" w:rsidRPr="0075750A" w:rsidRDefault="00226FBE" w:rsidP="0099615E">
            <w:pPr>
              <w:pStyle w:val="TableTextRight"/>
            </w:pPr>
            <w:r w:rsidRPr="0075750A">
              <w:t>95</w:t>
            </w:r>
            <w:r w:rsidR="002B3B90" w:rsidRPr="0075750A">
              <w:t>.0</w:t>
            </w:r>
          </w:p>
        </w:tc>
        <w:tc>
          <w:tcPr>
            <w:tcW w:w="992" w:type="dxa"/>
            <w:shd w:val="clear" w:color="auto" w:fill="C7ECF8"/>
          </w:tcPr>
          <w:p w14:paraId="58D1C501" w14:textId="77777777" w:rsidR="00323337" w:rsidRPr="0075750A" w:rsidRDefault="002B3B90" w:rsidP="0099615E">
            <w:pPr>
              <w:pStyle w:val="TableTextRight"/>
            </w:pPr>
            <w:r w:rsidRPr="0075750A">
              <w:t>97.6</w:t>
            </w:r>
          </w:p>
        </w:tc>
      </w:tr>
      <w:tr w:rsidR="00323337" w:rsidRPr="0099615E" w14:paraId="58D1C504" w14:textId="77777777" w:rsidTr="00C6201E">
        <w:tc>
          <w:tcPr>
            <w:tcW w:w="9266" w:type="dxa"/>
            <w:gridSpan w:val="6"/>
            <w:shd w:val="clear" w:color="auto" w:fill="C7ECF8"/>
          </w:tcPr>
          <w:p w14:paraId="58D1C503" w14:textId="77777777" w:rsidR="00323337" w:rsidRPr="00333E76" w:rsidRDefault="00323337" w:rsidP="00CE2CE5">
            <w:pPr>
              <w:pStyle w:val="TableTextBold"/>
              <w:rPr>
                <w:w w:val="110"/>
              </w:rPr>
            </w:pPr>
            <w:r w:rsidRPr="00333E76">
              <w:rPr>
                <w:w w:val="110"/>
              </w:rPr>
              <w:t>Timeliness</w:t>
            </w:r>
          </w:p>
        </w:tc>
      </w:tr>
      <w:tr w:rsidR="00323337" w:rsidRPr="0075750A" w14:paraId="58D1C50B" w14:textId="77777777" w:rsidTr="00C6201E">
        <w:tc>
          <w:tcPr>
            <w:tcW w:w="4235" w:type="dxa"/>
            <w:shd w:val="clear" w:color="auto" w:fill="E5F6FC"/>
          </w:tcPr>
          <w:p w14:paraId="58D1C505" w14:textId="77777777" w:rsidR="00323337" w:rsidRPr="0075750A" w:rsidRDefault="003F25B0" w:rsidP="0099615E">
            <w:pPr>
              <w:pStyle w:val="TableText"/>
            </w:pPr>
            <w:r w:rsidRPr="0075750A">
              <w:t>Regulatory functions deli</w:t>
            </w:r>
            <w:r w:rsidR="00C23DEB" w:rsidRPr="0075750A">
              <w:t>vered within agreed time frames</w:t>
            </w:r>
            <w:r w:rsidR="00F91196">
              <w:rPr>
                <w:rStyle w:val="FootnoteReference"/>
              </w:rPr>
              <w:footnoteReference w:id="5"/>
            </w:r>
            <w:r w:rsidR="00F91196" w:rsidRPr="00333E76">
              <w:rPr>
                <w:vertAlign w:val="superscript"/>
              </w:rPr>
              <w:t>,</w:t>
            </w:r>
            <w:r w:rsidR="00F91196">
              <w:rPr>
                <w:rStyle w:val="FootnoteReference"/>
              </w:rPr>
              <w:footnoteReference w:id="6"/>
            </w:r>
          </w:p>
        </w:tc>
        <w:tc>
          <w:tcPr>
            <w:tcW w:w="1062" w:type="dxa"/>
            <w:shd w:val="clear" w:color="auto" w:fill="E5F6FC"/>
          </w:tcPr>
          <w:p w14:paraId="58D1C506" w14:textId="77777777" w:rsidR="00323337" w:rsidRPr="0075750A" w:rsidRDefault="00323337" w:rsidP="0099615E">
            <w:pPr>
              <w:pStyle w:val="TableTextRight"/>
            </w:pPr>
            <w:r w:rsidRPr="0075750A">
              <w:t>per cent</w:t>
            </w:r>
          </w:p>
        </w:tc>
        <w:tc>
          <w:tcPr>
            <w:tcW w:w="992" w:type="dxa"/>
            <w:shd w:val="clear" w:color="auto" w:fill="E5F6FC"/>
          </w:tcPr>
          <w:p w14:paraId="58D1C507" w14:textId="77777777" w:rsidR="00323337" w:rsidRPr="0075750A" w:rsidRDefault="00323337" w:rsidP="0099615E">
            <w:pPr>
              <w:pStyle w:val="TableTextRight"/>
            </w:pPr>
            <w:r w:rsidRPr="0075750A">
              <w:t>86.2</w:t>
            </w:r>
          </w:p>
        </w:tc>
        <w:tc>
          <w:tcPr>
            <w:tcW w:w="992" w:type="dxa"/>
            <w:shd w:val="clear" w:color="auto" w:fill="E5F6FC"/>
          </w:tcPr>
          <w:p w14:paraId="58D1C508" w14:textId="77777777" w:rsidR="00323337" w:rsidRPr="0075750A" w:rsidRDefault="00323337" w:rsidP="0099615E">
            <w:pPr>
              <w:pStyle w:val="TableTextRight"/>
            </w:pPr>
            <w:r w:rsidRPr="0075750A">
              <w:t>90.5</w:t>
            </w:r>
          </w:p>
        </w:tc>
        <w:tc>
          <w:tcPr>
            <w:tcW w:w="993" w:type="dxa"/>
            <w:shd w:val="clear" w:color="auto" w:fill="E5F6FC"/>
          </w:tcPr>
          <w:p w14:paraId="58D1C509" w14:textId="77777777" w:rsidR="00323337" w:rsidRPr="0075750A" w:rsidRDefault="003F25B0" w:rsidP="0099615E">
            <w:pPr>
              <w:pStyle w:val="TableTextRight"/>
            </w:pPr>
            <w:r w:rsidRPr="0075750A">
              <w:t>90.0</w:t>
            </w:r>
          </w:p>
        </w:tc>
        <w:tc>
          <w:tcPr>
            <w:tcW w:w="992" w:type="dxa"/>
            <w:shd w:val="clear" w:color="auto" w:fill="C7ECF8"/>
          </w:tcPr>
          <w:p w14:paraId="58D1C50A" w14:textId="77777777" w:rsidR="00323337" w:rsidRPr="0075750A" w:rsidRDefault="003F25B0" w:rsidP="0099615E">
            <w:pPr>
              <w:pStyle w:val="TableTextRight"/>
            </w:pPr>
            <w:r w:rsidRPr="0075750A">
              <w:t>95.7</w:t>
            </w:r>
          </w:p>
        </w:tc>
      </w:tr>
      <w:tr w:rsidR="00323337" w:rsidRPr="0099615E" w14:paraId="58D1C50D" w14:textId="77777777" w:rsidTr="00C6201E">
        <w:tc>
          <w:tcPr>
            <w:tcW w:w="9266" w:type="dxa"/>
            <w:gridSpan w:val="6"/>
            <w:shd w:val="clear" w:color="auto" w:fill="C7ECF8"/>
          </w:tcPr>
          <w:p w14:paraId="58D1C50C" w14:textId="77777777" w:rsidR="00323337" w:rsidRPr="00333E76" w:rsidRDefault="00323337" w:rsidP="00CE2CE5">
            <w:pPr>
              <w:pStyle w:val="TableTextBold"/>
              <w:rPr>
                <w:w w:val="110"/>
              </w:rPr>
            </w:pPr>
            <w:r w:rsidRPr="00333E76">
              <w:rPr>
                <w:w w:val="110"/>
              </w:rPr>
              <w:t>Cost</w:t>
            </w:r>
          </w:p>
        </w:tc>
      </w:tr>
      <w:tr w:rsidR="00323337" w:rsidRPr="0075750A" w14:paraId="58D1C514" w14:textId="77777777" w:rsidTr="00C6201E">
        <w:tc>
          <w:tcPr>
            <w:tcW w:w="4235" w:type="dxa"/>
            <w:shd w:val="clear" w:color="auto" w:fill="E5F6FC"/>
          </w:tcPr>
          <w:p w14:paraId="58D1C50E" w14:textId="77777777" w:rsidR="00323337" w:rsidRPr="0075750A" w:rsidRDefault="00323337" w:rsidP="0099615E">
            <w:pPr>
              <w:pStyle w:val="TableText"/>
            </w:pPr>
            <w:r w:rsidRPr="0075750A">
              <w:t>Total output cost</w:t>
            </w:r>
            <w:r w:rsidR="00F91196">
              <w:rPr>
                <w:rStyle w:val="FootnoteReference"/>
              </w:rPr>
              <w:footnoteReference w:id="7"/>
            </w:r>
          </w:p>
        </w:tc>
        <w:tc>
          <w:tcPr>
            <w:tcW w:w="1062" w:type="dxa"/>
            <w:shd w:val="clear" w:color="auto" w:fill="E5F6FC"/>
          </w:tcPr>
          <w:p w14:paraId="58D1C50F" w14:textId="77777777" w:rsidR="00323337" w:rsidRPr="0075750A" w:rsidRDefault="00323337" w:rsidP="0099615E">
            <w:pPr>
              <w:pStyle w:val="TableTextRight"/>
            </w:pPr>
            <w:r w:rsidRPr="0075750A">
              <w:t>$ million</w:t>
            </w:r>
          </w:p>
        </w:tc>
        <w:tc>
          <w:tcPr>
            <w:tcW w:w="992" w:type="dxa"/>
            <w:shd w:val="clear" w:color="auto" w:fill="E5F6FC"/>
          </w:tcPr>
          <w:p w14:paraId="58D1C510" w14:textId="77777777" w:rsidR="00323337" w:rsidRPr="0075750A" w:rsidRDefault="00323337" w:rsidP="0099615E">
            <w:pPr>
              <w:pStyle w:val="TableTextRight"/>
            </w:pPr>
            <w:r w:rsidRPr="0075750A">
              <w:t>80.8</w:t>
            </w:r>
          </w:p>
        </w:tc>
        <w:tc>
          <w:tcPr>
            <w:tcW w:w="992" w:type="dxa"/>
            <w:shd w:val="clear" w:color="auto" w:fill="E5F6FC"/>
          </w:tcPr>
          <w:p w14:paraId="58D1C511" w14:textId="77777777" w:rsidR="00323337" w:rsidRPr="0075750A" w:rsidRDefault="00323337" w:rsidP="0099615E">
            <w:pPr>
              <w:pStyle w:val="TableTextRight"/>
            </w:pPr>
            <w:r w:rsidRPr="0075750A">
              <w:t>119.1</w:t>
            </w:r>
          </w:p>
        </w:tc>
        <w:tc>
          <w:tcPr>
            <w:tcW w:w="993" w:type="dxa"/>
            <w:shd w:val="clear" w:color="auto" w:fill="E5F6FC"/>
          </w:tcPr>
          <w:p w14:paraId="58D1C512" w14:textId="77777777" w:rsidR="00323337" w:rsidRPr="0075750A" w:rsidRDefault="00CA4CBC" w:rsidP="0099615E">
            <w:pPr>
              <w:pStyle w:val="TableTextRight"/>
            </w:pPr>
            <w:r w:rsidRPr="0075750A">
              <w:t>125.0</w:t>
            </w:r>
          </w:p>
        </w:tc>
        <w:tc>
          <w:tcPr>
            <w:tcW w:w="992" w:type="dxa"/>
            <w:shd w:val="clear" w:color="auto" w:fill="C7ECF8"/>
          </w:tcPr>
          <w:p w14:paraId="58D1C513" w14:textId="77777777" w:rsidR="00323337" w:rsidRPr="0075750A" w:rsidRDefault="00CA4CBC" w:rsidP="0099615E">
            <w:pPr>
              <w:pStyle w:val="TableTextRight"/>
            </w:pPr>
            <w:r w:rsidRPr="0075750A">
              <w:t>115.3</w:t>
            </w:r>
          </w:p>
        </w:tc>
      </w:tr>
    </w:tbl>
    <w:p w14:paraId="58D1C515" w14:textId="77777777" w:rsidR="00C90E80" w:rsidRDefault="00C90E80" w:rsidP="00631074">
      <w:pPr>
        <w:pStyle w:val="Heading2"/>
      </w:pPr>
      <w:bookmarkStart w:id="25" w:name="_Toc457494691"/>
      <w:bookmarkStart w:id="26" w:name="_Toc457494990"/>
      <w:bookmarkStart w:id="27" w:name="_Toc464830764"/>
      <w:r>
        <w:lastRenderedPageBreak/>
        <w:t>Our achievements</w:t>
      </w:r>
      <w:bookmarkEnd w:id="25"/>
      <w:bookmarkEnd w:id="26"/>
      <w:bookmarkEnd w:id="27"/>
    </w:p>
    <w:p w14:paraId="58D1C516" w14:textId="77777777" w:rsidR="0075750A" w:rsidRDefault="0075750A" w:rsidP="00631074">
      <w:pPr>
        <w:pStyle w:val="BodyText"/>
      </w:pPr>
      <w:r>
        <w:t>In the following pages, w</w:t>
      </w:r>
      <w:r w:rsidR="00486872">
        <w:t xml:space="preserve">e report on our achievements </w:t>
      </w:r>
      <w:r w:rsidR="00EE3875">
        <w:t xml:space="preserve">during </w:t>
      </w:r>
      <w:r w:rsidR="00486872">
        <w:t>2015-16. Our achievements are presented under each of our corporate goals</w:t>
      </w:r>
      <w:r w:rsidR="00A433D9">
        <w:t>,</w:t>
      </w:r>
      <w:r w:rsidR="00486872">
        <w:t xml:space="preserve"> providing data on our outputs and </w:t>
      </w:r>
      <w:r w:rsidR="00A433D9">
        <w:t xml:space="preserve">case studies highlighting </w:t>
      </w:r>
      <w:r w:rsidR="00486872">
        <w:t>our work.</w:t>
      </w:r>
    </w:p>
    <w:p w14:paraId="58D1C517" w14:textId="77777777" w:rsidR="00C90E80" w:rsidRPr="008A134C" w:rsidRDefault="00C90E80" w:rsidP="00201270">
      <w:pPr>
        <w:pStyle w:val="Heading3"/>
        <w:rPr>
          <w:rStyle w:val="Heading3largerchar"/>
        </w:rPr>
      </w:pPr>
      <w:bookmarkStart w:id="28" w:name="_Toc457494692"/>
      <w:bookmarkStart w:id="29" w:name="_Toc457494991"/>
      <w:bookmarkStart w:id="30" w:name="_Toc464830765"/>
      <w:r w:rsidRPr="008A134C">
        <w:rPr>
          <w:rStyle w:val="Heading3largerchar"/>
        </w:rPr>
        <w:t>Goal 1 – Businesses are compliant with consumer laws</w:t>
      </w:r>
      <w:bookmarkEnd w:id="28"/>
      <w:bookmarkEnd w:id="29"/>
      <w:bookmarkEnd w:id="30"/>
    </w:p>
    <w:p w14:paraId="58D1C518" w14:textId="77777777" w:rsidR="00543432" w:rsidRPr="00CA6435" w:rsidRDefault="00543432" w:rsidP="0058055D">
      <w:pPr>
        <w:pStyle w:val="BodyText"/>
        <w:rPr>
          <w:shd w:val="clear" w:color="auto" w:fill="FFFFFF"/>
        </w:rPr>
      </w:pPr>
      <w:r w:rsidRPr="00CA6435">
        <w:rPr>
          <w:shd w:val="clear" w:color="auto" w:fill="FFFFFF"/>
        </w:rPr>
        <w:t>The key to achieving a fair and competitive marketplace is ensuring that businesses comply with consumer laws. We focus on achieving high levels of business compliance by working with industry and partner organisations, and with consumers so that they effectively assert their consumer rights. Our risk-based approach to compliance means that we act quickly against those causing most harm, protecting consumers earlier, more efficiently and more effectively.</w:t>
      </w:r>
    </w:p>
    <w:p w14:paraId="58D1C519" w14:textId="77777777" w:rsidR="00D2321D" w:rsidRPr="00040AF8" w:rsidRDefault="004657E1" w:rsidP="00040AF8">
      <w:pPr>
        <w:pStyle w:val="Heading4"/>
      </w:pPr>
      <w:bookmarkStart w:id="31" w:name="_Toc457494693"/>
      <w:bookmarkStart w:id="32" w:name="_Toc457494992"/>
      <w:r w:rsidRPr="00040AF8">
        <w:t>Highlights</w:t>
      </w:r>
      <w:bookmarkEnd w:id="31"/>
      <w:bookmarkEnd w:id="32"/>
    </w:p>
    <w:p w14:paraId="58D1C51A" w14:textId="77777777" w:rsidR="0094275C" w:rsidRPr="00CA6435" w:rsidRDefault="00D0096D" w:rsidP="00040AF8">
      <w:pPr>
        <w:pStyle w:val="BodyText"/>
        <w:rPr>
          <w:shd w:val="clear" w:color="auto" w:fill="FFFFFF"/>
        </w:rPr>
      </w:pPr>
      <w:r w:rsidRPr="00CA6435">
        <w:rPr>
          <w:shd w:val="clear" w:color="auto" w:fill="FFFFFF"/>
        </w:rPr>
        <w:t>In 2015-16 w</w:t>
      </w:r>
      <w:r w:rsidR="00682042" w:rsidRPr="00CA6435">
        <w:rPr>
          <w:shd w:val="clear" w:color="auto" w:fill="FFFFFF"/>
        </w:rPr>
        <w:t>e have used the full range of regulatory tools to address</w:t>
      </w:r>
      <w:r w:rsidRPr="00CA6435">
        <w:rPr>
          <w:shd w:val="clear" w:color="auto" w:fill="FFFFFF"/>
        </w:rPr>
        <w:t xml:space="preserve"> poor</w:t>
      </w:r>
      <w:r w:rsidR="00682042" w:rsidRPr="00CA6435">
        <w:rPr>
          <w:shd w:val="clear" w:color="auto" w:fill="FFFFFF"/>
        </w:rPr>
        <w:t xml:space="preserve"> conduct by businesses and significant breaches of consumer protection laws.</w:t>
      </w:r>
      <w:r w:rsidR="00646671" w:rsidRPr="00CA6435">
        <w:rPr>
          <w:shd w:val="clear" w:color="auto" w:fill="FFFFFF"/>
        </w:rPr>
        <w:t xml:space="preserve"> </w:t>
      </w:r>
      <w:r w:rsidR="00646671" w:rsidRPr="00CA6435">
        <w:rPr>
          <w:shd w:val="clear" w:color="auto" w:fill="FFFFFF"/>
        </w:rPr>
        <w:fldChar w:fldCharType="begin"/>
      </w:r>
      <w:r w:rsidR="00646671" w:rsidRPr="00CA6435">
        <w:rPr>
          <w:shd w:val="clear" w:color="auto" w:fill="FFFFFF"/>
        </w:rPr>
        <w:instrText xml:space="preserve"> REF _Ref456341122 \h </w:instrText>
      </w:r>
      <w:r w:rsidR="00C80444" w:rsidRPr="00CA6435">
        <w:rPr>
          <w:shd w:val="clear" w:color="auto" w:fill="FFFFFF"/>
        </w:rPr>
        <w:instrText xml:space="preserve"> \* MERGEFORMAT </w:instrText>
      </w:r>
      <w:r w:rsidR="00646671" w:rsidRPr="00CA6435">
        <w:rPr>
          <w:shd w:val="clear" w:color="auto" w:fill="FFFFFF"/>
        </w:rPr>
      </w:r>
      <w:r w:rsidR="00646671" w:rsidRPr="00CA6435">
        <w:rPr>
          <w:shd w:val="clear" w:color="auto" w:fill="FFFFFF"/>
        </w:rPr>
        <w:fldChar w:fldCharType="separate"/>
      </w:r>
      <w:r w:rsidR="00973EC1" w:rsidRPr="00973EC1">
        <w:rPr>
          <w:shd w:val="clear" w:color="auto" w:fill="FFFFFF"/>
        </w:rPr>
        <w:t>Table 1</w:t>
      </w:r>
      <w:r w:rsidR="00646671" w:rsidRPr="00CA6435">
        <w:rPr>
          <w:shd w:val="clear" w:color="auto" w:fill="FFFFFF"/>
        </w:rPr>
        <w:fldChar w:fldCharType="end"/>
      </w:r>
      <w:r w:rsidR="00646671" w:rsidRPr="00CA6435">
        <w:rPr>
          <w:shd w:val="clear" w:color="auto" w:fill="FFFFFF"/>
        </w:rPr>
        <w:t xml:space="preserve"> provides an overview of our actions in meeting this goal in 2015-16.</w:t>
      </w:r>
    </w:p>
    <w:p w14:paraId="58D1C51B" w14:textId="77777777" w:rsidR="0094275C" w:rsidRPr="00CA6435" w:rsidRDefault="00D0096D" w:rsidP="00040AF8">
      <w:pPr>
        <w:pStyle w:val="BodyText"/>
        <w:rPr>
          <w:shd w:val="clear" w:color="auto" w:fill="FFFFFF"/>
        </w:rPr>
      </w:pPr>
      <w:r w:rsidRPr="00CA6435">
        <w:rPr>
          <w:shd w:val="clear" w:color="auto" w:fill="FFFFFF"/>
        </w:rPr>
        <w:t>W</w:t>
      </w:r>
      <w:r w:rsidR="0094275C" w:rsidRPr="00CA6435">
        <w:rPr>
          <w:shd w:val="clear" w:color="auto" w:fill="FFFFFF"/>
        </w:rPr>
        <w:t xml:space="preserve">e have made it easier for incorporated associations to </w:t>
      </w:r>
      <w:r w:rsidR="0014204E" w:rsidRPr="00CA6435">
        <w:rPr>
          <w:shd w:val="clear" w:color="auto" w:fill="FFFFFF"/>
        </w:rPr>
        <w:t>manage their affairs</w:t>
      </w:r>
      <w:r w:rsidR="0094275C" w:rsidRPr="00CA6435">
        <w:rPr>
          <w:shd w:val="clear" w:color="auto" w:fill="FFFFFF"/>
        </w:rPr>
        <w:t xml:space="preserve"> </w:t>
      </w:r>
      <w:r w:rsidRPr="00CA6435">
        <w:rPr>
          <w:shd w:val="clear" w:color="auto" w:fill="FFFFFF"/>
        </w:rPr>
        <w:t xml:space="preserve">efficiently </w:t>
      </w:r>
      <w:r w:rsidR="0094275C" w:rsidRPr="00CA6435">
        <w:rPr>
          <w:shd w:val="clear" w:color="auto" w:fill="FFFFFF"/>
        </w:rPr>
        <w:t>with the introd</w:t>
      </w:r>
      <w:r w:rsidRPr="00CA6435">
        <w:rPr>
          <w:shd w:val="clear" w:color="auto" w:fill="FFFFFF"/>
        </w:rPr>
        <w:t>uction of myCAV</w:t>
      </w:r>
      <w:r w:rsidR="00646671" w:rsidRPr="00CA6435">
        <w:rPr>
          <w:shd w:val="clear" w:color="auto" w:fill="FFFFFF"/>
        </w:rPr>
        <w:t>.</w:t>
      </w:r>
    </w:p>
    <w:p w14:paraId="58D1C51C" w14:textId="77777777" w:rsidR="00EE29E7" w:rsidRDefault="00A82BDC" w:rsidP="00040AF8">
      <w:pPr>
        <w:pStyle w:val="BodyText"/>
        <w:rPr>
          <w:shd w:val="clear" w:color="auto" w:fill="FFFFFF"/>
        </w:rPr>
      </w:pPr>
      <w:r w:rsidRPr="00CA6435">
        <w:rPr>
          <w:shd w:val="clear" w:color="auto" w:fill="FFFFFF"/>
        </w:rPr>
        <w:t xml:space="preserve">We have taken action to address dishonest or illegal business practices, for example where estate agents have not </w:t>
      </w:r>
      <w:r w:rsidR="00A433D9" w:rsidRPr="00CA6435">
        <w:rPr>
          <w:shd w:val="clear" w:color="auto" w:fill="FFFFFF"/>
        </w:rPr>
        <w:t xml:space="preserve">appropriately </w:t>
      </w:r>
      <w:r w:rsidR="00C459D9">
        <w:rPr>
          <w:shd w:val="clear" w:color="auto" w:fill="FFFFFF"/>
        </w:rPr>
        <w:t>dealt with</w:t>
      </w:r>
      <w:r w:rsidR="00C459D9" w:rsidRPr="00CA6435">
        <w:rPr>
          <w:shd w:val="clear" w:color="auto" w:fill="FFFFFF"/>
        </w:rPr>
        <w:t xml:space="preserve"> </w:t>
      </w:r>
      <w:r w:rsidR="00646671" w:rsidRPr="00CA6435">
        <w:rPr>
          <w:shd w:val="clear" w:color="auto" w:fill="FFFFFF"/>
        </w:rPr>
        <w:t xml:space="preserve">clients’ money held in </w:t>
      </w:r>
      <w:r w:rsidRPr="00CA6435">
        <w:rPr>
          <w:shd w:val="clear" w:color="auto" w:fill="FFFFFF"/>
        </w:rPr>
        <w:t>trust fund</w:t>
      </w:r>
      <w:r w:rsidR="00646671" w:rsidRPr="00CA6435">
        <w:rPr>
          <w:shd w:val="clear" w:color="auto" w:fill="FFFFFF"/>
        </w:rPr>
        <w:t>s</w:t>
      </w:r>
      <w:r w:rsidRPr="00CA6435">
        <w:rPr>
          <w:shd w:val="clear" w:color="auto" w:fill="FFFFFF"/>
        </w:rPr>
        <w:t>.</w:t>
      </w:r>
    </w:p>
    <w:p w14:paraId="58D1C51D" w14:textId="77777777" w:rsidR="0014204E" w:rsidRPr="004F061C" w:rsidRDefault="0094275C" w:rsidP="00040AF8">
      <w:pPr>
        <w:pStyle w:val="BodyText"/>
        <w:rPr>
          <w:shd w:val="clear" w:color="auto" w:fill="FFFFFF"/>
        </w:rPr>
      </w:pPr>
      <w:r w:rsidRPr="00CA6435">
        <w:rPr>
          <w:shd w:val="clear" w:color="auto" w:fill="FFFFFF"/>
        </w:rPr>
        <w:t>We have responded quickly to inspect, recall or remove products that pose a risk to consumers</w:t>
      </w:r>
      <w:r w:rsidR="00D0096D" w:rsidRPr="00CA6435">
        <w:rPr>
          <w:shd w:val="clear" w:color="auto" w:fill="FFFFFF"/>
        </w:rPr>
        <w:t xml:space="preserve"> and children</w:t>
      </w:r>
      <w:r w:rsidRPr="00CA6435">
        <w:rPr>
          <w:shd w:val="clear" w:color="auto" w:fill="FFFFFF"/>
        </w:rPr>
        <w:t>. Key products of interest were hoverboards, button batteries, unsafe children’s toys and miniature bikes.</w:t>
      </w:r>
    </w:p>
    <w:p w14:paraId="58D1C51E" w14:textId="77777777" w:rsidR="00D2321D" w:rsidRPr="001E5B35" w:rsidRDefault="00D2321D" w:rsidP="00201270">
      <w:pPr>
        <w:pStyle w:val="Caption"/>
        <w:pageBreakBefore/>
        <w:spacing w:before="0"/>
      </w:pPr>
      <w:bookmarkStart w:id="33" w:name="_Ref456341122"/>
      <w:r w:rsidRPr="001E5B35">
        <w:lastRenderedPageBreak/>
        <w:t xml:space="preserve">Table </w:t>
      </w:r>
      <w:r w:rsidRPr="001E5B35">
        <w:fldChar w:fldCharType="begin"/>
      </w:r>
      <w:r w:rsidRPr="001E5B35">
        <w:instrText xml:space="preserve"> SEQ Table \* ARABIC </w:instrText>
      </w:r>
      <w:r w:rsidRPr="001E5B35">
        <w:fldChar w:fldCharType="separate"/>
      </w:r>
      <w:r w:rsidR="00973EC1">
        <w:rPr>
          <w:noProof/>
        </w:rPr>
        <w:t>1</w:t>
      </w:r>
      <w:r w:rsidRPr="001E5B35">
        <w:fldChar w:fldCharType="end"/>
      </w:r>
      <w:bookmarkEnd w:id="33"/>
      <w:r w:rsidRPr="001E5B35">
        <w:t xml:space="preserve">: Compliance, registrations and </w:t>
      </w:r>
      <w:r w:rsidR="009D64E4">
        <w:t>licensing activities undertaken</w:t>
      </w:r>
      <w:r w:rsidR="00F04442">
        <w:rPr>
          <w:rStyle w:val="FootnoteReference"/>
        </w:rPr>
        <w:footnoteReference w:id="8"/>
      </w:r>
    </w:p>
    <w:tbl>
      <w:tblPr>
        <w:tblW w:w="9072" w:type="dxa"/>
        <w:tblInd w:w="108" w:type="dxa"/>
        <w:tblBorders>
          <w:top w:val="single" w:sz="4" w:space="0" w:color="0072CE"/>
          <w:left w:val="single" w:sz="4" w:space="0" w:color="0072CE"/>
          <w:bottom w:val="single" w:sz="4" w:space="0" w:color="0072CE"/>
          <w:right w:val="single" w:sz="4" w:space="0" w:color="0072CE"/>
          <w:insideH w:val="single" w:sz="4" w:space="0" w:color="0072CE"/>
          <w:insideV w:val="single" w:sz="4" w:space="0" w:color="0072CE"/>
        </w:tblBorders>
        <w:tblLook w:val="04A0" w:firstRow="1" w:lastRow="0" w:firstColumn="1" w:lastColumn="0" w:noHBand="0" w:noVBand="1"/>
      </w:tblPr>
      <w:tblGrid>
        <w:gridCol w:w="5739"/>
        <w:gridCol w:w="1111"/>
        <w:gridCol w:w="1111"/>
        <w:gridCol w:w="1111"/>
      </w:tblGrid>
      <w:tr w:rsidR="00452C50" w:rsidRPr="00524BC8" w14:paraId="58D1C523" w14:textId="77777777" w:rsidTr="00C6201E">
        <w:trPr>
          <w:cantSplit/>
          <w:tblHeader/>
        </w:trPr>
        <w:tc>
          <w:tcPr>
            <w:tcW w:w="5739" w:type="dxa"/>
            <w:tcBorders>
              <w:right w:val="single" w:sz="4" w:space="0" w:color="FFFFFF"/>
            </w:tcBorders>
            <w:shd w:val="clear" w:color="auto" w:fill="0072CE"/>
            <w:vAlign w:val="bottom"/>
          </w:tcPr>
          <w:p w14:paraId="58D1C51F" w14:textId="77777777" w:rsidR="00452C50" w:rsidRPr="00524BC8" w:rsidRDefault="00452C50" w:rsidP="00D3688B">
            <w:pPr>
              <w:pStyle w:val="TableColHead"/>
            </w:pPr>
          </w:p>
        </w:tc>
        <w:tc>
          <w:tcPr>
            <w:tcW w:w="1111" w:type="dxa"/>
            <w:tcBorders>
              <w:left w:val="single" w:sz="4" w:space="0" w:color="FFFFFF"/>
              <w:right w:val="single" w:sz="4" w:space="0" w:color="FFFFFF"/>
            </w:tcBorders>
            <w:shd w:val="clear" w:color="auto" w:fill="0072CE"/>
            <w:vAlign w:val="bottom"/>
          </w:tcPr>
          <w:p w14:paraId="58D1C520" w14:textId="77777777" w:rsidR="00452C50" w:rsidRPr="00444135" w:rsidRDefault="00452C50" w:rsidP="00D3688B">
            <w:pPr>
              <w:pStyle w:val="TableColHeadRight"/>
            </w:pPr>
            <w:r w:rsidRPr="00444135">
              <w:t>2013-14</w:t>
            </w:r>
          </w:p>
        </w:tc>
        <w:tc>
          <w:tcPr>
            <w:tcW w:w="1111" w:type="dxa"/>
            <w:tcBorders>
              <w:left w:val="single" w:sz="4" w:space="0" w:color="FFFFFF"/>
              <w:right w:val="single" w:sz="4" w:space="0" w:color="FFFFFF"/>
            </w:tcBorders>
            <w:shd w:val="clear" w:color="auto" w:fill="0072CE"/>
            <w:vAlign w:val="bottom"/>
          </w:tcPr>
          <w:p w14:paraId="58D1C521" w14:textId="77777777" w:rsidR="00452C50" w:rsidRPr="00444135" w:rsidRDefault="00452C50" w:rsidP="00D3688B">
            <w:pPr>
              <w:pStyle w:val="TableColHeadRight"/>
            </w:pPr>
            <w:r w:rsidRPr="00444135">
              <w:t>2014-15</w:t>
            </w:r>
          </w:p>
        </w:tc>
        <w:tc>
          <w:tcPr>
            <w:tcW w:w="1111" w:type="dxa"/>
            <w:tcBorders>
              <w:left w:val="single" w:sz="4" w:space="0" w:color="FFFFFF"/>
            </w:tcBorders>
            <w:shd w:val="clear" w:color="auto" w:fill="0072CE"/>
            <w:vAlign w:val="bottom"/>
          </w:tcPr>
          <w:p w14:paraId="58D1C522" w14:textId="77777777" w:rsidR="00452C50" w:rsidRPr="00444135" w:rsidRDefault="00452C50" w:rsidP="00D3688B">
            <w:pPr>
              <w:pStyle w:val="TableColHeadRight"/>
            </w:pPr>
            <w:r w:rsidRPr="00444135">
              <w:t>2015</w:t>
            </w:r>
            <w:r w:rsidR="001A1A0A" w:rsidRPr="00444135">
              <w:t>-16</w:t>
            </w:r>
          </w:p>
        </w:tc>
      </w:tr>
      <w:tr w:rsidR="00D3688B" w:rsidRPr="00333E76" w14:paraId="58D1C525" w14:textId="77777777" w:rsidTr="00C6201E">
        <w:trPr>
          <w:cantSplit/>
        </w:trPr>
        <w:tc>
          <w:tcPr>
            <w:tcW w:w="9072" w:type="dxa"/>
            <w:gridSpan w:val="4"/>
            <w:shd w:val="clear" w:color="auto" w:fill="C7ECF8"/>
          </w:tcPr>
          <w:p w14:paraId="58D1C524" w14:textId="77777777" w:rsidR="00D3688B" w:rsidRPr="00524BC8" w:rsidRDefault="00D3688B" w:rsidP="00D3688B">
            <w:pPr>
              <w:pStyle w:val="TableTextBold"/>
            </w:pPr>
            <w:r w:rsidRPr="00524BC8">
              <w:t>Compliance</w:t>
            </w:r>
          </w:p>
        </w:tc>
      </w:tr>
      <w:tr w:rsidR="00452C50" w:rsidRPr="00524BC8" w14:paraId="58D1C52A" w14:textId="77777777" w:rsidTr="00C6201E">
        <w:trPr>
          <w:cantSplit/>
        </w:trPr>
        <w:tc>
          <w:tcPr>
            <w:tcW w:w="5739" w:type="dxa"/>
            <w:shd w:val="clear" w:color="auto" w:fill="E5F6FC"/>
          </w:tcPr>
          <w:p w14:paraId="58D1C526" w14:textId="77777777" w:rsidR="00452C50" w:rsidRPr="00524BC8" w:rsidRDefault="00452C50" w:rsidP="00D3688B">
            <w:pPr>
              <w:pStyle w:val="TableText"/>
            </w:pPr>
            <w:r w:rsidRPr="00524BC8">
              <w:t>Inspections</w:t>
            </w:r>
          </w:p>
        </w:tc>
        <w:tc>
          <w:tcPr>
            <w:tcW w:w="1111" w:type="dxa"/>
            <w:shd w:val="clear" w:color="auto" w:fill="E5F6FC"/>
          </w:tcPr>
          <w:p w14:paraId="58D1C527" w14:textId="77777777" w:rsidR="00452C50" w:rsidRPr="00524BC8" w:rsidRDefault="00452C50" w:rsidP="00D3688B">
            <w:pPr>
              <w:pStyle w:val="TableTextRight"/>
            </w:pPr>
            <w:r w:rsidRPr="00524BC8">
              <w:t>2,713</w:t>
            </w:r>
          </w:p>
        </w:tc>
        <w:tc>
          <w:tcPr>
            <w:tcW w:w="1111" w:type="dxa"/>
            <w:shd w:val="clear" w:color="auto" w:fill="E5F6FC"/>
          </w:tcPr>
          <w:p w14:paraId="58D1C528" w14:textId="77777777" w:rsidR="00452C50" w:rsidRPr="00524BC8" w:rsidRDefault="00452C50" w:rsidP="00D3688B">
            <w:pPr>
              <w:pStyle w:val="TableTextRight"/>
            </w:pPr>
            <w:r w:rsidRPr="00524BC8">
              <w:t>3,470</w:t>
            </w:r>
          </w:p>
        </w:tc>
        <w:tc>
          <w:tcPr>
            <w:tcW w:w="1111" w:type="dxa"/>
            <w:shd w:val="clear" w:color="auto" w:fill="E5F6FC"/>
          </w:tcPr>
          <w:p w14:paraId="58D1C529" w14:textId="77777777" w:rsidR="00452C50" w:rsidRPr="00524BC8" w:rsidRDefault="00E56F47" w:rsidP="00D3688B">
            <w:pPr>
              <w:pStyle w:val="TableTextRight"/>
            </w:pPr>
            <w:r w:rsidRPr="00E56F47">
              <w:t>5,796</w:t>
            </w:r>
          </w:p>
        </w:tc>
      </w:tr>
      <w:tr w:rsidR="00452C50" w:rsidRPr="00524BC8" w14:paraId="58D1C52F" w14:textId="77777777" w:rsidTr="00C6201E">
        <w:trPr>
          <w:cantSplit/>
        </w:trPr>
        <w:tc>
          <w:tcPr>
            <w:tcW w:w="5739" w:type="dxa"/>
            <w:shd w:val="clear" w:color="auto" w:fill="E5F6FC"/>
          </w:tcPr>
          <w:p w14:paraId="58D1C52B" w14:textId="77777777" w:rsidR="00452C50" w:rsidRPr="00333E76" w:rsidRDefault="0014701D" w:rsidP="00D3688B">
            <w:pPr>
              <w:pStyle w:val="TableText"/>
              <w:rPr>
                <w:vertAlign w:val="superscript"/>
              </w:rPr>
            </w:pPr>
            <w:r>
              <w:t>Investigations</w:t>
            </w:r>
            <w:r w:rsidR="00F04442">
              <w:rPr>
                <w:rStyle w:val="FootnoteReference"/>
              </w:rPr>
              <w:footnoteReference w:id="9"/>
            </w:r>
          </w:p>
        </w:tc>
        <w:tc>
          <w:tcPr>
            <w:tcW w:w="1111" w:type="dxa"/>
            <w:shd w:val="clear" w:color="auto" w:fill="E5F6FC"/>
          </w:tcPr>
          <w:p w14:paraId="58D1C52C" w14:textId="77777777" w:rsidR="00452C50" w:rsidRPr="00524BC8" w:rsidRDefault="00452C50" w:rsidP="00D3688B">
            <w:pPr>
              <w:pStyle w:val="TableTextRight"/>
            </w:pPr>
            <w:r w:rsidRPr="00524BC8">
              <w:t>610</w:t>
            </w:r>
          </w:p>
        </w:tc>
        <w:tc>
          <w:tcPr>
            <w:tcW w:w="1111" w:type="dxa"/>
            <w:shd w:val="clear" w:color="auto" w:fill="E5F6FC"/>
          </w:tcPr>
          <w:p w14:paraId="58D1C52D" w14:textId="77777777" w:rsidR="00452C50" w:rsidRPr="00524BC8" w:rsidRDefault="00452C50" w:rsidP="00D3688B">
            <w:pPr>
              <w:pStyle w:val="TableTextRight"/>
            </w:pPr>
            <w:r w:rsidRPr="00524BC8">
              <w:t>161</w:t>
            </w:r>
          </w:p>
        </w:tc>
        <w:tc>
          <w:tcPr>
            <w:tcW w:w="1111" w:type="dxa"/>
            <w:shd w:val="clear" w:color="auto" w:fill="E5F6FC"/>
          </w:tcPr>
          <w:p w14:paraId="58D1C52E" w14:textId="77777777" w:rsidR="00452C50" w:rsidRPr="00524BC8" w:rsidRDefault="0024584B" w:rsidP="00D3688B">
            <w:pPr>
              <w:pStyle w:val="TableTextRight"/>
            </w:pPr>
            <w:r>
              <w:t>152</w:t>
            </w:r>
          </w:p>
        </w:tc>
      </w:tr>
      <w:tr w:rsidR="00452C50" w:rsidRPr="00524BC8" w14:paraId="58D1C534" w14:textId="77777777" w:rsidTr="00C6201E">
        <w:trPr>
          <w:cantSplit/>
        </w:trPr>
        <w:tc>
          <w:tcPr>
            <w:tcW w:w="5739" w:type="dxa"/>
            <w:shd w:val="clear" w:color="auto" w:fill="E5F6FC"/>
          </w:tcPr>
          <w:p w14:paraId="58D1C530" w14:textId="77777777" w:rsidR="00452C50" w:rsidRPr="00524BC8" w:rsidRDefault="00452C50" w:rsidP="00D3688B">
            <w:pPr>
              <w:pStyle w:val="TableText"/>
            </w:pPr>
            <w:r w:rsidRPr="00524BC8">
              <w:t>Market monitoring activity</w:t>
            </w:r>
          </w:p>
        </w:tc>
        <w:tc>
          <w:tcPr>
            <w:tcW w:w="1111" w:type="dxa"/>
            <w:shd w:val="clear" w:color="auto" w:fill="E5F6FC"/>
          </w:tcPr>
          <w:p w14:paraId="58D1C531" w14:textId="77777777" w:rsidR="00452C50" w:rsidRPr="00524BC8" w:rsidRDefault="00452C50" w:rsidP="00D3688B">
            <w:pPr>
              <w:pStyle w:val="TableTextRight"/>
            </w:pPr>
            <w:r w:rsidRPr="00524BC8">
              <w:t>895</w:t>
            </w:r>
          </w:p>
        </w:tc>
        <w:tc>
          <w:tcPr>
            <w:tcW w:w="1111" w:type="dxa"/>
            <w:shd w:val="clear" w:color="auto" w:fill="E5F6FC"/>
          </w:tcPr>
          <w:p w14:paraId="58D1C532" w14:textId="77777777" w:rsidR="00452C50" w:rsidRPr="00524BC8" w:rsidRDefault="00452C50" w:rsidP="00D3688B">
            <w:pPr>
              <w:pStyle w:val="TableTextRight"/>
            </w:pPr>
            <w:r w:rsidRPr="00524BC8">
              <w:t>802</w:t>
            </w:r>
          </w:p>
        </w:tc>
        <w:tc>
          <w:tcPr>
            <w:tcW w:w="1111" w:type="dxa"/>
            <w:shd w:val="clear" w:color="auto" w:fill="E5F6FC"/>
          </w:tcPr>
          <w:p w14:paraId="58D1C533" w14:textId="77777777" w:rsidR="00452C50" w:rsidRPr="00524BC8" w:rsidRDefault="0024584B" w:rsidP="00D3688B">
            <w:pPr>
              <w:pStyle w:val="TableTextRight"/>
            </w:pPr>
            <w:r>
              <w:t>960</w:t>
            </w:r>
          </w:p>
        </w:tc>
      </w:tr>
      <w:tr w:rsidR="00452C50" w:rsidRPr="00524BC8" w14:paraId="58D1C539" w14:textId="77777777" w:rsidTr="00C6201E">
        <w:trPr>
          <w:cantSplit/>
        </w:trPr>
        <w:tc>
          <w:tcPr>
            <w:tcW w:w="5739" w:type="dxa"/>
            <w:shd w:val="clear" w:color="auto" w:fill="E5F6FC"/>
          </w:tcPr>
          <w:p w14:paraId="58D1C535" w14:textId="77777777" w:rsidR="00452C50" w:rsidRPr="00524BC8" w:rsidRDefault="00452C50" w:rsidP="00D3688B">
            <w:pPr>
              <w:pStyle w:val="TableText"/>
            </w:pPr>
            <w:r w:rsidRPr="00524BC8">
              <w:t>Businesses engaged through the Better Business Initiative</w:t>
            </w:r>
          </w:p>
        </w:tc>
        <w:tc>
          <w:tcPr>
            <w:tcW w:w="1111" w:type="dxa"/>
            <w:shd w:val="clear" w:color="auto" w:fill="E5F6FC"/>
          </w:tcPr>
          <w:p w14:paraId="58D1C536" w14:textId="77777777" w:rsidR="00452C50" w:rsidRPr="00333E76" w:rsidRDefault="00452C50" w:rsidP="00D3688B">
            <w:pPr>
              <w:pStyle w:val="TableTextRight"/>
              <w:rPr>
                <w:highlight w:val="yellow"/>
              </w:rPr>
            </w:pPr>
            <w:r w:rsidRPr="00524BC8">
              <w:t>51</w:t>
            </w:r>
          </w:p>
        </w:tc>
        <w:tc>
          <w:tcPr>
            <w:tcW w:w="1111" w:type="dxa"/>
            <w:shd w:val="clear" w:color="auto" w:fill="E5F6FC"/>
          </w:tcPr>
          <w:p w14:paraId="58D1C537" w14:textId="77777777" w:rsidR="00452C50" w:rsidRPr="00333E76" w:rsidRDefault="00452C50" w:rsidP="00D3688B">
            <w:pPr>
              <w:pStyle w:val="TableTextRight"/>
              <w:rPr>
                <w:highlight w:val="yellow"/>
              </w:rPr>
            </w:pPr>
            <w:r w:rsidRPr="00524BC8">
              <w:t>80</w:t>
            </w:r>
          </w:p>
        </w:tc>
        <w:tc>
          <w:tcPr>
            <w:tcW w:w="1111" w:type="dxa"/>
            <w:shd w:val="clear" w:color="auto" w:fill="E5F6FC"/>
          </w:tcPr>
          <w:p w14:paraId="58D1C538" w14:textId="77777777" w:rsidR="00452C50" w:rsidRPr="00524BC8" w:rsidRDefault="00E56F47" w:rsidP="00D3688B">
            <w:pPr>
              <w:pStyle w:val="TableTextRight"/>
            </w:pPr>
            <w:r w:rsidRPr="00E56F47">
              <w:t>68</w:t>
            </w:r>
          </w:p>
        </w:tc>
      </w:tr>
      <w:tr w:rsidR="00452C50" w:rsidRPr="00524BC8" w14:paraId="58D1C53E" w14:textId="77777777" w:rsidTr="00C6201E">
        <w:trPr>
          <w:cantSplit/>
        </w:trPr>
        <w:tc>
          <w:tcPr>
            <w:tcW w:w="5739" w:type="dxa"/>
            <w:shd w:val="clear" w:color="auto" w:fill="E5F6FC"/>
          </w:tcPr>
          <w:p w14:paraId="58D1C53A" w14:textId="77777777" w:rsidR="00452C50" w:rsidRPr="00524BC8" w:rsidRDefault="00EC5022" w:rsidP="00D3688B">
            <w:pPr>
              <w:pStyle w:val="TableText"/>
            </w:pPr>
            <w:r w:rsidRPr="00904236">
              <w:t>Parties to criminal proceedings, appeals and rehearings</w:t>
            </w:r>
          </w:p>
        </w:tc>
        <w:tc>
          <w:tcPr>
            <w:tcW w:w="1111" w:type="dxa"/>
            <w:shd w:val="clear" w:color="auto" w:fill="E5F6FC"/>
          </w:tcPr>
          <w:p w14:paraId="58D1C53B" w14:textId="77777777" w:rsidR="00452C50" w:rsidRPr="00333E76" w:rsidRDefault="00452C50" w:rsidP="00D3688B">
            <w:pPr>
              <w:pStyle w:val="TableTextRight"/>
              <w:rPr>
                <w:vertAlign w:val="superscript"/>
              </w:rPr>
            </w:pPr>
            <w:r w:rsidRPr="00524BC8">
              <w:t>24</w:t>
            </w:r>
            <w:r w:rsidR="00F04442">
              <w:rPr>
                <w:rStyle w:val="FootnoteReference"/>
              </w:rPr>
              <w:footnoteReference w:id="10"/>
            </w:r>
          </w:p>
        </w:tc>
        <w:tc>
          <w:tcPr>
            <w:tcW w:w="1111" w:type="dxa"/>
            <w:shd w:val="clear" w:color="auto" w:fill="E5F6FC"/>
          </w:tcPr>
          <w:p w14:paraId="58D1C53C" w14:textId="77777777" w:rsidR="00452C50" w:rsidRPr="00333E76" w:rsidRDefault="00452C50" w:rsidP="00D3688B">
            <w:pPr>
              <w:pStyle w:val="TableTextRight"/>
              <w:rPr>
                <w:vertAlign w:val="superscript"/>
              </w:rPr>
            </w:pPr>
            <w:r w:rsidRPr="00524BC8">
              <w:t>21</w:t>
            </w:r>
            <w:r w:rsidR="007D59ED" w:rsidRPr="00333E76">
              <w:rPr>
                <w:vertAlign w:val="superscript"/>
              </w:rPr>
              <w:t>3</w:t>
            </w:r>
          </w:p>
        </w:tc>
        <w:tc>
          <w:tcPr>
            <w:tcW w:w="1111" w:type="dxa"/>
            <w:shd w:val="clear" w:color="auto" w:fill="E5F6FC"/>
          </w:tcPr>
          <w:p w14:paraId="58D1C53D" w14:textId="77777777" w:rsidR="00452C50" w:rsidRPr="00333E76" w:rsidRDefault="008734EB" w:rsidP="00D3688B">
            <w:pPr>
              <w:pStyle w:val="TableTextRight"/>
              <w:rPr>
                <w:b/>
              </w:rPr>
            </w:pPr>
            <w:r w:rsidRPr="008734EB">
              <w:t>18</w:t>
            </w:r>
          </w:p>
        </w:tc>
      </w:tr>
      <w:tr w:rsidR="00452C50" w:rsidRPr="00524BC8" w14:paraId="58D1C543" w14:textId="77777777" w:rsidTr="00C6201E">
        <w:trPr>
          <w:cantSplit/>
        </w:trPr>
        <w:tc>
          <w:tcPr>
            <w:tcW w:w="5739" w:type="dxa"/>
            <w:shd w:val="clear" w:color="auto" w:fill="E5F6FC"/>
          </w:tcPr>
          <w:p w14:paraId="58D1C53F" w14:textId="77777777" w:rsidR="00452C50" w:rsidRPr="00524BC8" w:rsidRDefault="00EC5022" w:rsidP="00D3688B">
            <w:pPr>
              <w:pStyle w:val="TableText"/>
            </w:pPr>
            <w:r w:rsidRPr="00904236">
              <w:t>Parties to civil proceedings</w:t>
            </w:r>
          </w:p>
        </w:tc>
        <w:tc>
          <w:tcPr>
            <w:tcW w:w="1111" w:type="dxa"/>
            <w:shd w:val="clear" w:color="auto" w:fill="E5F6FC"/>
          </w:tcPr>
          <w:p w14:paraId="58D1C540" w14:textId="77777777" w:rsidR="00452C50" w:rsidRPr="00107B62" w:rsidRDefault="00452C50" w:rsidP="00D3688B">
            <w:pPr>
              <w:pStyle w:val="TableTextRight"/>
            </w:pPr>
            <w:r w:rsidRPr="00107B62">
              <w:t>64</w:t>
            </w:r>
          </w:p>
        </w:tc>
        <w:tc>
          <w:tcPr>
            <w:tcW w:w="1111" w:type="dxa"/>
            <w:shd w:val="clear" w:color="auto" w:fill="E5F6FC"/>
          </w:tcPr>
          <w:p w14:paraId="58D1C541" w14:textId="77777777" w:rsidR="00452C50" w:rsidRPr="00107B62" w:rsidRDefault="00452C50" w:rsidP="00D3688B">
            <w:pPr>
              <w:pStyle w:val="TableTextRight"/>
            </w:pPr>
            <w:r w:rsidRPr="00107B62">
              <w:t>66</w:t>
            </w:r>
          </w:p>
        </w:tc>
        <w:tc>
          <w:tcPr>
            <w:tcW w:w="1111" w:type="dxa"/>
            <w:shd w:val="clear" w:color="auto" w:fill="E5F6FC"/>
          </w:tcPr>
          <w:p w14:paraId="58D1C542" w14:textId="77777777" w:rsidR="00452C50" w:rsidRPr="00107B62" w:rsidRDefault="00031B1C" w:rsidP="00D3688B">
            <w:pPr>
              <w:pStyle w:val="TableTextRight"/>
            </w:pPr>
            <w:r w:rsidRPr="00107B62">
              <w:t>57</w:t>
            </w:r>
          </w:p>
        </w:tc>
      </w:tr>
      <w:tr w:rsidR="00452C50" w:rsidRPr="00524BC8" w14:paraId="58D1C548" w14:textId="77777777" w:rsidTr="00C6201E">
        <w:trPr>
          <w:cantSplit/>
        </w:trPr>
        <w:tc>
          <w:tcPr>
            <w:tcW w:w="5739" w:type="dxa"/>
            <w:shd w:val="clear" w:color="auto" w:fill="E5F6FC"/>
          </w:tcPr>
          <w:p w14:paraId="58D1C544" w14:textId="77777777" w:rsidR="00452C50" w:rsidRPr="00524BC8" w:rsidRDefault="00452C50" w:rsidP="00D3688B">
            <w:pPr>
              <w:pStyle w:val="TableText"/>
            </w:pPr>
            <w:r w:rsidRPr="00524BC8">
              <w:t>Parties signed to enforceable undertakings</w:t>
            </w:r>
          </w:p>
        </w:tc>
        <w:tc>
          <w:tcPr>
            <w:tcW w:w="1111" w:type="dxa"/>
            <w:shd w:val="clear" w:color="auto" w:fill="E5F6FC"/>
          </w:tcPr>
          <w:p w14:paraId="58D1C545" w14:textId="77777777" w:rsidR="00452C50" w:rsidRPr="00524BC8" w:rsidRDefault="00452C50" w:rsidP="00D3688B">
            <w:pPr>
              <w:pStyle w:val="TableTextRight"/>
            </w:pPr>
            <w:r w:rsidRPr="00524BC8">
              <w:t>15</w:t>
            </w:r>
          </w:p>
        </w:tc>
        <w:tc>
          <w:tcPr>
            <w:tcW w:w="1111" w:type="dxa"/>
            <w:shd w:val="clear" w:color="auto" w:fill="E5F6FC"/>
          </w:tcPr>
          <w:p w14:paraId="58D1C546" w14:textId="77777777" w:rsidR="00452C50" w:rsidRPr="00524BC8" w:rsidRDefault="00452C50" w:rsidP="00D3688B">
            <w:pPr>
              <w:pStyle w:val="TableTextRight"/>
            </w:pPr>
            <w:r w:rsidRPr="00524BC8">
              <w:t>17</w:t>
            </w:r>
          </w:p>
        </w:tc>
        <w:tc>
          <w:tcPr>
            <w:tcW w:w="1111" w:type="dxa"/>
            <w:shd w:val="clear" w:color="auto" w:fill="E5F6FC"/>
          </w:tcPr>
          <w:p w14:paraId="58D1C547" w14:textId="77777777" w:rsidR="00452C50" w:rsidRPr="00524BC8" w:rsidRDefault="0024584B" w:rsidP="00D3688B">
            <w:pPr>
              <w:pStyle w:val="TableTextRight"/>
            </w:pPr>
            <w:r>
              <w:t>11</w:t>
            </w:r>
          </w:p>
        </w:tc>
      </w:tr>
      <w:tr w:rsidR="00D3688B" w:rsidRPr="00333E76" w14:paraId="58D1C54A" w14:textId="77777777" w:rsidTr="00C6201E">
        <w:trPr>
          <w:cantSplit/>
        </w:trPr>
        <w:tc>
          <w:tcPr>
            <w:tcW w:w="9072" w:type="dxa"/>
            <w:gridSpan w:val="4"/>
            <w:shd w:val="clear" w:color="auto" w:fill="C7ECF8"/>
          </w:tcPr>
          <w:p w14:paraId="58D1C549" w14:textId="77777777" w:rsidR="00D3688B" w:rsidRPr="00524BC8" w:rsidRDefault="00D3688B" w:rsidP="00D3688B">
            <w:pPr>
              <w:pStyle w:val="TableTextBold"/>
            </w:pPr>
            <w:r w:rsidRPr="00524BC8">
              <w:t>Registrations and licensing</w:t>
            </w:r>
            <w:r w:rsidR="00F04442">
              <w:rPr>
                <w:rStyle w:val="FootnoteReference"/>
              </w:rPr>
              <w:footnoteReference w:id="11"/>
            </w:r>
          </w:p>
        </w:tc>
      </w:tr>
      <w:tr w:rsidR="00452C50" w:rsidRPr="00524BC8" w14:paraId="58D1C54F" w14:textId="77777777" w:rsidTr="00C6201E">
        <w:trPr>
          <w:cantSplit/>
        </w:trPr>
        <w:tc>
          <w:tcPr>
            <w:tcW w:w="5739" w:type="dxa"/>
            <w:shd w:val="clear" w:color="auto" w:fill="E5F6FC"/>
          </w:tcPr>
          <w:p w14:paraId="58D1C54B" w14:textId="77777777" w:rsidR="00452C50" w:rsidRPr="00333E76" w:rsidRDefault="00452C50" w:rsidP="00D3688B">
            <w:pPr>
              <w:pStyle w:val="TableText"/>
              <w:rPr>
                <w:vertAlign w:val="superscript"/>
              </w:rPr>
            </w:pPr>
            <w:r w:rsidRPr="00524BC8">
              <w:t>Annual returns, updates or cancellations processed for incorporated associations, fundraisers and co-operatives</w:t>
            </w:r>
          </w:p>
        </w:tc>
        <w:tc>
          <w:tcPr>
            <w:tcW w:w="1111" w:type="dxa"/>
            <w:shd w:val="clear" w:color="auto" w:fill="E5F6FC"/>
          </w:tcPr>
          <w:p w14:paraId="58D1C54C" w14:textId="77777777" w:rsidR="00452C50" w:rsidRPr="00524BC8" w:rsidRDefault="00452C50" w:rsidP="00D3688B">
            <w:pPr>
              <w:pStyle w:val="TableTextRight"/>
            </w:pPr>
            <w:r w:rsidRPr="00524BC8">
              <w:t>39,014</w:t>
            </w:r>
          </w:p>
        </w:tc>
        <w:tc>
          <w:tcPr>
            <w:tcW w:w="1111" w:type="dxa"/>
            <w:shd w:val="clear" w:color="auto" w:fill="E5F6FC"/>
          </w:tcPr>
          <w:p w14:paraId="58D1C54D" w14:textId="77777777" w:rsidR="00452C50" w:rsidRPr="00524BC8" w:rsidRDefault="00452C50" w:rsidP="00D3688B">
            <w:pPr>
              <w:pStyle w:val="TableTextRight"/>
            </w:pPr>
            <w:r w:rsidRPr="00524BC8">
              <w:t>36,243</w:t>
            </w:r>
          </w:p>
        </w:tc>
        <w:tc>
          <w:tcPr>
            <w:tcW w:w="1111" w:type="dxa"/>
            <w:shd w:val="clear" w:color="auto" w:fill="E5F6FC"/>
          </w:tcPr>
          <w:p w14:paraId="58D1C54E" w14:textId="77777777" w:rsidR="00452C50" w:rsidRPr="00524BC8" w:rsidRDefault="00C50534" w:rsidP="00D3688B">
            <w:pPr>
              <w:pStyle w:val="TableTextRight"/>
            </w:pPr>
            <w:r w:rsidRPr="00C50534">
              <w:t>55</w:t>
            </w:r>
            <w:r>
              <w:t>,</w:t>
            </w:r>
            <w:r w:rsidRPr="00C50534">
              <w:t>826</w:t>
            </w:r>
          </w:p>
        </w:tc>
      </w:tr>
      <w:tr w:rsidR="00452C50" w:rsidRPr="00524BC8" w14:paraId="58D1C554" w14:textId="77777777" w:rsidTr="00C6201E">
        <w:trPr>
          <w:cantSplit/>
        </w:trPr>
        <w:tc>
          <w:tcPr>
            <w:tcW w:w="5739" w:type="dxa"/>
            <w:shd w:val="clear" w:color="auto" w:fill="E5F6FC"/>
          </w:tcPr>
          <w:p w14:paraId="58D1C550" w14:textId="77777777" w:rsidR="00452C50" w:rsidRPr="00524BC8" w:rsidRDefault="00452C50" w:rsidP="00D3688B">
            <w:pPr>
              <w:pStyle w:val="TableText"/>
            </w:pPr>
            <w:r w:rsidRPr="00524BC8">
              <w:t>Total registration and licensing transactions</w:t>
            </w:r>
          </w:p>
        </w:tc>
        <w:tc>
          <w:tcPr>
            <w:tcW w:w="1111" w:type="dxa"/>
            <w:shd w:val="clear" w:color="auto" w:fill="E5F6FC"/>
          </w:tcPr>
          <w:p w14:paraId="58D1C551" w14:textId="77777777" w:rsidR="00452C50" w:rsidRPr="00524BC8" w:rsidRDefault="00452C50" w:rsidP="00D3688B">
            <w:pPr>
              <w:pStyle w:val="TableTextRight"/>
            </w:pPr>
            <w:r w:rsidRPr="00524BC8">
              <w:t>67,520</w:t>
            </w:r>
          </w:p>
        </w:tc>
        <w:tc>
          <w:tcPr>
            <w:tcW w:w="1111" w:type="dxa"/>
            <w:shd w:val="clear" w:color="auto" w:fill="E5F6FC"/>
          </w:tcPr>
          <w:p w14:paraId="58D1C552" w14:textId="77777777" w:rsidR="00452C50" w:rsidRPr="00524BC8" w:rsidRDefault="00452C50" w:rsidP="00D3688B">
            <w:pPr>
              <w:pStyle w:val="TableTextRight"/>
            </w:pPr>
            <w:r w:rsidRPr="00524BC8">
              <w:t>70,679</w:t>
            </w:r>
          </w:p>
        </w:tc>
        <w:tc>
          <w:tcPr>
            <w:tcW w:w="1111" w:type="dxa"/>
            <w:shd w:val="clear" w:color="auto" w:fill="E5F6FC"/>
          </w:tcPr>
          <w:p w14:paraId="58D1C553" w14:textId="77777777" w:rsidR="00452C50" w:rsidRPr="00524BC8" w:rsidRDefault="00C50534" w:rsidP="00D3688B">
            <w:pPr>
              <w:pStyle w:val="TableTextRight"/>
            </w:pPr>
            <w:r w:rsidRPr="00C50534">
              <w:t>88,221</w:t>
            </w:r>
          </w:p>
        </w:tc>
      </w:tr>
    </w:tbl>
    <w:p w14:paraId="58D1C555" w14:textId="77777777" w:rsidR="0014701D" w:rsidRDefault="00CC2DB9" w:rsidP="00040AF8">
      <w:pPr>
        <w:pStyle w:val="Heading4"/>
        <w:rPr>
          <w:lang w:eastAsia="en-AU"/>
        </w:rPr>
      </w:pPr>
      <w:bookmarkStart w:id="34" w:name="_Toc457494694"/>
      <w:r>
        <w:rPr>
          <w:lang w:eastAsia="en-AU"/>
        </w:rPr>
        <w:t>P</w:t>
      </w:r>
      <w:r w:rsidR="0014701D">
        <w:rPr>
          <w:lang w:eastAsia="en-AU"/>
        </w:rPr>
        <w:t xml:space="preserve">roduct </w:t>
      </w:r>
      <w:r w:rsidR="0014204E">
        <w:rPr>
          <w:lang w:eastAsia="en-AU"/>
        </w:rPr>
        <w:t xml:space="preserve">recall: </w:t>
      </w:r>
      <w:r w:rsidR="0014701D">
        <w:rPr>
          <w:lang w:eastAsia="en-AU"/>
        </w:rPr>
        <w:t>hoverboards</w:t>
      </w:r>
      <w:bookmarkEnd w:id="34"/>
    </w:p>
    <w:p w14:paraId="58D1C556" w14:textId="77777777" w:rsidR="005D5646" w:rsidRDefault="004B6CD0" w:rsidP="00040AF8">
      <w:pPr>
        <w:pStyle w:val="BodyText"/>
        <w:rPr>
          <w:shd w:val="clear" w:color="auto" w:fill="FFFFFF"/>
        </w:rPr>
      </w:pPr>
      <w:r>
        <w:rPr>
          <w:shd w:val="clear" w:color="auto" w:fill="FFFFFF"/>
        </w:rPr>
        <w:t>In January a</w:t>
      </w:r>
      <w:r w:rsidR="0014204E">
        <w:rPr>
          <w:shd w:val="clear" w:color="auto" w:fill="FFFFFF"/>
        </w:rPr>
        <w:t xml:space="preserve"> house</w:t>
      </w:r>
      <w:r w:rsidR="004840FA">
        <w:rPr>
          <w:shd w:val="clear" w:color="auto" w:fill="FFFFFF"/>
        </w:rPr>
        <w:t xml:space="preserve"> caught fire</w:t>
      </w:r>
      <w:r w:rsidR="00CC2DB9" w:rsidRPr="00A9006E">
        <w:rPr>
          <w:shd w:val="clear" w:color="auto" w:fill="FFFFFF"/>
        </w:rPr>
        <w:t xml:space="preserve"> </w:t>
      </w:r>
      <w:r w:rsidR="00486872">
        <w:rPr>
          <w:shd w:val="clear" w:color="auto" w:fill="FFFFFF"/>
        </w:rPr>
        <w:t xml:space="preserve">in </w:t>
      </w:r>
      <w:r w:rsidR="00CC2DB9" w:rsidRPr="00A9006E">
        <w:rPr>
          <w:shd w:val="clear" w:color="auto" w:fill="FFFFFF"/>
        </w:rPr>
        <w:t>Strathmore</w:t>
      </w:r>
      <w:r w:rsidR="0014204E">
        <w:rPr>
          <w:shd w:val="clear" w:color="auto" w:fill="FFFFFF"/>
        </w:rPr>
        <w:t xml:space="preserve"> </w:t>
      </w:r>
      <w:r w:rsidR="00486872">
        <w:rPr>
          <w:shd w:val="clear" w:color="auto" w:fill="FFFFFF"/>
        </w:rPr>
        <w:t>after</w:t>
      </w:r>
      <w:r w:rsidR="00CC2DB9" w:rsidRPr="00A9006E">
        <w:rPr>
          <w:shd w:val="clear" w:color="auto" w:fill="FFFFFF"/>
        </w:rPr>
        <w:t xml:space="preserve"> a </w:t>
      </w:r>
      <w:r w:rsidR="00486872">
        <w:rPr>
          <w:shd w:val="clear" w:color="auto" w:fill="FFFFFF"/>
        </w:rPr>
        <w:t>hoverboard charger sparked</w:t>
      </w:r>
      <w:r w:rsidR="00CC2DB9" w:rsidRPr="00A9006E">
        <w:rPr>
          <w:shd w:val="clear" w:color="auto" w:fill="FFFFFF"/>
        </w:rPr>
        <w:t xml:space="preserve"> a fire that spread quickly </w:t>
      </w:r>
      <w:r w:rsidR="00486872">
        <w:rPr>
          <w:shd w:val="clear" w:color="auto" w:fill="FFFFFF"/>
        </w:rPr>
        <w:t>to a child's bed</w:t>
      </w:r>
      <w:r w:rsidR="004840FA">
        <w:rPr>
          <w:shd w:val="clear" w:color="auto" w:fill="FFFFFF"/>
        </w:rPr>
        <w:t xml:space="preserve"> and to other parts of the house</w:t>
      </w:r>
      <w:r w:rsidR="00452669">
        <w:rPr>
          <w:shd w:val="clear" w:color="auto" w:fill="FFFFFF"/>
        </w:rPr>
        <w:t>.</w:t>
      </w:r>
    </w:p>
    <w:p w14:paraId="58D1C557" w14:textId="77777777" w:rsidR="00CC2DB9" w:rsidRPr="00A9006E" w:rsidRDefault="00CC2DB9" w:rsidP="00040AF8">
      <w:pPr>
        <w:pStyle w:val="BodyText"/>
        <w:rPr>
          <w:shd w:val="clear" w:color="auto" w:fill="FFFFFF"/>
        </w:rPr>
      </w:pPr>
      <w:r w:rsidRPr="00A9006E">
        <w:rPr>
          <w:shd w:val="clear" w:color="auto" w:fill="FFFFFF"/>
        </w:rPr>
        <w:t xml:space="preserve">Five product recalls were in effect at that time for </w:t>
      </w:r>
      <w:r w:rsidR="004840FA">
        <w:rPr>
          <w:shd w:val="clear" w:color="auto" w:fill="FFFFFF"/>
        </w:rPr>
        <w:t xml:space="preserve">various models of </w:t>
      </w:r>
      <w:r w:rsidRPr="00A9006E">
        <w:rPr>
          <w:shd w:val="clear" w:color="auto" w:fill="FFFFFF"/>
        </w:rPr>
        <w:t>hoverboards or their chargers, specifically in relation to overheating, risk of fire and causing electric shocks.</w:t>
      </w:r>
    </w:p>
    <w:p w14:paraId="58D1C558" w14:textId="77777777" w:rsidR="00CC2DB9" w:rsidRPr="00A9006E" w:rsidRDefault="00CC2DB9" w:rsidP="00040AF8">
      <w:pPr>
        <w:pStyle w:val="BodyText"/>
        <w:rPr>
          <w:shd w:val="clear" w:color="auto" w:fill="FFFFFF"/>
        </w:rPr>
      </w:pPr>
      <w:r w:rsidRPr="00A9006E">
        <w:rPr>
          <w:shd w:val="clear" w:color="auto" w:fill="FFFFFF"/>
        </w:rPr>
        <w:t xml:space="preserve">In response, </w:t>
      </w:r>
      <w:r w:rsidR="0014204E">
        <w:rPr>
          <w:shd w:val="clear" w:color="auto" w:fill="FFFFFF"/>
        </w:rPr>
        <w:t>we</w:t>
      </w:r>
      <w:r w:rsidRPr="00A9006E">
        <w:rPr>
          <w:shd w:val="clear" w:color="auto" w:fill="FFFFFF"/>
        </w:rPr>
        <w:t xml:space="preserve"> quickly mobilised to work with the Australian Competitio</w:t>
      </w:r>
      <w:r w:rsidR="005D5646">
        <w:rPr>
          <w:shd w:val="clear" w:color="auto" w:fill="FFFFFF"/>
        </w:rPr>
        <w:t>n and Consumer Commission and Energy Safe Victoria</w:t>
      </w:r>
      <w:r w:rsidR="0014204E">
        <w:rPr>
          <w:shd w:val="clear" w:color="auto" w:fill="FFFFFF"/>
        </w:rPr>
        <w:t xml:space="preserve"> to ensure that any unsafe</w:t>
      </w:r>
      <w:r w:rsidRPr="00A9006E">
        <w:rPr>
          <w:shd w:val="clear" w:color="auto" w:fill="FFFFFF"/>
        </w:rPr>
        <w:t xml:space="preserve"> hoverboards were removed from the shelves of Victorian retailers.</w:t>
      </w:r>
    </w:p>
    <w:p w14:paraId="58D1C559" w14:textId="77777777" w:rsidR="00CC2DB9" w:rsidRPr="00A9006E" w:rsidRDefault="0014204E" w:rsidP="00040AF8">
      <w:pPr>
        <w:pStyle w:val="BodyText"/>
        <w:rPr>
          <w:shd w:val="clear" w:color="auto" w:fill="FFFFFF"/>
        </w:rPr>
      </w:pPr>
      <w:r>
        <w:rPr>
          <w:shd w:val="clear" w:color="auto" w:fill="FFFFFF"/>
        </w:rPr>
        <w:t>We</w:t>
      </w:r>
      <w:r w:rsidR="00CC2DB9" w:rsidRPr="00A9006E">
        <w:rPr>
          <w:shd w:val="clear" w:color="auto" w:fill="FFFFFF"/>
        </w:rPr>
        <w:t xml:space="preserve"> inspecte</w:t>
      </w:r>
      <w:r>
        <w:rPr>
          <w:shd w:val="clear" w:color="auto" w:fill="FFFFFF"/>
        </w:rPr>
        <w:t xml:space="preserve">d 293 suppliers across Victoria and our actions </w:t>
      </w:r>
      <w:r w:rsidR="00CC2DB9" w:rsidRPr="00A9006E">
        <w:rPr>
          <w:shd w:val="clear" w:color="auto" w:fill="FFFFFF"/>
        </w:rPr>
        <w:t>contributed to the recall of over 5,000 hoverboards</w:t>
      </w:r>
      <w:r>
        <w:rPr>
          <w:shd w:val="clear" w:color="auto" w:fill="FFFFFF"/>
        </w:rPr>
        <w:t xml:space="preserve"> </w:t>
      </w:r>
      <w:r w:rsidR="00CC2DB9" w:rsidRPr="00A9006E">
        <w:rPr>
          <w:shd w:val="clear" w:color="auto" w:fill="FFFFFF"/>
        </w:rPr>
        <w:t>in Australia</w:t>
      </w:r>
      <w:r w:rsidRPr="0014204E">
        <w:rPr>
          <w:shd w:val="clear" w:color="auto" w:fill="FFFFFF"/>
        </w:rPr>
        <w:t xml:space="preserve"> </w:t>
      </w:r>
      <w:r w:rsidRPr="00A9006E">
        <w:rPr>
          <w:shd w:val="clear" w:color="auto" w:fill="FFFFFF"/>
        </w:rPr>
        <w:t>that did not comply with Australian Electrical Standards</w:t>
      </w:r>
      <w:r w:rsidR="00CB56D1">
        <w:rPr>
          <w:shd w:val="clear" w:color="auto" w:fill="FFFFFF"/>
        </w:rPr>
        <w:t>,</w:t>
      </w:r>
      <w:r w:rsidR="00CC2DB9" w:rsidRPr="00A9006E">
        <w:rPr>
          <w:shd w:val="clear" w:color="auto" w:fill="FFFFFF"/>
        </w:rPr>
        <w:t xml:space="preserve"> </w:t>
      </w:r>
      <w:r w:rsidR="009D64E4">
        <w:rPr>
          <w:shd w:val="clear" w:color="auto" w:fill="FFFFFF"/>
        </w:rPr>
        <w:t>including more than</w:t>
      </w:r>
      <w:r w:rsidR="00CC2DB9" w:rsidRPr="00A9006E">
        <w:rPr>
          <w:shd w:val="clear" w:color="auto" w:fill="FFFFFF"/>
        </w:rPr>
        <w:t xml:space="preserve"> 4,100 from Victorian based suppliers.</w:t>
      </w:r>
    </w:p>
    <w:p w14:paraId="58D1C55A" w14:textId="77777777" w:rsidR="00CC2DB9" w:rsidRDefault="009B486B" w:rsidP="00040AF8">
      <w:pPr>
        <w:pStyle w:val="BodyText"/>
        <w:rPr>
          <w:shd w:val="clear" w:color="auto" w:fill="FFFFFF"/>
        </w:rPr>
      </w:pPr>
      <w:r>
        <w:rPr>
          <w:shd w:val="clear" w:color="auto" w:fill="FFFFFF"/>
        </w:rPr>
        <w:t xml:space="preserve">The minister issued a public warning about </w:t>
      </w:r>
      <w:r w:rsidR="00EE3875">
        <w:rPr>
          <w:shd w:val="clear" w:color="auto" w:fill="FFFFFF"/>
        </w:rPr>
        <w:t>hoverboards</w:t>
      </w:r>
      <w:r>
        <w:rPr>
          <w:shd w:val="clear" w:color="auto" w:fill="FFFFFF"/>
        </w:rPr>
        <w:t xml:space="preserve">, ensuring the public were aware of the risks. </w:t>
      </w:r>
      <w:r w:rsidR="00486872">
        <w:rPr>
          <w:shd w:val="clear" w:color="auto" w:fill="FFFFFF"/>
        </w:rPr>
        <w:t>In an effort to reduce the likelihood of further incidents, w</w:t>
      </w:r>
      <w:r w:rsidR="00CC2DB9" w:rsidRPr="00A9006E">
        <w:rPr>
          <w:shd w:val="clear" w:color="auto" w:fill="FFFFFF"/>
        </w:rPr>
        <w:t xml:space="preserve">e also </w:t>
      </w:r>
      <w:r w:rsidR="00CB56D1">
        <w:rPr>
          <w:shd w:val="clear" w:color="auto" w:fill="FFFFFF"/>
        </w:rPr>
        <w:t>provided information to</w:t>
      </w:r>
      <w:r w:rsidR="00CC2DB9" w:rsidRPr="00A9006E">
        <w:rPr>
          <w:shd w:val="clear" w:color="auto" w:fill="FFFFFF"/>
        </w:rPr>
        <w:t xml:space="preserve"> current and potential suppliers</w:t>
      </w:r>
      <w:r w:rsidR="004B6CD0">
        <w:rPr>
          <w:shd w:val="clear" w:color="auto" w:fill="FFFFFF"/>
        </w:rPr>
        <w:t xml:space="preserve"> on</w:t>
      </w:r>
      <w:r w:rsidR="00CC2DB9" w:rsidRPr="00A9006E">
        <w:rPr>
          <w:shd w:val="clear" w:color="auto" w:fill="FFFFFF"/>
        </w:rPr>
        <w:t xml:space="preserve"> current recalls and how to identify a potentially non-</w:t>
      </w:r>
      <w:r w:rsidR="004B6CD0" w:rsidRPr="00A9006E">
        <w:rPr>
          <w:shd w:val="clear" w:color="auto" w:fill="FFFFFF"/>
        </w:rPr>
        <w:t>complian</w:t>
      </w:r>
      <w:r w:rsidR="004B6CD0">
        <w:rPr>
          <w:shd w:val="clear" w:color="auto" w:fill="FFFFFF"/>
        </w:rPr>
        <w:t>t</w:t>
      </w:r>
      <w:r w:rsidR="004B6CD0" w:rsidRPr="00A9006E">
        <w:rPr>
          <w:shd w:val="clear" w:color="auto" w:fill="FFFFFF"/>
        </w:rPr>
        <w:t xml:space="preserve"> </w:t>
      </w:r>
      <w:r w:rsidR="00CC2DB9" w:rsidRPr="00A9006E">
        <w:rPr>
          <w:shd w:val="clear" w:color="auto" w:fill="FFFFFF"/>
        </w:rPr>
        <w:t>hoverboard, along with the risks and penalties of supplying a product subject to a product recall.</w:t>
      </w:r>
    </w:p>
    <w:p w14:paraId="58D1C55B" w14:textId="77777777" w:rsidR="007A2663" w:rsidRDefault="007A2663" w:rsidP="00040AF8">
      <w:pPr>
        <w:pStyle w:val="BodyText"/>
        <w:rPr>
          <w:shd w:val="clear" w:color="auto" w:fill="FFFFFF"/>
        </w:rPr>
      </w:pPr>
      <w:r w:rsidRPr="007A2663">
        <w:rPr>
          <w:shd w:val="clear" w:color="auto" w:fill="FFFFFF"/>
        </w:rPr>
        <w:t>An interim ban was also imposed at a national level by the Australian Competition and Consumer Commission.</w:t>
      </w:r>
    </w:p>
    <w:p w14:paraId="58D1C55C" w14:textId="77777777" w:rsidR="0014701D" w:rsidRDefault="0014701D" w:rsidP="00040AF8">
      <w:pPr>
        <w:pStyle w:val="Heading4"/>
        <w:rPr>
          <w:lang w:eastAsia="en-AU"/>
        </w:rPr>
      </w:pPr>
      <w:bookmarkStart w:id="35" w:name="_Toc457494695"/>
      <w:r w:rsidRPr="00FC5621">
        <w:rPr>
          <w:lang w:eastAsia="en-AU"/>
        </w:rPr>
        <w:lastRenderedPageBreak/>
        <w:t>Underquoting</w:t>
      </w:r>
      <w:bookmarkEnd w:id="35"/>
    </w:p>
    <w:p w14:paraId="58D1C55D" w14:textId="77777777" w:rsidR="00543432" w:rsidRPr="00543432" w:rsidRDefault="00543432" w:rsidP="00040AF8">
      <w:pPr>
        <w:pStyle w:val="BodyText"/>
        <w:rPr>
          <w:shd w:val="clear" w:color="auto" w:fill="FFFFFF"/>
        </w:rPr>
      </w:pPr>
      <w:r w:rsidRPr="00543432">
        <w:rPr>
          <w:shd w:val="clear" w:color="auto" w:fill="FFFFFF"/>
        </w:rPr>
        <w:t>Underquoting causes significant frustration and disappointment for potential buyers, as well as costs from time and money spent undertaking pre-purchase inspections for properties they co</w:t>
      </w:r>
      <w:r w:rsidR="004B411F">
        <w:rPr>
          <w:shd w:val="clear" w:color="auto" w:fill="FFFFFF"/>
        </w:rPr>
        <w:t>uld never realistically afford.</w:t>
      </w:r>
    </w:p>
    <w:p w14:paraId="58D1C55E" w14:textId="77777777" w:rsidR="00042358" w:rsidRDefault="00042358" w:rsidP="00040AF8">
      <w:pPr>
        <w:pStyle w:val="BodyText"/>
        <w:rPr>
          <w:lang w:eastAsia="en-AU"/>
        </w:rPr>
      </w:pPr>
      <w:r>
        <w:rPr>
          <w:shd w:val="clear" w:color="auto" w:fill="FFFFFF"/>
        </w:rPr>
        <w:t>Of all contacts we received from the public</w:t>
      </w:r>
      <w:r w:rsidR="00EC5022">
        <w:rPr>
          <w:shd w:val="clear" w:color="auto" w:fill="FFFFFF"/>
        </w:rPr>
        <w:t xml:space="preserve"> by telephone</w:t>
      </w:r>
      <w:r>
        <w:rPr>
          <w:shd w:val="clear" w:color="auto" w:fill="FFFFFF"/>
        </w:rPr>
        <w:t xml:space="preserve"> regarding</w:t>
      </w:r>
      <w:r w:rsidR="00134625">
        <w:rPr>
          <w:shd w:val="clear" w:color="auto" w:fill="FFFFFF"/>
        </w:rPr>
        <w:t xml:space="preserve"> the conduct of</w:t>
      </w:r>
      <w:r>
        <w:rPr>
          <w:shd w:val="clear" w:color="auto" w:fill="FFFFFF"/>
        </w:rPr>
        <w:t xml:space="preserve"> estate agents in 2015-16, the highest proportion w</w:t>
      </w:r>
      <w:r w:rsidR="00486872">
        <w:rPr>
          <w:shd w:val="clear" w:color="auto" w:fill="FFFFFF"/>
        </w:rPr>
        <w:t xml:space="preserve">ere related to underquoting. </w:t>
      </w:r>
      <w:r w:rsidR="004B6CD0">
        <w:rPr>
          <w:shd w:val="clear" w:color="auto" w:fill="FFFFFF"/>
        </w:rPr>
        <w:t>O</w:t>
      </w:r>
      <w:r w:rsidR="0042297C">
        <w:rPr>
          <w:shd w:val="clear" w:color="auto" w:fill="FFFFFF"/>
        </w:rPr>
        <w:t xml:space="preserve">f these contacts </w:t>
      </w:r>
      <w:r w:rsidR="004B6CD0">
        <w:rPr>
          <w:shd w:val="clear" w:color="auto" w:fill="FFFFFF"/>
        </w:rPr>
        <w:t xml:space="preserve">339 </w:t>
      </w:r>
      <w:r w:rsidR="0042297C">
        <w:rPr>
          <w:shd w:val="clear" w:color="auto" w:fill="FFFFFF"/>
        </w:rPr>
        <w:t>were complaints of underquoting. W</w:t>
      </w:r>
      <w:r w:rsidRPr="00CB56D1">
        <w:rPr>
          <w:shd w:val="clear" w:color="auto" w:fill="FFFFFF"/>
        </w:rPr>
        <w:t xml:space="preserve">hile not all complaints are substantiated, </w:t>
      </w:r>
      <w:r>
        <w:rPr>
          <w:shd w:val="clear" w:color="auto" w:fill="FFFFFF"/>
        </w:rPr>
        <w:t>we use</w:t>
      </w:r>
      <w:r w:rsidRPr="00CB56D1">
        <w:rPr>
          <w:shd w:val="clear" w:color="auto" w:fill="FFFFFF"/>
        </w:rPr>
        <w:t xml:space="preserve"> these reports to effectively target problem agents.</w:t>
      </w:r>
    </w:p>
    <w:p w14:paraId="58D1C55F" w14:textId="77777777" w:rsidR="00543432" w:rsidRDefault="00A9006E" w:rsidP="00040AF8">
      <w:pPr>
        <w:pStyle w:val="BodyText"/>
        <w:rPr>
          <w:shd w:val="clear" w:color="auto" w:fill="FFFFFF"/>
        </w:rPr>
      </w:pPr>
      <w:r>
        <w:rPr>
          <w:shd w:val="clear" w:color="auto" w:fill="FFFFFF"/>
        </w:rPr>
        <w:t xml:space="preserve">Taskforce Vesta was formed in 2015 to ensure </w:t>
      </w:r>
      <w:r w:rsidR="00FC5621">
        <w:rPr>
          <w:shd w:val="clear" w:color="auto" w:fill="FFFFFF"/>
        </w:rPr>
        <w:t>we</w:t>
      </w:r>
      <w:r>
        <w:rPr>
          <w:shd w:val="clear" w:color="auto" w:fill="FFFFFF"/>
        </w:rPr>
        <w:t xml:space="preserve"> delivered on the Victorian Government’s commitment to intensify the scrutiny of estate agents selling residential property </w:t>
      </w:r>
      <w:r w:rsidR="00543432">
        <w:rPr>
          <w:shd w:val="clear" w:color="auto" w:fill="FFFFFF"/>
        </w:rPr>
        <w:t>at</w:t>
      </w:r>
      <w:r>
        <w:rPr>
          <w:shd w:val="clear" w:color="auto" w:fill="FFFFFF"/>
        </w:rPr>
        <w:t xml:space="preserve"> auction.</w:t>
      </w:r>
    </w:p>
    <w:p w14:paraId="58D1C560" w14:textId="77777777" w:rsidR="00A9006E" w:rsidRDefault="00042358" w:rsidP="00040AF8">
      <w:pPr>
        <w:pStyle w:val="BodyText"/>
        <w:rPr>
          <w:shd w:val="clear" w:color="auto" w:fill="FFFFFF"/>
        </w:rPr>
      </w:pPr>
      <w:r>
        <w:rPr>
          <w:shd w:val="clear" w:color="auto" w:fill="FFFFFF"/>
        </w:rPr>
        <w:t>Over the course of 2015-16 w</w:t>
      </w:r>
      <w:r w:rsidR="00A762B1" w:rsidRPr="00FC5621">
        <w:rPr>
          <w:shd w:val="clear" w:color="auto" w:fill="FFFFFF"/>
        </w:rPr>
        <w:t xml:space="preserve">e </w:t>
      </w:r>
      <w:r w:rsidR="00D60893" w:rsidRPr="00FC5621">
        <w:rPr>
          <w:shd w:val="clear" w:color="auto" w:fill="FFFFFF"/>
        </w:rPr>
        <w:t xml:space="preserve">conducted 451 inspections of businesses related to auctions and underquoting. We </w:t>
      </w:r>
      <w:r w:rsidR="00A762B1" w:rsidRPr="00FC5621">
        <w:rPr>
          <w:shd w:val="clear" w:color="auto" w:fill="FFFFFF"/>
        </w:rPr>
        <w:t>also monitored</w:t>
      </w:r>
      <w:r w:rsidR="00FC5621">
        <w:rPr>
          <w:shd w:val="clear" w:color="auto" w:fill="FFFFFF"/>
        </w:rPr>
        <w:t xml:space="preserve"> 200</w:t>
      </w:r>
      <w:r w:rsidR="00A762B1" w:rsidRPr="00FC5621">
        <w:rPr>
          <w:shd w:val="clear" w:color="auto" w:fill="FFFFFF"/>
        </w:rPr>
        <w:t xml:space="preserve"> s</w:t>
      </w:r>
      <w:r w:rsidR="000B7932" w:rsidRPr="00FC5621">
        <w:rPr>
          <w:shd w:val="clear" w:color="auto" w:fill="FFFFFF"/>
        </w:rPr>
        <w:t>elected</w:t>
      </w:r>
      <w:r w:rsidR="00A9006E" w:rsidRPr="00FC5621">
        <w:rPr>
          <w:shd w:val="clear" w:color="auto" w:fill="FFFFFF"/>
        </w:rPr>
        <w:t xml:space="preserve"> residential properties</w:t>
      </w:r>
      <w:r w:rsidR="00A762B1" w:rsidRPr="00FC5621">
        <w:rPr>
          <w:shd w:val="clear" w:color="auto" w:fill="FFFFFF"/>
        </w:rPr>
        <w:t xml:space="preserve"> </w:t>
      </w:r>
      <w:r w:rsidR="00D60893" w:rsidRPr="00FC5621">
        <w:rPr>
          <w:shd w:val="clear" w:color="auto" w:fill="FFFFFF"/>
        </w:rPr>
        <w:t>from first listing through to auction</w:t>
      </w:r>
      <w:r w:rsidR="00FC5621">
        <w:rPr>
          <w:shd w:val="clear" w:color="auto" w:fill="FFFFFF"/>
        </w:rPr>
        <w:t xml:space="preserve"> and</w:t>
      </w:r>
      <w:r w:rsidR="00FC5621" w:rsidRPr="00FC5621">
        <w:rPr>
          <w:shd w:val="clear" w:color="auto" w:fill="FFFFFF"/>
        </w:rPr>
        <w:t xml:space="preserve"> </w:t>
      </w:r>
      <w:r w:rsidR="00FC5621">
        <w:rPr>
          <w:shd w:val="clear" w:color="auto" w:fill="FFFFFF"/>
        </w:rPr>
        <w:t>examined</w:t>
      </w:r>
      <w:r w:rsidR="00FC5621" w:rsidRPr="00FC5621">
        <w:rPr>
          <w:shd w:val="clear" w:color="auto" w:fill="FFFFFF"/>
        </w:rPr>
        <w:t xml:space="preserve"> around </w:t>
      </w:r>
      <w:r w:rsidR="000B7932" w:rsidRPr="00FC5621">
        <w:rPr>
          <w:shd w:val="clear" w:color="auto" w:fill="FFFFFF"/>
        </w:rPr>
        <w:t>1</w:t>
      </w:r>
      <w:r w:rsidR="004B6CD0">
        <w:rPr>
          <w:shd w:val="clear" w:color="auto" w:fill="FFFFFF"/>
        </w:rPr>
        <w:t>,</w:t>
      </w:r>
      <w:r w:rsidR="00FC5621" w:rsidRPr="00FC5621">
        <w:rPr>
          <w:shd w:val="clear" w:color="auto" w:fill="FFFFFF"/>
        </w:rPr>
        <w:t>6</w:t>
      </w:r>
      <w:r w:rsidR="000B7932" w:rsidRPr="00FC5621">
        <w:rPr>
          <w:shd w:val="clear" w:color="auto" w:fill="FFFFFF"/>
        </w:rPr>
        <w:t xml:space="preserve">00 sales files </w:t>
      </w:r>
      <w:r w:rsidR="00A9006E" w:rsidRPr="00FC5621">
        <w:rPr>
          <w:shd w:val="clear" w:color="auto" w:fill="FFFFFF"/>
        </w:rPr>
        <w:t xml:space="preserve">against advertising to check </w:t>
      </w:r>
      <w:r w:rsidR="004B6CD0">
        <w:rPr>
          <w:shd w:val="clear" w:color="auto" w:fill="FFFFFF"/>
        </w:rPr>
        <w:t xml:space="preserve">for </w:t>
      </w:r>
      <w:r w:rsidR="00A9006E" w:rsidRPr="00FC5621">
        <w:rPr>
          <w:shd w:val="clear" w:color="auto" w:fill="FFFFFF"/>
        </w:rPr>
        <w:t>misleading</w:t>
      </w:r>
      <w:r w:rsidR="004B6CD0">
        <w:rPr>
          <w:shd w:val="clear" w:color="auto" w:fill="FFFFFF"/>
        </w:rPr>
        <w:t xml:space="preserve"> conduct</w:t>
      </w:r>
      <w:r w:rsidR="00FC5621">
        <w:rPr>
          <w:shd w:val="clear" w:color="auto" w:fill="FFFFFF"/>
        </w:rPr>
        <w:t>.</w:t>
      </w:r>
    </w:p>
    <w:p w14:paraId="58D1C561" w14:textId="77777777" w:rsidR="00FC5621" w:rsidRDefault="00FC5621" w:rsidP="00040AF8">
      <w:pPr>
        <w:pStyle w:val="BodyText"/>
        <w:rPr>
          <w:shd w:val="clear" w:color="auto" w:fill="FFFFFF"/>
        </w:rPr>
      </w:pPr>
      <w:r>
        <w:rPr>
          <w:shd w:val="clear" w:color="auto" w:fill="FFFFFF"/>
        </w:rPr>
        <w:t>Our work in this area has led to a range of enforcement actions, including issuing warning letters and infringement notices, through to full investigations and court action.</w:t>
      </w:r>
    </w:p>
    <w:p w14:paraId="58D1C562" w14:textId="77777777" w:rsidR="004F061C" w:rsidRDefault="004F061C" w:rsidP="00040AF8">
      <w:pPr>
        <w:pStyle w:val="Heading4"/>
        <w:rPr>
          <w:rFonts w:ascii="Arial" w:hAnsi="Arial" w:cs="Arial"/>
        </w:rPr>
      </w:pPr>
      <w:r w:rsidRPr="0042297C">
        <w:t>Estate agent jailed for misappropriating clients’ money held in trust</w:t>
      </w:r>
    </w:p>
    <w:p w14:paraId="58D1C563" w14:textId="77777777" w:rsidR="00EE29E7" w:rsidRDefault="004F061C" w:rsidP="00040AF8">
      <w:pPr>
        <w:pStyle w:val="BodyText"/>
      </w:pPr>
      <w:r>
        <w:t>We took action in the County Court of Victoria against former real estate agent Anthony Vito</w:t>
      </w:r>
      <w:r w:rsidRPr="00422C46">
        <w:t xml:space="preserve"> Brancatella</w:t>
      </w:r>
      <w:r>
        <w:t xml:space="preserve"> for misappropriating consumer money held in trust. He </w:t>
      </w:r>
      <w:r w:rsidRPr="00422C46">
        <w:t>pleaded guilty,</w:t>
      </w:r>
      <w:r>
        <w:t xml:space="preserve"> admitting to</w:t>
      </w:r>
      <w:r w:rsidRPr="00422C46">
        <w:t xml:space="preserve"> </w:t>
      </w:r>
      <w:r>
        <w:t>62 counts of misusing trust money, with $1.9 million of</w:t>
      </w:r>
      <w:r w:rsidRPr="00422C46">
        <w:t xml:space="preserve"> clients’ money</w:t>
      </w:r>
      <w:r>
        <w:t xml:space="preserve"> being used</w:t>
      </w:r>
      <w:r w:rsidRPr="00422C46">
        <w:t xml:space="preserve"> to help run his business and repay business debts</w:t>
      </w:r>
      <w:r>
        <w:t>.</w:t>
      </w:r>
    </w:p>
    <w:p w14:paraId="58D1C564" w14:textId="77777777" w:rsidR="004F061C" w:rsidRDefault="004F061C" w:rsidP="00040AF8">
      <w:pPr>
        <w:pStyle w:val="BodyText"/>
      </w:pPr>
      <w:r>
        <w:t xml:space="preserve">Mr Brancatella was </w:t>
      </w:r>
      <w:r w:rsidRPr="00C447E3">
        <w:t>sentenced to 40 months jail</w:t>
      </w:r>
      <w:r>
        <w:t xml:space="preserve"> with a minimum term of 20 months. He was also </w:t>
      </w:r>
      <w:r w:rsidRPr="00DA3262">
        <w:t>disqualified from working as a real estate agent for 10 years under the </w:t>
      </w:r>
      <w:r w:rsidRPr="00DA3262">
        <w:rPr>
          <w:i/>
          <w:iCs/>
        </w:rPr>
        <w:t>Estate Agents Act 1980</w:t>
      </w:r>
      <w:r w:rsidRPr="00DA3262">
        <w:t>.</w:t>
      </w:r>
    </w:p>
    <w:p w14:paraId="58D1C565" w14:textId="77777777" w:rsidR="004F061C" w:rsidRDefault="004F061C" w:rsidP="00040AF8">
      <w:pPr>
        <w:pStyle w:val="BodyText"/>
      </w:pPr>
      <w:r>
        <w:t xml:space="preserve">We </w:t>
      </w:r>
      <w:r w:rsidRPr="00DA3262">
        <w:t xml:space="preserve">paid claims totalling more than </w:t>
      </w:r>
      <w:r>
        <w:t>half a million dollars</w:t>
      </w:r>
      <w:r w:rsidRPr="00DA3262">
        <w:t xml:space="preserve"> to property owners or purchasers who were the victims of Mr Brancatella’s fraud.</w:t>
      </w:r>
    </w:p>
    <w:p w14:paraId="58D1C566" w14:textId="77777777" w:rsidR="004F061C" w:rsidRPr="00DA3262" w:rsidRDefault="004F061C" w:rsidP="00040AF8">
      <w:pPr>
        <w:pStyle w:val="BodyText"/>
      </w:pPr>
      <w:r>
        <w:t xml:space="preserve">These </w:t>
      </w:r>
      <w:r w:rsidRPr="00DA3262">
        <w:t xml:space="preserve">payments </w:t>
      </w:r>
      <w:r>
        <w:t xml:space="preserve">were </w:t>
      </w:r>
      <w:r w:rsidRPr="00DA3262">
        <w:t xml:space="preserve">made from the Victorian Property Fund, which </w:t>
      </w:r>
      <w:r>
        <w:t>was</w:t>
      </w:r>
      <w:r w:rsidRPr="00DA3262">
        <w:t xml:space="preserve"> established under the</w:t>
      </w:r>
      <w:r>
        <w:t xml:space="preserve"> </w:t>
      </w:r>
      <w:r w:rsidRPr="00735A3B">
        <w:rPr>
          <w:i/>
        </w:rPr>
        <w:t>Estate Agents Act 1980</w:t>
      </w:r>
      <w:r w:rsidRPr="00DA3262">
        <w:t xml:space="preserve"> to compensate consumer</w:t>
      </w:r>
      <w:r>
        <w:t>s</w:t>
      </w:r>
      <w:r w:rsidRPr="00DA3262">
        <w:t xml:space="preserve"> who suffer</w:t>
      </w:r>
      <w:r>
        <w:t xml:space="preserve"> </w:t>
      </w:r>
      <w:r w:rsidRPr="00DA3262">
        <w:t xml:space="preserve">financial loss </w:t>
      </w:r>
      <w:r>
        <w:t>due to actions of an estate agent</w:t>
      </w:r>
      <w:r w:rsidRPr="00DA3262">
        <w:t>.</w:t>
      </w:r>
    </w:p>
    <w:p w14:paraId="58D1C567" w14:textId="77777777" w:rsidR="004F061C" w:rsidRPr="00DA3262" w:rsidRDefault="004F061C" w:rsidP="00040AF8">
      <w:pPr>
        <w:pStyle w:val="BodyText"/>
      </w:pPr>
      <w:r>
        <w:t xml:space="preserve">More than 2,000 Victorian real estate agents manage trust accounts, which typically hold around $1.7 billion at any given time. While most estate agents do the right thing in managing their trust funds, we are committed to pursuing any agent who </w:t>
      </w:r>
      <w:r w:rsidR="000D4FAE">
        <w:t>does not.</w:t>
      </w:r>
    </w:p>
    <w:p w14:paraId="58D1C568" w14:textId="77777777" w:rsidR="0014701D" w:rsidRDefault="00201270" w:rsidP="00040AF8">
      <w:pPr>
        <w:pStyle w:val="Heading4"/>
        <w:rPr>
          <w:lang w:eastAsia="en-AU"/>
        </w:rPr>
      </w:pPr>
      <w:bookmarkStart w:id="36" w:name="_Registration_and_licensing"/>
      <w:bookmarkStart w:id="37" w:name="_Toc457494696"/>
      <w:bookmarkStart w:id="38" w:name="_Ref457806751"/>
      <w:bookmarkEnd w:id="36"/>
      <w:r>
        <w:rPr>
          <w:lang w:eastAsia="en-AU"/>
        </w:rPr>
        <w:br w:type="page"/>
      </w:r>
      <w:bookmarkStart w:id="39" w:name="_Ref464831868"/>
      <w:r w:rsidR="0014701D">
        <w:rPr>
          <w:lang w:eastAsia="en-AU"/>
        </w:rPr>
        <w:lastRenderedPageBreak/>
        <w:t>Registration and licensing - myCAV</w:t>
      </w:r>
      <w:bookmarkEnd w:id="37"/>
      <w:bookmarkEnd w:id="38"/>
      <w:bookmarkEnd w:id="39"/>
    </w:p>
    <w:p w14:paraId="58D1C569" w14:textId="77777777" w:rsidR="00042358" w:rsidRDefault="0014701D" w:rsidP="00040AF8">
      <w:pPr>
        <w:pStyle w:val="BodyText"/>
      </w:pPr>
      <w:r>
        <w:t>Over the past year, we have rolled out an online transaction portal</w:t>
      </w:r>
      <w:r w:rsidR="005D5646">
        <w:t xml:space="preserve"> called myCAV. This enables </w:t>
      </w:r>
      <w:r>
        <w:t>incorporated associations to</w:t>
      </w:r>
      <w:r w:rsidRPr="00425163">
        <w:t xml:space="preserve"> manage their </w:t>
      </w:r>
      <w:r w:rsidR="0042297C">
        <w:t xml:space="preserve">registration and other </w:t>
      </w:r>
      <w:r w:rsidRPr="00425163">
        <w:t>obligations</w:t>
      </w:r>
      <w:r w:rsidR="0089767F">
        <w:t xml:space="preserve"> online</w:t>
      </w:r>
      <w:r w:rsidRPr="00370CD6">
        <w:t>.</w:t>
      </w:r>
    </w:p>
    <w:p w14:paraId="58D1C56A" w14:textId="77777777" w:rsidR="0014701D" w:rsidRDefault="0014701D" w:rsidP="00040AF8">
      <w:pPr>
        <w:pStyle w:val="BodyText"/>
      </w:pPr>
      <w:r>
        <w:t>myCAV</w:t>
      </w:r>
      <w:r w:rsidR="00042358">
        <w:t xml:space="preserve"> provides</w:t>
      </w:r>
      <w:r>
        <w:t xml:space="preserve"> 24 hour accessibility and </w:t>
      </w:r>
      <w:r w:rsidRPr="004D3094">
        <w:t xml:space="preserve">tools </w:t>
      </w:r>
      <w:r w:rsidR="0089767F">
        <w:t>to assist in complying with relevant laws</w:t>
      </w:r>
      <w:r w:rsidR="00042358">
        <w:t xml:space="preserve">. It also allows incorporated associations to instantly </w:t>
      </w:r>
      <w:r w:rsidR="00042358" w:rsidRPr="00425163">
        <w:t>updat</w:t>
      </w:r>
      <w:r w:rsidR="00042358">
        <w:t>e</w:t>
      </w:r>
      <w:r w:rsidR="00042358" w:rsidRPr="00425163">
        <w:t xml:space="preserve"> </w:t>
      </w:r>
      <w:r w:rsidR="00042358">
        <w:t xml:space="preserve">their </w:t>
      </w:r>
      <w:r w:rsidR="00042358" w:rsidRPr="00370CD6">
        <w:t>detail</w:t>
      </w:r>
      <w:r w:rsidR="004B6CD0">
        <w:t>s</w:t>
      </w:r>
      <w:r w:rsidR="00042358" w:rsidRPr="00370CD6">
        <w:t xml:space="preserve"> and lodg</w:t>
      </w:r>
      <w:r w:rsidR="00042358">
        <w:t>e</w:t>
      </w:r>
      <w:r w:rsidR="00042358" w:rsidRPr="00370CD6">
        <w:t xml:space="preserve"> annual statements</w:t>
      </w:r>
      <w:r w:rsidRPr="00A26139">
        <w:t>.</w:t>
      </w:r>
    </w:p>
    <w:p w14:paraId="58D1C56B" w14:textId="77777777" w:rsidR="00EE29E7" w:rsidRDefault="004F061C" w:rsidP="00040AF8">
      <w:pPr>
        <w:pStyle w:val="BodyText"/>
      </w:pPr>
      <w:r>
        <w:t>myCAV highlights in 2015-16 include:</w:t>
      </w:r>
    </w:p>
    <w:p w14:paraId="58D1C56C" w14:textId="77777777" w:rsidR="004F061C" w:rsidRDefault="004F061C" w:rsidP="00040AF8">
      <w:pPr>
        <w:pStyle w:val="ListBullet"/>
      </w:pPr>
      <w:r>
        <w:t>2,126</w:t>
      </w:r>
      <w:r w:rsidRPr="00A22F65">
        <w:t xml:space="preserve"> new incorp</w:t>
      </w:r>
      <w:r>
        <w:t>orated associations registered</w:t>
      </w:r>
    </w:p>
    <w:p w14:paraId="58D1C56D" w14:textId="77777777" w:rsidR="004F061C" w:rsidRDefault="004F061C" w:rsidP="00040AF8">
      <w:pPr>
        <w:pStyle w:val="ListBullet"/>
      </w:pPr>
      <w:r>
        <w:t>15,589 accounts created</w:t>
      </w:r>
    </w:p>
    <w:p w14:paraId="58D1C56E" w14:textId="77777777" w:rsidR="004F061C" w:rsidRDefault="004F061C" w:rsidP="00040AF8">
      <w:pPr>
        <w:pStyle w:val="ListBullet"/>
      </w:pPr>
      <w:r>
        <w:t>58,890 transactions</w:t>
      </w:r>
    </w:p>
    <w:p w14:paraId="58D1C56F" w14:textId="77777777" w:rsidR="004F061C" w:rsidRPr="00B34E68" w:rsidRDefault="004F061C" w:rsidP="00040AF8">
      <w:pPr>
        <w:pStyle w:val="ListBullet"/>
      </w:pPr>
      <w:r w:rsidRPr="00B34E68">
        <w:t xml:space="preserve">5,000 transactions per </w:t>
      </w:r>
      <w:r w:rsidR="009D64E4">
        <w:t>month on average</w:t>
      </w:r>
    </w:p>
    <w:p w14:paraId="58D1C570" w14:textId="77777777" w:rsidR="0014701D" w:rsidRPr="001B12D8" w:rsidRDefault="0014701D" w:rsidP="00040AF8">
      <w:pPr>
        <w:pStyle w:val="BodyText"/>
      </w:pPr>
      <w:r w:rsidRPr="001B12D8">
        <w:t>myCAV has improved</w:t>
      </w:r>
      <w:r w:rsidR="0094409D">
        <w:t xml:space="preserve"> the</w:t>
      </w:r>
      <w:r w:rsidRPr="001B12D8">
        <w:t xml:space="preserve"> accuracy of the public register</w:t>
      </w:r>
      <w:r w:rsidR="0094409D">
        <w:t>,</w:t>
      </w:r>
      <w:r w:rsidRPr="001B12D8">
        <w:t xml:space="preserve"> with</w:t>
      </w:r>
      <w:r w:rsidR="0094409D">
        <w:t xml:space="preserve"> an increase of 453 per cent in </w:t>
      </w:r>
      <w:r w:rsidRPr="001B12D8">
        <w:t xml:space="preserve">transactions being processed by secretaries </w:t>
      </w:r>
      <w:r>
        <w:t>in its first year.</w:t>
      </w:r>
    </w:p>
    <w:p w14:paraId="58D1C571" w14:textId="77777777" w:rsidR="00EE29E7" w:rsidRDefault="0042297C" w:rsidP="00040AF8">
      <w:pPr>
        <w:pStyle w:val="BodyText"/>
      </w:pPr>
      <w:r>
        <w:t>To assist with the transition to myCAV, w</w:t>
      </w:r>
      <w:r w:rsidR="005D5646">
        <w:t xml:space="preserve">e </w:t>
      </w:r>
      <w:r w:rsidR="0014701D" w:rsidRPr="0014701D">
        <w:t>worked closely with incorporated associations</w:t>
      </w:r>
      <w:r>
        <w:t>. We conducted</w:t>
      </w:r>
      <w:r w:rsidR="0014701D" w:rsidRPr="0014701D">
        <w:t xml:space="preserve"> over 50 information sessions across met</w:t>
      </w:r>
      <w:r w:rsidR="00042358">
        <w:t xml:space="preserve">ropolitan and regional Victoria and 40 </w:t>
      </w:r>
      <w:r w:rsidR="003F5D67" w:rsidRPr="0014701D">
        <w:t>'in</w:t>
      </w:r>
      <w:r w:rsidR="003F5D67">
        <w:t xml:space="preserve"> language' information sessions</w:t>
      </w:r>
      <w:r w:rsidR="00042358">
        <w:t xml:space="preserve"> for people whose first language is not English</w:t>
      </w:r>
      <w:r w:rsidR="003F5D67">
        <w:t>.</w:t>
      </w:r>
    </w:p>
    <w:p w14:paraId="58D1C572" w14:textId="77777777" w:rsidR="00A76634" w:rsidRDefault="0094409D" w:rsidP="00040AF8">
      <w:pPr>
        <w:pStyle w:val="BodyText"/>
      </w:pPr>
      <w:r>
        <w:t xml:space="preserve">We </w:t>
      </w:r>
      <w:r w:rsidR="0042297C">
        <w:t xml:space="preserve">continue to </w:t>
      </w:r>
      <w:r>
        <w:t>provide c</w:t>
      </w:r>
      <w:r w:rsidR="0014701D" w:rsidRPr="0014701D">
        <w:t xml:space="preserve">omprehensive information </w:t>
      </w:r>
      <w:r w:rsidR="009913D8">
        <w:t xml:space="preserve">translated into 23 languages </w:t>
      </w:r>
      <w:r w:rsidR="0089767F">
        <w:t xml:space="preserve">on our </w:t>
      </w:r>
      <w:r w:rsidR="0014701D" w:rsidRPr="0014701D">
        <w:t>website.</w:t>
      </w:r>
    </w:p>
    <w:p w14:paraId="58D1C573" w14:textId="77777777" w:rsidR="00444135" w:rsidRDefault="00C71F11" w:rsidP="008B141D">
      <w:pPr>
        <w:pStyle w:val="Caption"/>
      </w:pPr>
      <w:r>
        <w:t xml:space="preserve">Table </w:t>
      </w:r>
      <w:r>
        <w:fldChar w:fldCharType="begin"/>
      </w:r>
      <w:r>
        <w:instrText xml:space="preserve"> SEQ Table \* ARABIC </w:instrText>
      </w:r>
      <w:r>
        <w:fldChar w:fldCharType="separate"/>
      </w:r>
      <w:r w:rsidR="00973EC1">
        <w:rPr>
          <w:noProof/>
        </w:rPr>
        <w:t>2</w:t>
      </w:r>
      <w:r>
        <w:fldChar w:fldCharType="end"/>
      </w:r>
      <w:r>
        <w:t xml:space="preserve">: </w:t>
      </w:r>
      <w:r w:rsidRPr="008116E7">
        <w:t>Registers administered by Consumer Affairs Victoria</w:t>
      </w:r>
    </w:p>
    <w:tbl>
      <w:tblPr>
        <w:tblW w:w="9072" w:type="dxa"/>
        <w:tblInd w:w="108" w:type="dxa"/>
        <w:tblBorders>
          <w:top w:val="single" w:sz="4" w:space="0" w:color="0072CE"/>
          <w:left w:val="single" w:sz="4" w:space="0" w:color="0072CE"/>
          <w:bottom w:val="single" w:sz="4" w:space="0" w:color="0072CE"/>
          <w:right w:val="single" w:sz="4" w:space="0" w:color="0072CE"/>
          <w:insideH w:val="single" w:sz="4" w:space="0" w:color="0072CE"/>
          <w:insideV w:val="single" w:sz="4" w:space="0" w:color="0072CE"/>
        </w:tblBorders>
        <w:tblLayout w:type="fixed"/>
        <w:tblLook w:val="04A0" w:firstRow="1" w:lastRow="0" w:firstColumn="1" w:lastColumn="0" w:noHBand="0" w:noVBand="1"/>
      </w:tblPr>
      <w:tblGrid>
        <w:gridCol w:w="2844"/>
        <w:gridCol w:w="1023"/>
        <w:gridCol w:w="1053"/>
        <w:gridCol w:w="1038"/>
        <w:gridCol w:w="1038"/>
        <w:gridCol w:w="1038"/>
        <w:gridCol w:w="1038"/>
      </w:tblGrid>
      <w:tr w:rsidR="00444135" w:rsidRPr="00524BC8" w14:paraId="58D1C577" w14:textId="77777777" w:rsidTr="00C6201E">
        <w:trPr>
          <w:cantSplit/>
          <w:tblHeader/>
        </w:trPr>
        <w:tc>
          <w:tcPr>
            <w:tcW w:w="2922" w:type="dxa"/>
            <w:vMerge w:val="restart"/>
            <w:tcBorders>
              <w:right w:val="single" w:sz="4" w:space="0" w:color="FFFFFF"/>
            </w:tcBorders>
            <w:shd w:val="clear" w:color="auto" w:fill="0072CE"/>
            <w:vAlign w:val="bottom"/>
          </w:tcPr>
          <w:p w14:paraId="58D1C574" w14:textId="77777777" w:rsidR="00444135" w:rsidRPr="00524BC8" w:rsidRDefault="00444135" w:rsidP="008B141D">
            <w:pPr>
              <w:pStyle w:val="TableColHead"/>
            </w:pPr>
          </w:p>
        </w:tc>
        <w:tc>
          <w:tcPr>
            <w:tcW w:w="3186" w:type="dxa"/>
            <w:gridSpan w:val="3"/>
            <w:tcBorders>
              <w:left w:val="single" w:sz="4" w:space="0" w:color="FFFFFF"/>
              <w:bottom w:val="single" w:sz="4" w:space="0" w:color="FFFFFF"/>
              <w:right w:val="single" w:sz="4" w:space="0" w:color="FFFFFF"/>
            </w:tcBorders>
            <w:shd w:val="clear" w:color="auto" w:fill="0072CE"/>
            <w:vAlign w:val="bottom"/>
          </w:tcPr>
          <w:p w14:paraId="58D1C575" w14:textId="77777777" w:rsidR="00444135" w:rsidRPr="004F0321" w:rsidRDefault="00444135" w:rsidP="00333E76">
            <w:pPr>
              <w:pStyle w:val="TableColHead"/>
              <w:jc w:val="center"/>
            </w:pPr>
            <w:r w:rsidRPr="004F0321">
              <w:t>New applications lodged</w:t>
            </w:r>
          </w:p>
        </w:tc>
        <w:tc>
          <w:tcPr>
            <w:tcW w:w="3186" w:type="dxa"/>
            <w:gridSpan w:val="3"/>
            <w:tcBorders>
              <w:left w:val="single" w:sz="4" w:space="0" w:color="FFFFFF"/>
              <w:bottom w:val="single" w:sz="4" w:space="0" w:color="FFFFFF"/>
            </w:tcBorders>
            <w:shd w:val="clear" w:color="auto" w:fill="0072CE"/>
            <w:vAlign w:val="bottom"/>
          </w:tcPr>
          <w:p w14:paraId="58D1C576" w14:textId="77777777" w:rsidR="00444135" w:rsidRPr="004F0321" w:rsidRDefault="00444135" w:rsidP="00333E76">
            <w:pPr>
              <w:pStyle w:val="TableColHead"/>
              <w:jc w:val="center"/>
            </w:pPr>
            <w:r w:rsidRPr="004F0321">
              <w:t>Total on register</w:t>
            </w:r>
          </w:p>
        </w:tc>
      </w:tr>
      <w:tr w:rsidR="00C6201E" w:rsidRPr="00524BC8" w14:paraId="58D1C57F" w14:textId="77777777" w:rsidTr="00333E76">
        <w:trPr>
          <w:cantSplit/>
          <w:tblHeader/>
        </w:trPr>
        <w:tc>
          <w:tcPr>
            <w:tcW w:w="2922" w:type="dxa"/>
            <w:vMerge/>
            <w:tcBorders>
              <w:right w:val="single" w:sz="4" w:space="0" w:color="FFFFFF"/>
            </w:tcBorders>
            <w:shd w:val="clear" w:color="auto" w:fill="0072CE"/>
            <w:vAlign w:val="bottom"/>
          </w:tcPr>
          <w:p w14:paraId="58D1C578" w14:textId="77777777" w:rsidR="00444135" w:rsidRPr="00524BC8" w:rsidRDefault="00444135" w:rsidP="008B141D">
            <w:pPr>
              <w:pStyle w:val="TableColHeadRight"/>
            </w:pPr>
          </w:p>
        </w:tc>
        <w:tc>
          <w:tcPr>
            <w:tcW w:w="1047" w:type="dxa"/>
            <w:tcBorders>
              <w:top w:val="single" w:sz="4" w:space="0" w:color="FFFFFF"/>
              <w:left w:val="single" w:sz="4" w:space="0" w:color="FFFFFF"/>
              <w:right w:val="single" w:sz="4" w:space="0" w:color="FFFFFF"/>
            </w:tcBorders>
            <w:shd w:val="clear" w:color="auto" w:fill="0072CE"/>
            <w:vAlign w:val="bottom"/>
          </w:tcPr>
          <w:p w14:paraId="58D1C579" w14:textId="77777777" w:rsidR="00444135" w:rsidRPr="004F0321" w:rsidRDefault="00444135" w:rsidP="008B141D">
            <w:pPr>
              <w:pStyle w:val="TableColHeadRight"/>
            </w:pPr>
            <w:r w:rsidRPr="004F0321">
              <w:t>2013-14</w:t>
            </w:r>
          </w:p>
        </w:tc>
        <w:tc>
          <w:tcPr>
            <w:tcW w:w="1077" w:type="dxa"/>
            <w:tcBorders>
              <w:top w:val="single" w:sz="4" w:space="0" w:color="FFFFFF"/>
              <w:left w:val="single" w:sz="4" w:space="0" w:color="FFFFFF"/>
              <w:right w:val="single" w:sz="4" w:space="0" w:color="FFFFFF"/>
            </w:tcBorders>
            <w:shd w:val="clear" w:color="auto" w:fill="0072CE"/>
            <w:vAlign w:val="bottom"/>
          </w:tcPr>
          <w:p w14:paraId="58D1C57A" w14:textId="77777777" w:rsidR="00444135" w:rsidRPr="004F0321" w:rsidRDefault="00444135" w:rsidP="008B141D">
            <w:pPr>
              <w:pStyle w:val="TableColHeadRight"/>
            </w:pPr>
            <w:r w:rsidRPr="004F0321">
              <w:t>2014-15</w:t>
            </w:r>
          </w:p>
        </w:tc>
        <w:tc>
          <w:tcPr>
            <w:tcW w:w="1062" w:type="dxa"/>
            <w:tcBorders>
              <w:top w:val="single" w:sz="4" w:space="0" w:color="FFFFFF"/>
              <w:left w:val="single" w:sz="4" w:space="0" w:color="FFFFFF"/>
              <w:right w:val="single" w:sz="4" w:space="0" w:color="FFFFFF"/>
            </w:tcBorders>
            <w:shd w:val="clear" w:color="auto" w:fill="0072CE"/>
            <w:vAlign w:val="bottom"/>
          </w:tcPr>
          <w:p w14:paraId="58D1C57B" w14:textId="77777777" w:rsidR="00444135" w:rsidRPr="004F0321" w:rsidRDefault="00444135" w:rsidP="008B141D">
            <w:pPr>
              <w:pStyle w:val="TableColHeadRight"/>
            </w:pPr>
            <w:r w:rsidRPr="004F0321">
              <w:t>2015-16</w:t>
            </w:r>
          </w:p>
        </w:tc>
        <w:tc>
          <w:tcPr>
            <w:tcW w:w="1062" w:type="dxa"/>
            <w:tcBorders>
              <w:top w:val="single" w:sz="4" w:space="0" w:color="FFFFFF"/>
              <w:left w:val="single" w:sz="4" w:space="0" w:color="FFFFFF"/>
              <w:right w:val="single" w:sz="4" w:space="0" w:color="FFFFFF"/>
            </w:tcBorders>
            <w:shd w:val="clear" w:color="auto" w:fill="0072CE"/>
            <w:vAlign w:val="bottom"/>
          </w:tcPr>
          <w:p w14:paraId="58D1C57C" w14:textId="77777777" w:rsidR="00444135" w:rsidRPr="004F0321" w:rsidRDefault="00444135" w:rsidP="008B141D">
            <w:pPr>
              <w:pStyle w:val="TableColHeadRight"/>
            </w:pPr>
            <w:r w:rsidRPr="004F0321">
              <w:t>2013-14</w:t>
            </w:r>
          </w:p>
        </w:tc>
        <w:tc>
          <w:tcPr>
            <w:tcW w:w="1062" w:type="dxa"/>
            <w:tcBorders>
              <w:top w:val="single" w:sz="4" w:space="0" w:color="FFFFFF"/>
              <w:left w:val="single" w:sz="4" w:space="0" w:color="FFFFFF"/>
              <w:right w:val="single" w:sz="4" w:space="0" w:color="FFFFFF"/>
            </w:tcBorders>
            <w:shd w:val="clear" w:color="auto" w:fill="0072CE"/>
            <w:vAlign w:val="bottom"/>
          </w:tcPr>
          <w:p w14:paraId="58D1C57D" w14:textId="77777777" w:rsidR="00444135" w:rsidRPr="004F0321" w:rsidRDefault="00444135" w:rsidP="008B141D">
            <w:pPr>
              <w:pStyle w:val="TableColHeadRight"/>
            </w:pPr>
            <w:r w:rsidRPr="004F0321">
              <w:t>2014-15</w:t>
            </w:r>
          </w:p>
        </w:tc>
        <w:tc>
          <w:tcPr>
            <w:tcW w:w="1062" w:type="dxa"/>
            <w:tcBorders>
              <w:top w:val="single" w:sz="4" w:space="0" w:color="FFFFFF"/>
              <w:left w:val="single" w:sz="4" w:space="0" w:color="FFFFFF"/>
            </w:tcBorders>
            <w:shd w:val="clear" w:color="auto" w:fill="0072CE"/>
            <w:vAlign w:val="bottom"/>
          </w:tcPr>
          <w:p w14:paraId="58D1C57E" w14:textId="77777777" w:rsidR="00444135" w:rsidRPr="004F0321" w:rsidRDefault="00444135" w:rsidP="008B141D">
            <w:pPr>
              <w:pStyle w:val="TableColHeadRight"/>
            </w:pPr>
            <w:r w:rsidRPr="004F0321">
              <w:t>2015-16</w:t>
            </w:r>
          </w:p>
        </w:tc>
      </w:tr>
      <w:tr w:rsidR="00C6201E" w14:paraId="58D1C587" w14:textId="77777777" w:rsidTr="00333E76">
        <w:trPr>
          <w:cantSplit/>
        </w:trPr>
        <w:tc>
          <w:tcPr>
            <w:tcW w:w="2922" w:type="dxa"/>
            <w:shd w:val="clear" w:color="auto" w:fill="E5F6FC"/>
          </w:tcPr>
          <w:p w14:paraId="58D1C580" w14:textId="77777777" w:rsidR="001A1A0A" w:rsidRPr="007165F4" w:rsidRDefault="001A1A0A" w:rsidP="007B6433">
            <w:pPr>
              <w:pStyle w:val="TableText"/>
            </w:pPr>
            <w:r w:rsidRPr="00524BC8">
              <w:t>Estate agents</w:t>
            </w:r>
          </w:p>
        </w:tc>
        <w:tc>
          <w:tcPr>
            <w:tcW w:w="1047" w:type="dxa"/>
            <w:shd w:val="clear" w:color="auto" w:fill="E5F6FC"/>
          </w:tcPr>
          <w:p w14:paraId="58D1C581" w14:textId="77777777" w:rsidR="001A1A0A" w:rsidRPr="00524BC8" w:rsidRDefault="001A1A0A" w:rsidP="000C2B36">
            <w:pPr>
              <w:pStyle w:val="TableTextRight"/>
            </w:pPr>
            <w:r w:rsidRPr="00524BC8">
              <w:t>1,219</w:t>
            </w:r>
          </w:p>
        </w:tc>
        <w:tc>
          <w:tcPr>
            <w:tcW w:w="1077" w:type="dxa"/>
            <w:shd w:val="clear" w:color="auto" w:fill="E5F6FC"/>
          </w:tcPr>
          <w:p w14:paraId="58D1C582" w14:textId="77777777" w:rsidR="001A1A0A" w:rsidRPr="00524BC8" w:rsidRDefault="001A1A0A" w:rsidP="000C2B36">
            <w:pPr>
              <w:pStyle w:val="TableTextRight"/>
            </w:pPr>
            <w:r w:rsidRPr="00524BC8">
              <w:t>1,216</w:t>
            </w:r>
          </w:p>
        </w:tc>
        <w:tc>
          <w:tcPr>
            <w:tcW w:w="1062" w:type="dxa"/>
            <w:shd w:val="clear" w:color="auto" w:fill="E5F6FC"/>
          </w:tcPr>
          <w:p w14:paraId="58D1C583" w14:textId="77777777" w:rsidR="001A1A0A" w:rsidRPr="00333E76" w:rsidRDefault="006136D4" w:rsidP="000C2B36">
            <w:pPr>
              <w:pStyle w:val="TableTextRight"/>
              <w:rPr>
                <w:b/>
              </w:rPr>
            </w:pPr>
            <w:r w:rsidRPr="00333E76">
              <w:rPr>
                <w:b/>
              </w:rPr>
              <w:t>1,582</w:t>
            </w:r>
          </w:p>
        </w:tc>
        <w:tc>
          <w:tcPr>
            <w:tcW w:w="1062" w:type="dxa"/>
            <w:shd w:val="clear" w:color="auto" w:fill="E5F6FC"/>
          </w:tcPr>
          <w:p w14:paraId="58D1C584" w14:textId="77777777" w:rsidR="001A1A0A" w:rsidRPr="004F0321" w:rsidRDefault="001A1A0A" w:rsidP="000C2B36">
            <w:pPr>
              <w:pStyle w:val="TableTextRight"/>
            </w:pPr>
            <w:r w:rsidRPr="004F0321">
              <w:t>11,171</w:t>
            </w:r>
          </w:p>
        </w:tc>
        <w:tc>
          <w:tcPr>
            <w:tcW w:w="1062" w:type="dxa"/>
            <w:shd w:val="clear" w:color="auto" w:fill="E5F6FC"/>
          </w:tcPr>
          <w:p w14:paraId="58D1C585" w14:textId="77777777" w:rsidR="001A1A0A" w:rsidRPr="004F0321" w:rsidRDefault="001A1A0A" w:rsidP="000C2B36">
            <w:pPr>
              <w:pStyle w:val="TableTextRight"/>
            </w:pPr>
            <w:r w:rsidRPr="004F0321">
              <w:t>11,679</w:t>
            </w:r>
          </w:p>
        </w:tc>
        <w:tc>
          <w:tcPr>
            <w:tcW w:w="1062" w:type="dxa"/>
            <w:shd w:val="clear" w:color="auto" w:fill="E5F6FC"/>
          </w:tcPr>
          <w:p w14:paraId="58D1C586" w14:textId="77777777" w:rsidR="001A1A0A" w:rsidRPr="00333E76" w:rsidRDefault="006136D4" w:rsidP="000C2B36">
            <w:pPr>
              <w:pStyle w:val="TableTextRight"/>
              <w:rPr>
                <w:b/>
              </w:rPr>
            </w:pPr>
            <w:r w:rsidRPr="00333E76">
              <w:rPr>
                <w:b/>
              </w:rPr>
              <w:t>12,458</w:t>
            </w:r>
          </w:p>
        </w:tc>
      </w:tr>
      <w:tr w:rsidR="00C6201E" w14:paraId="58D1C58F" w14:textId="77777777" w:rsidTr="00333E76">
        <w:trPr>
          <w:cantSplit/>
        </w:trPr>
        <w:tc>
          <w:tcPr>
            <w:tcW w:w="2922" w:type="dxa"/>
            <w:shd w:val="clear" w:color="auto" w:fill="E5F6FC"/>
          </w:tcPr>
          <w:p w14:paraId="58D1C588" w14:textId="77777777" w:rsidR="001A1A0A" w:rsidRPr="007165F4" w:rsidRDefault="001A1A0A" w:rsidP="007B6433">
            <w:pPr>
              <w:pStyle w:val="TableText"/>
            </w:pPr>
            <w:r w:rsidRPr="00524BC8">
              <w:t>Motor car traders</w:t>
            </w:r>
          </w:p>
        </w:tc>
        <w:tc>
          <w:tcPr>
            <w:tcW w:w="1047" w:type="dxa"/>
            <w:shd w:val="clear" w:color="auto" w:fill="E5F6FC"/>
          </w:tcPr>
          <w:p w14:paraId="58D1C589" w14:textId="77777777" w:rsidR="001A1A0A" w:rsidRPr="00524BC8" w:rsidRDefault="001A1A0A" w:rsidP="000C2B36">
            <w:pPr>
              <w:pStyle w:val="TableTextRight"/>
            </w:pPr>
            <w:r w:rsidRPr="00524BC8">
              <w:t>177</w:t>
            </w:r>
          </w:p>
        </w:tc>
        <w:tc>
          <w:tcPr>
            <w:tcW w:w="1077" w:type="dxa"/>
            <w:shd w:val="clear" w:color="auto" w:fill="E5F6FC"/>
          </w:tcPr>
          <w:p w14:paraId="58D1C58A" w14:textId="77777777" w:rsidR="001A1A0A" w:rsidRPr="00524BC8" w:rsidRDefault="001A1A0A" w:rsidP="000C2B36">
            <w:pPr>
              <w:pStyle w:val="TableTextRight"/>
            </w:pPr>
            <w:r w:rsidRPr="00524BC8">
              <w:t>149</w:t>
            </w:r>
          </w:p>
        </w:tc>
        <w:tc>
          <w:tcPr>
            <w:tcW w:w="1062" w:type="dxa"/>
            <w:shd w:val="clear" w:color="auto" w:fill="E5F6FC"/>
          </w:tcPr>
          <w:p w14:paraId="58D1C58B" w14:textId="77777777" w:rsidR="001A1A0A" w:rsidRPr="00333E76" w:rsidRDefault="006136D4" w:rsidP="000C2B36">
            <w:pPr>
              <w:pStyle w:val="TableTextRight"/>
              <w:rPr>
                <w:b/>
              </w:rPr>
            </w:pPr>
            <w:r w:rsidRPr="00333E76">
              <w:rPr>
                <w:b/>
              </w:rPr>
              <w:t>154</w:t>
            </w:r>
          </w:p>
        </w:tc>
        <w:tc>
          <w:tcPr>
            <w:tcW w:w="1062" w:type="dxa"/>
            <w:shd w:val="clear" w:color="auto" w:fill="E5F6FC"/>
          </w:tcPr>
          <w:p w14:paraId="58D1C58C" w14:textId="77777777" w:rsidR="001A1A0A" w:rsidRPr="004F0321" w:rsidRDefault="001A1A0A" w:rsidP="000C2B36">
            <w:pPr>
              <w:pStyle w:val="TableTextRight"/>
            </w:pPr>
            <w:r w:rsidRPr="004F0321">
              <w:t>2,188</w:t>
            </w:r>
          </w:p>
        </w:tc>
        <w:tc>
          <w:tcPr>
            <w:tcW w:w="1062" w:type="dxa"/>
            <w:shd w:val="clear" w:color="auto" w:fill="E5F6FC"/>
          </w:tcPr>
          <w:p w14:paraId="58D1C58D" w14:textId="77777777" w:rsidR="001A1A0A" w:rsidRPr="004F0321" w:rsidRDefault="001A1A0A" w:rsidP="000C2B36">
            <w:pPr>
              <w:pStyle w:val="TableTextRight"/>
            </w:pPr>
            <w:r w:rsidRPr="004F0321">
              <w:t>2,127</w:t>
            </w:r>
          </w:p>
        </w:tc>
        <w:tc>
          <w:tcPr>
            <w:tcW w:w="1062" w:type="dxa"/>
            <w:shd w:val="clear" w:color="auto" w:fill="E5F6FC"/>
          </w:tcPr>
          <w:p w14:paraId="58D1C58E" w14:textId="77777777" w:rsidR="001A1A0A" w:rsidRPr="00333E76" w:rsidRDefault="006136D4" w:rsidP="000C2B36">
            <w:pPr>
              <w:pStyle w:val="TableTextRight"/>
              <w:rPr>
                <w:b/>
              </w:rPr>
            </w:pPr>
            <w:r w:rsidRPr="00333E76">
              <w:rPr>
                <w:b/>
              </w:rPr>
              <w:t>2,111</w:t>
            </w:r>
          </w:p>
        </w:tc>
      </w:tr>
      <w:tr w:rsidR="00C6201E" w14:paraId="58D1C597" w14:textId="77777777" w:rsidTr="00333E76">
        <w:trPr>
          <w:cantSplit/>
        </w:trPr>
        <w:tc>
          <w:tcPr>
            <w:tcW w:w="2922" w:type="dxa"/>
            <w:shd w:val="clear" w:color="auto" w:fill="E5F6FC"/>
          </w:tcPr>
          <w:p w14:paraId="58D1C590" w14:textId="77777777" w:rsidR="001A1A0A" w:rsidRPr="007165F4" w:rsidRDefault="001A1A0A" w:rsidP="007B6433">
            <w:pPr>
              <w:pStyle w:val="TableText"/>
            </w:pPr>
            <w:r w:rsidRPr="00524BC8">
              <w:t>Incorporated associations</w:t>
            </w:r>
          </w:p>
        </w:tc>
        <w:tc>
          <w:tcPr>
            <w:tcW w:w="1047" w:type="dxa"/>
            <w:shd w:val="clear" w:color="auto" w:fill="E5F6FC"/>
          </w:tcPr>
          <w:p w14:paraId="58D1C591" w14:textId="77777777" w:rsidR="001A1A0A" w:rsidRPr="00524BC8" w:rsidRDefault="001A1A0A" w:rsidP="000C2B36">
            <w:pPr>
              <w:pStyle w:val="TableTextRight"/>
            </w:pPr>
            <w:r w:rsidRPr="00524BC8">
              <w:t>1,695</w:t>
            </w:r>
          </w:p>
        </w:tc>
        <w:tc>
          <w:tcPr>
            <w:tcW w:w="1077" w:type="dxa"/>
            <w:shd w:val="clear" w:color="auto" w:fill="E5F6FC"/>
          </w:tcPr>
          <w:p w14:paraId="58D1C592" w14:textId="77777777" w:rsidR="001A1A0A" w:rsidRPr="00524BC8" w:rsidRDefault="001A1A0A" w:rsidP="000C2B36">
            <w:pPr>
              <w:pStyle w:val="TableTextRight"/>
            </w:pPr>
            <w:r w:rsidRPr="00524BC8">
              <w:t>1,980</w:t>
            </w:r>
          </w:p>
        </w:tc>
        <w:tc>
          <w:tcPr>
            <w:tcW w:w="1062" w:type="dxa"/>
            <w:shd w:val="clear" w:color="auto" w:fill="E5F6FC"/>
          </w:tcPr>
          <w:p w14:paraId="58D1C593" w14:textId="77777777" w:rsidR="001A1A0A" w:rsidRPr="00333E76" w:rsidRDefault="005E393E" w:rsidP="000C2B36">
            <w:pPr>
              <w:pStyle w:val="TableTextRight"/>
              <w:rPr>
                <w:b/>
              </w:rPr>
            </w:pPr>
            <w:r w:rsidRPr="00333E76">
              <w:rPr>
                <w:b/>
              </w:rPr>
              <w:t>2,126</w:t>
            </w:r>
          </w:p>
        </w:tc>
        <w:tc>
          <w:tcPr>
            <w:tcW w:w="1062" w:type="dxa"/>
            <w:shd w:val="clear" w:color="auto" w:fill="E5F6FC"/>
          </w:tcPr>
          <w:p w14:paraId="58D1C594" w14:textId="77777777" w:rsidR="001A1A0A" w:rsidRPr="004F0321" w:rsidRDefault="001A1A0A" w:rsidP="000C2B36">
            <w:pPr>
              <w:pStyle w:val="TableTextRight"/>
            </w:pPr>
            <w:r w:rsidRPr="004F0321">
              <w:t>39,883</w:t>
            </w:r>
          </w:p>
        </w:tc>
        <w:tc>
          <w:tcPr>
            <w:tcW w:w="1062" w:type="dxa"/>
            <w:shd w:val="clear" w:color="auto" w:fill="E5F6FC"/>
          </w:tcPr>
          <w:p w14:paraId="58D1C595" w14:textId="77777777" w:rsidR="001A1A0A" w:rsidRPr="004F0321" w:rsidRDefault="001A1A0A" w:rsidP="000C2B36">
            <w:pPr>
              <w:pStyle w:val="TableTextRight"/>
            </w:pPr>
            <w:r w:rsidRPr="004F0321">
              <w:t>39,665</w:t>
            </w:r>
          </w:p>
        </w:tc>
        <w:tc>
          <w:tcPr>
            <w:tcW w:w="1062" w:type="dxa"/>
            <w:shd w:val="clear" w:color="auto" w:fill="E5F6FC"/>
          </w:tcPr>
          <w:p w14:paraId="58D1C596" w14:textId="77777777" w:rsidR="001A1A0A" w:rsidRPr="00333E76" w:rsidRDefault="006136D4" w:rsidP="000C2B36">
            <w:pPr>
              <w:pStyle w:val="TableTextRight"/>
              <w:rPr>
                <w:b/>
              </w:rPr>
            </w:pPr>
            <w:r w:rsidRPr="00333E76">
              <w:rPr>
                <w:b/>
              </w:rPr>
              <w:t>40,577</w:t>
            </w:r>
          </w:p>
        </w:tc>
      </w:tr>
      <w:tr w:rsidR="00C6201E" w14:paraId="58D1C59F" w14:textId="77777777" w:rsidTr="00333E76">
        <w:trPr>
          <w:cantSplit/>
        </w:trPr>
        <w:tc>
          <w:tcPr>
            <w:tcW w:w="2922" w:type="dxa"/>
            <w:shd w:val="clear" w:color="auto" w:fill="E5F6FC"/>
          </w:tcPr>
          <w:p w14:paraId="58D1C598" w14:textId="77777777" w:rsidR="001A1A0A" w:rsidRPr="000B40EC" w:rsidRDefault="001A1A0A" w:rsidP="007B6433">
            <w:pPr>
              <w:pStyle w:val="TableText"/>
            </w:pPr>
            <w:r w:rsidRPr="00524BC8">
              <w:t>Co-operatives</w:t>
            </w:r>
          </w:p>
        </w:tc>
        <w:tc>
          <w:tcPr>
            <w:tcW w:w="1047" w:type="dxa"/>
            <w:shd w:val="clear" w:color="auto" w:fill="E5F6FC"/>
          </w:tcPr>
          <w:p w14:paraId="58D1C599" w14:textId="77777777" w:rsidR="001A1A0A" w:rsidRPr="00524BC8" w:rsidRDefault="001A1A0A" w:rsidP="000C2B36">
            <w:pPr>
              <w:pStyle w:val="TableTextRight"/>
            </w:pPr>
            <w:r w:rsidRPr="00524BC8">
              <w:t>10</w:t>
            </w:r>
          </w:p>
        </w:tc>
        <w:tc>
          <w:tcPr>
            <w:tcW w:w="1077" w:type="dxa"/>
            <w:shd w:val="clear" w:color="auto" w:fill="E5F6FC"/>
          </w:tcPr>
          <w:p w14:paraId="58D1C59A" w14:textId="77777777" w:rsidR="001A1A0A" w:rsidRPr="00524BC8" w:rsidRDefault="001A1A0A" w:rsidP="000C2B36">
            <w:pPr>
              <w:pStyle w:val="TableTextRight"/>
            </w:pPr>
            <w:r w:rsidRPr="00524BC8">
              <w:t>25</w:t>
            </w:r>
          </w:p>
        </w:tc>
        <w:tc>
          <w:tcPr>
            <w:tcW w:w="1062" w:type="dxa"/>
            <w:shd w:val="clear" w:color="auto" w:fill="E5F6FC"/>
          </w:tcPr>
          <w:p w14:paraId="58D1C59B" w14:textId="77777777" w:rsidR="001A1A0A" w:rsidRPr="00333E76" w:rsidRDefault="00DF0BE8" w:rsidP="000C2B36">
            <w:pPr>
              <w:pStyle w:val="TableTextRight"/>
              <w:rPr>
                <w:b/>
              </w:rPr>
            </w:pPr>
            <w:r w:rsidRPr="00333E76">
              <w:rPr>
                <w:b/>
              </w:rPr>
              <w:t>23</w:t>
            </w:r>
          </w:p>
        </w:tc>
        <w:tc>
          <w:tcPr>
            <w:tcW w:w="1062" w:type="dxa"/>
            <w:shd w:val="clear" w:color="auto" w:fill="E5F6FC"/>
          </w:tcPr>
          <w:p w14:paraId="58D1C59C" w14:textId="77777777" w:rsidR="001A1A0A" w:rsidRPr="004F0321" w:rsidRDefault="001A1A0A" w:rsidP="000C2B36">
            <w:pPr>
              <w:pStyle w:val="TableTextRight"/>
            </w:pPr>
            <w:r w:rsidRPr="004F0321">
              <w:t>630</w:t>
            </w:r>
          </w:p>
        </w:tc>
        <w:tc>
          <w:tcPr>
            <w:tcW w:w="1062" w:type="dxa"/>
            <w:shd w:val="clear" w:color="auto" w:fill="E5F6FC"/>
          </w:tcPr>
          <w:p w14:paraId="58D1C59D" w14:textId="77777777" w:rsidR="001A1A0A" w:rsidRPr="004F0321" w:rsidRDefault="001A1A0A" w:rsidP="000C2B36">
            <w:pPr>
              <w:pStyle w:val="TableTextRight"/>
            </w:pPr>
            <w:r w:rsidRPr="004F0321">
              <w:t>602</w:t>
            </w:r>
          </w:p>
        </w:tc>
        <w:tc>
          <w:tcPr>
            <w:tcW w:w="1062" w:type="dxa"/>
            <w:shd w:val="clear" w:color="auto" w:fill="E5F6FC"/>
          </w:tcPr>
          <w:p w14:paraId="58D1C59E" w14:textId="77777777" w:rsidR="001A1A0A" w:rsidRPr="00333E76" w:rsidRDefault="006136D4" w:rsidP="000C2B36">
            <w:pPr>
              <w:pStyle w:val="TableTextRight"/>
              <w:rPr>
                <w:b/>
              </w:rPr>
            </w:pPr>
            <w:r w:rsidRPr="00333E76">
              <w:rPr>
                <w:b/>
              </w:rPr>
              <w:t>573</w:t>
            </w:r>
          </w:p>
        </w:tc>
      </w:tr>
      <w:tr w:rsidR="00C6201E" w14:paraId="58D1C5A7" w14:textId="77777777" w:rsidTr="00333E76">
        <w:trPr>
          <w:cantSplit/>
        </w:trPr>
        <w:tc>
          <w:tcPr>
            <w:tcW w:w="2922" w:type="dxa"/>
            <w:shd w:val="clear" w:color="auto" w:fill="E5F6FC"/>
          </w:tcPr>
          <w:p w14:paraId="58D1C5A0" w14:textId="77777777" w:rsidR="001A1A0A" w:rsidRPr="000B40EC" w:rsidRDefault="001A1A0A" w:rsidP="007B6433">
            <w:pPr>
              <w:pStyle w:val="TableText"/>
            </w:pPr>
            <w:r w:rsidRPr="00524BC8">
              <w:t>Fundraisers</w:t>
            </w:r>
          </w:p>
        </w:tc>
        <w:tc>
          <w:tcPr>
            <w:tcW w:w="1047" w:type="dxa"/>
            <w:shd w:val="clear" w:color="auto" w:fill="E5F6FC"/>
          </w:tcPr>
          <w:p w14:paraId="58D1C5A1" w14:textId="77777777" w:rsidR="001A1A0A" w:rsidRPr="00524BC8" w:rsidRDefault="000E344B" w:rsidP="000C2B36">
            <w:pPr>
              <w:pStyle w:val="TableTextRight"/>
            </w:pPr>
            <w:r>
              <w:t>816</w:t>
            </w:r>
          </w:p>
        </w:tc>
        <w:tc>
          <w:tcPr>
            <w:tcW w:w="1077" w:type="dxa"/>
            <w:shd w:val="clear" w:color="auto" w:fill="E5F6FC"/>
          </w:tcPr>
          <w:p w14:paraId="58D1C5A2" w14:textId="77777777" w:rsidR="001A1A0A" w:rsidRPr="00524BC8" w:rsidRDefault="000E344B" w:rsidP="000C2B36">
            <w:pPr>
              <w:pStyle w:val="TableTextRight"/>
            </w:pPr>
            <w:r>
              <w:t>938</w:t>
            </w:r>
          </w:p>
        </w:tc>
        <w:tc>
          <w:tcPr>
            <w:tcW w:w="1062" w:type="dxa"/>
            <w:shd w:val="clear" w:color="auto" w:fill="E5F6FC"/>
          </w:tcPr>
          <w:p w14:paraId="58D1C5A3" w14:textId="77777777" w:rsidR="001A1A0A" w:rsidRPr="00333E76" w:rsidRDefault="000E344B" w:rsidP="000C2B36">
            <w:pPr>
              <w:pStyle w:val="TableTextRight"/>
              <w:rPr>
                <w:b/>
              </w:rPr>
            </w:pPr>
            <w:r w:rsidRPr="00333E76">
              <w:rPr>
                <w:b/>
              </w:rPr>
              <w:t>980</w:t>
            </w:r>
          </w:p>
        </w:tc>
        <w:tc>
          <w:tcPr>
            <w:tcW w:w="1062" w:type="dxa"/>
            <w:shd w:val="clear" w:color="auto" w:fill="E5F6FC"/>
          </w:tcPr>
          <w:p w14:paraId="58D1C5A4" w14:textId="77777777" w:rsidR="001A1A0A" w:rsidRPr="004F0321" w:rsidRDefault="001A1A0A" w:rsidP="000C2B36">
            <w:pPr>
              <w:pStyle w:val="TableTextRight"/>
            </w:pPr>
            <w:r w:rsidRPr="004F0321">
              <w:t>2,191</w:t>
            </w:r>
          </w:p>
        </w:tc>
        <w:tc>
          <w:tcPr>
            <w:tcW w:w="1062" w:type="dxa"/>
            <w:shd w:val="clear" w:color="auto" w:fill="E5F6FC"/>
          </w:tcPr>
          <w:p w14:paraId="58D1C5A5" w14:textId="77777777" w:rsidR="001A1A0A" w:rsidRPr="004F0321" w:rsidRDefault="001A1A0A" w:rsidP="000C2B36">
            <w:pPr>
              <w:pStyle w:val="TableTextRight"/>
            </w:pPr>
            <w:r w:rsidRPr="004F0321">
              <w:t>2,265</w:t>
            </w:r>
          </w:p>
        </w:tc>
        <w:tc>
          <w:tcPr>
            <w:tcW w:w="1062" w:type="dxa"/>
            <w:shd w:val="clear" w:color="auto" w:fill="E5F6FC"/>
          </w:tcPr>
          <w:p w14:paraId="58D1C5A6" w14:textId="77777777" w:rsidR="001A1A0A" w:rsidRPr="00333E76" w:rsidRDefault="006136D4" w:rsidP="000C2B36">
            <w:pPr>
              <w:pStyle w:val="TableTextRight"/>
              <w:rPr>
                <w:b/>
              </w:rPr>
            </w:pPr>
            <w:r w:rsidRPr="00333E76">
              <w:rPr>
                <w:b/>
              </w:rPr>
              <w:t>2,091</w:t>
            </w:r>
          </w:p>
        </w:tc>
      </w:tr>
      <w:tr w:rsidR="00C6201E" w14:paraId="58D1C5AF" w14:textId="77777777" w:rsidTr="00333E76">
        <w:trPr>
          <w:cantSplit/>
        </w:trPr>
        <w:tc>
          <w:tcPr>
            <w:tcW w:w="2922" w:type="dxa"/>
            <w:shd w:val="clear" w:color="auto" w:fill="E5F6FC"/>
          </w:tcPr>
          <w:p w14:paraId="58D1C5A8" w14:textId="77777777" w:rsidR="001A1A0A" w:rsidRPr="000B40EC" w:rsidRDefault="001A1A0A" w:rsidP="007B6433">
            <w:pPr>
              <w:pStyle w:val="TableText"/>
            </w:pPr>
            <w:r w:rsidRPr="00524BC8">
              <w:t>Second-hand dealers and pawnbrokers</w:t>
            </w:r>
          </w:p>
        </w:tc>
        <w:tc>
          <w:tcPr>
            <w:tcW w:w="1047" w:type="dxa"/>
            <w:shd w:val="clear" w:color="auto" w:fill="E5F6FC"/>
          </w:tcPr>
          <w:p w14:paraId="58D1C5A9" w14:textId="77777777" w:rsidR="001A1A0A" w:rsidRPr="00524BC8" w:rsidRDefault="001A1A0A" w:rsidP="000C2B36">
            <w:pPr>
              <w:pStyle w:val="TableTextRight"/>
            </w:pPr>
            <w:r w:rsidRPr="00524BC8">
              <w:t>436</w:t>
            </w:r>
          </w:p>
        </w:tc>
        <w:tc>
          <w:tcPr>
            <w:tcW w:w="1077" w:type="dxa"/>
            <w:shd w:val="clear" w:color="auto" w:fill="E5F6FC"/>
          </w:tcPr>
          <w:p w14:paraId="58D1C5AA" w14:textId="77777777" w:rsidR="001A1A0A" w:rsidRPr="00524BC8" w:rsidRDefault="001A1A0A" w:rsidP="000C2B36">
            <w:pPr>
              <w:pStyle w:val="TableTextRight"/>
            </w:pPr>
            <w:r w:rsidRPr="00524BC8">
              <w:t>350</w:t>
            </w:r>
          </w:p>
        </w:tc>
        <w:tc>
          <w:tcPr>
            <w:tcW w:w="1062" w:type="dxa"/>
            <w:shd w:val="clear" w:color="auto" w:fill="E5F6FC"/>
          </w:tcPr>
          <w:p w14:paraId="58D1C5AB" w14:textId="77777777" w:rsidR="001A1A0A" w:rsidRPr="00333E76" w:rsidRDefault="000E344B" w:rsidP="000C2B36">
            <w:pPr>
              <w:pStyle w:val="TableTextRight"/>
              <w:rPr>
                <w:b/>
              </w:rPr>
            </w:pPr>
            <w:r w:rsidRPr="00333E76">
              <w:rPr>
                <w:b/>
              </w:rPr>
              <w:t>331</w:t>
            </w:r>
          </w:p>
        </w:tc>
        <w:tc>
          <w:tcPr>
            <w:tcW w:w="1062" w:type="dxa"/>
            <w:shd w:val="clear" w:color="auto" w:fill="E5F6FC"/>
          </w:tcPr>
          <w:p w14:paraId="58D1C5AC" w14:textId="77777777" w:rsidR="001A1A0A" w:rsidRPr="004F0321" w:rsidRDefault="001A1A0A" w:rsidP="000C2B36">
            <w:pPr>
              <w:pStyle w:val="TableTextRight"/>
            </w:pPr>
            <w:r w:rsidRPr="004F0321">
              <w:t>4,385</w:t>
            </w:r>
          </w:p>
        </w:tc>
        <w:tc>
          <w:tcPr>
            <w:tcW w:w="1062" w:type="dxa"/>
            <w:shd w:val="clear" w:color="auto" w:fill="E5F6FC"/>
          </w:tcPr>
          <w:p w14:paraId="58D1C5AD" w14:textId="77777777" w:rsidR="001A1A0A" w:rsidRPr="004F0321" w:rsidRDefault="001A1A0A" w:rsidP="000C2B36">
            <w:pPr>
              <w:pStyle w:val="TableTextRight"/>
            </w:pPr>
            <w:r w:rsidRPr="004F0321">
              <w:t>4,120</w:t>
            </w:r>
          </w:p>
        </w:tc>
        <w:tc>
          <w:tcPr>
            <w:tcW w:w="1062" w:type="dxa"/>
            <w:shd w:val="clear" w:color="auto" w:fill="E5F6FC"/>
          </w:tcPr>
          <w:p w14:paraId="58D1C5AE" w14:textId="77777777" w:rsidR="001A1A0A" w:rsidRPr="00333E76" w:rsidRDefault="006136D4" w:rsidP="000C2B36">
            <w:pPr>
              <w:pStyle w:val="TableTextRight"/>
              <w:rPr>
                <w:b/>
              </w:rPr>
            </w:pPr>
            <w:r w:rsidRPr="00333E76">
              <w:rPr>
                <w:b/>
              </w:rPr>
              <w:t>3,865</w:t>
            </w:r>
          </w:p>
        </w:tc>
      </w:tr>
      <w:tr w:rsidR="00C6201E" w14:paraId="58D1C5B7" w14:textId="77777777" w:rsidTr="00333E76">
        <w:trPr>
          <w:cantSplit/>
        </w:trPr>
        <w:tc>
          <w:tcPr>
            <w:tcW w:w="2922" w:type="dxa"/>
            <w:shd w:val="clear" w:color="auto" w:fill="E5F6FC"/>
          </w:tcPr>
          <w:p w14:paraId="58D1C5B0" w14:textId="77777777" w:rsidR="001A1A0A" w:rsidRPr="000B40EC" w:rsidRDefault="001A1A0A" w:rsidP="007B6433">
            <w:pPr>
              <w:pStyle w:val="TableText"/>
            </w:pPr>
            <w:r w:rsidRPr="00524BC8">
              <w:t>Patriotic funds</w:t>
            </w:r>
          </w:p>
        </w:tc>
        <w:tc>
          <w:tcPr>
            <w:tcW w:w="1047" w:type="dxa"/>
            <w:shd w:val="clear" w:color="auto" w:fill="E5F6FC"/>
          </w:tcPr>
          <w:p w14:paraId="58D1C5B1" w14:textId="77777777" w:rsidR="001A1A0A" w:rsidRPr="00524BC8" w:rsidRDefault="001A1A0A" w:rsidP="000C2B36">
            <w:pPr>
              <w:pStyle w:val="TableTextRight"/>
            </w:pPr>
            <w:r w:rsidRPr="00524BC8">
              <w:t>5</w:t>
            </w:r>
          </w:p>
        </w:tc>
        <w:tc>
          <w:tcPr>
            <w:tcW w:w="1077" w:type="dxa"/>
            <w:shd w:val="clear" w:color="auto" w:fill="E5F6FC"/>
          </w:tcPr>
          <w:p w14:paraId="58D1C5B2" w14:textId="77777777" w:rsidR="001A1A0A" w:rsidRPr="00524BC8" w:rsidRDefault="001A1A0A" w:rsidP="000C2B36">
            <w:pPr>
              <w:pStyle w:val="TableTextRight"/>
            </w:pPr>
            <w:r w:rsidRPr="00524BC8">
              <w:t>6</w:t>
            </w:r>
          </w:p>
        </w:tc>
        <w:tc>
          <w:tcPr>
            <w:tcW w:w="1062" w:type="dxa"/>
            <w:shd w:val="clear" w:color="auto" w:fill="E5F6FC"/>
          </w:tcPr>
          <w:p w14:paraId="58D1C5B3" w14:textId="77777777" w:rsidR="001A1A0A" w:rsidRPr="00333E76" w:rsidRDefault="00DF0BE8" w:rsidP="000C2B36">
            <w:pPr>
              <w:pStyle w:val="TableTextRight"/>
              <w:rPr>
                <w:b/>
              </w:rPr>
            </w:pPr>
            <w:r w:rsidRPr="00333E76">
              <w:rPr>
                <w:b/>
              </w:rPr>
              <w:t>6</w:t>
            </w:r>
          </w:p>
        </w:tc>
        <w:tc>
          <w:tcPr>
            <w:tcW w:w="1062" w:type="dxa"/>
            <w:shd w:val="clear" w:color="auto" w:fill="E5F6FC"/>
          </w:tcPr>
          <w:p w14:paraId="58D1C5B4" w14:textId="77777777" w:rsidR="001A1A0A" w:rsidRPr="004F0321" w:rsidRDefault="001A1A0A" w:rsidP="000C2B36">
            <w:pPr>
              <w:pStyle w:val="TableTextRight"/>
            </w:pPr>
            <w:r w:rsidRPr="004F0321">
              <w:t>602</w:t>
            </w:r>
          </w:p>
        </w:tc>
        <w:tc>
          <w:tcPr>
            <w:tcW w:w="1062" w:type="dxa"/>
            <w:shd w:val="clear" w:color="auto" w:fill="E5F6FC"/>
          </w:tcPr>
          <w:p w14:paraId="58D1C5B5" w14:textId="77777777" w:rsidR="001A1A0A" w:rsidRPr="004F0321" w:rsidRDefault="001A1A0A" w:rsidP="000C2B36">
            <w:pPr>
              <w:pStyle w:val="TableTextRight"/>
            </w:pPr>
            <w:r w:rsidRPr="004F0321">
              <w:t>600</w:t>
            </w:r>
          </w:p>
        </w:tc>
        <w:tc>
          <w:tcPr>
            <w:tcW w:w="1062" w:type="dxa"/>
            <w:shd w:val="clear" w:color="auto" w:fill="E5F6FC"/>
          </w:tcPr>
          <w:p w14:paraId="58D1C5B6" w14:textId="77777777" w:rsidR="001A1A0A" w:rsidRPr="00333E76" w:rsidRDefault="006136D4" w:rsidP="000C2B36">
            <w:pPr>
              <w:pStyle w:val="TableTextRight"/>
              <w:rPr>
                <w:b/>
              </w:rPr>
            </w:pPr>
            <w:r w:rsidRPr="00333E76">
              <w:rPr>
                <w:b/>
              </w:rPr>
              <w:t>591</w:t>
            </w:r>
          </w:p>
        </w:tc>
      </w:tr>
      <w:tr w:rsidR="00C6201E" w14:paraId="58D1C5BF" w14:textId="77777777" w:rsidTr="00333E76">
        <w:trPr>
          <w:cantSplit/>
        </w:trPr>
        <w:tc>
          <w:tcPr>
            <w:tcW w:w="2922" w:type="dxa"/>
            <w:shd w:val="clear" w:color="auto" w:fill="E5F6FC"/>
          </w:tcPr>
          <w:p w14:paraId="58D1C5B8" w14:textId="77777777" w:rsidR="001A1A0A" w:rsidRPr="000B40EC" w:rsidRDefault="001A1A0A" w:rsidP="007B6433">
            <w:pPr>
              <w:pStyle w:val="TableText"/>
            </w:pPr>
            <w:r w:rsidRPr="00524BC8">
              <w:t>Limited partnerships</w:t>
            </w:r>
          </w:p>
        </w:tc>
        <w:tc>
          <w:tcPr>
            <w:tcW w:w="1047" w:type="dxa"/>
            <w:shd w:val="clear" w:color="auto" w:fill="E5F6FC"/>
          </w:tcPr>
          <w:p w14:paraId="58D1C5B9" w14:textId="77777777" w:rsidR="001A1A0A" w:rsidRPr="00524BC8" w:rsidRDefault="001A1A0A" w:rsidP="000C2B36">
            <w:pPr>
              <w:pStyle w:val="TableTextRight"/>
            </w:pPr>
            <w:r w:rsidRPr="00524BC8">
              <w:t>29</w:t>
            </w:r>
          </w:p>
        </w:tc>
        <w:tc>
          <w:tcPr>
            <w:tcW w:w="1077" w:type="dxa"/>
            <w:shd w:val="clear" w:color="auto" w:fill="E5F6FC"/>
          </w:tcPr>
          <w:p w14:paraId="58D1C5BA" w14:textId="77777777" w:rsidR="001A1A0A" w:rsidRPr="00524BC8" w:rsidRDefault="001A1A0A" w:rsidP="000C2B36">
            <w:pPr>
              <w:pStyle w:val="TableTextRight"/>
            </w:pPr>
            <w:r w:rsidRPr="00524BC8">
              <w:t>16</w:t>
            </w:r>
          </w:p>
        </w:tc>
        <w:tc>
          <w:tcPr>
            <w:tcW w:w="1062" w:type="dxa"/>
            <w:shd w:val="clear" w:color="auto" w:fill="E5F6FC"/>
          </w:tcPr>
          <w:p w14:paraId="58D1C5BB" w14:textId="77777777" w:rsidR="001A1A0A" w:rsidRPr="00333E76" w:rsidRDefault="00DF0BE8" w:rsidP="000C2B36">
            <w:pPr>
              <w:pStyle w:val="TableTextRight"/>
              <w:rPr>
                <w:b/>
              </w:rPr>
            </w:pPr>
            <w:r w:rsidRPr="00333E76">
              <w:rPr>
                <w:b/>
              </w:rPr>
              <w:t>55</w:t>
            </w:r>
          </w:p>
        </w:tc>
        <w:tc>
          <w:tcPr>
            <w:tcW w:w="1062" w:type="dxa"/>
            <w:shd w:val="clear" w:color="auto" w:fill="E5F6FC"/>
          </w:tcPr>
          <w:p w14:paraId="58D1C5BC" w14:textId="77777777" w:rsidR="001A1A0A" w:rsidRPr="004F0321" w:rsidRDefault="001A1A0A" w:rsidP="000C2B36">
            <w:pPr>
              <w:pStyle w:val="TableTextRight"/>
            </w:pPr>
            <w:r w:rsidRPr="004F0321">
              <w:t>271</w:t>
            </w:r>
          </w:p>
        </w:tc>
        <w:tc>
          <w:tcPr>
            <w:tcW w:w="1062" w:type="dxa"/>
            <w:shd w:val="clear" w:color="auto" w:fill="E5F6FC"/>
          </w:tcPr>
          <w:p w14:paraId="58D1C5BD" w14:textId="77777777" w:rsidR="001A1A0A" w:rsidRPr="004F0321" w:rsidRDefault="001A1A0A" w:rsidP="000C2B36">
            <w:pPr>
              <w:pStyle w:val="TableTextRight"/>
            </w:pPr>
            <w:r w:rsidRPr="004F0321">
              <w:t>286</w:t>
            </w:r>
          </w:p>
        </w:tc>
        <w:tc>
          <w:tcPr>
            <w:tcW w:w="1062" w:type="dxa"/>
            <w:shd w:val="clear" w:color="auto" w:fill="E5F6FC"/>
          </w:tcPr>
          <w:p w14:paraId="58D1C5BE" w14:textId="77777777" w:rsidR="001A1A0A" w:rsidRPr="00333E76" w:rsidRDefault="006136D4" w:rsidP="000C2B36">
            <w:pPr>
              <w:pStyle w:val="TableTextRight"/>
              <w:rPr>
                <w:b/>
              </w:rPr>
            </w:pPr>
            <w:r w:rsidRPr="00333E76">
              <w:rPr>
                <w:b/>
              </w:rPr>
              <w:t>342</w:t>
            </w:r>
          </w:p>
        </w:tc>
      </w:tr>
      <w:tr w:rsidR="00C6201E" w14:paraId="58D1C5C7" w14:textId="77777777" w:rsidTr="00333E76">
        <w:trPr>
          <w:cantSplit/>
        </w:trPr>
        <w:tc>
          <w:tcPr>
            <w:tcW w:w="2922" w:type="dxa"/>
            <w:shd w:val="clear" w:color="auto" w:fill="E5F6FC"/>
          </w:tcPr>
          <w:p w14:paraId="58D1C5C0" w14:textId="77777777" w:rsidR="001A1A0A" w:rsidRPr="000B40EC" w:rsidRDefault="001A1A0A" w:rsidP="007B6433">
            <w:pPr>
              <w:pStyle w:val="TableText"/>
            </w:pPr>
            <w:r w:rsidRPr="00524BC8">
              <w:t>Conveyancers</w:t>
            </w:r>
          </w:p>
        </w:tc>
        <w:tc>
          <w:tcPr>
            <w:tcW w:w="1047" w:type="dxa"/>
            <w:shd w:val="clear" w:color="auto" w:fill="E5F6FC"/>
          </w:tcPr>
          <w:p w14:paraId="58D1C5C1" w14:textId="77777777" w:rsidR="001A1A0A" w:rsidRPr="00524BC8" w:rsidRDefault="001A1A0A" w:rsidP="000C2B36">
            <w:pPr>
              <w:pStyle w:val="TableTextRight"/>
            </w:pPr>
            <w:r w:rsidRPr="00524BC8">
              <w:t>80</w:t>
            </w:r>
          </w:p>
        </w:tc>
        <w:tc>
          <w:tcPr>
            <w:tcW w:w="1077" w:type="dxa"/>
            <w:shd w:val="clear" w:color="auto" w:fill="E5F6FC"/>
          </w:tcPr>
          <w:p w14:paraId="58D1C5C2" w14:textId="77777777" w:rsidR="001A1A0A" w:rsidRPr="00524BC8" w:rsidRDefault="001A1A0A" w:rsidP="000C2B36">
            <w:pPr>
              <w:pStyle w:val="TableTextRight"/>
            </w:pPr>
            <w:r w:rsidRPr="00524BC8">
              <w:t>92</w:t>
            </w:r>
          </w:p>
        </w:tc>
        <w:tc>
          <w:tcPr>
            <w:tcW w:w="1062" w:type="dxa"/>
            <w:shd w:val="clear" w:color="auto" w:fill="E5F6FC"/>
          </w:tcPr>
          <w:p w14:paraId="58D1C5C3" w14:textId="77777777" w:rsidR="001A1A0A" w:rsidRPr="00333E76" w:rsidRDefault="006136D4" w:rsidP="000C2B36">
            <w:pPr>
              <w:pStyle w:val="TableTextRight"/>
              <w:rPr>
                <w:b/>
              </w:rPr>
            </w:pPr>
            <w:r w:rsidRPr="00333E76">
              <w:rPr>
                <w:b/>
              </w:rPr>
              <w:t>99</w:t>
            </w:r>
          </w:p>
        </w:tc>
        <w:tc>
          <w:tcPr>
            <w:tcW w:w="1062" w:type="dxa"/>
            <w:shd w:val="clear" w:color="auto" w:fill="E5F6FC"/>
          </w:tcPr>
          <w:p w14:paraId="58D1C5C4" w14:textId="77777777" w:rsidR="001A1A0A" w:rsidRPr="004F0321" w:rsidRDefault="001A1A0A" w:rsidP="000C2B36">
            <w:pPr>
              <w:pStyle w:val="TableTextRight"/>
            </w:pPr>
            <w:r w:rsidRPr="004F0321">
              <w:t>712</w:t>
            </w:r>
          </w:p>
        </w:tc>
        <w:tc>
          <w:tcPr>
            <w:tcW w:w="1062" w:type="dxa"/>
            <w:shd w:val="clear" w:color="auto" w:fill="E5F6FC"/>
          </w:tcPr>
          <w:p w14:paraId="58D1C5C5" w14:textId="77777777" w:rsidR="001A1A0A" w:rsidRPr="004F0321" w:rsidRDefault="001A1A0A" w:rsidP="000C2B36">
            <w:pPr>
              <w:pStyle w:val="TableTextRight"/>
            </w:pPr>
            <w:r w:rsidRPr="004F0321">
              <w:t>768</w:t>
            </w:r>
          </w:p>
        </w:tc>
        <w:tc>
          <w:tcPr>
            <w:tcW w:w="1062" w:type="dxa"/>
            <w:shd w:val="clear" w:color="auto" w:fill="E5F6FC"/>
          </w:tcPr>
          <w:p w14:paraId="58D1C5C6" w14:textId="77777777" w:rsidR="001A1A0A" w:rsidRPr="00333E76" w:rsidRDefault="006136D4" w:rsidP="000C2B36">
            <w:pPr>
              <w:pStyle w:val="TableTextRight"/>
              <w:rPr>
                <w:b/>
              </w:rPr>
            </w:pPr>
            <w:r w:rsidRPr="00333E76">
              <w:rPr>
                <w:b/>
              </w:rPr>
              <w:t>820</w:t>
            </w:r>
          </w:p>
        </w:tc>
      </w:tr>
      <w:tr w:rsidR="00C6201E" w14:paraId="58D1C5CF" w14:textId="77777777" w:rsidTr="00333E76">
        <w:trPr>
          <w:cantSplit/>
        </w:trPr>
        <w:tc>
          <w:tcPr>
            <w:tcW w:w="2922" w:type="dxa"/>
            <w:shd w:val="clear" w:color="auto" w:fill="E5F6FC"/>
          </w:tcPr>
          <w:p w14:paraId="58D1C5C8" w14:textId="77777777" w:rsidR="001A1A0A" w:rsidRPr="003F2B04" w:rsidRDefault="001A1A0A" w:rsidP="007B6433">
            <w:pPr>
              <w:pStyle w:val="TableText"/>
            </w:pPr>
            <w:r w:rsidRPr="00524BC8">
              <w:t>Owners corporation managers</w:t>
            </w:r>
          </w:p>
        </w:tc>
        <w:tc>
          <w:tcPr>
            <w:tcW w:w="1047" w:type="dxa"/>
            <w:shd w:val="clear" w:color="auto" w:fill="E5F6FC"/>
          </w:tcPr>
          <w:p w14:paraId="58D1C5C9" w14:textId="77777777" w:rsidR="001A1A0A" w:rsidRPr="00524BC8" w:rsidRDefault="001A1A0A" w:rsidP="000C2B36">
            <w:pPr>
              <w:pStyle w:val="TableTextRight"/>
            </w:pPr>
            <w:r w:rsidRPr="00524BC8">
              <w:t>88</w:t>
            </w:r>
          </w:p>
        </w:tc>
        <w:tc>
          <w:tcPr>
            <w:tcW w:w="1077" w:type="dxa"/>
            <w:shd w:val="clear" w:color="auto" w:fill="E5F6FC"/>
          </w:tcPr>
          <w:p w14:paraId="58D1C5CA" w14:textId="77777777" w:rsidR="001A1A0A" w:rsidRPr="00524BC8" w:rsidRDefault="001A1A0A" w:rsidP="000C2B36">
            <w:pPr>
              <w:pStyle w:val="TableTextRight"/>
            </w:pPr>
            <w:r w:rsidRPr="00524BC8">
              <w:t>74</w:t>
            </w:r>
          </w:p>
        </w:tc>
        <w:tc>
          <w:tcPr>
            <w:tcW w:w="1062" w:type="dxa"/>
            <w:shd w:val="clear" w:color="auto" w:fill="E5F6FC"/>
          </w:tcPr>
          <w:p w14:paraId="58D1C5CB" w14:textId="77777777" w:rsidR="001A1A0A" w:rsidRPr="00333E76" w:rsidRDefault="000E344B" w:rsidP="000C2B36">
            <w:pPr>
              <w:pStyle w:val="TableTextRight"/>
              <w:rPr>
                <w:b/>
              </w:rPr>
            </w:pPr>
            <w:r w:rsidRPr="00333E76">
              <w:rPr>
                <w:b/>
              </w:rPr>
              <w:t>80</w:t>
            </w:r>
          </w:p>
        </w:tc>
        <w:tc>
          <w:tcPr>
            <w:tcW w:w="1062" w:type="dxa"/>
            <w:shd w:val="clear" w:color="auto" w:fill="E5F6FC"/>
          </w:tcPr>
          <w:p w14:paraId="58D1C5CC" w14:textId="77777777" w:rsidR="001A1A0A" w:rsidRPr="00524BC8" w:rsidRDefault="001A1A0A" w:rsidP="000C2B36">
            <w:pPr>
              <w:pStyle w:val="TableTextRight"/>
            </w:pPr>
            <w:r w:rsidRPr="00524BC8">
              <w:t>602</w:t>
            </w:r>
          </w:p>
        </w:tc>
        <w:tc>
          <w:tcPr>
            <w:tcW w:w="1062" w:type="dxa"/>
            <w:shd w:val="clear" w:color="auto" w:fill="E5F6FC"/>
          </w:tcPr>
          <w:p w14:paraId="58D1C5CD" w14:textId="77777777" w:rsidR="001A1A0A" w:rsidRPr="00524BC8" w:rsidRDefault="001A1A0A" w:rsidP="000C2B36">
            <w:pPr>
              <w:pStyle w:val="TableTextRight"/>
            </w:pPr>
            <w:r w:rsidRPr="00524BC8">
              <w:t>621</w:t>
            </w:r>
          </w:p>
        </w:tc>
        <w:tc>
          <w:tcPr>
            <w:tcW w:w="1062" w:type="dxa"/>
            <w:shd w:val="clear" w:color="auto" w:fill="E5F6FC"/>
          </w:tcPr>
          <w:p w14:paraId="58D1C5CE" w14:textId="77777777" w:rsidR="001A1A0A" w:rsidRPr="00333E76" w:rsidRDefault="006136D4" w:rsidP="000C2B36">
            <w:pPr>
              <w:pStyle w:val="TableTextRight"/>
              <w:rPr>
                <w:b/>
              </w:rPr>
            </w:pPr>
            <w:r w:rsidRPr="00333E76">
              <w:rPr>
                <w:b/>
              </w:rPr>
              <w:t>638</w:t>
            </w:r>
          </w:p>
        </w:tc>
      </w:tr>
      <w:tr w:rsidR="00C6201E" w14:paraId="58D1C5D7" w14:textId="77777777" w:rsidTr="00333E76">
        <w:trPr>
          <w:cantSplit/>
        </w:trPr>
        <w:tc>
          <w:tcPr>
            <w:tcW w:w="2922" w:type="dxa"/>
            <w:shd w:val="clear" w:color="auto" w:fill="E5F6FC"/>
          </w:tcPr>
          <w:p w14:paraId="58D1C5D0" w14:textId="77777777" w:rsidR="001A1A0A" w:rsidRPr="003F2B04" w:rsidRDefault="001A1A0A" w:rsidP="007B6433">
            <w:pPr>
              <w:pStyle w:val="TableText"/>
            </w:pPr>
            <w:r w:rsidRPr="00524BC8">
              <w:t>Retirement villages</w:t>
            </w:r>
          </w:p>
        </w:tc>
        <w:tc>
          <w:tcPr>
            <w:tcW w:w="1047" w:type="dxa"/>
            <w:shd w:val="clear" w:color="auto" w:fill="E5F6FC"/>
          </w:tcPr>
          <w:p w14:paraId="58D1C5D1" w14:textId="77777777" w:rsidR="001A1A0A" w:rsidRPr="00524BC8" w:rsidRDefault="001A1A0A" w:rsidP="000C2B36">
            <w:pPr>
              <w:pStyle w:val="TableTextRight"/>
            </w:pPr>
            <w:r w:rsidRPr="00524BC8">
              <w:t>6</w:t>
            </w:r>
          </w:p>
        </w:tc>
        <w:tc>
          <w:tcPr>
            <w:tcW w:w="1077" w:type="dxa"/>
            <w:shd w:val="clear" w:color="auto" w:fill="E5F6FC"/>
          </w:tcPr>
          <w:p w14:paraId="58D1C5D2" w14:textId="77777777" w:rsidR="001A1A0A" w:rsidRPr="00524BC8" w:rsidRDefault="001A1A0A" w:rsidP="000C2B36">
            <w:pPr>
              <w:pStyle w:val="TableTextRight"/>
            </w:pPr>
            <w:r w:rsidRPr="00524BC8">
              <w:t>12</w:t>
            </w:r>
          </w:p>
        </w:tc>
        <w:tc>
          <w:tcPr>
            <w:tcW w:w="1062" w:type="dxa"/>
            <w:shd w:val="clear" w:color="auto" w:fill="E5F6FC"/>
          </w:tcPr>
          <w:p w14:paraId="58D1C5D3" w14:textId="77777777" w:rsidR="001A1A0A" w:rsidRPr="00333E76" w:rsidRDefault="00DF0BE8" w:rsidP="000C2B36">
            <w:pPr>
              <w:pStyle w:val="TableTextRight"/>
              <w:rPr>
                <w:b/>
              </w:rPr>
            </w:pPr>
            <w:r w:rsidRPr="00333E76">
              <w:rPr>
                <w:b/>
              </w:rPr>
              <w:t>14</w:t>
            </w:r>
          </w:p>
        </w:tc>
        <w:tc>
          <w:tcPr>
            <w:tcW w:w="1062" w:type="dxa"/>
            <w:shd w:val="clear" w:color="auto" w:fill="E5F6FC"/>
          </w:tcPr>
          <w:p w14:paraId="58D1C5D4" w14:textId="77777777" w:rsidR="001A1A0A" w:rsidRPr="00524BC8" w:rsidRDefault="001A1A0A" w:rsidP="000C2B36">
            <w:pPr>
              <w:pStyle w:val="TableTextRight"/>
            </w:pPr>
            <w:r w:rsidRPr="00524BC8">
              <w:t>415</w:t>
            </w:r>
          </w:p>
        </w:tc>
        <w:tc>
          <w:tcPr>
            <w:tcW w:w="1062" w:type="dxa"/>
            <w:shd w:val="clear" w:color="auto" w:fill="E5F6FC"/>
          </w:tcPr>
          <w:p w14:paraId="58D1C5D5" w14:textId="77777777" w:rsidR="001A1A0A" w:rsidRPr="00524BC8" w:rsidRDefault="001A1A0A" w:rsidP="000C2B36">
            <w:pPr>
              <w:pStyle w:val="TableTextRight"/>
            </w:pPr>
            <w:r w:rsidRPr="00524BC8">
              <w:t>426</w:t>
            </w:r>
          </w:p>
        </w:tc>
        <w:tc>
          <w:tcPr>
            <w:tcW w:w="1062" w:type="dxa"/>
            <w:shd w:val="clear" w:color="auto" w:fill="E5F6FC"/>
          </w:tcPr>
          <w:p w14:paraId="58D1C5D6" w14:textId="77777777" w:rsidR="001A1A0A" w:rsidRPr="00333E76" w:rsidRDefault="006136D4" w:rsidP="000C2B36">
            <w:pPr>
              <w:pStyle w:val="TableTextRight"/>
              <w:rPr>
                <w:b/>
              </w:rPr>
            </w:pPr>
            <w:r w:rsidRPr="00333E76">
              <w:rPr>
                <w:b/>
              </w:rPr>
              <w:t>439</w:t>
            </w:r>
          </w:p>
        </w:tc>
      </w:tr>
      <w:tr w:rsidR="00C6201E" w14:paraId="58D1C5DF" w14:textId="77777777" w:rsidTr="00333E76">
        <w:trPr>
          <w:cantSplit/>
        </w:trPr>
        <w:tc>
          <w:tcPr>
            <w:tcW w:w="2922" w:type="dxa"/>
            <w:shd w:val="clear" w:color="auto" w:fill="E5F6FC"/>
          </w:tcPr>
          <w:p w14:paraId="58D1C5D8" w14:textId="77777777" w:rsidR="001A1A0A" w:rsidRPr="003F2B04" w:rsidRDefault="001A1A0A" w:rsidP="007B6433">
            <w:pPr>
              <w:pStyle w:val="TableText"/>
            </w:pPr>
            <w:r w:rsidRPr="00524BC8">
              <w:t>Funeral service providers</w:t>
            </w:r>
          </w:p>
        </w:tc>
        <w:tc>
          <w:tcPr>
            <w:tcW w:w="1047" w:type="dxa"/>
            <w:shd w:val="clear" w:color="auto" w:fill="E5F6FC"/>
          </w:tcPr>
          <w:p w14:paraId="58D1C5D9" w14:textId="77777777" w:rsidR="001A1A0A" w:rsidRPr="00524BC8" w:rsidRDefault="001A1A0A" w:rsidP="000C2B36">
            <w:pPr>
              <w:pStyle w:val="TableTextRight"/>
            </w:pPr>
            <w:r w:rsidRPr="00524BC8">
              <w:t>12</w:t>
            </w:r>
          </w:p>
        </w:tc>
        <w:tc>
          <w:tcPr>
            <w:tcW w:w="1077" w:type="dxa"/>
            <w:shd w:val="clear" w:color="auto" w:fill="E5F6FC"/>
          </w:tcPr>
          <w:p w14:paraId="58D1C5DA" w14:textId="77777777" w:rsidR="001A1A0A" w:rsidRPr="00524BC8" w:rsidRDefault="001A1A0A" w:rsidP="000C2B36">
            <w:pPr>
              <w:pStyle w:val="TableTextRight"/>
            </w:pPr>
            <w:r w:rsidRPr="00524BC8">
              <w:t>10</w:t>
            </w:r>
          </w:p>
        </w:tc>
        <w:tc>
          <w:tcPr>
            <w:tcW w:w="1062" w:type="dxa"/>
            <w:shd w:val="clear" w:color="auto" w:fill="E5F6FC"/>
          </w:tcPr>
          <w:p w14:paraId="58D1C5DB" w14:textId="77777777" w:rsidR="001A1A0A" w:rsidRPr="00333E76" w:rsidRDefault="00DF0BE8" w:rsidP="000C2B36">
            <w:pPr>
              <w:pStyle w:val="TableTextRight"/>
              <w:rPr>
                <w:b/>
              </w:rPr>
            </w:pPr>
            <w:r w:rsidRPr="00333E76">
              <w:rPr>
                <w:b/>
              </w:rPr>
              <w:t>10</w:t>
            </w:r>
          </w:p>
        </w:tc>
        <w:tc>
          <w:tcPr>
            <w:tcW w:w="1062" w:type="dxa"/>
            <w:shd w:val="clear" w:color="auto" w:fill="E5F6FC"/>
          </w:tcPr>
          <w:p w14:paraId="58D1C5DC" w14:textId="77777777" w:rsidR="001A1A0A" w:rsidRPr="00524BC8" w:rsidRDefault="001A1A0A" w:rsidP="000C2B36">
            <w:pPr>
              <w:pStyle w:val="TableTextRight"/>
            </w:pPr>
            <w:r w:rsidRPr="00524BC8">
              <w:t>415</w:t>
            </w:r>
          </w:p>
        </w:tc>
        <w:tc>
          <w:tcPr>
            <w:tcW w:w="1062" w:type="dxa"/>
            <w:shd w:val="clear" w:color="auto" w:fill="E5F6FC"/>
          </w:tcPr>
          <w:p w14:paraId="58D1C5DD" w14:textId="77777777" w:rsidR="001A1A0A" w:rsidRPr="00524BC8" w:rsidRDefault="001A1A0A" w:rsidP="000C2B36">
            <w:pPr>
              <w:pStyle w:val="TableTextRight"/>
            </w:pPr>
            <w:r w:rsidRPr="00524BC8">
              <w:t>424</w:t>
            </w:r>
          </w:p>
        </w:tc>
        <w:tc>
          <w:tcPr>
            <w:tcW w:w="1062" w:type="dxa"/>
            <w:shd w:val="clear" w:color="auto" w:fill="E5F6FC"/>
          </w:tcPr>
          <w:p w14:paraId="58D1C5DE" w14:textId="77777777" w:rsidR="001A1A0A" w:rsidRPr="00333E76" w:rsidRDefault="006136D4" w:rsidP="000C2B36">
            <w:pPr>
              <w:pStyle w:val="TableTextRight"/>
              <w:rPr>
                <w:b/>
              </w:rPr>
            </w:pPr>
            <w:r w:rsidRPr="00333E76">
              <w:rPr>
                <w:b/>
              </w:rPr>
              <w:t>434</w:t>
            </w:r>
          </w:p>
        </w:tc>
      </w:tr>
      <w:tr w:rsidR="00C6201E" w14:paraId="58D1C5E7" w14:textId="77777777" w:rsidTr="00333E76">
        <w:trPr>
          <w:cantSplit/>
        </w:trPr>
        <w:tc>
          <w:tcPr>
            <w:tcW w:w="2922" w:type="dxa"/>
            <w:shd w:val="clear" w:color="auto" w:fill="E5F6FC"/>
          </w:tcPr>
          <w:p w14:paraId="58D1C5E0" w14:textId="77777777" w:rsidR="001A1A0A" w:rsidRPr="0032179C" w:rsidRDefault="001A1A0A" w:rsidP="007B6433">
            <w:pPr>
              <w:pStyle w:val="TableText"/>
            </w:pPr>
            <w:r w:rsidRPr="00524BC8">
              <w:t>Sex work service providers (licensees)</w:t>
            </w:r>
          </w:p>
        </w:tc>
        <w:tc>
          <w:tcPr>
            <w:tcW w:w="1047" w:type="dxa"/>
            <w:shd w:val="clear" w:color="auto" w:fill="E5F6FC"/>
          </w:tcPr>
          <w:p w14:paraId="58D1C5E1" w14:textId="77777777" w:rsidR="001A1A0A" w:rsidRPr="00524BC8" w:rsidRDefault="001A1A0A" w:rsidP="000C2B36">
            <w:pPr>
              <w:pStyle w:val="TableTextRight"/>
            </w:pPr>
            <w:r w:rsidRPr="00524BC8">
              <w:t>21</w:t>
            </w:r>
          </w:p>
        </w:tc>
        <w:tc>
          <w:tcPr>
            <w:tcW w:w="1077" w:type="dxa"/>
            <w:shd w:val="clear" w:color="auto" w:fill="E5F6FC"/>
          </w:tcPr>
          <w:p w14:paraId="58D1C5E2" w14:textId="77777777" w:rsidR="001A1A0A" w:rsidRPr="00524BC8" w:rsidRDefault="001A1A0A" w:rsidP="000C2B36">
            <w:pPr>
              <w:pStyle w:val="TableTextRight"/>
            </w:pPr>
            <w:r w:rsidRPr="00524BC8">
              <w:t>10</w:t>
            </w:r>
          </w:p>
        </w:tc>
        <w:tc>
          <w:tcPr>
            <w:tcW w:w="1062" w:type="dxa"/>
            <w:shd w:val="clear" w:color="auto" w:fill="E5F6FC"/>
          </w:tcPr>
          <w:p w14:paraId="58D1C5E3" w14:textId="77777777" w:rsidR="001A1A0A" w:rsidRPr="00333E76" w:rsidRDefault="005E393E" w:rsidP="000C2B36">
            <w:pPr>
              <w:pStyle w:val="TableTextRight"/>
              <w:rPr>
                <w:b/>
              </w:rPr>
            </w:pPr>
            <w:r w:rsidRPr="00333E76">
              <w:rPr>
                <w:b/>
              </w:rPr>
              <w:t>13</w:t>
            </w:r>
          </w:p>
        </w:tc>
        <w:tc>
          <w:tcPr>
            <w:tcW w:w="1062" w:type="dxa"/>
            <w:shd w:val="clear" w:color="auto" w:fill="E5F6FC"/>
          </w:tcPr>
          <w:p w14:paraId="58D1C5E4" w14:textId="77777777" w:rsidR="001A1A0A" w:rsidRPr="00524BC8" w:rsidRDefault="001A1A0A" w:rsidP="000C2B36">
            <w:pPr>
              <w:pStyle w:val="TableTextRight"/>
            </w:pPr>
            <w:r w:rsidRPr="00524BC8">
              <w:t>130</w:t>
            </w:r>
          </w:p>
        </w:tc>
        <w:tc>
          <w:tcPr>
            <w:tcW w:w="1062" w:type="dxa"/>
            <w:shd w:val="clear" w:color="auto" w:fill="E5F6FC"/>
          </w:tcPr>
          <w:p w14:paraId="58D1C5E5" w14:textId="77777777" w:rsidR="001A1A0A" w:rsidRPr="00524BC8" w:rsidRDefault="001A1A0A" w:rsidP="000C2B36">
            <w:pPr>
              <w:pStyle w:val="TableTextRight"/>
            </w:pPr>
            <w:r w:rsidRPr="00524BC8">
              <w:t>133</w:t>
            </w:r>
          </w:p>
        </w:tc>
        <w:tc>
          <w:tcPr>
            <w:tcW w:w="1062" w:type="dxa"/>
            <w:shd w:val="clear" w:color="auto" w:fill="E5F6FC"/>
          </w:tcPr>
          <w:p w14:paraId="58D1C5E6" w14:textId="77777777" w:rsidR="001A1A0A" w:rsidRPr="00333E76" w:rsidRDefault="006136D4" w:rsidP="000C2B36">
            <w:pPr>
              <w:pStyle w:val="TableTextRight"/>
              <w:rPr>
                <w:b/>
              </w:rPr>
            </w:pPr>
            <w:r w:rsidRPr="00333E76">
              <w:rPr>
                <w:b/>
              </w:rPr>
              <w:t>125</w:t>
            </w:r>
          </w:p>
        </w:tc>
      </w:tr>
      <w:tr w:rsidR="00C6201E" w14:paraId="58D1C5EF" w14:textId="77777777" w:rsidTr="00333E76">
        <w:trPr>
          <w:cantSplit/>
        </w:trPr>
        <w:tc>
          <w:tcPr>
            <w:tcW w:w="2922" w:type="dxa"/>
            <w:shd w:val="clear" w:color="auto" w:fill="E5F6FC"/>
          </w:tcPr>
          <w:p w14:paraId="58D1C5E8" w14:textId="77777777" w:rsidR="001A1A0A" w:rsidRPr="0032179C" w:rsidRDefault="001A1A0A" w:rsidP="007B6433">
            <w:pPr>
              <w:pStyle w:val="TableText"/>
            </w:pPr>
            <w:r w:rsidRPr="00524BC8">
              <w:t>Sex work brothel managers</w:t>
            </w:r>
          </w:p>
        </w:tc>
        <w:tc>
          <w:tcPr>
            <w:tcW w:w="1047" w:type="dxa"/>
            <w:shd w:val="clear" w:color="auto" w:fill="E5F6FC"/>
          </w:tcPr>
          <w:p w14:paraId="58D1C5E9" w14:textId="77777777" w:rsidR="001A1A0A" w:rsidRPr="00524BC8" w:rsidRDefault="001A1A0A" w:rsidP="000C2B36">
            <w:pPr>
              <w:pStyle w:val="TableTextRight"/>
            </w:pPr>
            <w:r w:rsidRPr="00524BC8">
              <w:t>195</w:t>
            </w:r>
          </w:p>
        </w:tc>
        <w:tc>
          <w:tcPr>
            <w:tcW w:w="1077" w:type="dxa"/>
            <w:shd w:val="clear" w:color="auto" w:fill="E5F6FC"/>
          </w:tcPr>
          <w:p w14:paraId="58D1C5EA" w14:textId="77777777" w:rsidR="001A1A0A" w:rsidRPr="00524BC8" w:rsidRDefault="001A1A0A" w:rsidP="000C2B36">
            <w:pPr>
              <w:pStyle w:val="TableTextRight"/>
            </w:pPr>
            <w:r w:rsidRPr="00524BC8">
              <w:t>178</w:t>
            </w:r>
          </w:p>
        </w:tc>
        <w:tc>
          <w:tcPr>
            <w:tcW w:w="1062" w:type="dxa"/>
            <w:shd w:val="clear" w:color="auto" w:fill="E5F6FC"/>
          </w:tcPr>
          <w:p w14:paraId="58D1C5EB" w14:textId="77777777" w:rsidR="001A1A0A" w:rsidRPr="00333E76" w:rsidRDefault="005E393E" w:rsidP="000C2B36">
            <w:pPr>
              <w:pStyle w:val="TableTextRight"/>
              <w:rPr>
                <w:b/>
              </w:rPr>
            </w:pPr>
            <w:r w:rsidRPr="00333E76">
              <w:rPr>
                <w:b/>
              </w:rPr>
              <w:t>179</w:t>
            </w:r>
          </w:p>
        </w:tc>
        <w:tc>
          <w:tcPr>
            <w:tcW w:w="1062" w:type="dxa"/>
            <w:shd w:val="clear" w:color="auto" w:fill="E5F6FC"/>
          </w:tcPr>
          <w:p w14:paraId="58D1C5EC" w14:textId="77777777" w:rsidR="001A1A0A" w:rsidRPr="00524BC8" w:rsidRDefault="001A1A0A" w:rsidP="000C2B36">
            <w:pPr>
              <w:pStyle w:val="TableTextRight"/>
            </w:pPr>
            <w:r w:rsidRPr="00524BC8">
              <w:t>756</w:t>
            </w:r>
          </w:p>
        </w:tc>
        <w:tc>
          <w:tcPr>
            <w:tcW w:w="1062" w:type="dxa"/>
            <w:shd w:val="clear" w:color="auto" w:fill="E5F6FC"/>
          </w:tcPr>
          <w:p w14:paraId="58D1C5ED" w14:textId="77777777" w:rsidR="001A1A0A" w:rsidRPr="00524BC8" w:rsidRDefault="001A1A0A" w:rsidP="000C2B36">
            <w:pPr>
              <w:pStyle w:val="TableTextRight"/>
            </w:pPr>
            <w:r w:rsidRPr="00524BC8">
              <w:t>710</w:t>
            </w:r>
          </w:p>
        </w:tc>
        <w:tc>
          <w:tcPr>
            <w:tcW w:w="1062" w:type="dxa"/>
            <w:shd w:val="clear" w:color="auto" w:fill="E5F6FC"/>
          </w:tcPr>
          <w:p w14:paraId="58D1C5EE" w14:textId="77777777" w:rsidR="001A1A0A" w:rsidRPr="00333E76" w:rsidRDefault="006136D4" w:rsidP="000C2B36">
            <w:pPr>
              <w:pStyle w:val="TableTextRight"/>
              <w:rPr>
                <w:b/>
              </w:rPr>
            </w:pPr>
            <w:r w:rsidRPr="00333E76">
              <w:rPr>
                <w:b/>
              </w:rPr>
              <w:t>702</w:t>
            </w:r>
          </w:p>
        </w:tc>
      </w:tr>
      <w:tr w:rsidR="00C6201E" w14:paraId="58D1C5F7" w14:textId="77777777" w:rsidTr="00333E76">
        <w:trPr>
          <w:cantSplit/>
        </w:trPr>
        <w:tc>
          <w:tcPr>
            <w:tcW w:w="2922" w:type="dxa"/>
            <w:shd w:val="clear" w:color="auto" w:fill="E5F6FC"/>
          </w:tcPr>
          <w:p w14:paraId="58D1C5F0" w14:textId="77777777" w:rsidR="001A1A0A" w:rsidRPr="0032179C" w:rsidRDefault="001A1A0A" w:rsidP="007B6433">
            <w:pPr>
              <w:pStyle w:val="TableText"/>
            </w:pPr>
            <w:r w:rsidRPr="00524BC8">
              <w:t>Sex work providers (exempt)</w:t>
            </w:r>
          </w:p>
        </w:tc>
        <w:tc>
          <w:tcPr>
            <w:tcW w:w="1047" w:type="dxa"/>
            <w:shd w:val="clear" w:color="auto" w:fill="E5F6FC"/>
          </w:tcPr>
          <w:p w14:paraId="58D1C5F1" w14:textId="77777777" w:rsidR="001A1A0A" w:rsidRPr="00524BC8" w:rsidRDefault="001A1A0A" w:rsidP="000C2B36">
            <w:pPr>
              <w:pStyle w:val="TableTextRight"/>
            </w:pPr>
            <w:r w:rsidRPr="00524BC8">
              <w:t>327</w:t>
            </w:r>
          </w:p>
        </w:tc>
        <w:tc>
          <w:tcPr>
            <w:tcW w:w="1077" w:type="dxa"/>
            <w:shd w:val="clear" w:color="auto" w:fill="E5F6FC"/>
          </w:tcPr>
          <w:p w14:paraId="58D1C5F2" w14:textId="77777777" w:rsidR="001A1A0A" w:rsidRPr="00524BC8" w:rsidRDefault="001A1A0A" w:rsidP="000C2B36">
            <w:pPr>
              <w:pStyle w:val="TableTextRight"/>
            </w:pPr>
            <w:r w:rsidRPr="00524BC8">
              <w:t>326</w:t>
            </w:r>
          </w:p>
        </w:tc>
        <w:tc>
          <w:tcPr>
            <w:tcW w:w="1062" w:type="dxa"/>
            <w:shd w:val="clear" w:color="auto" w:fill="E5F6FC"/>
          </w:tcPr>
          <w:p w14:paraId="58D1C5F3" w14:textId="77777777" w:rsidR="001A1A0A" w:rsidRPr="00333E76" w:rsidRDefault="005E393E" w:rsidP="000C2B36">
            <w:pPr>
              <w:pStyle w:val="TableTextRight"/>
              <w:rPr>
                <w:b/>
              </w:rPr>
            </w:pPr>
            <w:r w:rsidRPr="00333E76">
              <w:rPr>
                <w:b/>
              </w:rPr>
              <w:t>347</w:t>
            </w:r>
          </w:p>
        </w:tc>
        <w:tc>
          <w:tcPr>
            <w:tcW w:w="1062" w:type="dxa"/>
            <w:shd w:val="clear" w:color="auto" w:fill="E5F6FC"/>
          </w:tcPr>
          <w:p w14:paraId="58D1C5F4" w14:textId="77777777" w:rsidR="001A1A0A" w:rsidRPr="00524BC8" w:rsidRDefault="001A1A0A" w:rsidP="000C2B36">
            <w:pPr>
              <w:pStyle w:val="TableTextRight"/>
            </w:pPr>
            <w:r w:rsidRPr="00524BC8">
              <w:t>609</w:t>
            </w:r>
          </w:p>
        </w:tc>
        <w:tc>
          <w:tcPr>
            <w:tcW w:w="1062" w:type="dxa"/>
            <w:shd w:val="clear" w:color="auto" w:fill="E5F6FC"/>
          </w:tcPr>
          <w:p w14:paraId="58D1C5F5" w14:textId="77777777" w:rsidR="001A1A0A" w:rsidRPr="00524BC8" w:rsidRDefault="001A1A0A" w:rsidP="000C2B36">
            <w:pPr>
              <w:pStyle w:val="TableTextRight"/>
            </w:pPr>
            <w:r w:rsidRPr="00524BC8">
              <w:t>651</w:t>
            </w:r>
          </w:p>
        </w:tc>
        <w:tc>
          <w:tcPr>
            <w:tcW w:w="1062" w:type="dxa"/>
            <w:shd w:val="clear" w:color="auto" w:fill="E5F6FC"/>
          </w:tcPr>
          <w:p w14:paraId="58D1C5F6" w14:textId="77777777" w:rsidR="001A1A0A" w:rsidRPr="00333E76" w:rsidRDefault="006136D4" w:rsidP="000C2B36">
            <w:pPr>
              <w:pStyle w:val="TableTextRight"/>
              <w:rPr>
                <w:b/>
              </w:rPr>
            </w:pPr>
            <w:r w:rsidRPr="00333E76">
              <w:rPr>
                <w:b/>
              </w:rPr>
              <w:t>724</w:t>
            </w:r>
          </w:p>
        </w:tc>
      </w:tr>
    </w:tbl>
    <w:p w14:paraId="58D1C5F8" w14:textId="77777777" w:rsidR="004F061C" w:rsidRPr="004F061C" w:rsidRDefault="008C3AD5" w:rsidP="00040AF8">
      <w:pPr>
        <w:pStyle w:val="Heading4"/>
        <w:rPr>
          <w:lang w:eastAsia="en-AU"/>
        </w:rPr>
      </w:pPr>
      <w:r>
        <w:rPr>
          <w:lang w:eastAsia="en-AU"/>
        </w:rPr>
        <w:br w:type="page"/>
      </w:r>
      <w:r w:rsidR="004F061C" w:rsidRPr="004F061C">
        <w:rPr>
          <w:lang w:eastAsia="en-AU"/>
        </w:rPr>
        <w:lastRenderedPageBreak/>
        <w:t>Enforcement action</w:t>
      </w:r>
    </w:p>
    <w:p w14:paraId="58D1C5F9" w14:textId="77777777" w:rsidR="00B4776C" w:rsidRDefault="007A2663" w:rsidP="00040AF8">
      <w:pPr>
        <w:pStyle w:val="BodyText"/>
        <w:rPr>
          <w:lang w:eastAsia="en-AU"/>
        </w:rPr>
      </w:pPr>
      <w:bookmarkStart w:id="40" w:name="_Toc457494697"/>
      <w:r w:rsidRPr="007A2663">
        <w:rPr>
          <w:lang w:eastAsia="en-AU"/>
        </w:rPr>
        <w:t>We took a range of enforcement actions in 2015-16. Actions completed or in progress at 30 June 2016 are outlined in the table below.</w:t>
      </w:r>
      <w:bookmarkEnd w:id="40"/>
    </w:p>
    <w:p w14:paraId="58D1C5FA" w14:textId="77777777" w:rsidR="008C3AD5" w:rsidRPr="00CF1401" w:rsidRDefault="008C3AD5" w:rsidP="00ED345C">
      <w:pPr>
        <w:pStyle w:val="Caption"/>
      </w:pPr>
      <w:r w:rsidRPr="00CF1401">
        <w:t>Parties signed to enforceable undertakings</w:t>
      </w:r>
    </w:p>
    <w:tbl>
      <w:tblPr>
        <w:tblW w:w="9072" w:type="dxa"/>
        <w:tblInd w:w="108" w:type="dxa"/>
        <w:tblBorders>
          <w:top w:val="single" w:sz="4" w:space="0" w:color="0072CE"/>
          <w:left w:val="single" w:sz="4" w:space="0" w:color="0072CE"/>
          <w:bottom w:val="single" w:sz="4" w:space="0" w:color="0072CE"/>
          <w:right w:val="single" w:sz="4" w:space="0" w:color="0072CE"/>
          <w:insideH w:val="single" w:sz="4" w:space="0" w:color="0072CE"/>
          <w:insideV w:val="single" w:sz="4" w:space="0" w:color="0072CE"/>
        </w:tblBorders>
        <w:tblLook w:val="04A0" w:firstRow="1" w:lastRow="0" w:firstColumn="1" w:lastColumn="0" w:noHBand="0" w:noVBand="1"/>
      </w:tblPr>
      <w:tblGrid>
        <w:gridCol w:w="2793"/>
        <w:gridCol w:w="6279"/>
      </w:tblGrid>
      <w:tr w:rsidR="009B486B" w:rsidRPr="00F20D5D" w14:paraId="58D1C5FD" w14:textId="77777777" w:rsidTr="00C6201E">
        <w:trPr>
          <w:cantSplit/>
          <w:tblHeader/>
        </w:trPr>
        <w:tc>
          <w:tcPr>
            <w:tcW w:w="2859" w:type="dxa"/>
            <w:tcBorders>
              <w:right w:val="single" w:sz="4" w:space="0" w:color="FFFFFF"/>
            </w:tcBorders>
            <w:shd w:val="clear" w:color="auto" w:fill="0072CE"/>
            <w:vAlign w:val="bottom"/>
          </w:tcPr>
          <w:p w14:paraId="58D1C5FB" w14:textId="77777777" w:rsidR="009B486B" w:rsidRPr="00F20D5D" w:rsidRDefault="009B486B" w:rsidP="008C3AD5">
            <w:pPr>
              <w:pStyle w:val="TableColHead"/>
            </w:pPr>
            <w:r>
              <w:t>Legislation</w:t>
            </w:r>
          </w:p>
        </w:tc>
        <w:tc>
          <w:tcPr>
            <w:tcW w:w="6496" w:type="dxa"/>
            <w:tcBorders>
              <w:left w:val="single" w:sz="4" w:space="0" w:color="FFFFFF"/>
            </w:tcBorders>
            <w:shd w:val="clear" w:color="auto" w:fill="0072CE"/>
            <w:vAlign w:val="bottom"/>
          </w:tcPr>
          <w:p w14:paraId="58D1C5FC" w14:textId="77777777" w:rsidR="009B486B" w:rsidRPr="00333E76" w:rsidRDefault="009B486B" w:rsidP="008C3AD5">
            <w:pPr>
              <w:pStyle w:val="TableColHead"/>
              <w:rPr>
                <w:sz w:val="20"/>
                <w:szCs w:val="20"/>
              </w:rPr>
            </w:pPr>
            <w:r w:rsidRPr="00671F59">
              <w:t>Parties</w:t>
            </w:r>
          </w:p>
        </w:tc>
      </w:tr>
      <w:tr w:rsidR="009B486B" w:rsidRPr="00F20D5D" w14:paraId="58D1C603" w14:textId="77777777" w:rsidTr="00C6201E">
        <w:trPr>
          <w:cantSplit/>
        </w:trPr>
        <w:tc>
          <w:tcPr>
            <w:tcW w:w="2859" w:type="dxa"/>
            <w:shd w:val="clear" w:color="auto" w:fill="E5F6FC"/>
          </w:tcPr>
          <w:p w14:paraId="58D1C5FE" w14:textId="77777777" w:rsidR="009B486B" w:rsidRPr="00F20D5D" w:rsidRDefault="009B486B" w:rsidP="007B6433">
            <w:pPr>
              <w:pStyle w:val="TableText"/>
            </w:pPr>
            <w:r>
              <w:t>Australian Consumer Law</w:t>
            </w:r>
            <w:r w:rsidR="00D967BB">
              <w:t xml:space="preserve"> (Victoria)</w:t>
            </w:r>
          </w:p>
        </w:tc>
        <w:tc>
          <w:tcPr>
            <w:tcW w:w="6496" w:type="dxa"/>
            <w:shd w:val="clear" w:color="auto" w:fill="E5F6FC"/>
          </w:tcPr>
          <w:p w14:paraId="58D1C5FF" w14:textId="77777777" w:rsidR="009B486B" w:rsidRPr="00A73820" w:rsidRDefault="009B486B" w:rsidP="00ED345C">
            <w:pPr>
              <w:pStyle w:val="TableText"/>
            </w:pPr>
            <w:r w:rsidRPr="00A73820">
              <w:t>Penguin Australia Pty Ltd</w:t>
            </w:r>
            <w:r>
              <w:t xml:space="preserve"> ACN 162 605 745</w:t>
            </w:r>
          </w:p>
          <w:p w14:paraId="58D1C600" w14:textId="77777777" w:rsidR="009B486B" w:rsidRPr="00A73820" w:rsidRDefault="009B486B" w:rsidP="00ED345C">
            <w:pPr>
              <w:pStyle w:val="TableText"/>
            </w:pPr>
            <w:r w:rsidRPr="00A73820">
              <w:t>Domeit Pty Ltd</w:t>
            </w:r>
            <w:r>
              <w:t xml:space="preserve"> ACN 602 585 384</w:t>
            </w:r>
          </w:p>
          <w:p w14:paraId="58D1C601" w14:textId="77777777" w:rsidR="009B486B" w:rsidRPr="00A73820" w:rsidRDefault="009B486B" w:rsidP="00ED345C">
            <w:pPr>
              <w:pStyle w:val="TableText"/>
            </w:pPr>
            <w:r w:rsidRPr="00A73820">
              <w:t>Mirza</w:t>
            </w:r>
            <w:r>
              <w:t xml:space="preserve"> Abbas</w:t>
            </w:r>
            <w:r w:rsidRPr="00A73820">
              <w:t xml:space="preserve"> Baig</w:t>
            </w:r>
          </w:p>
          <w:p w14:paraId="58D1C602" w14:textId="77777777" w:rsidR="009B486B" w:rsidRPr="00333E76" w:rsidRDefault="009B486B" w:rsidP="00ED345C">
            <w:pPr>
              <w:pStyle w:val="TableText"/>
              <w:rPr>
                <w:b/>
              </w:rPr>
            </w:pPr>
            <w:r w:rsidRPr="00A73820">
              <w:t>Nasreen Abbas</w:t>
            </w:r>
          </w:p>
        </w:tc>
      </w:tr>
      <w:tr w:rsidR="00112400" w:rsidRPr="00F20D5D" w14:paraId="58D1C607" w14:textId="77777777" w:rsidTr="00C6201E">
        <w:trPr>
          <w:cantSplit/>
        </w:trPr>
        <w:tc>
          <w:tcPr>
            <w:tcW w:w="2859" w:type="dxa"/>
            <w:shd w:val="clear" w:color="auto" w:fill="E5F6FC"/>
          </w:tcPr>
          <w:p w14:paraId="58D1C604" w14:textId="77777777" w:rsidR="00112400" w:rsidRPr="00333E76" w:rsidRDefault="00112400" w:rsidP="007B6433">
            <w:pPr>
              <w:pStyle w:val="TableText"/>
              <w:rPr>
                <w:i/>
              </w:rPr>
            </w:pPr>
            <w:r w:rsidRPr="00333E76">
              <w:rPr>
                <w:i/>
              </w:rPr>
              <w:t>Estate Agents Act</w:t>
            </w:r>
            <w:r w:rsidR="00D967BB" w:rsidRPr="00333E76">
              <w:rPr>
                <w:i/>
              </w:rPr>
              <w:t xml:space="preserve"> 1980</w:t>
            </w:r>
          </w:p>
        </w:tc>
        <w:tc>
          <w:tcPr>
            <w:tcW w:w="6496" w:type="dxa"/>
            <w:shd w:val="clear" w:color="auto" w:fill="E5F6FC"/>
          </w:tcPr>
          <w:p w14:paraId="58D1C605" w14:textId="77777777" w:rsidR="00112400" w:rsidRPr="00A73820" w:rsidRDefault="00112400" w:rsidP="00ED345C">
            <w:pPr>
              <w:pStyle w:val="TableText"/>
            </w:pPr>
            <w:r w:rsidRPr="00A73820">
              <w:t>Latitude Real Estate Pty Ltd</w:t>
            </w:r>
            <w:r>
              <w:t xml:space="preserve"> ACN 152 535 709</w:t>
            </w:r>
          </w:p>
          <w:p w14:paraId="58D1C606" w14:textId="77777777" w:rsidR="00112400" w:rsidRPr="00A73820" w:rsidRDefault="00112400" w:rsidP="00ED345C">
            <w:pPr>
              <w:pStyle w:val="TableText"/>
            </w:pPr>
            <w:r w:rsidRPr="00A73820">
              <w:t>James Robert Hand</w:t>
            </w:r>
          </w:p>
        </w:tc>
      </w:tr>
      <w:tr w:rsidR="009B486B" w:rsidRPr="00333E76" w14:paraId="58D1C60C" w14:textId="77777777" w:rsidTr="00C6201E">
        <w:trPr>
          <w:cantSplit/>
        </w:trPr>
        <w:tc>
          <w:tcPr>
            <w:tcW w:w="2859" w:type="dxa"/>
            <w:shd w:val="clear" w:color="auto" w:fill="E5F6FC"/>
          </w:tcPr>
          <w:p w14:paraId="58D1C608" w14:textId="77777777" w:rsidR="009B486B" w:rsidRPr="00F20D5D" w:rsidRDefault="009B486B" w:rsidP="007B6433">
            <w:pPr>
              <w:pStyle w:val="TableText"/>
            </w:pPr>
            <w:r w:rsidRPr="00333E76">
              <w:rPr>
                <w:i/>
              </w:rPr>
              <w:t>Estate Agents Act</w:t>
            </w:r>
            <w:r w:rsidR="00D967BB" w:rsidRPr="00333E76">
              <w:rPr>
                <w:i/>
              </w:rPr>
              <w:t xml:space="preserve"> 1980</w:t>
            </w:r>
            <w:r w:rsidR="00112400">
              <w:t xml:space="preserve"> and </w:t>
            </w:r>
            <w:r w:rsidR="00112400" w:rsidRPr="00333E76">
              <w:rPr>
                <w:i/>
              </w:rPr>
              <w:t>Residential Tenancies Act</w:t>
            </w:r>
            <w:r w:rsidR="00D967BB" w:rsidRPr="00333E76">
              <w:rPr>
                <w:i/>
              </w:rPr>
              <w:t xml:space="preserve"> 1997</w:t>
            </w:r>
          </w:p>
        </w:tc>
        <w:tc>
          <w:tcPr>
            <w:tcW w:w="6496" w:type="dxa"/>
            <w:shd w:val="clear" w:color="auto" w:fill="E5F6FC"/>
          </w:tcPr>
          <w:p w14:paraId="58D1C609" w14:textId="77777777" w:rsidR="009B486B" w:rsidRPr="00A73820" w:rsidRDefault="009B486B" w:rsidP="00ED345C">
            <w:pPr>
              <w:pStyle w:val="TableText"/>
            </w:pPr>
            <w:r w:rsidRPr="00A73820">
              <w:t>Burke Property Management Pty Ltd</w:t>
            </w:r>
            <w:r>
              <w:t xml:space="preserve"> ACN 111 267 308</w:t>
            </w:r>
          </w:p>
          <w:p w14:paraId="58D1C60A" w14:textId="77777777" w:rsidR="009B486B" w:rsidRPr="00A73820" w:rsidRDefault="009B486B" w:rsidP="00ED345C">
            <w:pPr>
              <w:pStyle w:val="TableText"/>
            </w:pPr>
            <w:r w:rsidRPr="00A73820">
              <w:t>Michael John Meehan</w:t>
            </w:r>
          </w:p>
          <w:p w14:paraId="58D1C60B" w14:textId="77777777" w:rsidR="009B486B" w:rsidRPr="00333E76" w:rsidRDefault="009B486B" w:rsidP="00ED345C">
            <w:pPr>
              <w:pStyle w:val="TableText"/>
              <w:rPr>
                <w:b/>
              </w:rPr>
            </w:pPr>
            <w:r w:rsidRPr="00A73820">
              <w:t>Geoffrey John Ogge</w:t>
            </w:r>
          </w:p>
        </w:tc>
      </w:tr>
      <w:tr w:rsidR="009B486B" w:rsidRPr="00333E76" w14:paraId="58D1C610" w14:textId="77777777" w:rsidTr="00C6201E">
        <w:trPr>
          <w:cantSplit/>
        </w:trPr>
        <w:tc>
          <w:tcPr>
            <w:tcW w:w="2859" w:type="dxa"/>
            <w:shd w:val="clear" w:color="auto" w:fill="E5F6FC"/>
          </w:tcPr>
          <w:p w14:paraId="58D1C60D" w14:textId="77777777" w:rsidR="009B486B" w:rsidRPr="00333E76" w:rsidRDefault="009B486B" w:rsidP="007B6433">
            <w:pPr>
              <w:pStyle w:val="TableText"/>
              <w:rPr>
                <w:i/>
              </w:rPr>
            </w:pPr>
            <w:r w:rsidRPr="00333E76">
              <w:rPr>
                <w:i/>
              </w:rPr>
              <w:t>Sex Work Act</w:t>
            </w:r>
            <w:r w:rsidR="00D967BB" w:rsidRPr="00333E76">
              <w:rPr>
                <w:i/>
              </w:rPr>
              <w:t xml:space="preserve"> 1994</w:t>
            </w:r>
          </w:p>
        </w:tc>
        <w:tc>
          <w:tcPr>
            <w:tcW w:w="6496" w:type="dxa"/>
            <w:shd w:val="clear" w:color="auto" w:fill="E5F6FC"/>
          </w:tcPr>
          <w:p w14:paraId="58D1C60E" w14:textId="77777777" w:rsidR="009B486B" w:rsidRPr="00A73820" w:rsidRDefault="009B486B" w:rsidP="00ED345C">
            <w:pPr>
              <w:pStyle w:val="TableText"/>
            </w:pPr>
            <w:r w:rsidRPr="00A73820">
              <w:t>Jinna Shao</w:t>
            </w:r>
          </w:p>
          <w:p w14:paraId="58D1C60F" w14:textId="77777777" w:rsidR="009B486B" w:rsidRPr="00333E76" w:rsidRDefault="009B486B" w:rsidP="00ED345C">
            <w:pPr>
              <w:pStyle w:val="TableText"/>
              <w:rPr>
                <w:b/>
              </w:rPr>
            </w:pPr>
            <w:r w:rsidRPr="00A73820">
              <w:t>Chenbin Ji</w:t>
            </w:r>
          </w:p>
        </w:tc>
      </w:tr>
    </w:tbl>
    <w:p w14:paraId="58D1C611" w14:textId="77777777" w:rsidR="008C3AD5" w:rsidRPr="00CF1401" w:rsidRDefault="008C3AD5" w:rsidP="00ED345C">
      <w:pPr>
        <w:pStyle w:val="Caption"/>
      </w:pPr>
      <w:r w:rsidRPr="00CF1401">
        <w:t>Court and tribunal matters</w:t>
      </w:r>
    </w:p>
    <w:tbl>
      <w:tblPr>
        <w:tblW w:w="9072" w:type="dxa"/>
        <w:tblInd w:w="108" w:type="dxa"/>
        <w:tblBorders>
          <w:top w:val="single" w:sz="4" w:space="0" w:color="0072CE"/>
          <w:left w:val="single" w:sz="4" w:space="0" w:color="0072CE"/>
          <w:bottom w:val="single" w:sz="4" w:space="0" w:color="0072CE"/>
          <w:right w:val="single" w:sz="4" w:space="0" w:color="0072CE"/>
          <w:insideH w:val="single" w:sz="4" w:space="0" w:color="0072CE"/>
          <w:insideV w:val="single" w:sz="4" w:space="0" w:color="0072CE"/>
        </w:tblBorders>
        <w:tblLook w:val="04A0" w:firstRow="1" w:lastRow="0" w:firstColumn="1" w:lastColumn="0" w:noHBand="0" w:noVBand="1"/>
      </w:tblPr>
      <w:tblGrid>
        <w:gridCol w:w="2796"/>
        <w:gridCol w:w="6276"/>
      </w:tblGrid>
      <w:tr w:rsidR="009B486B" w:rsidRPr="00F20D5D" w14:paraId="58D1C614" w14:textId="77777777" w:rsidTr="00C6201E">
        <w:trPr>
          <w:cantSplit/>
          <w:tblHeader/>
        </w:trPr>
        <w:tc>
          <w:tcPr>
            <w:tcW w:w="2796" w:type="dxa"/>
            <w:tcBorders>
              <w:right w:val="single" w:sz="4" w:space="0" w:color="FFFFFF"/>
            </w:tcBorders>
            <w:shd w:val="clear" w:color="auto" w:fill="0072CE"/>
            <w:vAlign w:val="bottom"/>
          </w:tcPr>
          <w:p w14:paraId="58D1C612" w14:textId="77777777" w:rsidR="009B486B" w:rsidRPr="00F20D5D" w:rsidRDefault="009B486B" w:rsidP="00ED345C">
            <w:pPr>
              <w:pStyle w:val="TableColHead"/>
            </w:pPr>
            <w:r>
              <w:t>Legislation</w:t>
            </w:r>
          </w:p>
        </w:tc>
        <w:tc>
          <w:tcPr>
            <w:tcW w:w="6276" w:type="dxa"/>
            <w:tcBorders>
              <w:left w:val="single" w:sz="4" w:space="0" w:color="FFFFFF"/>
            </w:tcBorders>
            <w:shd w:val="clear" w:color="auto" w:fill="0072CE"/>
            <w:vAlign w:val="bottom"/>
          </w:tcPr>
          <w:p w14:paraId="58D1C613" w14:textId="77777777" w:rsidR="009B486B" w:rsidRPr="00333E76" w:rsidRDefault="009B486B" w:rsidP="00ED345C">
            <w:pPr>
              <w:pStyle w:val="TableColHead"/>
              <w:rPr>
                <w:sz w:val="20"/>
                <w:szCs w:val="20"/>
              </w:rPr>
            </w:pPr>
            <w:r w:rsidRPr="00671F59">
              <w:t>Parties</w:t>
            </w:r>
          </w:p>
        </w:tc>
      </w:tr>
      <w:tr w:rsidR="00ED345C" w:rsidRPr="00333E76" w14:paraId="58D1C616" w14:textId="77777777" w:rsidTr="00C6201E">
        <w:trPr>
          <w:cantSplit/>
        </w:trPr>
        <w:tc>
          <w:tcPr>
            <w:tcW w:w="9072" w:type="dxa"/>
            <w:gridSpan w:val="2"/>
            <w:shd w:val="clear" w:color="auto" w:fill="A6E1F4"/>
          </w:tcPr>
          <w:p w14:paraId="58D1C615" w14:textId="77777777" w:rsidR="00ED345C" w:rsidRPr="00333E76" w:rsidRDefault="00ED345C" w:rsidP="00333E76">
            <w:pPr>
              <w:spacing w:before="60" w:after="60" w:line="240" w:lineRule="auto"/>
              <w:rPr>
                <w:b/>
              </w:rPr>
            </w:pPr>
            <w:r w:rsidRPr="00333E76">
              <w:rPr>
                <w:b/>
              </w:rPr>
              <w:t>Prosecutions finalised</w:t>
            </w:r>
          </w:p>
        </w:tc>
      </w:tr>
      <w:tr w:rsidR="009B486B" w:rsidRPr="00F20D5D" w14:paraId="58D1C61A" w14:textId="77777777" w:rsidTr="00C6201E">
        <w:trPr>
          <w:cantSplit/>
        </w:trPr>
        <w:tc>
          <w:tcPr>
            <w:tcW w:w="2796" w:type="dxa"/>
            <w:shd w:val="clear" w:color="auto" w:fill="E5F6FC"/>
          </w:tcPr>
          <w:p w14:paraId="58D1C617" w14:textId="77777777" w:rsidR="009B486B" w:rsidRPr="00F20D5D" w:rsidRDefault="009B486B" w:rsidP="007B6433">
            <w:pPr>
              <w:pStyle w:val="TableText"/>
            </w:pPr>
            <w:r>
              <w:t>Australian Consumer Law (Victoria)</w:t>
            </w:r>
          </w:p>
        </w:tc>
        <w:tc>
          <w:tcPr>
            <w:tcW w:w="6276" w:type="dxa"/>
            <w:shd w:val="clear" w:color="auto" w:fill="E5F6FC"/>
          </w:tcPr>
          <w:p w14:paraId="58D1C618" w14:textId="77777777" w:rsidR="009B486B" w:rsidRPr="00052AFF" w:rsidRDefault="009B486B" w:rsidP="002A3CA6">
            <w:pPr>
              <w:pStyle w:val="TableText"/>
            </w:pPr>
            <w:r w:rsidRPr="00052AFF">
              <w:t>DNL Security Australia Pty Ltd ACN 085 599 631</w:t>
            </w:r>
          </w:p>
          <w:p w14:paraId="58D1C619" w14:textId="77777777" w:rsidR="009B486B" w:rsidRPr="00333E76" w:rsidRDefault="009B486B" w:rsidP="002A3CA6">
            <w:pPr>
              <w:pStyle w:val="TableText"/>
              <w:rPr>
                <w:b/>
              </w:rPr>
            </w:pPr>
            <w:r w:rsidRPr="00052AFF">
              <w:t>Ljupco Petrovski</w:t>
            </w:r>
          </w:p>
        </w:tc>
      </w:tr>
      <w:tr w:rsidR="009B486B" w:rsidRPr="00333E76" w14:paraId="58D1C621" w14:textId="77777777" w:rsidTr="00C6201E">
        <w:trPr>
          <w:cantSplit/>
        </w:trPr>
        <w:tc>
          <w:tcPr>
            <w:tcW w:w="2796" w:type="dxa"/>
            <w:shd w:val="clear" w:color="auto" w:fill="E5F6FC"/>
          </w:tcPr>
          <w:p w14:paraId="58D1C61B" w14:textId="77777777" w:rsidR="009B486B" w:rsidRPr="00333E76" w:rsidRDefault="009B486B" w:rsidP="007B6433">
            <w:pPr>
              <w:pStyle w:val="TableText"/>
              <w:rPr>
                <w:i/>
              </w:rPr>
            </w:pPr>
            <w:r w:rsidRPr="00333E76">
              <w:rPr>
                <w:i/>
              </w:rPr>
              <w:t>Domestic Building Contracts Act</w:t>
            </w:r>
            <w:r w:rsidR="00D967BB" w:rsidRPr="00333E76">
              <w:rPr>
                <w:i/>
              </w:rPr>
              <w:t xml:space="preserve"> 1995</w:t>
            </w:r>
          </w:p>
        </w:tc>
        <w:tc>
          <w:tcPr>
            <w:tcW w:w="6276" w:type="dxa"/>
            <w:shd w:val="clear" w:color="auto" w:fill="E5F6FC"/>
          </w:tcPr>
          <w:p w14:paraId="58D1C61C" w14:textId="77777777" w:rsidR="009B486B" w:rsidRPr="00052AFF" w:rsidRDefault="009B486B" w:rsidP="002A3CA6">
            <w:pPr>
              <w:pStyle w:val="TableText"/>
            </w:pPr>
            <w:r w:rsidRPr="00052AFF">
              <w:t>Daniel Wayne Auld</w:t>
            </w:r>
          </w:p>
          <w:p w14:paraId="58D1C61D" w14:textId="77777777" w:rsidR="009B486B" w:rsidRPr="00052AFF" w:rsidRDefault="009B486B" w:rsidP="002A3CA6">
            <w:pPr>
              <w:pStyle w:val="TableText"/>
            </w:pPr>
            <w:r w:rsidRPr="00052AFF">
              <w:t>Ashleigh (Ashley) Maliki</w:t>
            </w:r>
          </w:p>
          <w:p w14:paraId="58D1C61E" w14:textId="77777777" w:rsidR="009B486B" w:rsidRPr="00052AFF" w:rsidRDefault="009B486B" w:rsidP="002A3CA6">
            <w:pPr>
              <w:pStyle w:val="TableText"/>
            </w:pPr>
            <w:r w:rsidRPr="00052AFF">
              <w:t>Daniel Kokken</w:t>
            </w:r>
          </w:p>
          <w:p w14:paraId="58D1C61F" w14:textId="77777777" w:rsidR="009B486B" w:rsidRPr="00052AFF" w:rsidRDefault="009B486B" w:rsidP="002A3CA6">
            <w:pPr>
              <w:pStyle w:val="TableText"/>
            </w:pPr>
            <w:r w:rsidRPr="00052AFF">
              <w:t xml:space="preserve">DRK Fencing Pty Ltd ACN </w:t>
            </w:r>
            <w:r w:rsidRPr="00333E76">
              <w:rPr>
                <w:rFonts w:cs="ArialMT"/>
                <w:lang w:eastAsia="en-AU"/>
              </w:rPr>
              <w:t xml:space="preserve">150 </w:t>
            </w:r>
            <w:r w:rsidR="00A76634" w:rsidRPr="00333E76">
              <w:rPr>
                <w:rFonts w:cs="ArialMT"/>
                <w:lang w:eastAsia="en-AU"/>
              </w:rPr>
              <w:t>458 334</w:t>
            </w:r>
          </w:p>
          <w:p w14:paraId="58D1C620" w14:textId="77777777" w:rsidR="009B486B" w:rsidRPr="00333E76" w:rsidRDefault="009B486B" w:rsidP="002A3CA6">
            <w:pPr>
              <w:pStyle w:val="TableText"/>
              <w:rPr>
                <w:b/>
              </w:rPr>
            </w:pPr>
            <w:r w:rsidRPr="00052AFF">
              <w:t>James Owen Reid</w:t>
            </w:r>
          </w:p>
        </w:tc>
      </w:tr>
      <w:tr w:rsidR="009B486B" w:rsidRPr="00333E76" w14:paraId="58D1C626" w14:textId="77777777" w:rsidTr="00C6201E">
        <w:trPr>
          <w:cantSplit/>
        </w:trPr>
        <w:tc>
          <w:tcPr>
            <w:tcW w:w="2796" w:type="dxa"/>
            <w:shd w:val="clear" w:color="auto" w:fill="E5F6FC"/>
          </w:tcPr>
          <w:p w14:paraId="58D1C622" w14:textId="77777777" w:rsidR="009B486B" w:rsidRPr="00333E76" w:rsidRDefault="009B486B" w:rsidP="007B6433">
            <w:pPr>
              <w:pStyle w:val="TableText"/>
              <w:rPr>
                <w:i/>
              </w:rPr>
            </w:pPr>
            <w:r w:rsidRPr="00333E76">
              <w:rPr>
                <w:i/>
              </w:rPr>
              <w:t>Estate Agents Act</w:t>
            </w:r>
            <w:r w:rsidR="00D967BB" w:rsidRPr="00333E76">
              <w:rPr>
                <w:i/>
              </w:rPr>
              <w:t xml:space="preserve"> 1980</w:t>
            </w:r>
          </w:p>
        </w:tc>
        <w:tc>
          <w:tcPr>
            <w:tcW w:w="6276" w:type="dxa"/>
            <w:shd w:val="clear" w:color="auto" w:fill="E5F6FC"/>
          </w:tcPr>
          <w:p w14:paraId="58D1C623" w14:textId="77777777" w:rsidR="009B486B" w:rsidRPr="00052AFF" w:rsidRDefault="009B486B" w:rsidP="002A3CA6">
            <w:pPr>
              <w:pStyle w:val="TableText"/>
            </w:pPr>
            <w:r w:rsidRPr="00052AFF">
              <w:t>Robert Pedersen Real Estate Pty Ltd ACN 142 558 674</w:t>
            </w:r>
          </w:p>
          <w:p w14:paraId="58D1C624" w14:textId="77777777" w:rsidR="009B486B" w:rsidRPr="00052AFF" w:rsidRDefault="009B486B" w:rsidP="002A3CA6">
            <w:pPr>
              <w:pStyle w:val="TableText"/>
            </w:pPr>
            <w:r w:rsidRPr="00052AFF">
              <w:t>Glenn Michael Ryan</w:t>
            </w:r>
          </w:p>
          <w:p w14:paraId="58D1C625" w14:textId="77777777" w:rsidR="009B486B" w:rsidRPr="00052AFF" w:rsidRDefault="009B486B" w:rsidP="002A3CA6">
            <w:pPr>
              <w:pStyle w:val="TableText"/>
            </w:pPr>
            <w:r w:rsidRPr="00052AFF">
              <w:t>Anthony Vito Brancatella</w:t>
            </w:r>
          </w:p>
        </w:tc>
      </w:tr>
      <w:tr w:rsidR="009B486B" w:rsidRPr="00333E76" w14:paraId="58D1C62A" w14:textId="77777777" w:rsidTr="00C6201E">
        <w:trPr>
          <w:cantSplit/>
        </w:trPr>
        <w:tc>
          <w:tcPr>
            <w:tcW w:w="2796" w:type="dxa"/>
            <w:shd w:val="clear" w:color="auto" w:fill="E5F6FC"/>
          </w:tcPr>
          <w:p w14:paraId="58D1C627" w14:textId="77777777" w:rsidR="009B486B" w:rsidRPr="00333E76" w:rsidRDefault="009B486B" w:rsidP="007B6433">
            <w:pPr>
              <w:pStyle w:val="TableText"/>
              <w:rPr>
                <w:i/>
              </w:rPr>
            </w:pPr>
            <w:r w:rsidRPr="00333E76">
              <w:rPr>
                <w:i/>
              </w:rPr>
              <w:t>Motor Car Traders Act</w:t>
            </w:r>
            <w:r w:rsidR="00D967BB" w:rsidRPr="00333E76">
              <w:rPr>
                <w:i/>
              </w:rPr>
              <w:t xml:space="preserve"> 1986</w:t>
            </w:r>
          </w:p>
        </w:tc>
        <w:tc>
          <w:tcPr>
            <w:tcW w:w="6276" w:type="dxa"/>
            <w:shd w:val="clear" w:color="auto" w:fill="E5F6FC"/>
          </w:tcPr>
          <w:p w14:paraId="58D1C628" w14:textId="77777777" w:rsidR="009B486B" w:rsidRPr="00052AFF" w:rsidRDefault="009B486B" w:rsidP="002A3CA6">
            <w:pPr>
              <w:pStyle w:val="TableText"/>
            </w:pPr>
            <w:r w:rsidRPr="00052AFF">
              <w:t>Hans van Dyk</w:t>
            </w:r>
          </w:p>
          <w:p w14:paraId="58D1C629" w14:textId="77777777" w:rsidR="009B486B" w:rsidRPr="00052AFF" w:rsidRDefault="009B486B" w:rsidP="002A3CA6">
            <w:pPr>
              <w:pStyle w:val="TableText"/>
            </w:pPr>
            <w:r w:rsidRPr="00052AFF">
              <w:t>Hassan Al Dali (appeal against sentence)</w:t>
            </w:r>
          </w:p>
        </w:tc>
      </w:tr>
      <w:tr w:rsidR="009B486B" w:rsidRPr="00333E76" w14:paraId="58D1C62E" w14:textId="77777777" w:rsidTr="00C6201E">
        <w:trPr>
          <w:cantSplit/>
        </w:trPr>
        <w:tc>
          <w:tcPr>
            <w:tcW w:w="2796" w:type="dxa"/>
            <w:shd w:val="clear" w:color="auto" w:fill="E5F6FC"/>
          </w:tcPr>
          <w:p w14:paraId="58D1C62B" w14:textId="77777777" w:rsidR="009B486B" w:rsidRPr="00333E76" w:rsidRDefault="009B486B" w:rsidP="007B6433">
            <w:pPr>
              <w:pStyle w:val="TableText"/>
              <w:rPr>
                <w:i/>
              </w:rPr>
            </w:pPr>
            <w:r w:rsidRPr="00333E76">
              <w:rPr>
                <w:i/>
              </w:rPr>
              <w:t>Residential Tenancies Act</w:t>
            </w:r>
            <w:r w:rsidR="00D967BB" w:rsidRPr="00333E76">
              <w:rPr>
                <w:i/>
              </w:rPr>
              <w:t xml:space="preserve"> 1997</w:t>
            </w:r>
          </w:p>
        </w:tc>
        <w:tc>
          <w:tcPr>
            <w:tcW w:w="6276" w:type="dxa"/>
            <w:shd w:val="clear" w:color="auto" w:fill="E5F6FC"/>
          </w:tcPr>
          <w:p w14:paraId="58D1C62C" w14:textId="77777777" w:rsidR="009B486B" w:rsidRPr="00333E76" w:rsidRDefault="009B486B" w:rsidP="002A3CA6">
            <w:pPr>
              <w:pStyle w:val="TableText"/>
              <w:rPr>
                <w:b/>
              </w:rPr>
            </w:pPr>
            <w:r w:rsidRPr="00052AFF">
              <w:t>SLM Housing Pty Ltd ACN 155 513 992</w:t>
            </w:r>
          </w:p>
          <w:p w14:paraId="58D1C62D" w14:textId="77777777" w:rsidR="009B486B" w:rsidRPr="00052AFF" w:rsidRDefault="009B486B" w:rsidP="002A3CA6">
            <w:pPr>
              <w:pStyle w:val="TableText"/>
            </w:pPr>
            <w:r w:rsidRPr="00052AFF">
              <w:t>Nathan Cross</w:t>
            </w:r>
          </w:p>
        </w:tc>
      </w:tr>
      <w:tr w:rsidR="009B486B" w:rsidRPr="00333E76" w14:paraId="58D1C630" w14:textId="77777777" w:rsidTr="00C6201E">
        <w:trPr>
          <w:cantSplit/>
        </w:trPr>
        <w:tc>
          <w:tcPr>
            <w:tcW w:w="9072" w:type="dxa"/>
            <w:gridSpan w:val="2"/>
            <w:shd w:val="clear" w:color="auto" w:fill="A6E1F4"/>
          </w:tcPr>
          <w:p w14:paraId="58D1C62F" w14:textId="77777777" w:rsidR="009B486B" w:rsidRPr="00052AFF" w:rsidRDefault="009B486B" w:rsidP="00333E76">
            <w:pPr>
              <w:pStyle w:val="TableTextBold"/>
              <w:keepNext/>
            </w:pPr>
            <w:r w:rsidRPr="00052AFF">
              <w:lastRenderedPageBreak/>
              <w:t>Civil proceedings (including disciplinary inquiry and appeals)</w:t>
            </w:r>
          </w:p>
        </w:tc>
      </w:tr>
      <w:tr w:rsidR="009B486B" w:rsidRPr="00333E76" w14:paraId="58D1C640" w14:textId="77777777" w:rsidTr="00C6201E">
        <w:trPr>
          <w:cantSplit/>
        </w:trPr>
        <w:tc>
          <w:tcPr>
            <w:tcW w:w="2796" w:type="dxa"/>
            <w:shd w:val="clear" w:color="auto" w:fill="E5F6FC"/>
          </w:tcPr>
          <w:p w14:paraId="58D1C631" w14:textId="77777777" w:rsidR="009B486B" w:rsidRPr="00F20D5D" w:rsidRDefault="009B486B" w:rsidP="007B6433">
            <w:pPr>
              <w:pStyle w:val="TableText"/>
            </w:pPr>
            <w:r>
              <w:t>Australian Consumer Law</w:t>
            </w:r>
            <w:r w:rsidR="00D967BB">
              <w:t xml:space="preserve"> (Victoria)</w:t>
            </w:r>
          </w:p>
        </w:tc>
        <w:tc>
          <w:tcPr>
            <w:tcW w:w="6276" w:type="dxa"/>
            <w:shd w:val="clear" w:color="auto" w:fill="E5F6FC"/>
          </w:tcPr>
          <w:p w14:paraId="58D1C632" w14:textId="77777777" w:rsidR="009B486B" w:rsidRPr="00052AFF" w:rsidRDefault="009B486B" w:rsidP="002A3CA6">
            <w:pPr>
              <w:pStyle w:val="TableText"/>
            </w:pPr>
            <w:r w:rsidRPr="00052AFF">
              <w:t>Alpha Flight Services Pty Ltd</w:t>
            </w:r>
          </w:p>
          <w:p w14:paraId="58D1C633" w14:textId="77777777" w:rsidR="009B486B" w:rsidRPr="00052AFF" w:rsidRDefault="009B486B" w:rsidP="002A3CA6">
            <w:pPr>
              <w:pStyle w:val="TableText"/>
            </w:pPr>
            <w:r w:rsidRPr="00052AFF">
              <w:t>Qantas Airways Limited</w:t>
            </w:r>
          </w:p>
          <w:p w14:paraId="58D1C634" w14:textId="77777777" w:rsidR="009B486B" w:rsidRPr="00052AFF" w:rsidRDefault="009B486B" w:rsidP="002A3CA6">
            <w:pPr>
              <w:pStyle w:val="TableText"/>
            </w:pPr>
            <w:r w:rsidRPr="00052AFF">
              <w:t>Anthony Lee</w:t>
            </w:r>
          </w:p>
          <w:p w14:paraId="58D1C635" w14:textId="77777777" w:rsidR="009B486B" w:rsidRPr="00052AFF" w:rsidRDefault="009B486B" w:rsidP="002A3CA6">
            <w:pPr>
              <w:pStyle w:val="TableText"/>
            </w:pPr>
            <w:r w:rsidRPr="00052AFF">
              <w:t xml:space="preserve">Fair Finance Group Pty Ltd </w:t>
            </w:r>
            <w:r w:rsidR="00314ABC" w:rsidRPr="00314ABC">
              <w:t>ACN 151 932 553</w:t>
            </w:r>
          </w:p>
          <w:p w14:paraId="58D1C636" w14:textId="77777777" w:rsidR="009B486B" w:rsidRPr="00052AFF" w:rsidRDefault="009B486B" w:rsidP="002A3CA6">
            <w:pPr>
              <w:pStyle w:val="TableText"/>
            </w:pPr>
            <w:r w:rsidRPr="00052AFF">
              <w:t>Fair Financial Pty Ltd</w:t>
            </w:r>
            <w:r w:rsidR="00314ABC">
              <w:t xml:space="preserve"> </w:t>
            </w:r>
            <w:r w:rsidR="00314ABC" w:rsidRPr="007D14E8">
              <w:t>ACN 148 824 711</w:t>
            </w:r>
          </w:p>
          <w:p w14:paraId="58D1C637" w14:textId="77777777" w:rsidR="009B486B" w:rsidRPr="00052AFF" w:rsidRDefault="009B486B" w:rsidP="002A3CA6">
            <w:pPr>
              <w:pStyle w:val="TableText"/>
            </w:pPr>
            <w:r w:rsidRPr="00052AFF">
              <w:t>David James Donald</w:t>
            </w:r>
          </w:p>
          <w:p w14:paraId="58D1C638" w14:textId="77777777" w:rsidR="009B486B" w:rsidRDefault="009B486B" w:rsidP="002A3CA6">
            <w:pPr>
              <w:pStyle w:val="TableText"/>
            </w:pPr>
            <w:r w:rsidRPr="00052AFF">
              <w:t>Christopher Miles</w:t>
            </w:r>
          </w:p>
          <w:p w14:paraId="58D1C639" w14:textId="77777777" w:rsidR="001510E8" w:rsidRPr="00052AFF" w:rsidRDefault="001510E8" w:rsidP="002A3CA6">
            <w:pPr>
              <w:pStyle w:val="TableText"/>
            </w:pPr>
            <w:r w:rsidRPr="007D14E8">
              <w:t>The Good Guys Discount Warehouses (Aus</w:t>
            </w:r>
            <w:r>
              <w:t>tralia) Pty Ltd ACN 004 880 657</w:t>
            </w:r>
          </w:p>
          <w:p w14:paraId="58D1C63A" w14:textId="77777777" w:rsidR="009B486B" w:rsidRPr="00052AFF" w:rsidRDefault="009B486B" w:rsidP="002A3CA6">
            <w:pPr>
              <w:pStyle w:val="TableText"/>
            </w:pPr>
            <w:r w:rsidRPr="00052AFF">
              <w:t>Parke Muir’s Pty Ltd ACN 092 974 797</w:t>
            </w:r>
          </w:p>
          <w:p w14:paraId="58D1C63B" w14:textId="77777777" w:rsidR="009B486B" w:rsidRPr="00052AFF" w:rsidRDefault="009B486B" w:rsidP="002A3CA6">
            <w:pPr>
              <w:pStyle w:val="TableText"/>
            </w:pPr>
            <w:r w:rsidRPr="00052AFF">
              <w:t>Nightingale Electrics Pty Ltd ACN 107 719 540</w:t>
            </w:r>
          </w:p>
          <w:p w14:paraId="58D1C63C" w14:textId="77777777" w:rsidR="009B486B" w:rsidRPr="00052AFF" w:rsidRDefault="009B486B" w:rsidP="002A3CA6">
            <w:pPr>
              <w:pStyle w:val="TableText"/>
            </w:pPr>
            <w:r w:rsidRPr="00052AFF">
              <w:t>George Anderson</w:t>
            </w:r>
          </w:p>
          <w:p w14:paraId="58D1C63D" w14:textId="77777777" w:rsidR="009B486B" w:rsidRPr="00052AFF" w:rsidRDefault="009B486B" w:rsidP="002A3CA6">
            <w:pPr>
              <w:pStyle w:val="TableText"/>
            </w:pPr>
            <w:r w:rsidRPr="00052AFF">
              <w:t xml:space="preserve">Marlo Woods (Australia) Pty Ltd </w:t>
            </w:r>
            <w:r w:rsidR="00314ABC">
              <w:t xml:space="preserve">ACN </w:t>
            </w:r>
            <w:r w:rsidRPr="00052AFF">
              <w:t>079 584 884</w:t>
            </w:r>
          </w:p>
          <w:p w14:paraId="58D1C63E" w14:textId="77777777" w:rsidR="009B486B" w:rsidRPr="00052AFF" w:rsidRDefault="009B486B" w:rsidP="002A3CA6">
            <w:pPr>
              <w:pStyle w:val="TableText"/>
            </w:pPr>
            <w:r w:rsidRPr="00052AFF">
              <w:t>Choung Heng Taing</w:t>
            </w:r>
          </w:p>
          <w:p w14:paraId="58D1C63F" w14:textId="77777777" w:rsidR="009B486B" w:rsidRPr="00333E76" w:rsidRDefault="009B486B" w:rsidP="002A3CA6">
            <w:pPr>
              <w:pStyle w:val="TableText"/>
              <w:rPr>
                <w:b/>
              </w:rPr>
            </w:pPr>
            <w:r w:rsidRPr="00052AFF">
              <w:t>Australi</w:t>
            </w:r>
            <w:r w:rsidR="00314ABC">
              <w:t xml:space="preserve">an Mechanical Services Pty Ltd </w:t>
            </w:r>
            <w:r w:rsidR="00314ABC" w:rsidRPr="007D14E8">
              <w:t>ACN 164 280 737</w:t>
            </w:r>
          </w:p>
        </w:tc>
      </w:tr>
      <w:tr w:rsidR="009B486B" w:rsidRPr="00333E76" w14:paraId="58D1C643" w14:textId="77777777" w:rsidTr="00C6201E">
        <w:trPr>
          <w:cantSplit/>
        </w:trPr>
        <w:tc>
          <w:tcPr>
            <w:tcW w:w="2796" w:type="dxa"/>
            <w:shd w:val="clear" w:color="auto" w:fill="E5F6FC"/>
          </w:tcPr>
          <w:p w14:paraId="58D1C641" w14:textId="77777777" w:rsidR="009B486B" w:rsidRPr="00333E76" w:rsidRDefault="009B486B" w:rsidP="007B6433">
            <w:pPr>
              <w:pStyle w:val="TableText"/>
              <w:rPr>
                <w:i/>
              </w:rPr>
            </w:pPr>
            <w:r w:rsidRPr="00333E76">
              <w:rPr>
                <w:i/>
              </w:rPr>
              <w:t>Conveyances Act</w:t>
            </w:r>
            <w:r w:rsidR="0036577F" w:rsidRPr="00333E76">
              <w:rPr>
                <w:i/>
              </w:rPr>
              <w:t xml:space="preserve"> 2006</w:t>
            </w:r>
          </w:p>
        </w:tc>
        <w:tc>
          <w:tcPr>
            <w:tcW w:w="6276" w:type="dxa"/>
            <w:shd w:val="clear" w:color="auto" w:fill="E5F6FC"/>
          </w:tcPr>
          <w:p w14:paraId="58D1C642" w14:textId="77777777" w:rsidR="009B486B" w:rsidRPr="00052AFF" w:rsidRDefault="009B486B" w:rsidP="002A3CA6">
            <w:pPr>
              <w:pStyle w:val="TableText"/>
            </w:pPr>
            <w:r w:rsidRPr="00052AFF">
              <w:t>Mandeep Johal</w:t>
            </w:r>
          </w:p>
        </w:tc>
      </w:tr>
      <w:tr w:rsidR="009B486B" w:rsidRPr="00333E76" w14:paraId="58D1C64F" w14:textId="77777777" w:rsidTr="00C6201E">
        <w:trPr>
          <w:cantSplit/>
        </w:trPr>
        <w:tc>
          <w:tcPr>
            <w:tcW w:w="2796" w:type="dxa"/>
            <w:shd w:val="clear" w:color="auto" w:fill="E5F6FC"/>
          </w:tcPr>
          <w:p w14:paraId="58D1C644" w14:textId="77777777" w:rsidR="009B486B" w:rsidRPr="00333E76" w:rsidRDefault="009B486B" w:rsidP="007B6433">
            <w:pPr>
              <w:pStyle w:val="TableText"/>
              <w:rPr>
                <w:i/>
              </w:rPr>
            </w:pPr>
            <w:r w:rsidRPr="00333E76">
              <w:rPr>
                <w:i/>
              </w:rPr>
              <w:t>Estate Agents Act</w:t>
            </w:r>
            <w:r w:rsidR="0036577F" w:rsidRPr="00333E76">
              <w:rPr>
                <w:i/>
              </w:rPr>
              <w:t xml:space="preserve"> 1980</w:t>
            </w:r>
          </w:p>
        </w:tc>
        <w:tc>
          <w:tcPr>
            <w:tcW w:w="6276" w:type="dxa"/>
            <w:shd w:val="clear" w:color="auto" w:fill="E5F6FC"/>
          </w:tcPr>
          <w:p w14:paraId="58D1C645" w14:textId="77777777" w:rsidR="009B486B" w:rsidRPr="00052AFF" w:rsidRDefault="009B486B" w:rsidP="002A3CA6">
            <w:pPr>
              <w:pStyle w:val="TableText"/>
            </w:pPr>
            <w:r w:rsidRPr="00052AFF">
              <w:t>Scott Hoare</w:t>
            </w:r>
          </w:p>
          <w:p w14:paraId="58D1C646" w14:textId="77777777" w:rsidR="00EE29E7" w:rsidRDefault="009B486B" w:rsidP="002A3CA6">
            <w:pPr>
              <w:pStyle w:val="TableText"/>
            </w:pPr>
            <w:r w:rsidRPr="00052AFF">
              <w:t>Aaron McDonald</w:t>
            </w:r>
          </w:p>
          <w:p w14:paraId="58D1C647" w14:textId="77777777" w:rsidR="009B486B" w:rsidRPr="00052AFF" w:rsidRDefault="009B486B" w:rsidP="002A3CA6">
            <w:pPr>
              <w:pStyle w:val="TableText"/>
            </w:pPr>
            <w:r w:rsidRPr="00052AFF">
              <w:t>Benjamin David Chislett</w:t>
            </w:r>
          </w:p>
          <w:p w14:paraId="58D1C648" w14:textId="77777777" w:rsidR="009B486B" w:rsidRPr="00052AFF" w:rsidRDefault="009B486B" w:rsidP="002A3CA6">
            <w:pPr>
              <w:pStyle w:val="TableText"/>
            </w:pPr>
            <w:r w:rsidRPr="00052AFF">
              <w:t>Joel Phillip Murray</w:t>
            </w:r>
          </w:p>
          <w:p w14:paraId="58D1C649" w14:textId="77777777" w:rsidR="009B486B" w:rsidRPr="00052AFF" w:rsidRDefault="009B486B" w:rsidP="002A3CA6">
            <w:pPr>
              <w:pStyle w:val="TableText"/>
            </w:pPr>
            <w:r w:rsidRPr="00052AFF">
              <w:t>Clynton Mark Roberts</w:t>
            </w:r>
          </w:p>
          <w:p w14:paraId="58D1C64A" w14:textId="77777777" w:rsidR="009B486B" w:rsidRPr="00052AFF" w:rsidRDefault="009B486B" w:rsidP="002A3CA6">
            <w:pPr>
              <w:pStyle w:val="TableText"/>
            </w:pPr>
            <w:r w:rsidRPr="00052AFF">
              <w:t>Michael Knight Real Estate Pty Ltd</w:t>
            </w:r>
          </w:p>
          <w:p w14:paraId="58D1C64B" w14:textId="77777777" w:rsidR="009B486B" w:rsidRPr="00052AFF" w:rsidRDefault="009B486B" w:rsidP="002A3CA6">
            <w:pPr>
              <w:pStyle w:val="TableText"/>
            </w:pPr>
            <w:r w:rsidRPr="00052AFF">
              <w:t>Michael Knight</w:t>
            </w:r>
          </w:p>
          <w:p w14:paraId="58D1C64C" w14:textId="77777777" w:rsidR="009B486B" w:rsidRPr="00052AFF" w:rsidRDefault="009B486B" w:rsidP="002A3CA6">
            <w:pPr>
              <w:pStyle w:val="TableText"/>
            </w:pPr>
            <w:r w:rsidRPr="00052AFF">
              <w:t>Advantage Property Consulting Pty Ltd ACN 100 010 179</w:t>
            </w:r>
          </w:p>
          <w:p w14:paraId="58D1C64D" w14:textId="77777777" w:rsidR="009B486B" w:rsidRPr="00052AFF" w:rsidRDefault="009B486B" w:rsidP="002A3CA6">
            <w:pPr>
              <w:pStyle w:val="TableText"/>
            </w:pPr>
            <w:r w:rsidRPr="00052AFF">
              <w:t>Frank Valentic</w:t>
            </w:r>
          </w:p>
          <w:p w14:paraId="58D1C64E" w14:textId="77777777" w:rsidR="009B486B" w:rsidRPr="00052AFF" w:rsidRDefault="009B486B" w:rsidP="002A3CA6">
            <w:pPr>
              <w:pStyle w:val="TableText"/>
            </w:pPr>
            <w:r w:rsidRPr="00052AFF">
              <w:t xml:space="preserve">Hoban Real Estate Pty Ltd </w:t>
            </w:r>
            <w:r w:rsidRPr="00333E76">
              <w:rPr>
                <w:rFonts w:cs="ArialMT"/>
                <w:lang w:eastAsia="en-AU"/>
              </w:rPr>
              <w:t>ACN 123 488 862</w:t>
            </w:r>
          </w:p>
        </w:tc>
      </w:tr>
      <w:tr w:rsidR="009B486B" w:rsidRPr="00333E76" w14:paraId="58D1C653" w14:textId="77777777" w:rsidTr="00C6201E">
        <w:trPr>
          <w:cantSplit/>
        </w:trPr>
        <w:tc>
          <w:tcPr>
            <w:tcW w:w="2796" w:type="dxa"/>
            <w:shd w:val="clear" w:color="auto" w:fill="E5F6FC"/>
          </w:tcPr>
          <w:p w14:paraId="58D1C650" w14:textId="77777777" w:rsidR="009B486B" w:rsidRPr="007B6433" w:rsidRDefault="009B486B" w:rsidP="007B6433">
            <w:pPr>
              <w:pStyle w:val="TableText"/>
            </w:pPr>
            <w:r w:rsidRPr="00333E76">
              <w:rPr>
                <w:i/>
              </w:rPr>
              <w:t>F</w:t>
            </w:r>
            <w:r w:rsidR="0036577F" w:rsidRPr="00333E76">
              <w:rPr>
                <w:i/>
              </w:rPr>
              <w:t xml:space="preserve">ire Services Levy Monitor </w:t>
            </w:r>
            <w:r w:rsidR="0036577F" w:rsidRPr="007B6433">
              <w:t>(Director of Consumer Affairs is the legal successor)</w:t>
            </w:r>
          </w:p>
        </w:tc>
        <w:tc>
          <w:tcPr>
            <w:tcW w:w="6276" w:type="dxa"/>
            <w:shd w:val="clear" w:color="auto" w:fill="E5F6FC"/>
          </w:tcPr>
          <w:p w14:paraId="58D1C651" w14:textId="77777777" w:rsidR="00EE29E7" w:rsidRDefault="009B486B" w:rsidP="002A3CA6">
            <w:pPr>
              <w:pStyle w:val="TableText"/>
            </w:pPr>
            <w:r w:rsidRPr="00052AFF">
              <w:t>Mecon Insurance Pty Ltd</w:t>
            </w:r>
            <w:r w:rsidR="00EE29E7">
              <w:t xml:space="preserve"> </w:t>
            </w:r>
            <w:r w:rsidRPr="00052AFF">
              <w:t>ACN 059 310 904</w:t>
            </w:r>
          </w:p>
          <w:p w14:paraId="58D1C652" w14:textId="77777777" w:rsidR="009B486B" w:rsidRPr="00052AFF" w:rsidRDefault="009B486B" w:rsidP="004D0490">
            <w:pPr>
              <w:pStyle w:val="TableText"/>
            </w:pPr>
            <w:r w:rsidRPr="00052AFF">
              <w:t>Mechanical and Construction Insurance Pty Ltd ACN 106</w:t>
            </w:r>
            <w:r w:rsidR="004D0490">
              <w:t xml:space="preserve"> </w:t>
            </w:r>
            <w:r w:rsidRPr="00052AFF">
              <w:t>907 055</w:t>
            </w:r>
          </w:p>
        </w:tc>
      </w:tr>
      <w:tr w:rsidR="009B486B" w:rsidRPr="00333E76" w14:paraId="58D1C656" w14:textId="77777777" w:rsidTr="00C6201E">
        <w:trPr>
          <w:cantSplit/>
        </w:trPr>
        <w:tc>
          <w:tcPr>
            <w:tcW w:w="2796" w:type="dxa"/>
            <w:shd w:val="clear" w:color="auto" w:fill="E5F6FC"/>
          </w:tcPr>
          <w:p w14:paraId="58D1C654" w14:textId="77777777" w:rsidR="009B486B" w:rsidRPr="00333E76" w:rsidRDefault="009B486B" w:rsidP="007B6433">
            <w:pPr>
              <w:pStyle w:val="TableText"/>
              <w:rPr>
                <w:i/>
              </w:rPr>
            </w:pPr>
            <w:r w:rsidRPr="00333E76">
              <w:rPr>
                <w:i/>
              </w:rPr>
              <w:t>Funerals Act</w:t>
            </w:r>
            <w:r w:rsidR="0036577F" w:rsidRPr="00333E76">
              <w:rPr>
                <w:i/>
              </w:rPr>
              <w:t xml:space="preserve"> 2006</w:t>
            </w:r>
          </w:p>
        </w:tc>
        <w:tc>
          <w:tcPr>
            <w:tcW w:w="6276" w:type="dxa"/>
            <w:shd w:val="clear" w:color="auto" w:fill="E5F6FC"/>
          </w:tcPr>
          <w:p w14:paraId="58D1C655" w14:textId="77777777" w:rsidR="009B486B" w:rsidRPr="00052AFF" w:rsidRDefault="009B486B" w:rsidP="002A3CA6">
            <w:pPr>
              <w:pStyle w:val="TableText"/>
            </w:pPr>
            <w:r w:rsidRPr="00052AFF">
              <w:t>Tom Bull</w:t>
            </w:r>
          </w:p>
        </w:tc>
      </w:tr>
      <w:tr w:rsidR="009B486B" w:rsidRPr="00333E76" w14:paraId="58D1C65B" w14:textId="77777777" w:rsidTr="00C6201E">
        <w:trPr>
          <w:cantSplit/>
        </w:trPr>
        <w:tc>
          <w:tcPr>
            <w:tcW w:w="2796" w:type="dxa"/>
            <w:shd w:val="clear" w:color="auto" w:fill="E5F6FC"/>
          </w:tcPr>
          <w:p w14:paraId="58D1C657" w14:textId="77777777" w:rsidR="009B486B" w:rsidRPr="00333E76" w:rsidRDefault="009B486B" w:rsidP="007B6433">
            <w:pPr>
              <w:pStyle w:val="TableText"/>
              <w:rPr>
                <w:i/>
              </w:rPr>
            </w:pPr>
            <w:r w:rsidRPr="00333E76">
              <w:rPr>
                <w:i/>
              </w:rPr>
              <w:t>Retirement Villages Act</w:t>
            </w:r>
            <w:r w:rsidR="0036577F" w:rsidRPr="00333E76">
              <w:rPr>
                <w:i/>
              </w:rPr>
              <w:t xml:space="preserve"> 1997</w:t>
            </w:r>
          </w:p>
        </w:tc>
        <w:tc>
          <w:tcPr>
            <w:tcW w:w="6276" w:type="dxa"/>
            <w:shd w:val="clear" w:color="auto" w:fill="E5F6FC"/>
          </w:tcPr>
          <w:p w14:paraId="58D1C658" w14:textId="77777777" w:rsidR="009B486B" w:rsidRPr="00052AFF" w:rsidRDefault="009B486B" w:rsidP="002A3CA6">
            <w:pPr>
              <w:pStyle w:val="TableText"/>
            </w:pPr>
            <w:r w:rsidRPr="00052AFF">
              <w:t>Illawong Lakeside Retirement Pty Ltd ACN 005 482 673</w:t>
            </w:r>
          </w:p>
          <w:p w14:paraId="58D1C659" w14:textId="77777777" w:rsidR="009B486B" w:rsidRPr="00052AFF" w:rsidRDefault="009B486B" w:rsidP="002A3CA6">
            <w:pPr>
              <w:pStyle w:val="TableText"/>
            </w:pPr>
            <w:r w:rsidRPr="00052AFF">
              <w:t>Illawong Retirement Group Pty Ltd ACN 005 449 285</w:t>
            </w:r>
          </w:p>
          <w:p w14:paraId="58D1C65A" w14:textId="77777777" w:rsidR="009B486B" w:rsidRPr="00052AFF" w:rsidRDefault="009B486B" w:rsidP="002A3CA6">
            <w:pPr>
              <w:pStyle w:val="TableText"/>
            </w:pPr>
            <w:r w:rsidRPr="00052AFF">
              <w:t>Vladymir Martyniuk</w:t>
            </w:r>
          </w:p>
        </w:tc>
      </w:tr>
      <w:tr w:rsidR="009B486B" w:rsidRPr="00333E76" w14:paraId="58D1C65F" w14:textId="77777777" w:rsidTr="00C6201E">
        <w:trPr>
          <w:cantSplit/>
        </w:trPr>
        <w:tc>
          <w:tcPr>
            <w:tcW w:w="2796" w:type="dxa"/>
            <w:shd w:val="clear" w:color="auto" w:fill="E5F6FC"/>
          </w:tcPr>
          <w:p w14:paraId="58D1C65C" w14:textId="77777777" w:rsidR="009B486B" w:rsidRPr="00333E76" w:rsidRDefault="009B486B" w:rsidP="007B6433">
            <w:pPr>
              <w:pStyle w:val="TableText"/>
              <w:rPr>
                <w:i/>
              </w:rPr>
            </w:pPr>
            <w:r w:rsidRPr="00333E76">
              <w:rPr>
                <w:i/>
              </w:rPr>
              <w:t>Sex Work Act</w:t>
            </w:r>
            <w:r w:rsidR="0036577F" w:rsidRPr="00333E76">
              <w:rPr>
                <w:i/>
              </w:rPr>
              <w:t xml:space="preserve"> 1994</w:t>
            </w:r>
          </w:p>
        </w:tc>
        <w:tc>
          <w:tcPr>
            <w:tcW w:w="6276" w:type="dxa"/>
            <w:shd w:val="clear" w:color="auto" w:fill="E5F6FC"/>
          </w:tcPr>
          <w:p w14:paraId="58D1C65D" w14:textId="77777777" w:rsidR="009B486B" w:rsidRPr="00052AFF" w:rsidRDefault="009B486B" w:rsidP="002A3CA6">
            <w:pPr>
              <w:pStyle w:val="TableText"/>
            </w:pPr>
            <w:r w:rsidRPr="00052AFF">
              <w:t>Xian Yang Meng</w:t>
            </w:r>
          </w:p>
          <w:p w14:paraId="58D1C65E" w14:textId="77777777" w:rsidR="009B486B" w:rsidRPr="00052AFF" w:rsidRDefault="009B486B" w:rsidP="002A3CA6">
            <w:pPr>
              <w:pStyle w:val="TableText"/>
            </w:pPr>
            <w:r w:rsidRPr="00052AFF">
              <w:t>Jian Qing Xu</w:t>
            </w:r>
          </w:p>
        </w:tc>
      </w:tr>
      <w:tr w:rsidR="009B486B" w:rsidRPr="00333E76" w14:paraId="58D1C661" w14:textId="77777777" w:rsidTr="00C6201E">
        <w:trPr>
          <w:cantSplit/>
        </w:trPr>
        <w:tc>
          <w:tcPr>
            <w:tcW w:w="9072" w:type="dxa"/>
            <w:gridSpan w:val="2"/>
            <w:shd w:val="clear" w:color="auto" w:fill="A6E1F4"/>
          </w:tcPr>
          <w:p w14:paraId="58D1C660" w14:textId="77777777" w:rsidR="009B486B" w:rsidRPr="00052AFF" w:rsidRDefault="009B486B" w:rsidP="002A3CA6">
            <w:pPr>
              <w:pStyle w:val="TableTextBold"/>
            </w:pPr>
            <w:r w:rsidRPr="00052AFF">
              <w:t>Administrative review</w:t>
            </w:r>
          </w:p>
        </w:tc>
      </w:tr>
      <w:tr w:rsidR="009B486B" w:rsidRPr="00333E76" w14:paraId="58D1C663" w14:textId="77777777" w:rsidTr="00C6201E">
        <w:trPr>
          <w:cantSplit/>
        </w:trPr>
        <w:tc>
          <w:tcPr>
            <w:tcW w:w="9072" w:type="dxa"/>
            <w:gridSpan w:val="2"/>
            <w:shd w:val="clear" w:color="auto" w:fill="C7ECF8"/>
          </w:tcPr>
          <w:p w14:paraId="58D1C662" w14:textId="77777777" w:rsidR="009B486B" w:rsidRPr="00052AFF" w:rsidRDefault="0036577F" w:rsidP="002A3CA6">
            <w:pPr>
              <w:pStyle w:val="TableTextBold"/>
            </w:pPr>
            <w:r w:rsidRPr="00052AFF">
              <w:t>O</w:t>
            </w:r>
            <w:r w:rsidR="009B486B" w:rsidRPr="00052AFF">
              <w:t>n behalf of the Business Licensing Authority</w:t>
            </w:r>
          </w:p>
        </w:tc>
      </w:tr>
      <w:tr w:rsidR="009B486B" w:rsidRPr="00333E76" w14:paraId="58D1C66A" w14:textId="77777777" w:rsidTr="00C6201E">
        <w:trPr>
          <w:cantSplit/>
        </w:trPr>
        <w:tc>
          <w:tcPr>
            <w:tcW w:w="2796" w:type="dxa"/>
            <w:shd w:val="clear" w:color="auto" w:fill="E5F6FC"/>
          </w:tcPr>
          <w:p w14:paraId="58D1C664" w14:textId="77777777" w:rsidR="009B486B" w:rsidRPr="007B6433" w:rsidRDefault="009B486B" w:rsidP="007B6433">
            <w:pPr>
              <w:pStyle w:val="TableText"/>
              <w:rPr>
                <w:rStyle w:val="Emphasis"/>
              </w:rPr>
            </w:pPr>
            <w:r w:rsidRPr="007B6433">
              <w:rPr>
                <w:rStyle w:val="Emphasis"/>
              </w:rPr>
              <w:t>Estate Agents Act</w:t>
            </w:r>
            <w:r w:rsidR="0036577F" w:rsidRPr="007B6433">
              <w:rPr>
                <w:rStyle w:val="Emphasis"/>
              </w:rPr>
              <w:t xml:space="preserve"> 1980</w:t>
            </w:r>
          </w:p>
        </w:tc>
        <w:tc>
          <w:tcPr>
            <w:tcW w:w="6276" w:type="dxa"/>
            <w:shd w:val="clear" w:color="auto" w:fill="E5F6FC"/>
          </w:tcPr>
          <w:p w14:paraId="58D1C665" w14:textId="77777777" w:rsidR="009B486B" w:rsidRPr="00C6201E" w:rsidRDefault="009B486B" w:rsidP="00333E76">
            <w:pPr>
              <w:spacing w:before="60" w:after="60" w:line="240" w:lineRule="auto"/>
              <w:rPr>
                <w:rFonts w:ascii="Arial" w:hAnsi="Arial" w:cs="Arial"/>
                <w:sz w:val="18"/>
                <w:szCs w:val="18"/>
              </w:rPr>
            </w:pPr>
            <w:r w:rsidRPr="00C6201E">
              <w:rPr>
                <w:rFonts w:ascii="Arial" w:hAnsi="Arial" w:cs="Arial"/>
                <w:sz w:val="18"/>
                <w:szCs w:val="18"/>
              </w:rPr>
              <w:t>Zole Elali</w:t>
            </w:r>
          </w:p>
          <w:p w14:paraId="58D1C666" w14:textId="77777777" w:rsidR="009B486B" w:rsidRPr="00C6201E" w:rsidRDefault="009B486B" w:rsidP="00333E76">
            <w:pPr>
              <w:spacing w:before="60" w:after="60" w:line="240" w:lineRule="auto"/>
              <w:rPr>
                <w:rFonts w:ascii="Arial" w:hAnsi="Arial" w:cs="Arial"/>
                <w:sz w:val="18"/>
                <w:szCs w:val="18"/>
              </w:rPr>
            </w:pPr>
            <w:r w:rsidRPr="00C6201E">
              <w:rPr>
                <w:rFonts w:ascii="Arial" w:hAnsi="Arial" w:cs="Arial"/>
                <w:sz w:val="18"/>
                <w:szCs w:val="18"/>
              </w:rPr>
              <w:t>Jeremy Morris</w:t>
            </w:r>
          </w:p>
          <w:p w14:paraId="58D1C667" w14:textId="77777777" w:rsidR="009B486B" w:rsidRPr="00C6201E" w:rsidRDefault="009B486B" w:rsidP="00333E76">
            <w:pPr>
              <w:spacing w:before="60" w:after="60" w:line="240" w:lineRule="auto"/>
              <w:rPr>
                <w:rFonts w:ascii="Arial" w:hAnsi="Arial" w:cs="Arial"/>
                <w:sz w:val="18"/>
                <w:szCs w:val="18"/>
              </w:rPr>
            </w:pPr>
            <w:r w:rsidRPr="00C6201E">
              <w:rPr>
                <w:rFonts w:ascii="Arial" w:hAnsi="Arial" w:cs="Arial"/>
                <w:sz w:val="18"/>
                <w:szCs w:val="18"/>
              </w:rPr>
              <w:t>Gregory Flessas</w:t>
            </w:r>
          </w:p>
          <w:p w14:paraId="58D1C668" w14:textId="77777777" w:rsidR="009B486B" w:rsidRPr="00C6201E" w:rsidRDefault="009B486B" w:rsidP="00333E76">
            <w:pPr>
              <w:spacing w:before="60" w:after="60" w:line="240" w:lineRule="auto"/>
              <w:rPr>
                <w:rFonts w:ascii="Arial" w:hAnsi="Arial" w:cs="Arial"/>
                <w:sz w:val="18"/>
                <w:szCs w:val="18"/>
              </w:rPr>
            </w:pPr>
            <w:r w:rsidRPr="00C6201E">
              <w:rPr>
                <w:rFonts w:ascii="Arial" w:hAnsi="Arial" w:cs="Arial"/>
                <w:sz w:val="18"/>
                <w:szCs w:val="18"/>
              </w:rPr>
              <w:t>Richard Zbigniew Zagrzejewski</w:t>
            </w:r>
          </w:p>
          <w:p w14:paraId="58D1C669" w14:textId="77777777" w:rsidR="009B486B" w:rsidRPr="00C6201E" w:rsidRDefault="009B486B" w:rsidP="00333E76">
            <w:pPr>
              <w:spacing w:before="60" w:after="60" w:line="240" w:lineRule="auto"/>
              <w:rPr>
                <w:rFonts w:ascii="Arial" w:hAnsi="Arial" w:cs="Arial"/>
                <w:sz w:val="18"/>
                <w:szCs w:val="18"/>
              </w:rPr>
            </w:pPr>
            <w:r w:rsidRPr="00C6201E">
              <w:rPr>
                <w:rFonts w:ascii="Arial" w:hAnsi="Arial" w:cs="Arial"/>
                <w:sz w:val="18"/>
                <w:szCs w:val="18"/>
              </w:rPr>
              <w:t>Daniel Robert Taylor</w:t>
            </w:r>
          </w:p>
        </w:tc>
      </w:tr>
      <w:tr w:rsidR="009B486B" w:rsidRPr="00333E76" w14:paraId="58D1C66E" w14:textId="77777777" w:rsidTr="00C6201E">
        <w:trPr>
          <w:cantSplit/>
        </w:trPr>
        <w:tc>
          <w:tcPr>
            <w:tcW w:w="2796" w:type="dxa"/>
            <w:shd w:val="clear" w:color="auto" w:fill="E5F6FC"/>
          </w:tcPr>
          <w:p w14:paraId="58D1C66B" w14:textId="77777777" w:rsidR="009B486B" w:rsidRPr="007B6433" w:rsidRDefault="009B486B" w:rsidP="007B6433">
            <w:pPr>
              <w:pStyle w:val="TableText"/>
              <w:rPr>
                <w:rStyle w:val="Emphasis"/>
              </w:rPr>
            </w:pPr>
            <w:r w:rsidRPr="007B6433">
              <w:rPr>
                <w:rStyle w:val="Emphasis"/>
              </w:rPr>
              <w:t>Motor Car Traders Act</w:t>
            </w:r>
            <w:r w:rsidR="0036577F" w:rsidRPr="007B6433">
              <w:rPr>
                <w:rStyle w:val="Emphasis"/>
              </w:rPr>
              <w:t xml:space="preserve"> 19</w:t>
            </w:r>
            <w:r w:rsidR="00C4593F" w:rsidRPr="007B6433">
              <w:rPr>
                <w:rStyle w:val="Emphasis"/>
              </w:rPr>
              <w:t>8</w:t>
            </w:r>
            <w:r w:rsidR="0036577F" w:rsidRPr="007B6433">
              <w:rPr>
                <w:rStyle w:val="Emphasis"/>
              </w:rPr>
              <w:t>6</w:t>
            </w:r>
          </w:p>
        </w:tc>
        <w:tc>
          <w:tcPr>
            <w:tcW w:w="6276" w:type="dxa"/>
            <w:shd w:val="clear" w:color="auto" w:fill="E5F6FC"/>
          </w:tcPr>
          <w:p w14:paraId="58D1C66C" w14:textId="77777777" w:rsidR="009B486B" w:rsidRPr="00C6201E" w:rsidRDefault="009B486B" w:rsidP="00333E76">
            <w:pPr>
              <w:spacing w:before="60" w:after="60" w:line="240" w:lineRule="auto"/>
              <w:rPr>
                <w:rFonts w:ascii="Arial" w:hAnsi="Arial" w:cs="Arial"/>
                <w:sz w:val="18"/>
                <w:szCs w:val="18"/>
              </w:rPr>
            </w:pPr>
            <w:r w:rsidRPr="00C6201E">
              <w:rPr>
                <w:rFonts w:ascii="Arial" w:hAnsi="Arial" w:cs="Arial"/>
                <w:sz w:val="18"/>
                <w:szCs w:val="18"/>
              </w:rPr>
              <w:t>Beniamin Bratoiu</w:t>
            </w:r>
          </w:p>
          <w:p w14:paraId="58D1C66D" w14:textId="77777777" w:rsidR="009B486B" w:rsidRPr="00C6201E" w:rsidRDefault="009B486B" w:rsidP="00333E76">
            <w:pPr>
              <w:spacing w:before="60" w:after="60" w:line="240" w:lineRule="auto"/>
              <w:rPr>
                <w:rFonts w:ascii="Arial" w:hAnsi="Arial" w:cs="Arial"/>
                <w:sz w:val="18"/>
                <w:szCs w:val="18"/>
              </w:rPr>
            </w:pPr>
            <w:r w:rsidRPr="00C6201E">
              <w:rPr>
                <w:rFonts w:ascii="Arial" w:hAnsi="Arial" w:cs="Arial"/>
                <w:sz w:val="18"/>
                <w:szCs w:val="18"/>
              </w:rPr>
              <w:t>Antonio Lekkas</w:t>
            </w:r>
          </w:p>
        </w:tc>
      </w:tr>
      <w:tr w:rsidR="009B486B" w:rsidRPr="00333E76" w14:paraId="58D1C670" w14:textId="77777777" w:rsidTr="00C6201E">
        <w:trPr>
          <w:cantSplit/>
        </w:trPr>
        <w:tc>
          <w:tcPr>
            <w:tcW w:w="9072" w:type="dxa"/>
            <w:gridSpan w:val="2"/>
            <w:shd w:val="clear" w:color="auto" w:fill="C7ECF8"/>
          </w:tcPr>
          <w:p w14:paraId="58D1C66F" w14:textId="77777777" w:rsidR="009B486B" w:rsidRPr="00052AFF" w:rsidRDefault="0036577F" w:rsidP="00201270">
            <w:pPr>
              <w:pStyle w:val="TableTextBold"/>
              <w:keepNext/>
            </w:pPr>
            <w:r w:rsidRPr="00052AFF">
              <w:t xml:space="preserve">On </w:t>
            </w:r>
            <w:r w:rsidR="009B486B" w:rsidRPr="00052AFF">
              <w:t>behalf of the Motor Car Traders Claims Committee</w:t>
            </w:r>
          </w:p>
        </w:tc>
      </w:tr>
      <w:tr w:rsidR="009B486B" w:rsidRPr="00333E76" w14:paraId="58D1C673" w14:textId="77777777" w:rsidTr="00C6201E">
        <w:trPr>
          <w:cantSplit/>
        </w:trPr>
        <w:tc>
          <w:tcPr>
            <w:tcW w:w="2796" w:type="dxa"/>
            <w:shd w:val="clear" w:color="auto" w:fill="E5F6FC"/>
          </w:tcPr>
          <w:p w14:paraId="58D1C671" w14:textId="77777777" w:rsidR="009B486B" w:rsidRPr="007B6433" w:rsidRDefault="009B486B" w:rsidP="007B6433">
            <w:pPr>
              <w:pStyle w:val="TableText"/>
              <w:rPr>
                <w:rStyle w:val="Emphasis"/>
              </w:rPr>
            </w:pPr>
            <w:r w:rsidRPr="007B6433">
              <w:rPr>
                <w:rStyle w:val="Emphasis"/>
              </w:rPr>
              <w:t>Motor Car Traders Act</w:t>
            </w:r>
            <w:r w:rsidR="0036577F" w:rsidRPr="007B6433">
              <w:rPr>
                <w:rStyle w:val="Emphasis"/>
              </w:rPr>
              <w:t xml:space="preserve"> </w:t>
            </w:r>
            <w:r w:rsidR="00C4593F" w:rsidRPr="007B6433">
              <w:rPr>
                <w:rStyle w:val="Emphasis"/>
              </w:rPr>
              <w:t>1986</w:t>
            </w:r>
          </w:p>
        </w:tc>
        <w:tc>
          <w:tcPr>
            <w:tcW w:w="6276" w:type="dxa"/>
            <w:shd w:val="clear" w:color="auto" w:fill="E5F6FC"/>
          </w:tcPr>
          <w:p w14:paraId="58D1C672" w14:textId="77777777" w:rsidR="009B486B" w:rsidRPr="00C6201E" w:rsidRDefault="009B486B" w:rsidP="00333E76">
            <w:pPr>
              <w:spacing w:before="60" w:after="60" w:line="240" w:lineRule="auto"/>
              <w:rPr>
                <w:rFonts w:ascii="Arial" w:hAnsi="Arial" w:cs="Arial"/>
                <w:sz w:val="18"/>
                <w:szCs w:val="18"/>
              </w:rPr>
            </w:pPr>
            <w:r w:rsidRPr="00C6201E">
              <w:rPr>
                <w:rFonts w:ascii="Arial" w:hAnsi="Arial" w:cs="Arial"/>
                <w:sz w:val="18"/>
                <w:szCs w:val="18"/>
              </w:rPr>
              <w:t>Karen Marsden</w:t>
            </w:r>
          </w:p>
        </w:tc>
      </w:tr>
      <w:tr w:rsidR="009B486B" w:rsidRPr="00333E76" w14:paraId="58D1C675" w14:textId="77777777" w:rsidTr="00C6201E">
        <w:trPr>
          <w:cantSplit/>
        </w:trPr>
        <w:tc>
          <w:tcPr>
            <w:tcW w:w="9072" w:type="dxa"/>
            <w:gridSpan w:val="2"/>
            <w:shd w:val="clear" w:color="auto" w:fill="C7ECF8"/>
          </w:tcPr>
          <w:p w14:paraId="58D1C674" w14:textId="77777777" w:rsidR="009B486B" w:rsidRPr="00052AFF" w:rsidRDefault="0036577F" w:rsidP="00201270">
            <w:pPr>
              <w:pStyle w:val="TableTextBold"/>
              <w:keepNext/>
            </w:pPr>
            <w:r w:rsidRPr="00052AFF">
              <w:lastRenderedPageBreak/>
              <w:t>O</w:t>
            </w:r>
            <w:r w:rsidR="009B486B" w:rsidRPr="00052AFF">
              <w:t>n behalf of the Secretary to the Department of Justice and Regulation</w:t>
            </w:r>
          </w:p>
        </w:tc>
      </w:tr>
      <w:tr w:rsidR="009B486B" w:rsidRPr="00333E76" w14:paraId="58D1C678" w14:textId="77777777" w:rsidTr="00C6201E">
        <w:trPr>
          <w:cantSplit/>
        </w:trPr>
        <w:tc>
          <w:tcPr>
            <w:tcW w:w="2796" w:type="dxa"/>
            <w:shd w:val="clear" w:color="auto" w:fill="E5F6FC"/>
          </w:tcPr>
          <w:p w14:paraId="58D1C676" w14:textId="77777777" w:rsidR="009B486B" w:rsidRPr="007B6433" w:rsidRDefault="009B486B" w:rsidP="007B6433">
            <w:pPr>
              <w:pStyle w:val="TableText"/>
              <w:rPr>
                <w:rStyle w:val="Emphasis"/>
              </w:rPr>
            </w:pPr>
            <w:r w:rsidRPr="007B6433">
              <w:rPr>
                <w:rStyle w:val="Emphasis"/>
              </w:rPr>
              <w:t xml:space="preserve">Estate Agents Act 1980 </w:t>
            </w:r>
          </w:p>
        </w:tc>
        <w:tc>
          <w:tcPr>
            <w:tcW w:w="6276" w:type="dxa"/>
            <w:shd w:val="clear" w:color="auto" w:fill="E5F6FC"/>
          </w:tcPr>
          <w:p w14:paraId="58D1C677" w14:textId="77777777" w:rsidR="009B486B" w:rsidRPr="00C6201E" w:rsidRDefault="009B486B" w:rsidP="00333E76">
            <w:pPr>
              <w:spacing w:before="60" w:after="60" w:line="240" w:lineRule="auto"/>
              <w:rPr>
                <w:rFonts w:ascii="Arial" w:hAnsi="Arial" w:cs="Arial"/>
                <w:sz w:val="18"/>
                <w:szCs w:val="18"/>
              </w:rPr>
            </w:pPr>
            <w:r w:rsidRPr="00C6201E">
              <w:rPr>
                <w:rFonts w:ascii="Arial" w:hAnsi="Arial" w:cs="Arial"/>
                <w:sz w:val="18"/>
                <w:szCs w:val="18"/>
              </w:rPr>
              <w:t>Chau Thieu Truong</w:t>
            </w:r>
          </w:p>
        </w:tc>
      </w:tr>
      <w:tr w:rsidR="009B486B" w:rsidRPr="00333E76" w14:paraId="58D1C67A" w14:textId="77777777" w:rsidTr="00C6201E">
        <w:trPr>
          <w:cantSplit/>
        </w:trPr>
        <w:tc>
          <w:tcPr>
            <w:tcW w:w="9072" w:type="dxa"/>
            <w:gridSpan w:val="2"/>
            <w:shd w:val="clear" w:color="auto" w:fill="C7ECF8"/>
          </w:tcPr>
          <w:p w14:paraId="58D1C679" w14:textId="77777777" w:rsidR="009B486B" w:rsidRPr="00052AFF" w:rsidRDefault="0036577F" w:rsidP="00201270">
            <w:pPr>
              <w:pStyle w:val="TableTextBold"/>
              <w:keepNext/>
            </w:pPr>
            <w:r w:rsidRPr="00052AFF">
              <w:t>O</w:t>
            </w:r>
            <w:r w:rsidR="009B486B" w:rsidRPr="00052AFF">
              <w:t>n behalf of the Director of Consumer Affairs Victoria</w:t>
            </w:r>
          </w:p>
        </w:tc>
      </w:tr>
      <w:tr w:rsidR="009B486B" w:rsidRPr="00333E76" w14:paraId="58D1C67D" w14:textId="77777777" w:rsidTr="00C6201E">
        <w:trPr>
          <w:cantSplit/>
        </w:trPr>
        <w:tc>
          <w:tcPr>
            <w:tcW w:w="2796" w:type="dxa"/>
            <w:shd w:val="clear" w:color="auto" w:fill="E5F6FC"/>
          </w:tcPr>
          <w:p w14:paraId="58D1C67B" w14:textId="77777777" w:rsidR="009B486B" w:rsidRPr="007B6433" w:rsidRDefault="009B486B" w:rsidP="007B6433">
            <w:pPr>
              <w:pStyle w:val="TableText"/>
              <w:rPr>
                <w:rStyle w:val="Emphasis"/>
              </w:rPr>
            </w:pPr>
            <w:r w:rsidRPr="007B6433">
              <w:rPr>
                <w:rStyle w:val="Emphasis"/>
              </w:rPr>
              <w:t>Fundraising Act</w:t>
            </w:r>
            <w:r w:rsidR="0036577F" w:rsidRPr="007B6433">
              <w:rPr>
                <w:rStyle w:val="Emphasis"/>
              </w:rPr>
              <w:t xml:space="preserve"> 1998</w:t>
            </w:r>
          </w:p>
        </w:tc>
        <w:tc>
          <w:tcPr>
            <w:tcW w:w="6276" w:type="dxa"/>
            <w:shd w:val="clear" w:color="auto" w:fill="E5F6FC"/>
          </w:tcPr>
          <w:p w14:paraId="58D1C67C" w14:textId="77777777" w:rsidR="009B486B" w:rsidRPr="00C6201E" w:rsidRDefault="009B486B" w:rsidP="00333E76">
            <w:pPr>
              <w:spacing w:before="60" w:after="60" w:line="240" w:lineRule="auto"/>
              <w:rPr>
                <w:rFonts w:ascii="Arial" w:hAnsi="Arial" w:cs="Arial"/>
                <w:sz w:val="18"/>
                <w:szCs w:val="18"/>
              </w:rPr>
            </w:pPr>
            <w:r w:rsidRPr="00C6201E">
              <w:rPr>
                <w:rFonts w:ascii="Arial" w:hAnsi="Arial" w:cs="Arial"/>
                <w:sz w:val="18"/>
                <w:szCs w:val="18"/>
              </w:rPr>
              <w:t>AFG Group Pty Ltd ACN</w:t>
            </w:r>
            <w:r w:rsidR="00EE29E7" w:rsidRPr="00C6201E">
              <w:rPr>
                <w:rFonts w:ascii="Arial" w:hAnsi="Arial" w:cs="Arial"/>
                <w:sz w:val="18"/>
                <w:szCs w:val="18"/>
              </w:rPr>
              <w:t xml:space="preserve"> </w:t>
            </w:r>
            <w:r w:rsidRPr="00C6201E">
              <w:rPr>
                <w:rFonts w:ascii="Arial" w:hAnsi="Arial" w:cs="Arial"/>
                <w:sz w:val="18"/>
                <w:szCs w:val="18"/>
              </w:rPr>
              <w:t>155 198 931</w:t>
            </w:r>
          </w:p>
        </w:tc>
      </w:tr>
    </w:tbl>
    <w:p w14:paraId="58D1C67E" w14:textId="77777777" w:rsidR="008C3AD5" w:rsidRPr="002B6738" w:rsidRDefault="008C3AD5" w:rsidP="00AB5EBE">
      <w:pPr>
        <w:pStyle w:val="Caption"/>
        <w:rPr>
          <w:vertAlign w:val="superscript"/>
        </w:rPr>
      </w:pPr>
      <w:r w:rsidRPr="00CF1401">
        <w:t>Ongoing court matters as at 30 June 2016</w:t>
      </w:r>
      <w:r w:rsidR="002B6738">
        <w:rPr>
          <w:rStyle w:val="FootnoteReference"/>
        </w:rPr>
        <w:footnoteReference w:id="12"/>
      </w:r>
    </w:p>
    <w:tbl>
      <w:tblPr>
        <w:tblW w:w="9072" w:type="dxa"/>
        <w:tblInd w:w="108" w:type="dxa"/>
        <w:tblBorders>
          <w:top w:val="single" w:sz="4" w:space="0" w:color="0072CE"/>
          <w:left w:val="single" w:sz="4" w:space="0" w:color="0072CE"/>
          <w:bottom w:val="single" w:sz="4" w:space="0" w:color="0072CE"/>
          <w:right w:val="single" w:sz="4" w:space="0" w:color="0072CE"/>
          <w:insideH w:val="single" w:sz="4" w:space="0" w:color="0072CE"/>
          <w:insideV w:val="single" w:sz="4" w:space="0" w:color="0072CE"/>
        </w:tblBorders>
        <w:tblLook w:val="04A0" w:firstRow="1" w:lastRow="0" w:firstColumn="1" w:lastColumn="0" w:noHBand="0" w:noVBand="1"/>
      </w:tblPr>
      <w:tblGrid>
        <w:gridCol w:w="2792"/>
        <w:gridCol w:w="6280"/>
      </w:tblGrid>
      <w:tr w:rsidR="009B486B" w:rsidRPr="00333E76" w14:paraId="58D1C681" w14:textId="77777777" w:rsidTr="00C6201E">
        <w:trPr>
          <w:cantSplit/>
          <w:tblHeader/>
        </w:trPr>
        <w:tc>
          <w:tcPr>
            <w:tcW w:w="2792" w:type="dxa"/>
            <w:tcBorders>
              <w:right w:val="single" w:sz="4" w:space="0" w:color="FFFFFF"/>
            </w:tcBorders>
            <w:shd w:val="clear" w:color="auto" w:fill="0072CE"/>
            <w:vAlign w:val="bottom"/>
          </w:tcPr>
          <w:p w14:paraId="58D1C67F" w14:textId="77777777" w:rsidR="009B486B" w:rsidRPr="00F20D5D" w:rsidRDefault="009B486B" w:rsidP="00624CAA">
            <w:pPr>
              <w:pStyle w:val="TableColHead"/>
            </w:pPr>
            <w:r>
              <w:t>Legislation</w:t>
            </w:r>
          </w:p>
        </w:tc>
        <w:tc>
          <w:tcPr>
            <w:tcW w:w="6280" w:type="dxa"/>
            <w:tcBorders>
              <w:left w:val="single" w:sz="4" w:space="0" w:color="FFFFFF"/>
            </w:tcBorders>
            <w:shd w:val="clear" w:color="auto" w:fill="0072CE"/>
            <w:vAlign w:val="bottom"/>
          </w:tcPr>
          <w:p w14:paraId="58D1C680" w14:textId="77777777" w:rsidR="009B486B" w:rsidRPr="00333E76" w:rsidRDefault="009B486B" w:rsidP="00624CAA">
            <w:pPr>
              <w:pStyle w:val="TableColHead"/>
              <w:rPr>
                <w:sz w:val="20"/>
                <w:szCs w:val="20"/>
              </w:rPr>
            </w:pPr>
            <w:r w:rsidRPr="00671F59">
              <w:t>Parties</w:t>
            </w:r>
          </w:p>
        </w:tc>
      </w:tr>
      <w:tr w:rsidR="00AB5EBE" w:rsidRPr="00333E76" w14:paraId="58D1C683" w14:textId="77777777" w:rsidTr="00C6201E">
        <w:trPr>
          <w:cantSplit/>
        </w:trPr>
        <w:tc>
          <w:tcPr>
            <w:tcW w:w="9072" w:type="dxa"/>
            <w:gridSpan w:val="2"/>
            <w:shd w:val="clear" w:color="auto" w:fill="A6E1F4"/>
          </w:tcPr>
          <w:p w14:paraId="58D1C682" w14:textId="77777777" w:rsidR="00AB5EBE" w:rsidRPr="00CF1401" w:rsidRDefault="00AB5EBE" w:rsidP="004D0490">
            <w:pPr>
              <w:pStyle w:val="TableTextBold"/>
            </w:pPr>
            <w:r w:rsidRPr="00CF1401">
              <w:t xml:space="preserve">Criminal </w:t>
            </w:r>
            <w:r w:rsidR="004D0490">
              <w:t>p</w:t>
            </w:r>
            <w:r w:rsidRPr="00CF1401">
              <w:t>rosecution</w:t>
            </w:r>
          </w:p>
        </w:tc>
      </w:tr>
      <w:tr w:rsidR="00AB5EBE" w:rsidRPr="00333E76" w14:paraId="58D1C686" w14:textId="77777777" w:rsidTr="00C6201E">
        <w:trPr>
          <w:cantSplit/>
        </w:trPr>
        <w:tc>
          <w:tcPr>
            <w:tcW w:w="2792" w:type="dxa"/>
            <w:shd w:val="clear" w:color="auto" w:fill="E5F6FC"/>
          </w:tcPr>
          <w:p w14:paraId="58D1C684" w14:textId="77777777" w:rsidR="00AB5EBE" w:rsidRPr="00974789" w:rsidRDefault="00AB5EBE" w:rsidP="007B6433">
            <w:pPr>
              <w:pStyle w:val="TableText"/>
              <w:rPr>
                <w:rStyle w:val="Emphasis"/>
              </w:rPr>
            </w:pPr>
            <w:r w:rsidRPr="00974789">
              <w:rPr>
                <w:rStyle w:val="Emphasis"/>
              </w:rPr>
              <w:t>Australian Consumer Law and Fair Trading Act 2012</w:t>
            </w:r>
          </w:p>
        </w:tc>
        <w:tc>
          <w:tcPr>
            <w:tcW w:w="6280" w:type="dxa"/>
            <w:shd w:val="clear" w:color="auto" w:fill="E5F6FC"/>
          </w:tcPr>
          <w:p w14:paraId="58D1C685" w14:textId="77777777" w:rsidR="00AB5EBE" w:rsidRPr="00333E76" w:rsidRDefault="00AB5EBE" w:rsidP="00624CAA">
            <w:pPr>
              <w:pStyle w:val="TableText"/>
              <w:rPr>
                <w:b/>
                <w:sz w:val="20"/>
                <w:szCs w:val="20"/>
              </w:rPr>
            </w:pPr>
            <w:r w:rsidRPr="00295CF5">
              <w:t>Brendan Lansley</w:t>
            </w:r>
          </w:p>
        </w:tc>
      </w:tr>
      <w:tr w:rsidR="00AB5EBE" w:rsidRPr="00333E76" w14:paraId="58D1C689" w14:textId="77777777" w:rsidTr="00C6201E">
        <w:trPr>
          <w:cantSplit/>
        </w:trPr>
        <w:tc>
          <w:tcPr>
            <w:tcW w:w="2792" w:type="dxa"/>
            <w:shd w:val="clear" w:color="auto" w:fill="E5F6FC"/>
          </w:tcPr>
          <w:p w14:paraId="58D1C687" w14:textId="77777777" w:rsidR="00AB5EBE" w:rsidRPr="00F20D5D" w:rsidRDefault="00AB5EBE" w:rsidP="007B6433">
            <w:pPr>
              <w:pStyle w:val="TableText"/>
            </w:pPr>
            <w:r>
              <w:t>Australian Consumer Law (Victoria)</w:t>
            </w:r>
          </w:p>
        </w:tc>
        <w:tc>
          <w:tcPr>
            <w:tcW w:w="6280" w:type="dxa"/>
            <w:shd w:val="clear" w:color="auto" w:fill="E5F6FC"/>
          </w:tcPr>
          <w:p w14:paraId="58D1C688" w14:textId="77777777" w:rsidR="00AB5EBE" w:rsidRPr="00295CF5" w:rsidRDefault="00AB5EBE" w:rsidP="00624CAA">
            <w:pPr>
              <w:pStyle w:val="TableText"/>
            </w:pPr>
            <w:r w:rsidRPr="00295CF5">
              <w:t>Daniel Chung Keat Leong</w:t>
            </w:r>
          </w:p>
        </w:tc>
      </w:tr>
      <w:tr w:rsidR="00AB5EBE" w:rsidRPr="00333E76" w14:paraId="58D1C690" w14:textId="77777777" w:rsidTr="00C6201E">
        <w:trPr>
          <w:cantSplit/>
        </w:trPr>
        <w:tc>
          <w:tcPr>
            <w:tcW w:w="2792" w:type="dxa"/>
            <w:shd w:val="clear" w:color="auto" w:fill="E5F6FC"/>
          </w:tcPr>
          <w:p w14:paraId="58D1C68A" w14:textId="77777777" w:rsidR="00AB5EBE" w:rsidRPr="00974789" w:rsidRDefault="00AB5EBE" w:rsidP="007B6433">
            <w:pPr>
              <w:pStyle w:val="TableText"/>
              <w:rPr>
                <w:rStyle w:val="Emphasis"/>
              </w:rPr>
            </w:pPr>
            <w:r w:rsidRPr="00974789">
              <w:rPr>
                <w:rStyle w:val="Emphasis"/>
              </w:rPr>
              <w:t>Domestic Building Contracts Act 1995</w:t>
            </w:r>
          </w:p>
        </w:tc>
        <w:tc>
          <w:tcPr>
            <w:tcW w:w="6280" w:type="dxa"/>
            <w:shd w:val="clear" w:color="auto" w:fill="E5F6FC"/>
          </w:tcPr>
          <w:p w14:paraId="58D1C68B" w14:textId="77777777" w:rsidR="00AB5EBE" w:rsidRPr="00295CF5" w:rsidRDefault="00AB5EBE" w:rsidP="00624CAA">
            <w:pPr>
              <w:pStyle w:val="TableText"/>
            </w:pPr>
            <w:r w:rsidRPr="00295CF5">
              <w:t>Lauren Kate Smith</w:t>
            </w:r>
          </w:p>
          <w:p w14:paraId="58D1C68C" w14:textId="77777777" w:rsidR="00AB5EBE" w:rsidRPr="00295CF5" w:rsidRDefault="00AB5EBE" w:rsidP="00624CAA">
            <w:pPr>
              <w:pStyle w:val="TableText"/>
            </w:pPr>
            <w:r w:rsidRPr="00295CF5">
              <w:t>LKS Lifestyle Solutions Pty Ltd ACN 167 806 055</w:t>
            </w:r>
          </w:p>
          <w:p w14:paraId="58D1C68D" w14:textId="77777777" w:rsidR="00AB5EBE" w:rsidRPr="00295CF5" w:rsidRDefault="00AB5EBE" w:rsidP="00624CAA">
            <w:pPr>
              <w:pStyle w:val="TableText"/>
            </w:pPr>
            <w:r w:rsidRPr="00295CF5">
              <w:t>Andrew Renn</w:t>
            </w:r>
          </w:p>
          <w:p w14:paraId="58D1C68E" w14:textId="77777777" w:rsidR="00AB5EBE" w:rsidRPr="00295CF5" w:rsidRDefault="00AB5EBE" w:rsidP="00624CAA">
            <w:pPr>
              <w:pStyle w:val="TableText"/>
            </w:pPr>
            <w:r w:rsidRPr="00295CF5">
              <w:t>Fabrizio Bonomo</w:t>
            </w:r>
          </w:p>
          <w:p w14:paraId="58D1C68F" w14:textId="77777777" w:rsidR="00AB5EBE" w:rsidRPr="00333E76" w:rsidRDefault="00AB5EBE" w:rsidP="00624CAA">
            <w:pPr>
              <w:pStyle w:val="TableText"/>
              <w:rPr>
                <w:b/>
                <w:sz w:val="20"/>
                <w:szCs w:val="20"/>
              </w:rPr>
            </w:pPr>
            <w:r w:rsidRPr="00295CF5">
              <w:t>Cain Padman</w:t>
            </w:r>
          </w:p>
        </w:tc>
      </w:tr>
      <w:tr w:rsidR="00AB5EBE" w:rsidRPr="00333E76" w14:paraId="58D1C693" w14:textId="77777777" w:rsidTr="00C6201E">
        <w:trPr>
          <w:cantSplit/>
        </w:trPr>
        <w:tc>
          <w:tcPr>
            <w:tcW w:w="2792" w:type="dxa"/>
            <w:shd w:val="clear" w:color="auto" w:fill="E5F6FC"/>
          </w:tcPr>
          <w:p w14:paraId="58D1C691" w14:textId="77777777" w:rsidR="00AB5EBE" w:rsidRPr="00974789" w:rsidRDefault="00AB5EBE" w:rsidP="007B6433">
            <w:pPr>
              <w:pStyle w:val="TableText"/>
              <w:rPr>
                <w:rStyle w:val="Emphasis"/>
              </w:rPr>
            </w:pPr>
            <w:r w:rsidRPr="00974789">
              <w:rPr>
                <w:rStyle w:val="Emphasis"/>
              </w:rPr>
              <w:t>Estate Agents Act 1980</w:t>
            </w:r>
          </w:p>
        </w:tc>
        <w:tc>
          <w:tcPr>
            <w:tcW w:w="6280" w:type="dxa"/>
            <w:shd w:val="clear" w:color="auto" w:fill="E5F6FC"/>
          </w:tcPr>
          <w:p w14:paraId="58D1C692" w14:textId="77777777" w:rsidR="00AB5EBE" w:rsidRPr="00295CF5" w:rsidRDefault="00AB5EBE" w:rsidP="00624CAA">
            <w:pPr>
              <w:pStyle w:val="TableText"/>
            </w:pPr>
            <w:r w:rsidRPr="00295CF5">
              <w:t>Robert Eierweis</w:t>
            </w:r>
          </w:p>
        </w:tc>
      </w:tr>
      <w:tr w:rsidR="00AB5EBE" w:rsidRPr="00333E76" w14:paraId="58D1C698" w14:textId="77777777" w:rsidTr="00C6201E">
        <w:trPr>
          <w:cantSplit/>
        </w:trPr>
        <w:tc>
          <w:tcPr>
            <w:tcW w:w="2792" w:type="dxa"/>
            <w:shd w:val="clear" w:color="auto" w:fill="E5F6FC"/>
          </w:tcPr>
          <w:p w14:paraId="58D1C694" w14:textId="77777777" w:rsidR="00AB5EBE" w:rsidRPr="00974789" w:rsidRDefault="00AB5EBE" w:rsidP="007B6433">
            <w:pPr>
              <w:pStyle w:val="TableText"/>
              <w:rPr>
                <w:rStyle w:val="Emphasis"/>
              </w:rPr>
            </w:pPr>
            <w:r w:rsidRPr="00974789">
              <w:rPr>
                <w:rStyle w:val="Emphasis"/>
              </w:rPr>
              <w:t>Motor Car Traders Act 1986</w:t>
            </w:r>
          </w:p>
        </w:tc>
        <w:tc>
          <w:tcPr>
            <w:tcW w:w="6280" w:type="dxa"/>
            <w:shd w:val="clear" w:color="auto" w:fill="E5F6FC"/>
          </w:tcPr>
          <w:p w14:paraId="58D1C695" w14:textId="77777777" w:rsidR="00AB5EBE" w:rsidRPr="00295CF5" w:rsidRDefault="00AB5EBE" w:rsidP="00624CAA">
            <w:pPr>
              <w:pStyle w:val="TableText"/>
            </w:pPr>
            <w:r w:rsidRPr="00295CF5">
              <w:t>Mithila Domingo</w:t>
            </w:r>
          </w:p>
          <w:p w14:paraId="58D1C696" w14:textId="77777777" w:rsidR="00AB5EBE" w:rsidRPr="00295CF5" w:rsidRDefault="00AB5EBE" w:rsidP="00624CAA">
            <w:pPr>
              <w:pStyle w:val="TableText"/>
            </w:pPr>
            <w:r w:rsidRPr="00295CF5">
              <w:t>Melbourne Prestige Cars Pty Ltd ACN 146 886 286</w:t>
            </w:r>
          </w:p>
          <w:p w14:paraId="58D1C697" w14:textId="77777777" w:rsidR="00AB5EBE" w:rsidRPr="00295CF5" w:rsidRDefault="00AB5EBE" w:rsidP="00624CAA">
            <w:pPr>
              <w:pStyle w:val="TableText"/>
            </w:pPr>
            <w:r w:rsidRPr="00295CF5">
              <w:t xml:space="preserve">Saleh Ibrahim </w:t>
            </w:r>
          </w:p>
        </w:tc>
      </w:tr>
      <w:tr w:rsidR="00AB5EBE" w:rsidRPr="00333E76" w14:paraId="58D1C69B" w14:textId="77777777" w:rsidTr="00C6201E">
        <w:trPr>
          <w:cantSplit/>
        </w:trPr>
        <w:tc>
          <w:tcPr>
            <w:tcW w:w="2792" w:type="dxa"/>
            <w:shd w:val="clear" w:color="auto" w:fill="E5F6FC"/>
          </w:tcPr>
          <w:p w14:paraId="58D1C699" w14:textId="77777777" w:rsidR="00AB5EBE" w:rsidRPr="00974789" w:rsidRDefault="00AB5EBE" w:rsidP="007B6433">
            <w:pPr>
              <w:pStyle w:val="TableText"/>
              <w:rPr>
                <w:rStyle w:val="Emphasis"/>
              </w:rPr>
            </w:pPr>
            <w:r w:rsidRPr="00974789">
              <w:rPr>
                <w:rStyle w:val="Emphasis"/>
              </w:rPr>
              <w:t>Residential Tenancies Act 1997</w:t>
            </w:r>
          </w:p>
        </w:tc>
        <w:tc>
          <w:tcPr>
            <w:tcW w:w="6280" w:type="dxa"/>
            <w:shd w:val="clear" w:color="auto" w:fill="E5F6FC"/>
          </w:tcPr>
          <w:p w14:paraId="58D1C69A" w14:textId="77777777" w:rsidR="00AB5EBE" w:rsidRPr="00333E76" w:rsidRDefault="00AB5EBE" w:rsidP="00624CAA">
            <w:pPr>
              <w:pStyle w:val="TableText"/>
              <w:rPr>
                <w:sz w:val="20"/>
                <w:szCs w:val="20"/>
              </w:rPr>
            </w:pPr>
            <w:r w:rsidRPr="00295CF5">
              <w:t>SLM Housing Pty Ltd</w:t>
            </w:r>
            <w:r>
              <w:t xml:space="preserve"> ACN</w:t>
            </w:r>
            <w:r w:rsidRPr="00295CF5">
              <w:t xml:space="preserve"> 155 513 992</w:t>
            </w:r>
          </w:p>
        </w:tc>
      </w:tr>
      <w:tr w:rsidR="00AB5EBE" w:rsidRPr="00333E76" w14:paraId="58D1C69D" w14:textId="77777777" w:rsidTr="00C6201E">
        <w:trPr>
          <w:cantSplit/>
        </w:trPr>
        <w:tc>
          <w:tcPr>
            <w:tcW w:w="9072" w:type="dxa"/>
            <w:gridSpan w:val="2"/>
            <w:shd w:val="clear" w:color="auto" w:fill="A6E1F4"/>
          </w:tcPr>
          <w:p w14:paraId="58D1C69C" w14:textId="77777777" w:rsidR="00AB5EBE" w:rsidRPr="00CF1401" w:rsidRDefault="00AB5EBE" w:rsidP="00624CAA">
            <w:pPr>
              <w:pStyle w:val="TableTextBold"/>
            </w:pPr>
            <w:r w:rsidRPr="00CF1401">
              <w:t>Civil proceedings (including disciplinary inquiry)</w:t>
            </w:r>
          </w:p>
        </w:tc>
      </w:tr>
      <w:tr w:rsidR="00AB5EBE" w:rsidRPr="00333E76" w14:paraId="58D1C6A8" w14:textId="77777777" w:rsidTr="00C6201E">
        <w:trPr>
          <w:cantSplit/>
        </w:trPr>
        <w:tc>
          <w:tcPr>
            <w:tcW w:w="2792" w:type="dxa"/>
            <w:shd w:val="clear" w:color="auto" w:fill="E5F6FC"/>
          </w:tcPr>
          <w:p w14:paraId="58D1C69E" w14:textId="77777777" w:rsidR="00AB5EBE" w:rsidRPr="00974789" w:rsidRDefault="00AB5EBE" w:rsidP="00974789">
            <w:pPr>
              <w:pStyle w:val="TableText"/>
              <w:rPr>
                <w:rStyle w:val="Emphasis"/>
              </w:rPr>
            </w:pPr>
            <w:r w:rsidRPr="00974789">
              <w:rPr>
                <w:rStyle w:val="Emphasis"/>
              </w:rPr>
              <w:t>Australian Consumer Law and Fair Trading Act 2012</w:t>
            </w:r>
          </w:p>
        </w:tc>
        <w:tc>
          <w:tcPr>
            <w:tcW w:w="6280" w:type="dxa"/>
            <w:shd w:val="clear" w:color="auto" w:fill="E5F6FC"/>
          </w:tcPr>
          <w:p w14:paraId="58D1C69F" w14:textId="77777777" w:rsidR="00AB5EBE" w:rsidRPr="00295CF5" w:rsidRDefault="00AB5EBE" w:rsidP="00624CAA">
            <w:pPr>
              <w:pStyle w:val="TableText"/>
            </w:pPr>
            <w:r w:rsidRPr="00295CF5">
              <w:t>Shine Removals Pty Ltd ACN 161 432 702</w:t>
            </w:r>
          </w:p>
          <w:p w14:paraId="58D1C6A0" w14:textId="77777777" w:rsidR="00AB5EBE" w:rsidRPr="00295CF5" w:rsidRDefault="00AB5EBE" w:rsidP="00624CAA">
            <w:pPr>
              <w:pStyle w:val="TableText"/>
            </w:pPr>
            <w:r w:rsidRPr="00295CF5">
              <w:t>Blue Rhino Removals and Transport Pty Ltd ACN 161 432 739</w:t>
            </w:r>
          </w:p>
          <w:p w14:paraId="58D1C6A1" w14:textId="77777777" w:rsidR="00AB5EBE" w:rsidRPr="00295CF5" w:rsidRDefault="00AB5EBE" w:rsidP="00624CAA">
            <w:pPr>
              <w:pStyle w:val="TableText"/>
            </w:pPr>
            <w:r w:rsidRPr="00295CF5">
              <w:t>Zi Wang</w:t>
            </w:r>
          </w:p>
          <w:p w14:paraId="58D1C6A2" w14:textId="77777777" w:rsidR="00AB5EBE" w:rsidRPr="00295CF5" w:rsidRDefault="00AB5EBE" w:rsidP="00624CAA">
            <w:pPr>
              <w:pStyle w:val="TableText"/>
            </w:pPr>
            <w:r w:rsidRPr="00295CF5">
              <w:t>Zhou Chen</w:t>
            </w:r>
          </w:p>
          <w:p w14:paraId="58D1C6A3" w14:textId="77777777" w:rsidR="00AB5EBE" w:rsidRPr="00295CF5" w:rsidRDefault="00AB5EBE" w:rsidP="00624CAA">
            <w:pPr>
              <w:pStyle w:val="TableText"/>
            </w:pPr>
            <w:r w:rsidRPr="00295CF5">
              <w:t xml:space="preserve">Domain Register Pty Ltd </w:t>
            </w:r>
            <w:r>
              <w:t xml:space="preserve">ACN </w:t>
            </w:r>
            <w:r w:rsidRPr="00295CF5">
              <w:t>127 506 807</w:t>
            </w:r>
          </w:p>
          <w:p w14:paraId="58D1C6A4" w14:textId="77777777" w:rsidR="00AB5EBE" w:rsidRPr="00295CF5" w:rsidRDefault="00AB5EBE" w:rsidP="00624CAA">
            <w:pPr>
              <w:pStyle w:val="TableText"/>
            </w:pPr>
            <w:r w:rsidRPr="00295CF5">
              <w:t>David James Donald</w:t>
            </w:r>
          </w:p>
          <w:p w14:paraId="58D1C6A5" w14:textId="77777777" w:rsidR="00AB5EBE" w:rsidRPr="00622D42" w:rsidRDefault="00AB5EBE" w:rsidP="00624CAA">
            <w:pPr>
              <w:pStyle w:val="TableText"/>
            </w:pPr>
            <w:r w:rsidRPr="00622D42">
              <w:t>Anthony Lee</w:t>
            </w:r>
          </w:p>
          <w:p w14:paraId="58D1C6A6" w14:textId="77777777" w:rsidR="00AB5EBE" w:rsidRPr="00295CF5" w:rsidRDefault="00AB5EBE" w:rsidP="00624CAA">
            <w:pPr>
              <w:pStyle w:val="TableText"/>
            </w:pPr>
            <w:r w:rsidRPr="00295CF5">
              <w:t>Fair Finance Group Pty Ltd ACN 151 932 553</w:t>
            </w:r>
          </w:p>
          <w:p w14:paraId="58D1C6A7" w14:textId="77777777" w:rsidR="00AB5EBE" w:rsidRPr="00295CF5" w:rsidRDefault="00AB5EBE" w:rsidP="00624CAA">
            <w:pPr>
              <w:pStyle w:val="TableText"/>
            </w:pPr>
            <w:r w:rsidRPr="00295CF5">
              <w:t>Fair Financial Pty Ltd</w:t>
            </w:r>
            <w:r w:rsidRPr="00622D42">
              <w:t xml:space="preserve"> ACN 148 824 711</w:t>
            </w:r>
          </w:p>
        </w:tc>
      </w:tr>
      <w:tr w:rsidR="00AB5EBE" w:rsidRPr="00333E76" w14:paraId="58D1C6AE" w14:textId="77777777" w:rsidTr="00C6201E">
        <w:trPr>
          <w:cantSplit/>
        </w:trPr>
        <w:tc>
          <w:tcPr>
            <w:tcW w:w="2792" w:type="dxa"/>
            <w:shd w:val="clear" w:color="auto" w:fill="E5F6FC"/>
          </w:tcPr>
          <w:p w14:paraId="58D1C6A9" w14:textId="77777777" w:rsidR="00AB5EBE" w:rsidRPr="00F20D5D" w:rsidRDefault="00AB5EBE" w:rsidP="00974789">
            <w:pPr>
              <w:pStyle w:val="TableText"/>
            </w:pPr>
            <w:r>
              <w:t>Australian Consumer Law (Victoria)</w:t>
            </w:r>
          </w:p>
        </w:tc>
        <w:tc>
          <w:tcPr>
            <w:tcW w:w="6280" w:type="dxa"/>
            <w:shd w:val="clear" w:color="auto" w:fill="E5F6FC"/>
          </w:tcPr>
          <w:p w14:paraId="58D1C6AA" w14:textId="77777777" w:rsidR="00EE29E7" w:rsidRDefault="00AB5EBE" w:rsidP="00624CAA">
            <w:pPr>
              <w:pStyle w:val="TableText"/>
            </w:pPr>
            <w:r w:rsidRPr="00295CF5">
              <w:t>Annabelle Gibson</w:t>
            </w:r>
          </w:p>
          <w:p w14:paraId="58D1C6AB" w14:textId="77777777" w:rsidR="00AB5EBE" w:rsidRPr="00295CF5" w:rsidRDefault="00AB5EBE" w:rsidP="00624CAA">
            <w:pPr>
              <w:pStyle w:val="TableText"/>
            </w:pPr>
            <w:r w:rsidRPr="00295CF5">
              <w:t>Inkerman Roa</w:t>
            </w:r>
            <w:r>
              <w:t>d Nominees Pty Ltd (in liquidation</w:t>
            </w:r>
            <w:r w:rsidRPr="00295CF5">
              <w:t>) ACN 164 850 748</w:t>
            </w:r>
          </w:p>
          <w:p w14:paraId="58D1C6AC" w14:textId="77777777" w:rsidR="00AB5EBE" w:rsidRPr="00295CF5" w:rsidRDefault="00AB5EBE" w:rsidP="00624CAA">
            <w:pPr>
              <w:pStyle w:val="TableText"/>
            </w:pPr>
            <w:r w:rsidRPr="00295CF5">
              <w:t>Big Aussie Deals Pty Ltd ACN 159 661 444</w:t>
            </w:r>
          </w:p>
          <w:p w14:paraId="58D1C6AD" w14:textId="77777777" w:rsidR="00AB5EBE" w:rsidRPr="00295CF5" w:rsidRDefault="00AB5EBE" w:rsidP="00624CAA">
            <w:pPr>
              <w:pStyle w:val="TableText"/>
            </w:pPr>
            <w:r w:rsidRPr="00295CF5">
              <w:t>Steven Petkovski</w:t>
            </w:r>
          </w:p>
        </w:tc>
      </w:tr>
      <w:tr w:rsidR="00AB5EBE" w:rsidRPr="00333E76" w14:paraId="58D1C6BA" w14:textId="77777777" w:rsidTr="00C6201E">
        <w:trPr>
          <w:cantSplit/>
        </w:trPr>
        <w:tc>
          <w:tcPr>
            <w:tcW w:w="2792" w:type="dxa"/>
            <w:shd w:val="clear" w:color="auto" w:fill="E5F6FC"/>
          </w:tcPr>
          <w:p w14:paraId="58D1C6AF" w14:textId="77777777" w:rsidR="00AB5EBE" w:rsidRPr="00974789" w:rsidRDefault="00AB5EBE" w:rsidP="00974789">
            <w:pPr>
              <w:pStyle w:val="TableText"/>
              <w:rPr>
                <w:rStyle w:val="Emphasis"/>
              </w:rPr>
            </w:pPr>
            <w:r w:rsidRPr="00974789">
              <w:rPr>
                <w:rStyle w:val="Emphasis"/>
              </w:rPr>
              <w:lastRenderedPageBreak/>
              <w:t>Estate Agents Act 1980</w:t>
            </w:r>
          </w:p>
        </w:tc>
        <w:tc>
          <w:tcPr>
            <w:tcW w:w="6280" w:type="dxa"/>
            <w:shd w:val="clear" w:color="auto" w:fill="E5F6FC"/>
          </w:tcPr>
          <w:p w14:paraId="58D1C6B0" w14:textId="77777777" w:rsidR="00AB5EBE" w:rsidRPr="00295CF5" w:rsidRDefault="00AB5EBE" w:rsidP="00624CAA">
            <w:pPr>
              <w:pStyle w:val="TableText"/>
            </w:pPr>
            <w:r w:rsidRPr="00295CF5">
              <w:t>Century 21 Australia Pty Ltd ACN 003 145 346</w:t>
            </w:r>
          </w:p>
          <w:p w14:paraId="58D1C6B1" w14:textId="77777777" w:rsidR="00AB5EBE" w:rsidRPr="00295CF5" w:rsidRDefault="00AB5EBE" w:rsidP="00624CAA">
            <w:pPr>
              <w:pStyle w:val="TableText"/>
            </w:pPr>
            <w:r w:rsidRPr="00295CF5">
              <w:t>Hocking Stuart (Richmond) Pty Ltd ACN 080 596 603</w:t>
            </w:r>
          </w:p>
          <w:p w14:paraId="58D1C6B2" w14:textId="77777777" w:rsidR="00AB5EBE" w:rsidRPr="00295CF5" w:rsidRDefault="00AB5EBE" w:rsidP="00624CAA">
            <w:pPr>
              <w:pStyle w:val="TableText"/>
            </w:pPr>
            <w:r w:rsidRPr="00295CF5">
              <w:t>Bill Kaye</w:t>
            </w:r>
            <w:r>
              <w:t xml:space="preserve"> </w:t>
            </w:r>
            <w:r w:rsidRPr="00295CF5">
              <w:t>&amp; Co Pty Ltd ACN 006 406 257</w:t>
            </w:r>
          </w:p>
          <w:p w14:paraId="58D1C6B3" w14:textId="77777777" w:rsidR="00AB5EBE" w:rsidRPr="00295CF5" w:rsidRDefault="00AB5EBE" w:rsidP="00624CAA">
            <w:pPr>
              <w:pStyle w:val="TableText"/>
            </w:pPr>
            <w:r w:rsidRPr="00295CF5">
              <w:t>Vassilios Kaimakamis</w:t>
            </w:r>
          </w:p>
          <w:p w14:paraId="58D1C6B4" w14:textId="77777777" w:rsidR="00AB5EBE" w:rsidRPr="00295CF5" w:rsidRDefault="00AB5EBE" w:rsidP="00624CAA">
            <w:pPr>
              <w:pStyle w:val="TableText"/>
            </w:pPr>
            <w:r w:rsidRPr="00295CF5">
              <w:t>LMG Commercial Property Services Pty Ltd ACN 115 869 200</w:t>
            </w:r>
          </w:p>
          <w:p w14:paraId="58D1C6B5" w14:textId="77777777" w:rsidR="00AB5EBE" w:rsidRPr="00295CF5" w:rsidRDefault="00AB5EBE" w:rsidP="00624CAA">
            <w:pPr>
              <w:pStyle w:val="TableText"/>
            </w:pPr>
            <w:r w:rsidRPr="00295CF5">
              <w:t>Leo Mark Grogan</w:t>
            </w:r>
          </w:p>
          <w:p w14:paraId="58D1C6B6" w14:textId="77777777" w:rsidR="00AB5EBE" w:rsidRPr="00295CF5" w:rsidRDefault="00AB5EBE" w:rsidP="00624CAA">
            <w:pPr>
              <w:pStyle w:val="TableText"/>
            </w:pPr>
            <w:r w:rsidRPr="00295CF5">
              <w:t>Michael Andrew John Hoban</w:t>
            </w:r>
          </w:p>
          <w:p w14:paraId="58D1C6B7" w14:textId="77777777" w:rsidR="00AB5EBE" w:rsidRPr="00295CF5" w:rsidRDefault="00AB5EBE" w:rsidP="00624CAA">
            <w:pPr>
              <w:pStyle w:val="TableText"/>
            </w:pPr>
            <w:r w:rsidRPr="00295CF5">
              <w:t>Joel Phillip Murray</w:t>
            </w:r>
          </w:p>
          <w:p w14:paraId="58D1C6B8" w14:textId="77777777" w:rsidR="00EE29E7" w:rsidRDefault="00AB5EBE" w:rsidP="00624CAA">
            <w:pPr>
              <w:pStyle w:val="TableText"/>
            </w:pPr>
            <w:r w:rsidRPr="00295CF5">
              <w:t>Australia United Organization Pty Ltd ACN 166 549 248</w:t>
            </w:r>
          </w:p>
          <w:p w14:paraId="58D1C6B9" w14:textId="77777777" w:rsidR="00AB5EBE" w:rsidRPr="00295CF5" w:rsidRDefault="00AB5EBE" w:rsidP="00624CAA">
            <w:pPr>
              <w:pStyle w:val="TableText"/>
            </w:pPr>
            <w:r w:rsidRPr="00295CF5">
              <w:t>Mei Nga</w:t>
            </w:r>
            <w:r>
              <w:t xml:space="preserve"> </w:t>
            </w:r>
            <w:r w:rsidRPr="00295CF5">
              <w:t>Carol Chau</w:t>
            </w:r>
          </w:p>
        </w:tc>
      </w:tr>
      <w:tr w:rsidR="00AB5EBE" w:rsidRPr="00333E76" w14:paraId="58D1C6BD" w14:textId="77777777" w:rsidTr="00C6201E">
        <w:trPr>
          <w:cantSplit/>
        </w:trPr>
        <w:tc>
          <w:tcPr>
            <w:tcW w:w="2792" w:type="dxa"/>
            <w:shd w:val="clear" w:color="auto" w:fill="E5F6FC"/>
          </w:tcPr>
          <w:p w14:paraId="58D1C6BB" w14:textId="77777777" w:rsidR="00AB5EBE" w:rsidRPr="00974789" w:rsidRDefault="00AB5EBE" w:rsidP="00974789">
            <w:pPr>
              <w:pStyle w:val="TableText"/>
              <w:rPr>
                <w:rStyle w:val="Emphasis"/>
              </w:rPr>
            </w:pPr>
            <w:r w:rsidRPr="00974789">
              <w:rPr>
                <w:rStyle w:val="Emphasis"/>
              </w:rPr>
              <w:t>Motor Car Traders Act 1986</w:t>
            </w:r>
          </w:p>
        </w:tc>
        <w:tc>
          <w:tcPr>
            <w:tcW w:w="6280" w:type="dxa"/>
            <w:shd w:val="clear" w:color="auto" w:fill="E5F6FC"/>
          </w:tcPr>
          <w:p w14:paraId="58D1C6BC" w14:textId="77777777" w:rsidR="00AB5EBE" w:rsidRPr="00295CF5" w:rsidRDefault="00AB5EBE" w:rsidP="00624CAA">
            <w:pPr>
              <w:pStyle w:val="TableText"/>
            </w:pPr>
            <w:r w:rsidRPr="00295CF5">
              <w:t>Auscar Club Pty Ltd ACN 602 688 335</w:t>
            </w:r>
          </w:p>
        </w:tc>
      </w:tr>
      <w:tr w:rsidR="00AB5EBE" w:rsidRPr="00333E76" w14:paraId="58D1C6C2" w14:textId="77777777" w:rsidTr="00C6201E">
        <w:trPr>
          <w:cantSplit/>
        </w:trPr>
        <w:tc>
          <w:tcPr>
            <w:tcW w:w="2792" w:type="dxa"/>
            <w:shd w:val="clear" w:color="auto" w:fill="E5F6FC"/>
          </w:tcPr>
          <w:p w14:paraId="58D1C6BE" w14:textId="77777777" w:rsidR="00AB5EBE" w:rsidRPr="00974789" w:rsidRDefault="00AB5EBE" w:rsidP="00974789">
            <w:pPr>
              <w:pStyle w:val="TableText"/>
              <w:rPr>
                <w:rStyle w:val="Emphasis"/>
              </w:rPr>
            </w:pPr>
            <w:r w:rsidRPr="00974789">
              <w:rPr>
                <w:rStyle w:val="Emphasis"/>
              </w:rPr>
              <w:t>Residential Tenancies Act 1997</w:t>
            </w:r>
          </w:p>
        </w:tc>
        <w:tc>
          <w:tcPr>
            <w:tcW w:w="6280" w:type="dxa"/>
            <w:shd w:val="clear" w:color="auto" w:fill="E5F6FC"/>
          </w:tcPr>
          <w:p w14:paraId="58D1C6BF" w14:textId="77777777" w:rsidR="00AB5EBE" w:rsidRPr="00295CF5" w:rsidRDefault="00AB5EBE" w:rsidP="00624CAA">
            <w:pPr>
              <w:pStyle w:val="TableText"/>
            </w:pPr>
            <w:r w:rsidRPr="00295CF5">
              <w:t>Strachan Research Pty Ltd ACN 082 279 650</w:t>
            </w:r>
          </w:p>
          <w:p w14:paraId="58D1C6C0" w14:textId="77777777" w:rsidR="00AB5EBE" w:rsidRPr="00295CF5" w:rsidRDefault="00AB5EBE" w:rsidP="00624CAA">
            <w:pPr>
              <w:pStyle w:val="TableText"/>
            </w:pPr>
            <w:r w:rsidRPr="00295CF5">
              <w:t>House Share Melbourne Pty Ltd ACN 164 365 593</w:t>
            </w:r>
          </w:p>
          <w:p w14:paraId="58D1C6C1" w14:textId="77777777" w:rsidR="00AB5EBE" w:rsidRPr="00333E76" w:rsidRDefault="00AB5EBE" w:rsidP="00624CAA">
            <w:pPr>
              <w:pStyle w:val="TableText"/>
              <w:rPr>
                <w:b/>
                <w:sz w:val="20"/>
                <w:szCs w:val="20"/>
              </w:rPr>
            </w:pPr>
            <w:r w:rsidRPr="00295CF5">
              <w:t>Ben Alexander Strachan</w:t>
            </w:r>
          </w:p>
        </w:tc>
      </w:tr>
      <w:tr w:rsidR="006E319E" w:rsidRPr="00333E76" w14:paraId="58D1C6C8" w14:textId="77777777" w:rsidTr="00C6201E">
        <w:trPr>
          <w:cantSplit/>
        </w:trPr>
        <w:tc>
          <w:tcPr>
            <w:tcW w:w="2792" w:type="dxa"/>
            <w:shd w:val="clear" w:color="auto" w:fill="E5F6FC"/>
          </w:tcPr>
          <w:p w14:paraId="58D1C6C3" w14:textId="77777777" w:rsidR="006E319E" w:rsidRPr="00974789" w:rsidRDefault="006E319E" w:rsidP="00974789">
            <w:pPr>
              <w:pStyle w:val="TableText"/>
              <w:rPr>
                <w:rStyle w:val="Emphasis"/>
              </w:rPr>
            </w:pPr>
            <w:r w:rsidRPr="00974789">
              <w:rPr>
                <w:rStyle w:val="Emphasis"/>
              </w:rPr>
              <w:t>Sex Work Act 1994</w:t>
            </w:r>
          </w:p>
        </w:tc>
        <w:tc>
          <w:tcPr>
            <w:tcW w:w="6280" w:type="dxa"/>
            <w:shd w:val="clear" w:color="auto" w:fill="E5F6FC"/>
          </w:tcPr>
          <w:p w14:paraId="58D1C6C4" w14:textId="77777777" w:rsidR="006E319E" w:rsidRPr="00295CF5" w:rsidRDefault="006E319E" w:rsidP="006E319E">
            <w:pPr>
              <w:pStyle w:val="TableText"/>
            </w:pPr>
            <w:r w:rsidRPr="00295CF5">
              <w:t>Josef Rutten</w:t>
            </w:r>
          </w:p>
          <w:p w14:paraId="58D1C6C5" w14:textId="77777777" w:rsidR="006E319E" w:rsidRPr="00295CF5" w:rsidRDefault="006E319E" w:rsidP="006E319E">
            <w:pPr>
              <w:pStyle w:val="TableText"/>
            </w:pPr>
            <w:r w:rsidRPr="00295CF5">
              <w:t>Lin Gao</w:t>
            </w:r>
          </w:p>
          <w:p w14:paraId="58D1C6C6" w14:textId="77777777" w:rsidR="006E319E" w:rsidRPr="00295CF5" w:rsidRDefault="006E319E" w:rsidP="006E319E">
            <w:pPr>
              <w:pStyle w:val="TableText"/>
            </w:pPr>
            <w:r w:rsidRPr="00295CF5">
              <w:t>Jose</w:t>
            </w:r>
            <w:r>
              <w:t>p</w:t>
            </w:r>
            <w:r w:rsidRPr="00295CF5">
              <w:t>h Molinari</w:t>
            </w:r>
          </w:p>
          <w:p w14:paraId="58D1C6C7" w14:textId="77777777" w:rsidR="006E319E" w:rsidRPr="00295CF5" w:rsidRDefault="006E319E" w:rsidP="006E319E">
            <w:pPr>
              <w:pStyle w:val="TableText"/>
            </w:pPr>
            <w:r w:rsidRPr="00295CF5">
              <w:t>Zhao Pan</w:t>
            </w:r>
          </w:p>
        </w:tc>
      </w:tr>
      <w:tr w:rsidR="00AB5EBE" w:rsidRPr="00333E76" w14:paraId="58D1C6CA" w14:textId="77777777" w:rsidTr="00C6201E">
        <w:trPr>
          <w:cantSplit/>
        </w:trPr>
        <w:tc>
          <w:tcPr>
            <w:tcW w:w="9072" w:type="dxa"/>
            <w:gridSpan w:val="2"/>
            <w:shd w:val="clear" w:color="auto" w:fill="A6E1F4"/>
          </w:tcPr>
          <w:p w14:paraId="58D1C6C9" w14:textId="77777777" w:rsidR="00AB5EBE" w:rsidRPr="00CF1401" w:rsidRDefault="00AB5EBE" w:rsidP="00624CAA">
            <w:pPr>
              <w:pStyle w:val="TableTextBold"/>
            </w:pPr>
            <w:r w:rsidRPr="00CF1401">
              <w:t>Administrative review</w:t>
            </w:r>
          </w:p>
        </w:tc>
      </w:tr>
      <w:tr w:rsidR="00AB5EBE" w:rsidRPr="00333E76" w14:paraId="58D1C6CD" w14:textId="77777777" w:rsidTr="00C6201E">
        <w:trPr>
          <w:cantSplit/>
        </w:trPr>
        <w:tc>
          <w:tcPr>
            <w:tcW w:w="2792" w:type="dxa"/>
            <w:shd w:val="clear" w:color="auto" w:fill="E5F6FC"/>
          </w:tcPr>
          <w:p w14:paraId="58D1C6CB" w14:textId="77777777" w:rsidR="00AB5EBE" w:rsidRPr="00974789" w:rsidRDefault="00AB5EBE" w:rsidP="00974789">
            <w:pPr>
              <w:pStyle w:val="TableText"/>
              <w:rPr>
                <w:rStyle w:val="Emphasis"/>
              </w:rPr>
            </w:pPr>
            <w:r w:rsidRPr="00974789">
              <w:rPr>
                <w:rStyle w:val="Emphasis"/>
              </w:rPr>
              <w:t>Estate Agents Act 1980</w:t>
            </w:r>
          </w:p>
        </w:tc>
        <w:tc>
          <w:tcPr>
            <w:tcW w:w="6280" w:type="dxa"/>
            <w:shd w:val="clear" w:color="auto" w:fill="E5F6FC"/>
          </w:tcPr>
          <w:p w14:paraId="58D1C6CC" w14:textId="77777777" w:rsidR="00AB5EBE" w:rsidRPr="00587380" w:rsidRDefault="00AB5EBE" w:rsidP="00624CAA">
            <w:pPr>
              <w:pStyle w:val="TableText"/>
            </w:pPr>
            <w:r w:rsidRPr="00295CF5">
              <w:t xml:space="preserve">Lawfords Real Estate Pty Ltd </w:t>
            </w:r>
            <w:r w:rsidR="004D0490">
              <w:t>ACN 610 450 283</w:t>
            </w:r>
          </w:p>
        </w:tc>
      </w:tr>
      <w:tr w:rsidR="00AB5EBE" w:rsidRPr="00333E76" w14:paraId="58D1C6D0" w14:textId="77777777" w:rsidTr="00C6201E">
        <w:trPr>
          <w:cantSplit/>
        </w:trPr>
        <w:tc>
          <w:tcPr>
            <w:tcW w:w="2792" w:type="dxa"/>
            <w:shd w:val="clear" w:color="auto" w:fill="E5F6FC"/>
          </w:tcPr>
          <w:p w14:paraId="58D1C6CE" w14:textId="77777777" w:rsidR="00AB5EBE" w:rsidRPr="00974789" w:rsidRDefault="00AB5EBE" w:rsidP="00974789">
            <w:pPr>
              <w:pStyle w:val="TableText"/>
              <w:rPr>
                <w:rStyle w:val="Emphasis"/>
              </w:rPr>
            </w:pPr>
            <w:r w:rsidRPr="00974789">
              <w:rPr>
                <w:rStyle w:val="Emphasis"/>
              </w:rPr>
              <w:t>Motor Car Traders Act 1986</w:t>
            </w:r>
          </w:p>
        </w:tc>
        <w:tc>
          <w:tcPr>
            <w:tcW w:w="6280" w:type="dxa"/>
            <w:shd w:val="clear" w:color="auto" w:fill="E5F6FC"/>
          </w:tcPr>
          <w:p w14:paraId="58D1C6CF" w14:textId="77777777" w:rsidR="00AB5EBE" w:rsidRPr="00295CF5" w:rsidRDefault="00AB5EBE" w:rsidP="00624CAA">
            <w:pPr>
              <w:pStyle w:val="TableText"/>
            </w:pPr>
            <w:r w:rsidRPr="00295CF5">
              <w:t xml:space="preserve">Lawpoint Mortgages Pty Ltd ACN </w:t>
            </w:r>
            <w:r>
              <w:t>105 682 880</w:t>
            </w:r>
          </w:p>
        </w:tc>
      </w:tr>
    </w:tbl>
    <w:p w14:paraId="58D1C6D1" w14:textId="77777777" w:rsidR="00C90E80" w:rsidRPr="00535227" w:rsidRDefault="00C90E80" w:rsidP="00201270">
      <w:pPr>
        <w:pStyle w:val="Heading3"/>
        <w:rPr>
          <w:rStyle w:val="Heading3largerchar"/>
        </w:rPr>
      </w:pPr>
      <w:r w:rsidRPr="00535227">
        <w:rPr>
          <w:rStyle w:val="Heading3largerchar"/>
        </w:rPr>
        <w:br w:type="page"/>
      </w:r>
      <w:bookmarkStart w:id="41" w:name="_Toc457494711"/>
      <w:bookmarkStart w:id="42" w:name="_Toc457494993"/>
      <w:bookmarkStart w:id="43" w:name="_Toc464830766"/>
      <w:r w:rsidRPr="00535227">
        <w:rPr>
          <w:rStyle w:val="Heading3largerchar"/>
        </w:rPr>
        <w:lastRenderedPageBreak/>
        <w:t>Goal 2 – Victorians exercise their consumer rights</w:t>
      </w:r>
      <w:bookmarkEnd w:id="41"/>
      <w:bookmarkEnd w:id="42"/>
      <w:bookmarkEnd w:id="43"/>
    </w:p>
    <w:p w14:paraId="58D1C6D2" w14:textId="77777777" w:rsidR="00C04AF5" w:rsidRPr="00735A3B" w:rsidRDefault="00C04AF5" w:rsidP="00535227">
      <w:pPr>
        <w:pStyle w:val="BodyText"/>
        <w:rPr>
          <w:lang w:eastAsia="en-AU"/>
        </w:rPr>
      </w:pPr>
      <w:r w:rsidRPr="00735A3B">
        <w:rPr>
          <w:lang w:eastAsia="en-AU"/>
        </w:rPr>
        <w:t>We empower Victorians to exercise their consumer rights by providing them with information and support. We continue to work with partner organisations to improve the information we provide, and to target groups who have specialised information needs.</w:t>
      </w:r>
    </w:p>
    <w:p w14:paraId="58D1C6D3" w14:textId="77777777" w:rsidR="00921F95" w:rsidRDefault="00921F95" w:rsidP="00535227">
      <w:pPr>
        <w:pStyle w:val="Heading4"/>
        <w:rPr>
          <w:lang w:eastAsia="en-AU"/>
        </w:rPr>
      </w:pPr>
      <w:bookmarkStart w:id="44" w:name="_Toc457494712"/>
      <w:bookmarkStart w:id="45" w:name="_Toc457494994"/>
      <w:r>
        <w:rPr>
          <w:lang w:eastAsia="en-AU"/>
        </w:rPr>
        <w:t>Highlights</w:t>
      </w:r>
      <w:bookmarkEnd w:id="44"/>
      <w:bookmarkEnd w:id="45"/>
    </w:p>
    <w:p w14:paraId="58D1C6D4" w14:textId="77777777" w:rsidR="000A74E4" w:rsidRDefault="00A73103" w:rsidP="00535227">
      <w:pPr>
        <w:pStyle w:val="BodyText"/>
        <w:rPr>
          <w:lang w:eastAsia="en-AU"/>
        </w:rPr>
      </w:pPr>
      <w:r>
        <w:rPr>
          <w:lang w:eastAsia="en-AU"/>
        </w:rPr>
        <w:t xml:space="preserve">In 2015-16 we continued to </w:t>
      </w:r>
      <w:r w:rsidR="000A74E4">
        <w:rPr>
          <w:lang w:eastAsia="en-AU"/>
        </w:rPr>
        <w:t>provide information and advice through a range of channels, the most fre</w:t>
      </w:r>
      <w:r>
        <w:rPr>
          <w:lang w:eastAsia="en-AU"/>
        </w:rPr>
        <w:t>q</w:t>
      </w:r>
      <w:r w:rsidR="00CF66CA">
        <w:rPr>
          <w:lang w:eastAsia="en-AU"/>
        </w:rPr>
        <w:t>uented of which was our website,</w:t>
      </w:r>
      <w:r w:rsidR="000A74E4">
        <w:rPr>
          <w:lang w:eastAsia="en-AU"/>
        </w:rPr>
        <w:t xml:space="preserve"> visited three and a half million times. The most </w:t>
      </w:r>
      <w:r>
        <w:rPr>
          <w:lang w:eastAsia="en-AU"/>
        </w:rPr>
        <w:t>viewed</w:t>
      </w:r>
      <w:r w:rsidR="000A74E4">
        <w:rPr>
          <w:lang w:eastAsia="en-AU"/>
        </w:rPr>
        <w:t xml:space="preserve"> section of the website was renting, with around one and a half million visits.</w:t>
      </w:r>
    </w:p>
    <w:p w14:paraId="58D1C6D5" w14:textId="77777777" w:rsidR="00804AB6" w:rsidRDefault="00A73103" w:rsidP="00535227">
      <w:pPr>
        <w:pStyle w:val="BodyText"/>
        <w:rPr>
          <w:lang w:eastAsia="en-AU"/>
        </w:rPr>
      </w:pPr>
      <w:r>
        <w:rPr>
          <w:lang w:eastAsia="en-AU"/>
        </w:rPr>
        <w:t>W</w:t>
      </w:r>
      <w:r w:rsidR="005038A8">
        <w:rPr>
          <w:lang w:eastAsia="en-AU"/>
        </w:rPr>
        <w:t xml:space="preserve">e </w:t>
      </w:r>
      <w:r>
        <w:rPr>
          <w:lang w:eastAsia="en-AU"/>
        </w:rPr>
        <w:t xml:space="preserve">also </w:t>
      </w:r>
      <w:r w:rsidR="005038A8">
        <w:rPr>
          <w:lang w:eastAsia="en-AU"/>
        </w:rPr>
        <w:t xml:space="preserve">provided information and advice to almost </w:t>
      </w:r>
      <w:r w:rsidR="00DA3E9A">
        <w:rPr>
          <w:lang w:eastAsia="en-AU"/>
        </w:rPr>
        <w:t>350,000 call</w:t>
      </w:r>
      <w:r w:rsidR="005038A8">
        <w:rPr>
          <w:lang w:eastAsia="en-AU"/>
        </w:rPr>
        <w:t>er</w:t>
      </w:r>
      <w:r w:rsidR="00DA3E9A">
        <w:rPr>
          <w:lang w:eastAsia="en-AU"/>
        </w:rPr>
        <w:t>s</w:t>
      </w:r>
      <w:r w:rsidR="005038A8">
        <w:rPr>
          <w:lang w:eastAsia="en-AU"/>
        </w:rPr>
        <w:t xml:space="preserve"> to our </w:t>
      </w:r>
      <w:r w:rsidR="00315661">
        <w:rPr>
          <w:lang w:eastAsia="en-AU"/>
        </w:rPr>
        <w:t xml:space="preserve">telephone </w:t>
      </w:r>
      <w:r w:rsidR="005038A8">
        <w:rPr>
          <w:lang w:eastAsia="en-AU"/>
        </w:rPr>
        <w:t>service</w:t>
      </w:r>
      <w:r w:rsidR="00315661">
        <w:rPr>
          <w:lang w:eastAsia="en-AU"/>
        </w:rPr>
        <w:t>s</w:t>
      </w:r>
      <w:r w:rsidR="00804AB6">
        <w:rPr>
          <w:lang w:eastAsia="en-AU"/>
        </w:rPr>
        <w:t xml:space="preserve"> and responded to over 60,000 written and online queries.</w:t>
      </w:r>
    </w:p>
    <w:p w14:paraId="58D1C6D6" w14:textId="77777777" w:rsidR="00804AB6" w:rsidRDefault="00804AB6" w:rsidP="00535227">
      <w:pPr>
        <w:pStyle w:val="BodyText"/>
        <w:rPr>
          <w:lang w:eastAsia="en-AU"/>
        </w:rPr>
      </w:pPr>
      <w:r>
        <w:rPr>
          <w:lang w:eastAsia="en-AU"/>
        </w:rPr>
        <w:fldChar w:fldCharType="begin"/>
      </w:r>
      <w:r>
        <w:rPr>
          <w:lang w:eastAsia="en-AU"/>
        </w:rPr>
        <w:instrText xml:space="preserve"> REF _Ref456357919 \h </w:instrText>
      </w:r>
      <w:r>
        <w:rPr>
          <w:lang w:eastAsia="en-AU"/>
        </w:rPr>
      </w:r>
      <w:r>
        <w:rPr>
          <w:lang w:eastAsia="en-AU"/>
        </w:rPr>
        <w:fldChar w:fldCharType="separate"/>
      </w:r>
      <w:r w:rsidR="00973EC1">
        <w:t xml:space="preserve">Table </w:t>
      </w:r>
      <w:r w:rsidR="00973EC1">
        <w:rPr>
          <w:noProof/>
        </w:rPr>
        <w:t>3</w:t>
      </w:r>
      <w:r>
        <w:rPr>
          <w:lang w:eastAsia="en-AU"/>
        </w:rPr>
        <w:fldChar w:fldCharType="end"/>
      </w:r>
      <w:r>
        <w:rPr>
          <w:lang w:eastAsia="en-AU"/>
        </w:rPr>
        <w:t xml:space="preserve"> outlines </w:t>
      </w:r>
      <w:r w:rsidRPr="00735A3B">
        <w:rPr>
          <w:lang w:eastAsia="en-AU"/>
        </w:rPr>
        <w:t>the information</w:t>
      </w:r>
      <w:r>
        <w:rPr>
          <w:lang w:eastAsia="en-AU"/>
        </w:rPr>
        <w:t>,</w:t>
      </w:r>
      <w:r w:rsidRPr="00735A3B">
        <w:rPr>
          <w:lang w:eastAsia="en-AU"/>
        </w:rPr>
        <w:t xml:space="preserve"> advice </w:t>
      </w:r>
      <w:r>
        <w:rPr>
          <w:lang w:eastAsia="en-AU"/>
        </w:rPr>
        <w:t xml:space="preserve">and assistance that </w:t>
      </w:r>
      <w:r w:rsidRPr="00735A3B">
        <w:rPr>
          <w:lang w:eastAsia="en-AU"/>
        </w:rPr>
        <w:t>we provide</w:t>
      </w:r>
      <w:r w:rsidR="007A655A">
        <w:rPr>
          <w:lang w:eastAsia="en-AU"/>
        </w:rPr>
        <w:t>d</w:t>
      </w:r>
      <w:r w:rsidRPr="00735A3B">
        <w:rPr>
          <w:lang w:eastAsia="en-AU"/>
        </w:rPr>
        <w:t xml:space="preserve"> to Victorians, including consumers, tenants and businesses</w:t>
      </w:r>
      <w:r w:rsidR="007A655A">
        <w:rPr>
          <w:lang w:eastAsia="en-AU"/>
        </w:rPr>
        <w:t xml:space="preserve"> this year</w:t>
      </w:r>
      <w:r w:rsidRPr="00735A3B">
        <w:rPr>
          <w:lang w:eastAsia="en-AU"/>
        </w:rPr>
        <w:t>.</w:t>
      </w:r>
    </w:p>
    <w:p w14:paraId="58D1C6D7" w14:textId="77777777" w:rsidR="00921F95" w:rsidRDefault="00804AB6" w:rsidP="00535227">
      <w:pPr>
        <w:pStyle w:val="BodyText"/>
        <w:rPr>
          <w:lang w:eastAsia="en-AU"/>
        </w:rPr>
      </w:pPr>
      <w:r>
        <w:rPr>
          <w:lang w:eastAsia="en-AU"/>
        </w:rPr>
        <w:t>Our advice</w:t>
      </w:r>
      <w:r w:rsidR="007A655A">
        <w:rPr>
          <w:lang w:eastAsia="en-AU"/>
        </w:rPr>
        <w:t xml:space="preserve"> covered</w:t>
      </w:r>
      <w:r w:rsidR="005038A8">
        <w:rPr>
          <w:lang w:eastAsia="en-AU"/>
        </w:rPr>
        <w:t xml:space="preserve"> </w:t>
      </w:r>
      <w:r w:rsidR="00E64C56">
        <w:rPr>
          <w:lang w:eastAsia="en-AU"/>
        </w:rPr>
        <w:t xml:space="preserve">the </w:t>
      </w:r>
      <w:r w:rsidR="005038A8">
        <w:rPr>
          <w:lang w:eastAsia="en-AU"/>
        </w:rPr>
        <w:t>full spectrum of issues</w:t>
      </w:r>
      <w:r w:rsidR="00DA3E9A">
        <w:rPr>
          <w:lang w:eastAsia="en-AU"/>
        </w:rPr>
        <w:t xml:space="preserve"> </w:t>
      </w:r>
      <w:r w:rsidR="005038A8">
        <w:rPr>
          <w:lang w:eastAsia="en-AU"/>
        </w:rPr>
        <w:t>related to our regulatory functions, including</w:t>
      </w:r>
      <w:r>
        <w:rPr>
          <w:lang w:eastAsia="en-AU"/>
        </w:rPr>
        <w:t xml:space="preserve"> inquires about</w:t>
      </w:r>
      <w:r w:rsidR="005038A8">
        <w:rPr>
          <w:lang w:eastAsia="en-AU"/>
        </w:rPr>
        <w:t xml:space="preserve"> general consumer issues, renting, building, estate agents, registrations, licensing an</w:t>
      </w:r>
      <w:r>
        <w:rPr>
          <w:lang w:eastAsia="en-AU"/>
        </w:rPr>
        <w:t>d small business</w:t>
      </w:r>
      <w:r w:rsidR="00315661">
        <w:rPr>
          <w:lang w:eastAsia="en-AU"/>
        </w:rPr>
        <w:t>.</w:t>
      </w:r>
    </w:p>
    <w:p w14:paraId="58D1C6D8" w14:textId="77777777" w:rsidR="00315661" w:rsidRDefault="00315661" w:rsidP="00535227">
      <w:pPr>
        <w:pStyle w:val="BodyText"/>
        <w:rPr>
          <w:lang w:eastAsia="en-AU"/>
        </w:rPr>
      </w:pPr>
      <w:r>
        <w:rPr>
          <w:lang w:eastAsia="en-AU"/>
        </w:rPr>
        <w:t>While we provide</w:t>
      </w:r>
      <w:r w:rsidR="007A655A">
        <w:rPr>
          <w:lang w:eastAsia="en-AU"/>
        </w:rPr>
        <w:t>d</w:t>
      </w:r>
      <w:r>
        <w:rPr>
          <w:lang w:eastAsia="en-AU"/>
        </w:rPr>
        <w:t xml:space="preserve"> the necessary information for consumers to resolve issues independently, we </w:t>
      </w:r>
      <w:r w:rsidR="00804AB6">
        <w:rPr>
          <w:lang w:eastAsia="en-AU"/>
        </w:rPr>
        <w:t>provide</w:t>
      </w:r>
      <w:r w:rsidR="007A655A">
        <w:rPr>
          <w:lang w:eastAsia="en-AU"/>
        </w:rPr>
        <w:t>d</w:t>
      </w:r>
      <w:r w:rsidR="00A73103">
        <w:rPr>
          <w:lang w:eastAsia="en-AU"/>
        </w:rPr>
        <w:t xml:space="preserve"> dispute resolution services</w:t>
      </w:r>
      <w:r w:rsidR="00804AB6">
        <w:rPr>
          <w:lang w:eastAsia="en-AU"/>
        </w:rPr>
        <w:t xml:space="preserve"> and intensive assistance to Victorians in need under the Consumer Advice and </w:t>
      </w:r>
      <w:r w:rsidR="009D64E4">
        <w:rPr>
          <w:lang w:eastAsia="en-AU"/>
        </w:rPr>
        <w:t>Advocacy</w:t>
      </w:r>
      <w:r w:rsidR="00804AB6">
        <w:rPr>
          <w:lang w:eastAsia="en-AU"/>
        </w:rPr>
        <w:t xml:space="preserve"> Program and </w:t>
      </w:r>
      <w:r>
        <w:rPr>
          <w:lang w:eastAsia="en-AU"/>
        </w:rPr>
        <w:t>financial counselling</w:t>
      </w:r>
      <w:r w:rsidR="00804AB6">
        <w:rPr>
          <w:lang w:eastAsia="en-AU"/>
        </w:rPr>
        <w:t xml:space="preserve"> services</w:t>
      </w:r>
      <w:r>
        <w:rPr>
          <w:lang w:eastAsia="en-AU"/>
        </w:rPr>
        <w:t>.</w:t>
      </w:r>
      <w:r w:rsidR="00A73103">
        <w:rPr>
          <w:lang w:eastAsia="en-AU"/>
        </w:rPr>
        <w:t xml:space="preserve"> We also continued to provide funding to the MoneyHelp website, which received over 600,000 visits.</w:t>
      </w:r>
    </w:p>
    <w:p w14:paraId="58D1C6D9" w14:textId="77777777" w:rsidR="00921F95" w:rsidRPr="00E87BCB" w:rsidRDefault="00921F95" w:rsidP="0032485B">
      <w:pPr>
        <w:pStyle w:val="Caption"/>
        <w:pageBreakBefore/>
        <w:spacing w:before="0"/>
      </w:pPr>
      <w:bookmarkStart w:id="46" w:name="_Ref456357919"/>
      <w:r>
        <w:lastRenderedPageBreak/>
        <w:t xml:space="preserve">Table </w:t>
      </w:r>
      <w:r>
        <w:fldChar w:fldCharType="begin"/>
      </w:r>
      <w:r>
        <w:instrText xml:space="preserve"> SEQ Table \* ARABIC </w:instrText>
      </w:r>
      <w:r>
        <w:fldChar w:fldCharType="separate"/>
      </w:r>
      <w:r w:rsidR="00973EC1">
        <w:rPr>
          <w:noProof/>
        </w:rPr>
        <w:t>3</w:t>
      </w:r>
      <w:r>
        <w:fldChar w:fldCharType="end"/>
      </w:r>
      <w:bookmarkEnd w:id="46"/>
      <w:r>
        <w:t>: Information, advice and ass</w:t>
      </w:r>
      <w:r w:rsidR="009D64E4">
        <w:t>istance provided to consumers</w:t>
      </w:r>
    </w:p>
    <w:tbl>
      <w:tblPr>
        <w:tblW w:w="9072" w:type="dxa"/>
        <w:tblInd w:w="108" w:type="dxa"/>
        <w:tblBorders>
          <w:top w:val="single" w:sz="4" w:space="0" w:color="0072CE"/>
          <w:left w:val="single" w:sz="4" w:space="0" w:color="0072CE"/>
          <w:bottom w:val="single" w:sz="4" w:space="0" w:color="0072CE"/>
          <w:right w:val="single" w:sz="4" w:space="0" w:color="0072CE"/>
          <w:insideH w:val="single" w:sz="4" w:space="0" w:color="0072CE"/>
          <w:insideV w:val="single" w:sz="4" w:space="0" w:color="0072CE"/>
        </w:tblBorders>
        <w:tblLook w:val="04A0" w:firstRow="1" w:lastRow="0" w:firstColumn="1" w:lastColumn="0" w:noHBand="0" w:noVBand="1"/>
      </w:tblPr>
      <w:tblGrid>
        <w:gridCol w:w="4961"/>
        <w:gridCol w:w="1413"/>
        <w:gridCol w:w="1413"/>
        <w:gridCol w:w="1285"/>
      </w:tblGrid>
      <w:tr w:rsidR="00921F95" w:rsidRPr="004F0321" w14:paraId="58D1C6DE" w14:textId="77777777" w:rsidTr="00C6201E">
        <w:trPr>
          <w:cantSplit/>
          <w:tblHeader/>
        </w:trPr>
        <w:tc>
          <w:tcPr>
            <w:tcW w:w="4275" w:type="dxa"/>
            <w:tcBorders>
              <w:right w:val="single" w:sz="4" w:space="0" w:color="FFFFFF"/>
            </w:tcBorders>
            <w:shd w:val="clear" w:color="auto" w:fill="0072CE"/>
            <w:vAlign w:val="bottom"/>
          </w:tcPr>
          <w:p w14:paraId="58D1C6DA" w14:textId="77777777" w:rsidR="00921F95" w:rsidRPr="004F0321" w:rsidRDefault="00921F95" w:rsidP="00621D83">
            <w:pPr>
              <w:pStyle w:val="TableColHead"/>
            </w:pPr>
          </w:p>
        </w:tc>
        <w:tc>
          <w:tcPr>
            <w:tcW w:w="1217" w:type="dxa"/>
            <w:tcBorders>
              <w:left w:val="single" w:sz="4" w:space="0" w:color="FFFFFF"/>
              <w:right w:val="single" w:sz="4" w:space="0" w:color="FFFFFF"/>
            </w:tcBorders>
            <w:shd w:val="clear" w:color="auto" w:fill="0072CE"/>
            <w:vAlign w:val="bottom"/>
          </w:tcPr>
          <w:p w14:paraId="58D1C6DB" w14:textId="77777777" w:rsidR="00921F95" w:rsidRPr="004F0321" w:rsidRDefault="00921F95" w:rsidP="00621D83">
            <w:pPr>
              <w:pStyle w:val="TableColHeadRight"/>
            </w:pPr>
            <w:r w:rsidRPr="004F0321">
              <w:t>2013-14</w:t>
            </w:r>
          </w:p>
        </w:tc>
        <w:tc>
          <w:tcPr>
            <w:tcW w:w="1217" w:type="dxa"/>
            <w:tcBorders>
              <w:left w:val="single" w:sz="4" w:space="0" w:color="FFFFFF"/>
              <w:right w:val="single" w:sz="4" w:space="0" w:color="FFFFFF"/>
            </w:tcBorders>
            <w:shd w:val="clear" w:color="auto" w:fill="0072CE"/>
            <w:vAlign w:val="bottom"/>
          </w:tcPr>
          <w:p w14:paraId="58D1C6DC" w14:textId="77777777" w:rsidR="00921F95" w:rsidRPr="004F0321" w:rsidRDefault="00921F95" w:rsidP="00621D83">
            <w:pPr>
              <w:pStyle w:val="TableColHeadRight"/>
            </w:pPr>
            <w:r w:rsidRPr="004F0321">
              <w:t>2014-15</w:t>
            </w:r>
          </w:p>
        </w:tc>
        <w:tc>
          <w:tcPr>
            <w:tcW w:w="1107" w:type="dxa"/>
            <w:tcBorders>
              <w:left w:val="single" w:sz="4" w:space="0" w:color="FFFFFF"/>
            </w:tcBorders>
            <w:shd w:val="clear" w:color="auto" w:fill="0072CE"/>
            <w:vAlign w:val="bottom"/>
          </w:tcPr>
          <w:p w14:paraId="58D1C6DD" w14:textId="77777777" w:rsidR="00921F95" w:rsidRPr="004F0321" w:rsidRDefault="00921F95" w:rsidP="00621D83">
            <w:pPr>
              <w:pStyle w:val="TableColHeadRight"/>
            </w:pPr>
            <w:r w:rsidRPr="004F0321">
              <w:t>2015-16</w:t>
            </w:r>
          </w:p>
        </w:tc>
      </w:tr>
      <w:tr w:rsidR="00A76634" w:rsidRPr="004F0321" w14:paraId="58D1C6E0" w14:textId="77777777" w:rsidTr="00C6201E">
        <w:trPr>
          <w:cantSplit/>
        </w:trPr>
        <w:tc>
          <w:tcPr>
            <w:tcW w:w="7816" w:type="dxa"/>
            <w:gridSpan w:val="4"/>
            <w:shd w:val="clear" w:color="auto" w:fill="C7ECF8"/>
          </w:tcPr>
          <w:p w14:paraId="58D1C6DF" w14:textId="77777777" w:rsidR="00A76634" w:rsidRPr="004F0321" w:rsidRDefault="00A76634" w:rsidP="00621D83">
            <w:pPr>
              <w:pStyle w:val="TableTextBold"/>
            </w:pPr>
            <w:r w:rsidRPr="004F0321">
              <w:t>Information and advice</w:t>
            </w:r>
          </w:p>
        </w:tc>
      </w:tr>
      <w:tr w:rsidR="00921F95" w14:paraId="58D1C6E5" w14:textId="77777777" w:rsidTr="00C6201E">
        <w:trPr>
          <w:cantSplit/>
        </w:trPr>
        <w:tc>
          <w:tcPr>
            <w:tcW w:w="4275" w:type="dxa"/>
            <w:shd w:val="clear" w:color="auto" w:fill="E5F6FC"/>
          </w:tcPr>
          <w:p w14:paraId="58D1C6E1" w14:textId="77777777" w:rsidR="00921F95" w:rsidRPr="00192DA4" w:rsidRDefault="00921F95" w:rsidP="00621D83">
            <w:pPr>
              <w:pStyle w:val="TableText"/>
            </w:pPr>
            <w:r w:rsidRPr="00192DA4">
              <w:t>Calls answered</w:t>
            </w:r>
          </w:p>
        </w:tc>
        <w:tc>
          <w:tcPr>
            <w:tcW w:w="1217" w:type="dxa"/>
            <w:shd w:val="clear" w:color="auto" w:fill="E5F6FC"/>
          </w:tcPr>
          <w:p w14:paraId="58D1C6E2" w14:textId="77777777" w:rsidR="00921F95" w:rsidRDefault="00921F95" w:rsidP="00621D83">
            <w:pPr>
              <w:pStyle w:val="TableTextRight"/>
            </w:pPr>
            <w:r>
              <w:t>390,349</w:t>
            </w:r>
          </w:p>
        </w:tc>
        <w:tc>
          <w:tcPr>
            <w:tcW w:w="1217" w:type="dxa"/>
            <w:shd w:val="clear" w:color="auto" w:fill="E5F6FC"/>
          </w:tcPr>
          <w:p w14:paraId="58D1C6E3" w14:textId="77777777" w:rsidR="00921F95" w:rsidRPr="00192DA4" w:rsidRDefault="00921F95" w:rsidP="00621D83">
            <w:pPr>
              <w:pStyle w:val="TableTextRight"/>
            </w:pPr>
            <w:r>
              <w:t>352,369</w:t>
            </w:r>
          </w:p>
        </w:tc>
        <w:tc>
          <w:tcPr>
            <w:tcW w:w="1107" w:type="dxa"/>
            <w:shd w:val="clear" w:color="auto" w:fill="C7ECF8"/>
          </w:tcPr>
          <w:p w14:paraId="58D1C6E4" w14:textId="77777777" w:rsidR="00921F95" w:rsidRPr="00621D83" w:rsidRDefault="00921F95" w:rsidP="00621D83">
            <w:pPr>
              <w:pStyle w:val="TableTextBoldRight"/>
            </w:pPr>
            <w:r w:rsidRPr="00621D83">
              <w:t>349,985</w:t>
            </w:r>
          </w:p>
        </w:tc>
      </w:tr>
      <w:tr w:rsidR="00A76634" w:rsidRPr="004F0321" w14:paraId="58D1C6E7" w14:textId="77777777" w:rsidTr="00C6201E">
        <w:trPr>
          <w:cantSplit/>
        </w:trPr>
        <w:tc>
          <w:tcPr>
            <w:tcW w:w="7816" w:type="dxa"/>
            <w:gridSpan w:val="4"/>
            <w:shd w:val="clear" w:color="auto" w:fill="C7ECF8"/>
          </w:tcPr>
          <w:p w14:paraId="58D1C6E6" w14:textId="77777777" w:rsidR="00A76634" w:rsidRPr="004F0321" w:rsidRDefault="00A76634" w:rsidP="00621D83">
            <w:pPr>
              <w:pStyle w:val="TableTextBold"/>
            </w:pPr>
            <w:r w:rsidRPr="004F0321">
              <w:t>Advice provided to resolve disputes</w:t>
            </w:r>
          </w:p>
        </w:tc>
      </w:tr>
      <w:tr w:rsidR="00921F95" w:rsidRPr="00192DA4" w14:paraId="58D1C6EC" w14:textId="77777777" w:rsidTr="00C6201E">
        <w:trPr>
          <w:cantSplit/>
        </w:trPr>
        <w:tc>
          <w:tcPr>
            <w:tcW w:w="4275" w:type="dxa"/>
            <w:shd w:val="clear" w:color="auto" w:fill="E5F6FC"/>
          </w:tcPr>
          <w:p w14:paraId="58D1C6E8" w14:textId="77777777" w:rsidR="00921F95" w:rsidRPr="00333E76" w:rsidRDefault="00921F95" w:rsidP="00621D83">
            <w:pPr>
              <w:pStyle w:val="TableText"/>
              <w:rPr>
                <w:vertAlign w:val="superscript"/>
              </w:rPr>
            </w:pPr>
            <w:r w:rsidRPr="009C75D3">
              <w:t>Disputes finalised</w:t>
            </w:r>
            <w:r w:rsidR="00974789">
              <w:rPr>
                <w:rStyle w:val="FootnoteReference"/>
              </w:rPr>
              <w:footnoteReference w:id="13"/>
            </w:r>
          </w:p>
        </w:tc>
        <w:tc>
          <w:tcPr>
            <w:tcW w:w="1217" w:type="dxa"/>
            <w:shd w:val="clear" w:color="auto" w:fill="E5F6FC"/>
          </w:tcPr>
          <w:p w14:paraId="58D1C6E9" w14:textId="77777777" w:rsidR="00921F95" w:rsidRPr="009C75D3" w:rsidRDefault="00921F95" w:rsidP="00621D83">
            <w:pPr>
              <w:pStyle w:val="TableTextRight"/>
            </w:pPr>
            <w:r w:rsidRPr="009C75D3">
              <w:t>13,</w:t>
            </w:r>
            <w:r>
              <w:t>358</w:t>
            </w:r>
          </w:p>
        </w:tc>
        <w:tc>
          <w:tcPr>
            <w:tcW w:w="1217" w:type="dxa"/>
            <w:shd w:val="clear" w:color="auto" w:fill="E5F6FC"/>
          </w:tcPr>
          <w:p w14:paraId="58D1C6EA" w14:textId="77777777" w:rsidR="00921F95" w:rsidRPr="009C75D3" w:rsidRDefault="00921F95" w:rsidP="00621D83">
            <w:pPr>
              <w:pStyle w:val="TableTextRight"/>
            </w:pPr>
            <w:r w:rsidRPr="009C75D3">
              <w:t>8,975</w:t>
            </w:r>
          </w:p>
        </w:tc>
        <w:tc>
          <w:tcPr>
            <w:tcW w:w="1107" w:type="dxa"/>
            <w:shd w:val="clear" w:color="auto" w:fill="C7ECF8"/>
          </w:tcPr>
          <w:p w14:paraId="58D1C6EB" w14:textId="77777777" w:rsidR="00921F95" w:rsidRPr="009C75D3" w:rsidRDefault="00921F95" w:rsidP="00621D83">
            <w:pPr>
              <w:pStyle w:val="TableTextBoldRight"/>
            </w:pPr>
            <w:r>
              <w:t>8,409</w:t>
            </w:r>
          </w:p>
        </w:tc>
      </w:tr>
      <w:tr w:rsidR="00A76634" w:rsidRPr="004F0321" w14:paraId="58D1C6EE" w14:textId="77777777" w:rsidTr="00C6201E">
        <w:trPr>
          <w:cantSplit/>
        </w:trPr>
        <w:tc>
          <w:tcPr>
            <w:tcW w:w="7816" w:type="dxa"/>
            <w:gridSpan w:val="4"/>
            <w:shd w:val="clear" w:color="auto" w:fill="C7ECF8"/>
          </w:tcPr>
          <w:p w14:paraId="58D1C6ED" w14:textId="77777777" w:rsidR="00A76634" w:rsidRPr="004F0321" w:rsidRDefault="00A76634" w:rsidP="00621D83">
            <w:pPr>
              <w:pStyle w:val="TableTextBold"/>
            </w:pPr>
            <w:r w:rsidRPr="004F0321">
              <w:t>Digital</w:t>
            </w:r>
          </w:p>
        </w:tc>
      </w:tr>
      <w:tr w:rsidR="00921F95" w:rsidRPr="00192DA4" w14:paraId="58D1C6F3" w14:textId="77777777" w:rsidTr="00C6201E">
        <w:trPr>
          <w:cantSplit/>
        </w:trPr>
        <w:tc>
          <w:tcPr>
            <w:tcW w:w="4275" w:type="dxa"/>
            <w:shd w:val="clear" w:color="auto" w:fill="E5F6FC"/>
          </w:tcPr>
          <w:p w14:paraId="58D1C6EF" w14:textId="77777777" w:rsidR="00921F95" w:rsidRPr="00192DA4" w:rsidRDefault="00921F95" w:rsidP="00621D83">
            <w:pPr>
              <w:pStyle w:val="TableText"/>
            </w:pPr>
            <w:r w:rsidRPr="00192DA4">
              <w:t>Website visits</w:t>
            </w:r>
          </w:p>
        </w:tc>
        <w:tc>
          <w:tcPr>
            <w:tcW w:w="1217" w:type="dxa"/>
            <w:shd w:val="clear" w:color="auto" w:fill="E5F6FC"/>
          </w:tcPr>
          <w:p w14:paraId="58D1C6F0" w14:textId="77777777" w:rsidR="00921F95" w:rsidRPr="00192DA4" w:rsidRDefault="00921F95" w:rsidP="00621D83">
            <w:pPr>
              <w:pStyle w:val="TableTextRight"/>
            </w:pPr>
            <w:r>
              <w:t>2,372,794</w:t>
            </w:r>
          </w:p>
        </w:tc>
        <w:tc>
          <w:tcPr>
            <w:tcW w:w="1217" w:type="dxa"/>
            <w:shd w:val="clear" w:color="auto" w:fill="E5F6FC"/>
          </w:tcPr>
          <w:p w14:paraId="58D1C6F1" w14:textId="77777777" w:rsidR="00921F95" w:rsidRPr="00192DA4" w:rsidRDefault="00921F95" w:rsidP="00621D83">
            <w:pPr>
              <w:pStyle w:val="TableTextRight"/>
            </w:pPr>
            <w:r w:rsidRPr="00192DA4">
              <w:t>2,942,816</w:t>
            </w:r>
          </w:p>
        </w:tc>
        <w:tc>
          <w:tcPr>
            <w:tcW w:w="1107" w:type="dxa"/>
            <w:shd w:val="clear" w:color="auto" w:fill="C7ECF8"/>
          </w:tcPr>
          <w:p w14:paraId="58D1C6F2" w14:textId="77777777" w:rsidR="00921F95" w:rsidRPr="00192DA4" w:rsidRDefault="00921F95" w:rsidP="00621D83">
            <w:pPr>
              <w:pStyle w:val="TableTextBoldRight"/>
            </w:pPr>
            <w:r>
              <w:t>3,456,755</w:t>
            </w:r>
          </w:p>
        </w:tc>
      </w:tr>
      <w:tr w:rsidR="00921F95" w14:paraId="58D1C6F8" w14:textId="77777777" w:rsidTr="00C6201E">
        <w:trPr>
          <w:cantSplit/>
        </w:trPr>
        <w:tc>
          <w:tcPr>
            <w:tcW w:w="4275" w:type="dxa"/>
            <w:shd w:val="clear" w:color="auto" w:fill="E5F6FC"/>
          </w:tcPr>
          <w:p w14:paraId="58D1C6F4" w14:textId="77777777" w:rsidR="00921F95" w:rsidRPr="00192DA4" w:rsidRDefault="00A73103" w:rsidP="00621D83">
            <w:pPr>
              <w:pStyle w:val="TableText"/>
            </w:pPr>
            <w:r>
              <w:t>Letters and</w:t>
            </w:r>
            <w:r w:rsidR="00921F95">
              <w:t xml:space="preserve"> email </w:t>
            </w:r>
            <w:r>
              <w:t>contacts</w:t>
            </w:r>
          </w:p>
        </w:tc>
        <w:tc>
          <w:tcPr>
            <w:tcW w:w="1217" w:type="dxa"/>
            <w:shd w:val="clear" w:color="auto" w:fill="E5F6FC"/>
          </w:tcPr>
          <w:p w14:paraId="58D1C6F5" w14:textId="77777777" w:rsidR="00921F95" w:rsidRPr="00192DA4" w:rsidRDefault="00921F95" w:rsidP="00621D83">
            <w:pPr>
              <w:pStyle w:val="TableTextRight"/>
            </w:pPr>
            <w:r>
              <w:t>58,041</w:t>
            </w:r>
          </w:p>
        </w:tc>
        <w:tc>
          <w:tcPr>
            <w:tcW w:w="1217" w:type="dxa"/>
            <w:shd w:val="clear" w:color="auto" w:fill="E5F6FC"/>
          </w:tcPr>
          <w:p w14:paraId="58D1C6F6" w14:textId="77777777" w:rsidR="00921F95" w:rsidRPr="00192DA4" w:rsidRDefault="00921F95" w:rsidP="00621D83">
            <w:pPr>
              <w:pStyle w:val="TableTextRight"/>
            </w:pPr>
            <w:r>
              <w:t>59,432</w:t>
            </w:r>
          </w:p>
        </w:tc>
        <w:tc>
          <w:tcPr>
            <w:tcW w:w="1107" w:type="dxa"/>
            <w:shd w:val="clear" w:color="auto" w:fill="C7ECF8"/>
          </w:tcPr>
          <w:p w14:paraId="58D1C6F7" w14:textId="77777777" w:rsidR="00921F95" w:rsidRDefault="00921F95" w:rsidP="00621D83">
            <w:pPr>
              <w:pStyle w:val="TableTextBoldRight"/>
            </w:pPr>
            <w:r>
              <w:t>62,669</w:t>
            </w:r>
          </w:p>
        </w:tc>
      </w:tr>
      <w:tr w:rsidR="00921F95" w:rsidRPr="00192DA4" w14:paraId="58D1C6FD" w14:textId="77777777" w:rsidTr="00C6201E">
        <w:trPr>
          <w:cantSplit/>
        </w:trPr>
        <w:tc>
          <w:tcPr>
            <w:tcW w:w="4275" w:type="dxa"/>
            <w:shd w:val="clear" w:color="auto" w:fill="E5F6FC"/>
          </w:tcPr>
          <w:p w14:paraId="58D1C6F9" w14:textId="77777777" w:rsidR="00921F95" w:rsidRPr="00192DA4" w:rsidRDefault="00921F95" w:rsidP="00621D83">
            <w:pPr>
              <w:pStyle w:val="TableText"/>
            </w:pPr>
            <w:r w:rsidRPr="00192DA4">
              <w:t>Twitter followers</w:t>
            </w:r>
          </w:p>
        </w:tc>
        <w:tc>
          <w:tcPr>
            <w:tcW w:w="1217" w:type="dxa"/>
            <w:shd w:val="clear" w:color="auto" w:fill="E5F6FC"/>
          </w:tcPr>
          <w:p w14:paraId="58D1C6FA" w14:textId="77777777" w:rsidR="00921F95" w:rsidRPr="00192DA4" w:rsidRDefault="00921F95" w:rsidP="00621D83">
            <w:pPr>
              <w:pStyle w:val="TableTextRight"/>
            </w:pPr>
            <w:r>
              <w:t>4,984</w:t>
            </w:r>
          </w:p>
        </w:tc>
        <w:tc>
          <w:tcPr>
            <w:tcW w:w="1217" w:type="dxa"/>
            <w:shd w:val="clear" w:color="auto" w:fill="E5F6FC"/>
          </w:tcPr>
          <w:p w14:paraId="58D1C6FB" w14:textId="77777777" w:rsidR="00921F95" w:rsidRPr="00192DA4" w:rsidRDefault="00921F95" w:rsidP="00621D83">
            <w:pPr>
              <w:pStyle w:val="TableTextRight"/>
            </w:pPr>
            <w:r w:rsidRPr="00192DA4">
              <w:t>6,832</w:t>
            </w:r>
          </w:p>
        </w:tc>
        <w:tc>
          <w:tcPr>
            <w:tcW w:w="1107" w:type="dxa"/>
            <w:shd w:val="clear" w:color="auto" w:fill="C7ECF8"/>
          </w:tcPr>
          <w:p w14:paraId="58D1C6FC" w14:textId="77777777" w:rsidR="00921F95" w:rsidRPr="00192DA4" w:rsidRDefault="008621E5" w:rsidP="00621D83">
            <w:pPr>
              <w:pStyle w:val="TableTextBoldRight"/>
            </w:pPr>
            <w:r>
              <w:t>8,120</w:t>
            </w:r>
          </w:p>
        </w:tc>
      </w:tr>
      <w:tr w:rsidR="00921F95" w14:paraId="58D1C702" w14:textId="77777777" w:rsidTr="00C6201E">
        <w:trPr>
          <w:cantSplit/>
        </w:trPr>
        <w:tc>
          <w:tcPr>
            <w:tcW w:w="4275" w:type="dxa"/>
            <w:shd w:val="clear" w:color="auto" w:fill="E5F6FC"/>
          </w:tcPr>
          <w:p w14:paraId="58D1C6FE" w14:textId="77777777" w:rsidR="00921F95" w:rsidRPr="00192DA4" w:rsidRDefault="00921F95" w:rsidP="00621D83">
            <w:pPr>
              <w:pStyle w:val="TableText"/>
            </w:pPr>
            <w:r w:rsidRPr="00192DA4">
              <w:t>Facebook page likes</w:t>
            </w:r>
          </w:p>
        </w:tc>
        <w:tc>
          <w:tcPr>
            <w:tcW w:w="1217" w:type="dxa"/>
            <w:shd w:val="clear" w:color="auto" w:fill="E5F6FC"/>
          </w:tcPr>
          <w:p w14:paraId="58D1C6FF" w14:textId="77777777" w:rsidR="00921F95" w:rsidRPr="00192DA4" w:rsidRDefault="00921F95" w:rsidP="00621D83">
            <w:pPr>
              <w:pStyle w:val="TableTextRight"/>
            </w:pPr>
            <w:r>
              <w:t>17,418</w:t>
            </w:r>
          </w:p>
        </w:tc>
        <w:tc>
          <w:tcPr>
            <w:tcW w:w="1217" w:type="dxa"/>
            <w:shd w:val="clear" w:color="auto" w:fill="E5F6FC"/>
          </w:tcPr>
          <w:p w14:paraId="58D1C700" w14:textId="77777777" w:rsidR="00921F95" w:rsidRPr="00192DA4" w:rsidRDefault="00921F95" w:rsidP="00621D83">
            <w:pPr>
              <w:pStyle w:val="TableTextRight"/>
            </w:pPr>
            <w:r w:rsidRPr="00192DA4">
              <w:t>23,628</w:t>
            </w:r>
          </w:p>
        </w:tc>
        <w:tc>
          <w:tcPr>
            <w:tcW w:w="1107" w:type="dxa"/>
            <w:shd w:val="clear" w:color="auto" w:fill="C7ECF8"/>
          </w:tcPr>
          <w:p w14:paraId="58D1C701" w14:textId="77777777" w:rsidR="00921F95" w:rsidRPr="00192DA4" w:rsidRDefault="00921F95" w:rsidP="00621D83">
            <w:pPr>
              <w:pStyle w:val="TableTextBoldRight"/>
            </w:pPr>
            <w:r>
              <w:t>28,548</w:t>
            </w:r>
          </w:p>
        </w:tc>
      </w:tr>
      <w:tr w:rsidR="00921F95" w:rsidRPr="00192DA4" w14:paraId="58D1C707" w14:textId="77777777" w:rsidTr="00C6201E">
        <w:trPr>
          <w:cantSplit/>
        </w:trPr>
        <w:tc>
          <w:tcPr>
            <w:tcW w:w="4275" w:type="dxa"/>
            <w:shd w:val="clear" w:color="auto" w:fill="E5F6FC"/>
          </w:tcPr>
          <w:p w14:paraId="58D1C703" w14:textId="77777777" w:rsidR="00921F95" w:rsidRPr="00192DA4" w:rsidRDefault="00921F95" w:rsidP="00621D83">
            <w:pPr>
              <w:pStyle w:val="TableText"/>
            </w:pPr>
            <w:r w:rsidRPr="00192DA4">
              <w:t>YouTube video views</w:t>
            </w:r>
          </w:p>
        </w:tc>
        <w:tc>
          <w:tcPr>
            <w:tcW w:w="1217" w:type="dxa"/>
            <w:shd w:val="clear" w:color="auto" w:fill="E5F6FC"/>
          </w:tcPr>
          <w:p w14:paraId="58D1C704" w14:textId="77777777" w:rsidR="00921F95" w:rsidRPr="008621E5" w:rsidRDefault="00921F95" w:rsidP="00621D83">
            <w:pPr>
              <w:pStyle w:val="TableTextRight"/>
            </w:pPr>
            <w:r w:rsidRPr="008621E5">
              <w:t>500,105</w:t>
            </w:r>
          </w:p>
        </w:tc>
        <w:tc>
          <w:tcPr>
            <w:tcW w:w="1217" w:type="dxa"/>
            <w:shd w:val="clear" w:color="auto" w:fill="E5F6FC"/>
          </w:tcPr>
          <w:p w14:paraId="58D1C705" w14:textId="77777777" w:rsidR="00921F95" w:rsidRPr="008621E5" w:rsidRDefault="00921F95" w:rsidP="00621D83">
            <w:pPr>
              <w:pStyle w:val="TableTextRight"/>
            </w:pPr>
            <w:r w:rsidRPr="008621E5">
              <w:t>411,456</w:t>
            </w:r>
          </w:p>
        </w:tc>
        <w:tc>
          <w:tcPr>
            <w:tcW w:w="1107" w:type="dxa"/>
            <w:shd w:val="clear" w:color="auto" w:fill="C7ECF8"/>
          </w:tcPr>
          <w:p w14:paraId="58D1C706" w14:textId="77777777" w:rsidR="00921F95" w:rsidRPr="00333E76" w:rsidRDefault="008621E5" w:rsidP="00621D83">
            <w:pPr>
              <w:pStyle w:val="TableTextBoldRight"/>
              <w:rPr>
                <w:vertAlign w:val="superscript"/>
              </w:rPr>
            </w:pPr>
            <w:r w:rsidRPr="0062480A">
              <w:t>52,526</w:t>
            </w:r>
            <w:r w:rsidR="00974789">
              <w:rPr>
                <w:rStyle w:val="FootnoteReference"/>
              </w:rPr>
              <w:footnoteReference w:id="14"/>
            </w:r>
          </w:p>
        </w:tc>
      </w:tr>
      <w:tr w:rsidR="00A76634" w:rsidRPr="004F0321" w14:paraId="58D1C709" w14:textId="77777777" w:rsidTr="00C6201E">
        <w:trPr>
          <w:cantSplit/>
        </w:trPr>
        <w:tc>
          <w:tcPr>
            <w:tcW w:w="7816" w:type="dxa"/>
            <w:gridSpan w:val="4"/>
            <w:shd w:val="clear" w:color="auto" w:fill="C7ECF8"/>
          </w:tcPr>
          <w:p w14:paraId="58D1C708" w14:textId="77777777" w:rsidR="00A76634" w:rsidRPr="004F0321" w:rsidRDefault="00A76634" w:rsidP="00621D83">
            <w:pPr>
              <w:pStyle w:val="TableTextBold"/>
            </w:pPr>
            <w:r w:rsidRPr="004F0321">
              <w:t>Community information</w:t>
            </w:r>
          </w:p>
        </w:tc>
      </w:tr>
      <w:tr w:rsidR="00921F95" w:rsidRPr="00192DA4" w14:paraId="58D1C70E" w14:textId="77777777" w:rsidTr="00C6201E">
        <w:trPr>
          <w:cantSplit/>
        </w:trPr>
        <w:tc>
          <w:tcPr>
            <w:tcW w:w="4275" w:type="dxa"/>
            <w:shd w:val="clear" w:color="auto" w:fill="E5F6FC"/>
          </w:tcPr>
          <w:p w14:paraId="58D1C70A" w14:textId="77777777" w:rsidR="00921F95" w:rsidRPr="00192DA4" w:rsidRDefault="00921F95" w:rsidP="00621D83">
            <w:pPr>
              <w:pStyle w:val="TableText"/>
            </w:pPr>
            <w:r w:rsidRPr="00192DA4">
              <w:t>Information sessions</w:t>
            </w:r>
          </w:p>
        </w:tc>
        <w:tc>
          <w:tcPr>
            <w:tcW w:w="1217" w:type="dxa"/>
            <w:shd w:val="clear" w:color="auto" w:fill="E5F6FC"/>
          </w:tcPr>
          <w:p w14:paraId="58D1C70B" w14:textId="77777777" w:rsidR="00921F95" w:rsidRPr="004E05CC" w:rsidRDefault="00921F95" w:rsidP="00621D83">
            <w:pPr>
              <w:pStyle w:val="TableTextRight"/>
            </w:pPr>
            <w:r w:rsidRPr="004E05CC">
              <w:t>897</w:t>
            </w:r>
          </w:p>
        </w:tc>
        <w:tc>
          <w:tcPr>
            <w:tcW w:w="1217" w:type="dxa"/>
            <w:shd w:val="clear" w:color="auto" w:fill="E5F6FC"/>
          </w:tcPr>
          <w:p w14:paraId="58D1C70C" w14:textId="77777777" w:rsidR="00921F95" w:rsidRPr="004E05CC" w:rsidRDefault="00921F95" w:rsidP="00621D83">
            <w:pPr>
              <w:pStyle w:val="TableTextRight"/>
            </w:pPr>
            <w:r w:rsidRPr="004E05CC">
              <w:t>931</w:t>
            </w:r>
          </w:p>
        </w:tc>
        <w:tc>
          <w:tcPr>
            <w:tcW w:w="1107" w:type="dxa"/>
            <w:shd w:val="clear" w:color="auto" w:fill="C7ECF8"/>
          </w:tcPr>
          <w:p w14:paraId="58D1C70D" w14:textId="77777777" w:rsidR="00921F95" w:rsidRPr="004E05CC" w:rsidRDefault="004E05CC" w:rsidP="00621D83">
            <w:pPr>
              <w:pStyle w:val="TableTextBoldRight"/>
            </w:pPr>
            <w:r w:rsidRPr="004E05CC">
              <w:t>831</w:t>
            </w:r>
          </w:p>
        </w:tc>
      </w:tr>
      <w:tr w:rsidR="00A76634" w:rsidRPr="004F0321" w14:paraId="58D1C710" w14:textId="77777777" w:rsidTr="00C6201E">
        <w:trPr>
          <w:cantSplit/>
        </w:trPr>
        <w:tc>
          <w:tcPr>
            <w:tcW w:w="7816" w:type="dxa"/>
            <w:gridSpan w:val="4"/>
            <w:shd w:val="clear" w:color="auto" w:fill="C7ECF8"/>
          </w:tcPr>
          <w:p w14:paraId="58D1C70F" w14:textId="77777777" w:rsidR="00A76634" w:rsidRPr="004F0321" w:rsidRDefault="00A76634" w:rsidP="00621D83">
            <w:pPr>
              <w:pStyle w:val="TableTextBold"/>
            </w:pPr>
            <w:r w:rsidRPr="004F0321">
              <w:t>Face-to-face or intensive assistance</w:t>
            </w:r>
            <w:r>
              <w:t xml:space="preserve"> (funded community services)</w:t>
            </w:r>
          </w:p>
        </w:tc>
      </w:tr>
      <w:tr w:rsidR="00921F95" w:rsidRPr="00192DA4" w14:paraId="58D1C715" w14:textId="77777777" w:rsidTr="00C6201E">
        <w:trPr>
          <w:cantSplit/>
        </w:trPr>
        <w:tc>
          <w:tcPr>
            <w:tcW w:w="4275" w:type="dxa"/>
            <w:shd w:val="clear" w:color="auto" w:fill="E5F6FC"/>
          </w:tcPr>
          <w:p w14:paraId="58D1C711" w14:textId="77777777" w:rsidR="00921F95" w:rsidRPr="00333E76" w:rsidRDefault="00921F95" w:rsidP="00CF66CA">
            <w:pPr>
              <w:pStyle w:val="TableText"/>
              <w:rPr>
                <w:highlight w:val="yellow"/>
              </w:rPr>
            </w:pPr>
            <w:r w:rsidRPr="00192DA4">
              <w:t xml:space="preserve">Victorians assisted under the Consumer Advice and </w:t>
            </w:r>
            <w:r w:rsidR="00CF66CA">
              <w:t>Advocacy</w:t>
            </w:r>
            <w:r w:rsidRPr="00192DA4">
              <w:t xml:space="preserve"> Program</w:t>
            </w:r>
          </w:p>
        </w:tc>
        <w:tc>
          <w:tcPr>
            <w:tcW w:w="1217" w:type="dxa"/>
            <w:shd w:val="clear" w:color="auto" w:fill="E5F6FC"/>
          </w:tcPr>
          <w:p w14:paraId="58D1C712" w14:textId="77777777" w:rsidR="00921F95" w:rsidRPr="0068034D" w:rsidRDefault="00921F95" w:rsidP="00621D83">
            <w:pPr>
              <w:pStyle w:val="TableTextRight"/>
            </w:pPr>
            <w:r w:rsidRPr="0068034D">
              <w:t>375</w:t>
            </w:r>
          </w:p>
        </w:tc>
        <w:tc>
          <w:tcPr>
            <w:tcW w:w="1217" w:type="dxa"/>
            <w:shd w:val="clear" w:color="auto" w:fill="E5F6FC"/>
          </w:tcPr>
          <w:p w14:paraId="58D1C713" w14:textId="77777777" w:rsidR="00921F95" w:rsidRPr="0068034D" w:rsidRDefault="00921F95" w:rsidP="00621D83">
            <w:pPr>
              <w:pStyle w:val="TableTextRight"/>
            </w:pPr>
            <w:r w:rsidRPr="0068034D">
              <w:t>446</w:t>
            </w:r>
          </w:p>
        </w:tc>
        <w:tc>
          <w:tcPr>
            <w:tcW w:w="1107" w:type="dxa"/>
            <w:shd w:val="clear" w:color="auto" w:fill="C7ECF8"/>
          </w:tcPr>
          <w:p w14:paraId="58D1C714" w14:textId="77777777" w:rsidR="00921F95" w:rsidRPr="0068034D" w:rsidRDefault="007A655A" w:rsidP="00621D83">
            <w:pPr>
              <w:pStyle w:val="TableTextBoldRight"/>
            </w:pPr>
            <w:r w:rsidRPr="007A655A">
              <w:t>429</w:t>
            </w:r>
          </w:p>
        </w:tc>
      </w:tr>
      <w:tr w:rsidR="00921F95" w14:paraId="58D1C71A" w14:textId="77777777" w:rsidTr="00C6201E">
        <w:trPr>
          <w:cantSplit/>
        </w:trPr>
        <w:tc>
          <w:tcPr>
            <w:tcW w:w="4275" w:type="dxa"/>
            <w:shd w:val="clear" w:color="auto" w:fill="E5F6FC"/>
          </w:tcPr>
          <w:p w14:paraId="58D1C716" w14:textId="77777777" w:rsidR="00921F95" w:rsidRPr="00333E76" w:rsidRDefault="00921F95" w:rsidP="00621D83">
            <w:pPr>
              <w:pStyle w:val="TableText"/>
              <w:rPr>
                <w:highlight w:val="yellow"/>
              </w:rPr>
            </w:pPr>
            <w:r w:rsidRPr="00192DA4">
              <w:t>Clients assisted with financial counselling</w:t>
            </w:r>
          </w:p>
        </w:tc>
        <w:tc>
          <w:tcPr>
            <w:tcW w:w="1217" w:type="dxa"/>
            <w:shd w:val="clear" w:color="auto" w:fill="E5F6FC"/>
          </w:tcPr>
          <w:p w14:paraId="58D1C717" w14:textId="77777777" w:rsidR="00921F95" w:rsidRPr="004E05CC" w:rsidRDefault="00921F95" w:rsidP="00621D83">
            <w:pPr>
              <w:pStyle w:val="TableTextRight"/>
            </w:pPr>
            <w:r w:rsidRPr="004E05CC">
              <w:t>29,515</w:t>
            </w:r>
          </w:p>
        </w:tc>
        <w:tc>
          <w:tcPr>
            <w:tcW w:w="1217" w:type="dxa"/>
            <w:shd w:val="clear" w:color="auto" w:fill="E5F6FC"/>
          </w:tcPr>
          <w:p w14:paraId="58D1C718" w14:textId="77777777" w:rsidR="00921F95" w:rsidRPr="004E05CC" w:rsidRDefault="00921F95" w:rsidP="00621D83">
            <w:pPr>
              <w:pStyle w:val="TableTextRight"/>
            </w:pPr>
            <w:r w:rsidRPr="004E05CC">
              <w:t>34,453</w:t>
            </w:r>
          </w:p>
        </w:tc>
        <w:tc>
          <w:tcPr>
            <w:tcW w:w="1107" w:type="dxa"/>
            <w:shd w:val="clear" w:color="auto" w:fill="C7ECF8"/>
          </w:tcPr>
          <w:p w14:paraId="58D1C719" w14:textId="77777777" w:rsidR="00921F95" w:rsidRPr="0068034D" w:rsidRDefault="00921F95" w:rsidP="00621D83">
            <w:pPr>
              <w:pStyle w:val="TableTextBoldRight"/>
            </w:pPr>
            <w:r>
              <w:t>34,139</w:t>
            </w:r>
          </w:p>
        </w:tc>
      </w:tr>
      <w:tr w:rsidR="00921F95" w:rsidRPr="00192DA4" w14:paraId="58D1C71F" w14:textId="77777777" w:rsidTr="00C6201E">
        <w:trPr>
          <w:cantSplit/>
        </w:trPr>
        <w:tc>
          <w:tcPr>
            <w:tcW w:w="4275" w:type="dxa"/>
            <w:shd w:val="clear" w:color="auto" w:fill="E5F6FC"/>
          </w:tcPr>
          <w:p w14:paraId="58D1C71B" w14:textId="77777777" w:rsidR="00921F95" w:rsidRPr="00192DA4" w:rsidRDefault="00921F95" w:rsidP="00621D83">
            <w:pPr>
              <w:pStyle w:val="TableText"/>
            </w:pPr>
            <w:r w:rsidRPr="00192DA4">
              <w:t>MoneyHelp website visits</w:t>
            </w:r>
          </w:p>
        </w:tc>
        <w:tc>
          <w:tcPr>
            <w:tcW w:w="1217" w:type="dxa"/>
            <w:shd w:val="clear" w:color="auto" w:fill="E5F6FC"/>
          </w:tcPr>
          <w:p w14:paraId="58D1C71C" w14:textId="77777777" w:rsidR="00921F95" w:rsidRPr="004E05CC" w:rsidRDefault="00921F95" w:rsidP="00621D83">
            <w:pPr>
              <w:pStyle w:val="TableTextRight"/>
            </w:pPr>
            <w:r w:rsidRPr="004E05CC">
              <w:t>402,191</w:t>
            </w:r>
          </w:p>
        </w:tc>
        <w:tc>
          <w:tcPr>
            <w:tcW w:w="1217" w:type="dxa"/>
            <w:shd w:val="clear" w:color="auto" w:fill="E5F6FC"/>
          </w:tcPr>
          <w:p w14:paraId="58D1C71D" w14:textId="77777777" w:rsidR="00921F95" w:rsidRPr="004E05CC" w:rsidRDefault="00921F95" w:rsidP="00621D83">
            <w:pPr>
              <w:pStyle w:val="TableTextRight"/>
            </w:pPr>
            <w:r w:rsidRPr="004E05CC">
              <w:t>878,029</w:t>
            </w:r>
          </w:p>
        </w:tc>
        <w:tc>
          <w:tcPr>
            <w:tcW w:w="1107" w:type="dxa"/>
            <w:shd w:val="clear" w:color="auto" w:fill="C7ECF8"/>
          </w:tcPr>
          <w:p w14:paraId="58D1C71E" w14:textId="77777777" w:rsidR="00921F95" w:rsidRPr="004E05CC" w:rsidRDefault="004E05CC" w:rsidP="00621D83">
            <w:pPr>
              <w:pStyle w:val="TableTextBoldRight"/>
            </w:pPr>
            <w:r w:rsidRPr="004E05CC">
              <w:t>640,020</w:t>
            </w:r>
          </w:p>
        </w:tc>
      </w:tr>
    </w:tbl>
    <w:p w14:paraId="58D1C720" w14:textId="77777777" w:rsidR="005F13E6" w:rsidRPr="009A58E3" w:rsidRDefault="00A76634" w:rsidP="00040AF8">
      <w:pPr>
        <w:pStyle w:val="Heading4"/>
      </w:pPr>
      <w:r>
        <w:t xml:space="preserve">Case study: </w:t>
      </w:r>
      <w:r w:rsidR="00C04AF5" w:rsidRPr="007A2137">
        <w:t xml:space="preserve">Financial counselling </w:t>
      </w:r>
      <w:r w:rsidR="00E64C56">
        <w:t>help</w:t>
      </w:r>
      <w:r w:rsidR="000C5AA2">
        <w:t>s</w:t>
      </w:r>
      <w:r w:rsidR="00E64C56" w:rsidRPr="007A2137">
        <w:t xml:space="preserve"> </w:t>
      </w:r>
      <w:r w:rsidR="00C04AF5" w:rsidRPr="007A2137">
        <w:t xml:space="preserve">family </w:t>
      </w:r>
      <w:r w:rsidR="00E64C56">
        <w:t>pay</w:t>
      </w:r>
      <w:r w:rsidR="00E64C56" w:rsidRPr="007A2137">
        <w:t xml:space="preserve"> </w:t>
      </w:r>
      <w:r w:rsidR="005C7DB4">
        <w:t>their</w:t>
      </w:r>
      <w:r w:rsidR="005C7DB4" w:rsidRPr="007A2137">
        <w:t xml:space="preserve"> </w:t>
      </w:r>
      <w:r w:rsidR="00C04AF5" w:rsidRPr="007A2137">
        <w:t>bills</w:t>
      </w:r>
    </w:p>
    <w:p w14:paraId="58D1C721" w14:textId="77777777" w:rsidR="00C33158" w:rsidRDefault="00256840" w:rsidP="00535227">
      <w:pPr>
        <w:pStyle w:val="BodyText"/>
        <w:rPr>
          <w:lang w:eastAsia="en-AU"/>
        </w:rPr>
      </w:pPr>
      <w:r>
        <w:rPr>
          <w:lang w:eastAsia="en-AU"/>
        </w:rPr>
        <w:t xml:space="preserve">A woman </w:t>
      </w:r>
      <w:r w:rsidR="007A2137">
        <w:rPr>
          <w:lang w:eastAsia="en-AU"/>
        </w:rPr>
        <w:t>sought financial counselling to understand bills and correspondence she had received from her gas, electricity and water providers. The utility companies had proposed to increase her payment plans. She</w:t>
      </w:r>
      <w:r>
        <w:rPr>
          <w:lang w:eastAsia="en-AU"/>
        </w:rPr>
        <w:t xml:space="preserve"> is a leader in her Aboriginal community, an </w:t>
      </w:r>
      <w:r w:rsidR="005F13E6">
        <w:rPr>
          <w:lang w:eastAsia="en-AU"/>
        </w:rPr>
        <w:t>aged pensioner and carer for many peop</w:t>
      </w:r>
      <w:r w:rsidR="007A2137">
        <w:rPr>
          <w:lang w:eastAsia="en-AU"/>
        </w:rPr>
        <w:t>le in her household.</w:t>
      </w:r>
    </w:p>
    <w:p w14:paraId="58D1C722" w14:textId="77777777" w:rsidR="00C33158" w:rsidRDefault="00256840" w:rsidP="00535227">
      <w:pPr>
        <w:pStyle w:val="BodyText"/>
        <w:rPr>
          <w:lang w:eastAsia="en-AU"/>
        </w:rPr>
      </w:pPr>
      <w:r>
        <w:rPr>
          <w:lang w:eastAsia="en-AU"/>
        </w:rPr>
        <w:t>The woman</w:t>
      </w:r>
      <w:r w:rsidR="005F13E6">
        <w:rPr>
          <w:lang w:eastAsia="en-AU"/>
        </w:rPr>
        <w:t xml:space="preserve"> was reluctant to call the providers as she </w:t>
      </w:r>
      <w:r>
        <w:rPr>
          <w:lang w:eastAsia="en-AU"/>
        </w:rPr>
        <w:t>has limited literacy</w:t>
      </w:r>
      <w:r w:rsidR="005F13E6">
        <w:rPr>
          <w:lang w:eastAsia="en-AU"/>
        </w:rPr>
        <w:t xml:space="preserve">, </w:t>
      </w:r>
      <w:r w:rsidR="00C04AF5">
        <w:rPr>
          <w:lang w:eastAsia="en-AU"/>
        </w:rPr>
        <w:t xml:space="preserve">felt that the phone operators had been aggressive in the past </w:t>
      </w:r>
      <w:r w:rsidR="005F13E6">
        <w:rPr>
          <w:lang w:eastAsia="en-AU"/>
        </w:rPr>
        <w:t>and</w:t>
      </w:r>
      <w:r w:rsidR="00C04AF5">
        <w:rPr>
          <w:lang w:eastAsia="en-AU"/>
        </w:rPr>
        <w:t xml:space="preserve"> previously she had agreed to payment increases even when she did not understand why </w:t>
      </w:r>
      <w:r w:rsidR="00AC7C0D">
        <w:rPr>
          <w:lang w:eastAsia="en-AU"/>
        </w:rPr>
        <w:t xml:space="preserve">they were </w:t>
      </w:r>
      <w:r w:rsidR="00C04AF5">
        <w:rPr>
          <w:lang w:eastAsia="en-AU"/>
        </w:rPr>
        <w:t>applied.</w:t>
      </w:r>
      <w:r w:rsidR="00C33158">
        <w:rPr>
          <w:lang w:eastAsia="en-AU"/>
        </w:rPr>
        <w:t xml:space="preserve"> One family member had also moved out and no longer contributed to expenses.</w:t>
      </w:r>
    </w:p>
    <w:p w14:paraId="58D1C723" w14:textId="77777777" w:rsidR="00EE29E7" w:rsidRDefault="00C04AF5" w:rsidP="00535227">
      <w:pPr>
        <w:pStyle w:val="BodyText"/>
      </w:pPr>
      <w:r>
        <w:t>The f</w:t>
      </w:r>
      <w:r w:rsidR="005F13E6" w:rsidRPr="00017515">
        <w:t xml:space="preserve">inancial </w:t>
      </w:r>
      <w:r>
        <w:t>c</w:t>
      </w:r>
      <w:r w:rsidR="005F13E6" w:rsidRPr="00017515">
        <w:t xml:space="preserve">ounsellor </w:t>
      </w:r>
      <w:r w:rsidR="00E64C56" w:rsidRPr="00017515">
        <w:t>negotiat</w:t>
      </w:r>
      <w:r w:rsidR="00E64C56">
        <w:t>ed</w:t>
      </w:r>
      <w:r w:rsidR="00E64C56" w:rsidRPr="00017515">
        <w:t xml:space="preserve"> </w:t>
      </w:r>
      <w:r w:rsidR="003D3259">
        <w:t>with all</w:t>
      </w:r>
      <w:r w:rsidR="00E64C56">
        <w:t xml:space="preserve"> of</w:t>
      </w:r>
      <w:r w:rsidR="003D3259">
        <w:t xml:space="preserve"> the companies for </w:t>
      </w:r>
      <w:r w:rsidR="005F13E6" w:rsidRPr="00017515">
        <w:t>affordable payment arrangements</w:t>
      </w:r>
      <w:r w:rsidR="003D3259">
        <w:t xml:space="preserve"> and substantial discounts</w:t>
      </w:r>
      <w:r w:rsidR="00E64C56">
        <w:t>,</w:t>
      </w:r>
      <w:r w:rsidR="003D3259">
        <w:t xml:space="preserve"> as the woman had been with each company a long time.</w:t>
      </w:r>
    </w:p>
    <w:p w14:paraId="58D1C724" w14:textId="77777777" w:rsidR="005F13E6" w:rsidRPr="00017515" w:rsidRDefault="003D3259" w:rsidP="00535227">
      <w:pPr>
        <w:pStyle w:val="BodyText"/>
      </w:pPr>
      <w:r>
        <w:t xml:space="preserve">The </w:t>
      </w:r>
      <w:r w:rsidR="007A2137">
        <w:t xml:space="preserve">financial counsellor also assisted the </w:t>
      </w:r>
      <w:r>
        <w:t>woman to</w:t>
      </w:r>
      <w:r w:rsidR="007A2137">
        <w:t xml:space="preserve"> apply for</w:t>
      </w:r>
      <w:r>
        <w:t xml:space="preserve"> a concession on her bills in summer</w:t>
      </w:r>
      <w:r w:rsidR="00E64C56">
        <w:t>,</w:t>
      </w:r>
      <w:r>
        <w:t xml:space="preserve"> due to a medical requirement </w:t>
      </w:r>
      <w:r w:rsidR="007A2137">
        <w:t>and utility relief grants.</w:t>
      </w:r>
    </w:p>
    <w:p w14:paraId="58D1C725" w14:textId="77777777" w:rsidR="005C7EDC" w:rsidRPr="00A81648" w:rsidRDefault="00A76634" w:rsidP="00040AF8">
      <w:pPr>
        <w:pStyle w:val="Heading4"/>
        <w:rPr>
          <w:lang w:eastAsia="en-AU"/>
        </w:rPr>
      </w:pPr>
      <w:r>
        <w:rPr>
          <w:lang w:eastAsia="en-AU"/>
        </w:rPr>
        <w:lastRenderedPageBreak/>
        <w:t xml:space="preserve">Case study: </w:t>
      </w:r>
      <w:r w:rsidR="005C7DB4">
        <w:rPr>
          <w:lang w:eastAsia="en-AU"/>
        </w:rPr>
        <w:t>Advising a consumer on how to resolve a dispute over a faulty product</w:t>
      </w:r>
    </w:p>
    <w:p w14:paraId="58D1C726" w14:textId="77777777" w:rsidR="00F4149E" w:rsidRDefault="00B63D30" w:rsidP="00535227">
      <w:pPr>
        <w:pStyle w:val="BodyText"/>
        <w:rPr>
          <w:lang w:eastAsia="en-AU"/>
        </w:rPr>
      </w:pPr>
      <w:r>
        <w:rPr>
          <w:lang w:eastAsia="en-AU"/>
        </w:rPr>
        <w:t xml:space="preserve">A consumer contacted us for advice about </w:t>
      </w:r>
      <w:r w:rsidR="005C7EDC" w:rsidRPr="00A81648">
        <w:rPr>
          <w:lang w:eastAsia="en-AU"/>
        </w:rPr>
        <w:t>a mattress</w:t>
      </w:r>
      <w:r>
        <w:rPr>
          <w:lang w:eastAsia="en-AU"/>
        </w:rPr>
        <w:t xml:space="preserve"> </w:t>
      </w:r>
      <w:r w:rsidR="00D172EB">
        <w:rPr>
          <w:lang w:eastAsia="en-AU"/>
        </w:rPr>
        <w:t>she</w:t>
      </w:r>
      <w:r>
        <w:rPr>
          <w:lang w:eastAsia="en-AU"/>
        </w:rPr>
        <w:t xml:space="preserve"> </w:t>
      </w:r>
      <w:r w:rsidR="00E0216D">
        <w:rPr>
          <w:lang w:eastAsia="en-AU"/>
        </w:rPr>
        <w:t xml:space="preserve">had </w:t>
      </w:r>
      <w:r>
        <w:rPr>
          <w:lang w:eastAsia="en-AU"/>
        </w:rPr>
        <w:t>purchased</w:t>
      </w:r>
      <w:r w:rsidR="005C7EDC" w:rsidRPr="00A81648">
        <w:rPr>
          <w:lang w:eastAsia="en-AU"/>
        </w:rPr>
        <w:t xml:space="preserve"> just over a year ago.</w:t>
      </w:r>
      <w:r w:rsidR="00F4149E">
        <w:rPr>
          <w:lang w:eastAsia="en-AU"/>
        </w:rPr>
        <w:t xml:space="preserve"> In the </w:t>
      </w:r>
      <w:r w:rsidR="005C7EDC" w:rsidRPr="00A81648">
        <w:rPr>
          <w:lang w:eastAsia="en-AU"/>
        </w:rPr>
        <w:t xml:space="preserve">past </w:t>
      </w:r>
      <w:r w:rsidR="00F4149E">
        <w:rPr>
          <w:lang w:eastAsia="en-AU"/>
        </w:rPr>
        <w:t>two</w:t>
      </w:r>
      <w:r w:rsidR="005C7EDC" w:rsidRPr="00A81648">
        <w:rPr>
          <w:lang w:eastAsia="en-AU"/>
        </w:rPr>
        <w:t xml:space="preserve"> months the </w:t>
      </w:r>
      <w:r w:rsidR="00F4149E">
        <w:rPr>
          <w:lang w:eastAsia="en-AU"/>
        </w:rPr>
        <w:t>mattress</w:t>
      </w:r>
      <w:r w:rsidR="005C7EDC" w:rsidRPr="00A81648">
        <w:rPr>
          <w:lang w:eastAsia="en-AU"/>
        </w:rPr>
        <w:t xml:space="preserve"> had sunk and th</w:t>
      </w:r>
      <w:r w:rsidR="00F4149E">
        <w:rPr>
          <w:lang w:eastAsia="en-AU"/>
        </w:rPr>
        <w:t>e consumer was suffering back problems</w:t>
      </w:r>
      <w:r w:rsidR="005C7EDC" w:rsidRPr="00A81648">
        <w:rPr>
          <w:lang w:eastAsia="en-AU"/>
        </w:rPr>
        <w:t>.</w:t>
      </w:r>
    </w:p>
    <w:p w14:paraId="58D1C727" w14:textId="77777777" w:rsidR="00E0216D" w:rsidRPr="007A2137" w:rsidRDefault="00D172EB" w:rsidP="00535227">
      <w:pPr>
        <w:pStyle w:val="BodyText"/>
        <w:rPr>
          <w:lang w:eastAsia="en-AU"/>
        </w:rPr>
      </w:pPr>
      <w:r>
        <w:rPr>
          <w:lang w:eastAsia="en-AU"/>
        </w:rPr>
        <w:t>Having consulted our website for advice on her consumer rights, the consumer contacted the</w:t>
      </w:r>
      <w:r w:rsidR="00F4149E" w:rsidRPr="007A2137">
        <w:rPr>
          <w:lang w:eastAsia="en-AU"/>
        </w:rPr>
        <w:t xml:space="preserve"> company</w:t>
      </w:r>
      <w:r>
        <w:rPr>
          <w:lang w:eastAsia="en-AU"/>
        </w:rPr>
        <w:t>. The company</w:t>
      </w:r>
      <w:r w:rsidR="00F4149E" w:rsidRPr="007A2137">
        <w:rPr>
          <w:lang w:eastAsia="en-AU"/>
        </w:rPr>
        <w:t xml:space="preserve"> </w:t>
      </w:r>
      <w:r w:rsidR="005C7EDC" w:rsidRPr="007A2137">
        <w:rPr>
          <w:lang w:eastAsia="en-AU"/>
        </w:rPr>
        <w:t>offered</w:t>
      </w:r>
      <w:r>
        <w:rPr>
          <w:lang w:eastAsia="en-AU"/>
        </w:rPr>
        <w:t xml:space="preserve"> her</w:t>
      </w:r>
      <w:r w:rsidR="005C7EDC" w:rsidRPr="007A2137">
        <w:rPr>
          <w:lang w:eastAsia="en-AU"/>
        </w:rPr>
        <w:t xml:space="preserve"> a repair or replacement</w:t>
      </w:r>
      <w:r w:rsidR="00B63D30" w:rsidRPr="007A2137">
        <w:rPr>
          <w:lang w:eastAsia="en-AU"/>
        </w:rPr>
        <w:t>,</w:t>
      </w:r>
      <w:r>
        <w:rPr>
          <w:lang w:eastAsia="en-AU"/>
        </w:rPr>
        <w:t xml:space="preserve"> if the problem</w:t>
      </w:r>
      <w:r w:rsidR="005C7EDC" w:rsidRPr="007A2137">
        <w:rPr>
          <w:lang w:eastAsia="en-AU"/>
        </w:rPr>
        <w:t xml:space="preserve"> was</w:t>
      </w:r>
      <w:r w:rsidR="00E0216D" w:rsidRPr="007A2137">
        <w:rPr>
          <w:lang w:eastAsia="en-AU"/>
        </w:rPr>
        <w:t xml:space="preserve"> caused</w:t>
      </w:r>
      <w:r w:rsidR="00F4149E" w:rsidRPr="007A2137">
        <w:rPr>
          <w:lang w:eastAsia="en-AU"/>
        </w:rPr>
        <w:t xml:space="preserve"> by</w:t>
      </w:r>
      <w:r w:rsidR="005C7EDC" w:rsidRPr="007A2137">
        <w:rPr>
          <w:lang w:eastAsia="en-AU"/>
        </w:rPr>
        <w:t xml:space="preserve"> a manufacturing problem.</w:t>
      </w:r>
    </w:p>
    <w:p w14:paraId="58D1C728" w14:textId="77777777" w:rsidR="00F4149E" w:rsidRPr="007A2137" w:rsidRDefault="005C7EDC" w:rsidP="00535227">
      <w:pPr>
        <w:pStyle w:val="BodyText"/>
        <w:rPr>
          <w:lang w:eastAsia="en-AU"/>
        </w:rPr>
      </w:pPr>
      <w:r w:rsidRPr="007A2137">
        <w:rPr>
          <w:lang w:eastAsia="en-AU"/>
        </w:rPr>
        <w:t>The company</w:t>
      </w:r>
      <w:r w:rsidR="00E0216D" w:rsidRPr="007A2137">
        <w:rPr>
          <w:lang w:eastAsia="en-AU"/>
        </w:rPr>
        <w:t xml:space="preserve"> </w:t>
      </w:r>
      <w:r w:rsidR="00F4149E" w:rsidRPr="007A2137">
        <w:rPr>
          <w:lang w:eastAsia="en-AU"/>
        </w:rPr>
        <w:t xml:space="preserve">arranged collection of the mattress for a fee </w:t>
      </w:r>
      <w:r w:rsidR="00E0216D" w:rsidRPr="007A2137">
        <w:rPr>
          <w:lang w:eastAsia="en-AU"/>
        </w:rPr>
        <w:t>of $80</w:t>
      </w:r>
      <w:r w:rsidR="00F4149E" w:rsidRPr="007A2137">
        <w:rPr>
          <w:lang w:eastAsia="en-AU"/>
        </w:rPr>
        <w:t xml:space="preserve">, but prior to collection decided that they could not take the item back because it </w:t>
      </w:r>
      <w:r w:rsidRPr="007A2137">
        <w:rPr>
          <w:lang w:eastAsia="en-AU"/>
        </w:rPr>
        <w:t>was</w:t>
      </w:r>
      <w:r w:rsidR="00F4149E" w:rsidRPr="007A2137">
        <w:rPr>
          <w:lang w:eastAsia="en-AU"/>
        </w:rPr>
        <w:t xml:space="preserve"> </w:t>
      </w:r>
      <w:r w:rsidRPr="007A2137">
        <w:rPr>
          <w:lang w:eastAsia="en-AU"/>
        </w:rPr>
        <w:t>n</w:t>
      </w:r>
      <w:r w:rsidR="00F4149E" w:rsidRPr="007A2137">
        <w:rPr>
          <w:lang w:eastAsia="en-AU"/>
        </w:rPr>
        <w:t xml:space="preserve">ot </w:t>
      </w:r>
      <w:r w:rsidRPr="007A2137">
        <w:rPr>
          <w:lang w:eastAsia="en-AU"/>
        </w:rPr>
        <w:t>clean</w:t>
      </w:r>
      <w:r w:rsidR="00F4149E" w:rsidRPr="007A2137">
        <w:rPr>
          <w:lang w:eastAsia="en-AU"/>
        </w:rPr>
        <w:t xml:space="preserve"> or in near new condition</w:t>
      </w:r>
      <w:r w:rsidRPr="007A2137">
        <w:rPr>
          <w:lang w:eastAsia="en-AU"/>
        </w:rPr>
        <w:t>.</w:t>
      </w:r>
    </w:p>
    <w:p w14:paraId="58D1C729" w14:textId="77777777" w:rsidR="00F4149E" w:rsidRDefault="00F4149E" w:rsidP="00535227">
      <w:pPr>
        <w:pStyle w:val="BodyText"/>
        <w:rPr>
          <w:lang w:eastAsia="en-AU"/>
        </w:rPr>
      </w:pPr>
      <w:r w:rsidRPr="007A2137">
        <w:rPr>
          <w:lang w:eastAsia="en-AU"/>
        </w:rPr>
        <w:t>We advised the consumer of their right to a remedy under section 54 of the Australian Consumer Law, in the case that the mattress was faulty. We also advised the</w:t>
      </w:r>
      <w:r w:rsidR="005C7EDC" w:rsidRPr="007A2137">
        <w:rPr>
          <w:lang w:eastAsia="en-AU"/>
        </w:rPr>
        <w:t xml:space="preserve"> consumer </w:t>
      </w:r>
      <w:r w:rsidRPr="007A2137">
        <w:rPr>
          <w:lang w:eastAsia="en-AU"/>
        </w:rPr>
        <w:t>that the complaint should be made in</w:t>
      </w:r>
      <w:r>
        <w:rPr>
          <w:lang w:eastAsia="en-AU"/>
        </w:rPr>
        <w:t xml:space="preserve"> writing, providing a time frame for the company to resolve the issue.</w:t>
      </w:r>
    </w:p>
    <w:p w14:paraId="58D1C72A" w14:textId="77777777" w:rsidR="005C7EDC" w:rsidRDefault="00F4149E" w:rsidP="00535227">
      <w:pPr>
        <w:pStyle w:val="BodyText"/>
        <w:rPr>
          <w:lang w:eastAsia="en-AU"/>
        </w:rPr>
      </w:pPr>
      <w:r>
        <w:rPr>
          <w:lang w:eastAsia="en-AU"/>
        </w:rPr>
        <w:t xml:space="preserve">Our advice was successful in helping the consumer to resolve the dispute, with </w:t>
      </w:r>
      <w:r w:rsidR="003B43FE">
        <w:rPr>
          <w:lang w:eastAsia="en-AU"/>
        </w:rPr>
        <w:t xml:space="preserve">both parties agreeing to </w:t>
      </w:r>
      <w:r>
        <w:rPr>
          <w:lang w:eastAsia="en-AU"/>
        </w:rPr>
        <w:t>a remedy</w:t>
      </w:r>
      <w:r w:rsidR="005C7EDC" w:rsidRPr="00A81648">
        <w:rPr>
          <w:lang w:eastAsia="en-AU"/>
        </w:rPr>
        <w:t>.</w:t>
      </w:r>
    </w:p>
    <w:p w14:paraId="58D1C72B" w14:textId="77777777" w:rsidR="003E5E4C" w:rsidRPr="00535227" w:rsidRDefault="00921F95" w:rsidP="00535227">
      <w:pPr>
        <w:pStyle w:val="Heading4"/>
      </w:pPr>
      <w:r w:rsidRPr="00535227">
        <w:t>S</w:t>
      </w:r>
      <w:r w:rsidR="003E5E4C" w:rsidRPr="00535227">
        <w:t xml:space="preserve">ervices </w:t>
      </w:r>
      <w:r w:rsidR="005C7DB4" w:rsidRPr="00535227">
        <w:t xml:space="preserve">for </w:t>
      </w:r>
      <w:r w:rsidR="003E5E4C" w:rsidRPr="00535227">
        <w:t xml:space="preserve">Koori </w:t>
      </w:r>
      <w:r w:rsidR="00EC5022" w:rsidRPr="00535227">
        <w:t>businesses</w:t>
      </w:r>
      <w:r w:rsidR="003E5E4C" w:rsidRPr="00535227">
        <w:t>, consumers and tenants</w:t>
      </w:r>
    </w:p>
    <w:p w14:paraId="58D1C72C" w14:textId="77777777" w:rsidR="00EA437D" w:rsidRDefault="00C33158" w:rsidP="00535227">
      <w:pPr>
        <w:pStyle w:val="BodyText"/>
        <w:rPr>
          <w:lang w:eastAsia="en-AU"/>
        </w:rPr>
      </w:pPr>
      <w:r>
        <w:rPr>
          <w:lang w:eastAsia="en-AU"/>
        </w:rPr>
        <w:t>Over the past year,</w:t>
      </w:r>
      <w:r w:rsidR="00EA437D">
        <w:rPr>
          <w:lang w:eastAsia="en-AU"/>
        </w:rPr>
        <w:t xml:space="preserve"> we</w:t>
      </w:r>
      <w:r>
        <w:rPr>
          <w:lang w:eastAsia="en-AU"/>
        </w:rPr>
        <w:t xml:space="preserve"> have</w:t>
      </w:r>
      <w:r w:rsidR="00EA437D">
        <w:rPr>
          <w:lang w:eastAsia="en-AU"/>
        </w:rPr>
        <w:t xml:space="preserve"> continued to provide a range of services to support the Victorian </w:t>
      </w:r>
      <w:r>
        <w:rPr>
          <w:lang w:eastAsia="en-AU"/>
        </w:rPr>
        <w:t>Koori</w:t>
      </w:r>
      <w:r w:rsidR="00EA437D">
        <w:rPr>
          <w:lang w:eastAsia="en-AU"/>
        </w:rPr>
        <w:t xml:space="preserve"> community as </w:t>
      </w:r>
      <w:r w:rsidR="00EC5022">
        <w:rPr>
          <w:lang w:eastAsia="en-AU"/>
        </w:rPr>
        <w:t>businesses</w:t>
      </w:r>
      <w:r w:rsidR="00EA437D">
        <w:rPr>
          <w:lang w:eastAsia="en-AU"/>
        </w:rPr>
        <w:t>, consumer</w:t>
      </w:r>
      <w:r w:rsidR="00DF0BE8">
        <w:rPr>
          <w:lang w:eastAsia="en-AU"/>
        </w:rPr>
        <w:t>s</w:t>
      </w:r>
      <w:r w:rsidR="00EA437D">
        <w:rPr>
          <w:lang w:eastAsia="en-AU"/>
        </w:rPr>
        <w:t xml:space="preserve"> and tenants.</w:t>
      </w:r>
    </w:p>
    <w:p w14:paraId="58D1C72D" w14:textId="77777777" w:rsidR="00EA437D" w:rsidRDefault="00C968C2" w:rsidP="00535227">
      <w:pPr>
        <w:pStyle w:val="BodyText"/>
        <w:rPr>
          <w:lang w:eastAsia="en-AU"/>
        </w:rPr>
      </w:pPr>
      <w:r>
        <w:rPr>
          <w:lang w:eastAsia="en-AU"/>
        </w:rPr>
        <w:t>We responded to over 1</w:t>
      </w:r>
      <w:r w:rsidR="00E64C56">
        <w:rPr>
          <w:lang w:eastAsia="en-AU"/>
        </w:rPr>
        <w:t>,</w:t>
      </w:r>
      <w:r>
        <w:rPr>
          <w:lang w:eastAsia="en-AU"/>
        </w:rPr>
        <w:t xml:space="preserve">700 calls to our </w:t>
      </w:r>
      <w:r w:rsidR="00EA437D">
        <w:rPr>
          <w:lang w:eastAsia="en-AU"/>
        </w:rPr>
        <w:t>Koori helpline. We also</w:t>
      </w:r>
      <w:r w:rsidR="00C33158">
        <w:rPr>
          <w:lang w:eastAsia="en-AU"/>
        </w:rPr>
        <w:t xml:space="preserve"> provide a dedicated</w:t>
      </w:r>
      <w:r w:rsidR="00EC5022">
        <w:rPr>
          <w:lang w:eastAsia="en-AU"/>
        </w:rPr>
        <w:t xml:space="preserve"> section </w:t>
      </w:r>
      <w:r w:rsidR="00C33158">
        <w:rPr>
          <w:lang w:eastAsia="en-AU"/>
        </w:rPr>
        <w:t>on</w:t>
      </w:r>
      <w:r w:rsidR="00EA437D">
        <w:rPr>
          <w:lang w:eastAsia="en-AU"/>
        </w:rPr>
        <w:t xml:space="preserve"> </w:t>
      </w:r>
      <w:r w:rsidR="00C33158">
        <w:rPr>
          <w:lang w:eastAsia="en-AU"/>
        </w:rPr>
        <w:t>our</w:t>
      </w:r>
      <w:r w:rsidR="00EA437D">
        <w:rPr>
          <w:lang w:eastAsia="en-AU"/>
        </w:rPr>
        <w:t xml:space="preserve"> </w:t>
      </w:r>
      <w:r w:rsidR="007A3786">
        <w:rPr>
          <w:lang w:eastAsia="en-AU"/>
        </w:rPr>
        <w:t xml:space="preserve">website </w:t>
      </w:r>
      <w:r w:rsidR="00EA437D">
        <w:rPr>
          <w:lang w:eastAsia="en-AU"/>
        </w:rPr>
        <w:t>that flags important consumer issues</w:t>
      </w:r>
      <w:r w:rsidR="00B67745">
        <w:rPr>
          <w:lang w:eastAsia="en-AU"/>
        </w:rPr>
        <w:t>, such as the ‘Avoid a funeral RIP off’ video</w:t>
      </w:r>
      <w:r w:rsidR="00EA437D">
        <w:rPr>
          <w:lang w:eastAsia="en-AU"/>
        </w:rPr>
        <w:t>.</w:t>
      </w:r>
    </w:p>
    <w:p w14:paraId="58D1C72E" w14:textId="77777777" w:rsidR="00EE29E7" w:rsidRDefault="00E3430A" w:rsidP="00535227">
      <w:pPr>
        <w:pStyle w:val="BodyText"/>
        <w:rPr>
          <w:lang w:eastAsia="en-AU"/>
        </w:rPr>
      </w:pPr>
      <w:r>
        <w:rPr>
          <w:lang w:eastAsia="en-AU"/>
        </w:rPr>
        <w:t>Regional Services Network</w:t>
      </w:r>
      <w:r w:rsidR="00F71DC9">
        <w:rPr>
          <w:lang w:eastAsia="en-AU"/>
        </w:rPr>
        <w:t xml:space="preserve"> staff</w:t>
      </w:r>
      <w:r w:rsidR="00A37095">
        <w:rPr>
          <w:lang w:eastAsia="en-AU"/>
        </w:rPr>
        <w:t xml:space="preserve"> </w:t>
      </w:r>
      <w:r w:rsidR="00C33158">
        <w:rPr>
          <w:lang w:eastAsia="en-AU"/>
        </w:rPr>
        <w:t>attended</w:t>
      </w:r>
      <w:r w:rsidR="00A37095">
        <w:rPr>
          <w:lang w:eastAsia="en-AU"/>
        </w:rPr>
        <w:t xml:space="preserve"> </w:t>
      </w:r>
      <w:r w:rsidR="000D0E83">
        <w:rPr>
          <w:lang w:eastAsia="en-AU"/>
        </w:rPr>
        <w:t xml:space="preserve">around 30 </w:t>
      </w:r>
      <w:r w:rsidR="00A37095">
        <w:rPr>
          <w:lang w:eastAsia="en-AU"/>
        </w:rPr>
        <w:t>events</w:t>
      </w:r>
      <w:r w:rsidR="007A3786">
        <w:rPr>
          <w:lang w:eastAsia="en-AU"/>
        </w:rPr>
        <w:t xml:space="preserve"> </w:t>
      </w:r>
      <w:r w:rsidR="00C33158">
        <w:rPr>
          <w:lang w:eastAsia="en-AU"/>
        </w:rPr>
        <w:t>across Victoria</w:t>
      </w:r>
      <w:r w:rsidR="00C968C2">
        <w:rPr>
          <w:lang w:eastAsia="en-AU"/>
        </w:rPr>
        <w:t xml:space="preserve"> to promote the services we offer</w:t>
      </w:r>
      <w:r w:rsidR="00A37095">
        <w:rPr>
          <w:lang w:eastAsia="en-AU"/>
        </w:rPr>
        <w:t xml:space="preserve">. </w:t>
      </w:r>
      <w:r w:rsidR="00C968C2">
        <w:rPr>
          <w:lang w:eastAsia="en-AU"/>
        </w:rPr>
        <w:t xml:space="preserve">For example, we attended </w:t>
      </w:r>
      <w:r w:rsidR="00A37095" w:rsidRPr="00332305">
        <w:rPr>
          <w:lang w:eastAsia="en-AU"/>
        </w:rPr>
        <w:t xml:space="preserve">the state-wide Koori Football and Netball Carnival, </w:t>
      </w:r>
      <w:r w:rsidR="007A3786">
        <w:rPr>
          <w:lang w:eastAsia="en-AU"/>
        </w:rPr>
        <w:t>Rumbalara Workers Sorry Day</w:t>
      </w:r>
      <w:r w:rsidR="00A37095" w:rsidRPr="00332305">
        <w:rPr>
          <w:lang w:eastAsia="en-AU"/>
        </w:rPr>
        <w:t xml:space="preserve"> and the Victorian Aboriginal Legal Health Check Expo</w:t>
      </w:r>
      <w:r w:rsidR="00A37095">
        <w:rPr>
          <w:lang w:eastAsia="en-AU"/>
        </w:rPr>
        <w:t>.</w:t>
      </w:r>
    </w:p>
    <w:p w14:paraId="58D1C72F" w14:textId="77777777" w:rsidR="007A3786" w:rsidRDefault="00A76634" w:rsidP="00040AF8">
      <w:pPr>
        <w:pStyle w:val="Heading4"/>
        <w:rPr>
          <w:lang w:eastAsia="en-AU"/>
        </w:rPr>
      </w:pPr>
      <w:r>
        <w:rPr>
          <w:lang w:eastAsia="en-AU"/>
        </w:rPr>
        <w:t>Case study</w:t>
      </w:r>
    </w:p>
    <w:p w14:paraId="58D1C730" w14:textId="77777777" w:rsidR="00EE29E7" w:rsidRDefault="0066310A" w:rsidP="00535227">
      <w:pPr>
        <w:pStyle w:val="BodyText"/>
        <w:rPr>
          <w:lang w:eastAsia="en-AU"/>
        </w:rPr>
      </w:pPr>
      <w:r>
        <w:rPr>
          <w:lang w:eastAsia="en-AU"/>
        </w:rPr>
        <w:t xml:space="preserve">A caller from Western Victoria recently contacted the Koori helpline because they </w:t>
      </w:r>
      <w:r w:rsidR="006D76BE">
        <w:rPr>
          <w:lang w:eastAsia="en-AU"/>
        </w:rPr>
        <w:t xml:space="preserve">were having trouble paying their rent and </w:t>
      </w:r>
      <w:r w:rsidR="00EA4A06" w:rsidRPr="00EA4A06">
        <w:rPr>
          <w:lang w:eastAsia="en-AU"/>
        </w:rPr>
        <w:t xml:space="preserve">had been served with a Notice to Vacate </w:t>
      </w:r>
      <w:r>
        <w:rPr>
          <w:lang w:eastAsia="en-AU"/>
        </w:rPr>
        <w:t>from</w:t>
      </w:r>
      <w:r w:rsidR="00EA4A06" w:rsidRPr="00EA4A06">
        <w:rPr>
          <w:lang w:eastAsia="en-AU"/>
        </w:rPr>
        <w:t xml:space="preserve"> the rental property they were </w:t>
      </w:r>
      <w:r>
        <w:rPr>
          <w:lang w:eastAsia="en-AU"/>
        </w:rPr>
        <w:t>living in. The calle</w:t>
      </w:r>
      <w:r w:rsidR="007D59ED">
        <w:rPr>
          <w:lang w:eastAsia="en-AU"/>
        </w:rPr>
        <w:t>r</w:t>
      </w:r>
      <w:r>
        <w:rPr>
          <w:lang w:eastAsia="en-AU"/>
        </w:rPr>
        <w:t xml:space="preserve"> was looking for a</w:t>
      </w:r>
      <w:r w:rsidR="00EA4A06" w:rsidRPr="00EA4A06">
        <w:rPr>
          <w:lang w:eastAsia="en-AU"/>
        </w:rPr>
        <w:t>dvice about their rights</w:t>
      </w:r>
      <w:r w:rsidR="006D76BE">
        <w:rPr>
          <w:lang w:eastAsia="en-AU"/>
        </w:rPr>
        <w:t xml:space="preserve"> in this situation</w:t>
      </w:r>
      <w:r w:rsidR="00EA4A06" w:rsidRPr="00EA4A06">
        <w:rPr>
          <w:lang w:eastAsia="en-AU"/>
        </w:rPr>
        <w:t xml:space="preserve"> and </w:t>
      </w:r>
      <w:r>
        <w:rPr>
          <w:lang w:eastAsia="en-AU"/>
        </w:rPr>
        <w:t xml:space="preserve">where they could access </w:t>
      </w:r>
      <w:r w:rsidR="00EA4A06" w:rsidRPr="00EA4A06">
        <w:rPr>
          <w:lang w:eastAsia="en-AU"/>
        </w:rPr>
        <w:t>assistance.</w:t>
      </w:r>
    </w:p>
    <w:p w14:paraId="58D1C731" w14:textId="77777777" w:rsidR="00EE29E7" w:rsidRDefault="0066310A" w:rsidP="00535227">
      <w:pPr>
        <w:pStyle w:val="BodyText"/>
        <w:rPr>
          <w:lang w:eastAsia="en-AU"/>
        </w:rPr>
      </w:pPr>
      <w:r>
        <w:rPr>
          <w:lang w:eastAsia="en-AU"/>
        </w:rPr>
        <w:t xml:space="preserve">The enquiries officer taking the call </w:t>
      </w:r>
      <w:r w:rsidR="00EA4A06" w:rsidRPr="00EA4A06">
        <w:rPr>
          <w:lang w:eastAsia="en-AU"/>
        </w:rPr>
        <w:t xml:space="preserve">explained </w:t>
      </w:r>
      <w:r>
        <w:rPr>
          <w:lang w:eastAsia="en-AU"/>
        </w:rPr>
        <w:t>the</w:t>
      </w:r>
      <w:r w:rsidR="00EA4A06" w:rsidRPr="00EA4A06">
        <w:rPr>
          <w:lang w:eastAsia="en-AU"/>
        </w:rPr>
        <w:t xml:space="preserve"> rights and responsibilities </w:t>
      </w:r>
      <w:r>
        <w:rPr>
          <w:lang w:eastAsia="en-AU"/>
        </w:rPr>
        <w:t xml:space="preserve">of all tenants </w:t>
      </w:r>
      <w:r w:rsidR="00EA4A06" w:rsidRPr="00EA4A06">
        <w:rPr>
          <w:lang w:eastAsia="en-AU"/>
        </w:rPr>
        <w:t xml:space="preserve">under the </w:t>
      </w:r>
      <w:r w:rsidR="00EA4A06" w:rsidRPr="0066310A">
        <w:rPr>
          <w:i/>
          <w:lang w:eastAsia="en-AU"/>
        </w:rPr>
        <w:t>Residential Tenanc</w:t>
      </w:r>
      <w:r w:rsidR="009D64E4">
        <w:rPr>
          <w:i/>
          <w:lang w:eastAsia="en-AU"/>
        </w:rPr>
        <w:t>ies</w:t>
      </w:r>
      <w:r w:rsidR="00EA4A06" w:rsidRPr="0066310A">
        <w:rPr>
          <w:i/>
          <w:lang w:eastAsia="en-AU"/>
        </w:rPr>
        <w:t xml:space="preserve"> Act</w:t>
      </w:r>
      <w:r w:rsidRPr="0066310A">
        <w:rPr>
          <w:i/>
          <w:lang w:eastAsia="en-AU"/>
        </w:rPr>
        <w:t xml:space="preserve"> 1997</w:t>
      </w:r>
      <w:r w:rsidR="00EA4A06" w:rsidRPr="00EA4A06">
        <w:rPr>
          <w:lang w:eastAsia="en-AU"/>
        </w:rPr>
        <w:t xml:space="preserve"> </w:t>
      </w:r>
      <w:r>
        <w:rPr>
          <w:lang w:eastAsia="en-AU"/>
        </w:rPr>
        <w:t>where a</w:t>
      </w:r>
      <w:r w:rsidR="00EA4A06" w:rsidRPr="00EA4A06">
        <w:rPr>
          <w:lang w:eastAsia="en-AU"/>
        </w:rPr>
        <w:t xml:space="preserve"> landlord wants to end a lease agreement.</w:t>
      </w:r>
      <w:r w:rsidR="00EE29E7">
        <w:rPr>
          <w:lang w:eastAsia="en-AU"/>
        </w:rPr>
        <w:t xml:space="preserve"> </w:t>
      </w:r>
      <w:r w:rsidR="006D76BE">
        <w:rPr>
          <w:lang w:eastAsia="en-AU"/>
        </w:rPr>
        <w:t xml:space="preserve">The enquiries officer discussed options for the caller in accessing MoneyHelp and a financial counsellor. The caller was </w:t>
      </w:r>
      <w:r w:rsidR="007D59ED">
        <w:rPr>
          <w:lang w:eastAsia="en-AU"/>
        </w:rPr>
        <w:t>also offered</w:t>
      </w:r>
      <w:r w:rsidR="006D76BE">
        <w:rPr>
          <w:lang w:eastAsia="en-AU"/>
        </w:rPr>
        <w:t xml:space="preserve"> the option to access </w:t>
      </w:r>
      <w:r w:rsidR="009F40AB">
        <w:rPr>
          <w:lang w:eastAsia="en-AU"/>
        </w:rPr>
        <w:t>our</w:t>
      </w:r>
      <w:r w:rsidR="006D76BE" w:rsidRPr="00EA4A06">
        <w:rPr>
          <w:lang w:eastAsia="en-AU"/>
        </w:rPr>
        <w:t xml:space="preserve"> Tenancy Advice a</w:t>
      </w:r>
      <w:r w:rsidR="006D76BE">
        <w:rPr>
          <w:lang w:eastAsia="en-AU"/>
        </w:rPr>
        <w:t>nd Advocacy Program (TAAP), a program that provides assistance to people who are in a difficult situation such as this.</w:t>
      </w:r>
    </w:p>
    <w:p w14:paraId="58D1C732" w14:textId="77777777" w:rsidR="00EA4A06" w:rsidRDefault="006D76BE" w:rsidP="00535227">
      <w:pPr>
        <w:pStyle w:val="BodyText"/>
        <w:rPr>
          <w:lang w:eastAsia="en-AU"/>
        </w:rPr>
      </w:pPr>
      <w:r>
        <w:rPr>
          <w:lang w:eastAsia="en-AU"/>
        </w:rPr>
        <w:t xml:space="preserve">Ultimately, the caller chose to </w:t>
      </w:r>
      <w:r w:rsidR="00EA4A06" w:rsidRPr="00EA4A06">
        <w:rPr>
          <w:lang w:eastAsia="en-AU"/>
        </w:rPr>
        <w:t>firs</w:t>
      </w:r>
      <w:r>
        <w:rPr>
          <w:lang w:eastAsia="en-AU"/>
        </w:rPr>
        <w:t>t pursue the MoneyHelp option and was given a reference number</w:t>
      </w:r>
      <w:r w:rsidR="007D59ED">
        <w:rPr>
          <w:lang w:eastAsia="en-AU"/>
        </w:rPr>
        <w:t xml:space="preserve"> for their conversation</w:t>
      </w:r>
      <w:r>
        <w:rPr>
          <w:lang w:eastAsia="en-AU"/>
        </w:rPr>
        <w:t>. This gave the caller the option to ring back to access further</w:t>
      </w:r>
      <w:r w:rsidR="00EA4A06" w:rsidRPr="00EA4A06">
        <w:rPr>
          <w:lang w:eastAsia="en-AU"/>
        </w:rPr>
        <w:t xml:space="preserve"> assistance and advocacy via the TAAP.</w:t>
      </w:r>
    </w:p>
    <w:p w14:paraId="58D1C733" w14:textId="77777777" w:rsidR="005038A8" w:rsidRDefault="005038A8" w:rsidP="00040AF8">
      <w:pPr>
        <w:pStyle w:val="Heading4"/>
        <w:rPr>
          <w:lang w:eastAsia="en-AU"/>
        </w:rPr>
      </w:pPr>
      <w:r>
        <w:rPr>
          <w:lang w:eastAsia="en-AU"/>
        </w:rPr>
        <w:t>Social media activity</w:t>
      </w:r>
    </w:p>
    <w:p w14:paraId="58D1C734" w14:textId="77777777" w:rsidR="00EE29E7" w:rsidRDefault="00DF0BE8" w:rsidP="00535227">
      <w:pPr>
        <w:pStyle w:val="BodyText"/>
        <w:rPr>
          <w:lang w:eastAsia="en-AU"/>
        </w:rPr>
      </w:pPr>
      <w:r w:rsidRPr="00DF0BE8">
        <w:rPr>
          <w:lang w:eastAsia="en-AU"/>
        </w:rPr>
        <w:t>We continue to build our audiences on social media: we have more than 8,000 Twitter followers and more than 28,000 Facebook page likes.</w:t>
      </w:r>
    </w:p>
    <w:p w14:paraId="58D1C735" w14:textId="77777777" w:rsidR="00DF0BE8" w:rsidRPr="00DF0BE8" w:rsidRDefault="00DF0BE8" w:rsidP="00535227">
      <w:pPr>
        <w:pStyle w:val="BodyText"/>
        <w:rPr>
          <w:lang w:eastAsia="en-AU"/>
        </w:rPr>
      </w:pPr>
      <w:r w:rsidRPr="00DF0BE8">
        <w:rPr>
          <w:lang w:eastAsia="en-AU"/>
        </w:rPr>
        <w:lastRenderedPageBreak/>
        <w:t>Our activity on Twitter was seen more than 4.5 million times</w:t>
      </w:r>
      <w:r w:rsidR="0062480A">
        <w:rPr>
          <w:lang w:eastAsia="en-AU"/>
        </w:rPr>
        <w:t xml:space="preserve">, while </w:t>
      </w:r>
      <w:r w:rsidRPr="00DF0BE8">
        <w:rPr>
          <w:lang w:eastAsia="en-AU"/>
        </w:rPr>
        <w:t xml:space="preserve">on Facebook was seen 5.67 million </w:t>
      </w:r>
      <w:r w:rsidR="00C33158">
        <w:rPr>
          <w:lang w:eastAsia="en-AU"/>
        </w:rPr>
        <w:t>times</w:t>
      </w:r>
      <w:r w:rsidRPr="00DF0BE8">
        <w:rPr>
          <w:lang w:eastAsia="en-AU"/>
        </w:rPr>
        <w:t>.</w:t>
      </w:r>
    </w:p>
    <w:p w14:paraId="58D1C736" w14:textId="77777777" w:rsidR="00DF0BE8" w:rsidRPr="00CE7A30" w:rsidRDefault="00DF0BE8" w:rsidP="00535227">
      <w:pPr>
        <w:pStyle w:val="BodyText"/>
        <w:rPr>
          <w:lang w:eastAsia="en-AU"/>
        </w:rPr>
      </w:pPr>
      <w:r w:rsidRPr="00DF0BE8">
        <w:rPr>
          <w:lang w:eastAsia="en-AU"/>
        </w:rPr>
        <w:t>Timely warnings generated the highest reach and enga</w:t>
      </w:r>
      <w:r>
        <w:rPr>
          <w:lang w:eastAsia="en-AU"/>
        </w:rPr>
        <w:t xml:space="preserve">gement. Our top three tweets - </w:t>
      </w:r>
      <w:r w:rsidRPr="00DF0BE8">
        <w:rPr>
          <w:lang w:eastAsia="en-AU"/>
        </w:rPr>
        <w:t xml:space="preserve">which reached more than 10,000 people each - were about current scams and travelling conmen. </w:t>
      </w:r>
      <w:r w:rsidR="00C84E51" w:rsidRPr="00EC5022">
        <w:rPr>
          <w:color w:val="000000"/>
          <w:lang w:eastAsia="en-AU"/>
        </w:rPr>
        <w:t>In January, we warned Victorians about a voucher scam that was circulating on Facebook. Our Facebook post about the scam reached 113,000 people.</w:t>
      </w:r>
    </w:p>
    <w:p w14:paraId="58D1C737" w14:textId="77777777" w:rsidR="00DF0BE8" w:rsidRPr="00DF0BE8" w:rsidRDefault="00DF0BE8" w:rsidP="00535227">
      <w:pPr>
        <w:pStyle w:val="BodyText"/>
        <w:rPr>
          <w:lang w:eastAsia="en-AU"/>
        </w:rPr>
      </w:pPr>
      <w:r w:rsidRPr="00DF0BE8">
        <w:rPr>
          <w:lang w:eastAsia="en-AU"/>
        </w:rPr>
        <w:t>Promoted posts help us reach new and larger audiences. In Mar</w:t>
      </w:r>
      <w:r w:rsidR="00D172EB">
        <w:rPr>
          <w:lang w:eastAsia="en-AU"/>
        </w:rPr>
        <w:t xml:space="preserve">ch, one Facebook post about the review we are conducting on the </w:t>
      </w:r>
      <w:r w:rsidR="00D172EB" w:rsidRPr="00D172EB">
        <w:rPr>
          <w:i/>
          <w:lang w:eastAsia="en-AU"/>
        </w:rPr>
        <w:t>Residential Tenancies Act 1997</w:t>
      </w:r>
      <w:r w:rsidR="00D172EB">
        <w:rPr>
          <w:lang w:eastAsia="en-AU"/>
        </w:rPr>
        <w:t xml:space="preserve"> </w:t>
      </w:r>
      <w:r w:rsidRPr="00DF0BE8">
        <w:rPr>
          <w:lang w:eastAsia="en-AU"/>
        </w:rPr>
        <w:t>reached 196,000 people and another reached 136,000.</w:t>
      </w:r>
    </w:p>
    <w:p w14:paraId="58D1C738" w14:textId="77777777" w:rsidR="007F7301" w:rsidRPr="00DF0BE8" w:rsidRDefault="007F7301" w:rsidP="00535227">
      <w:pPr>
        <w:pStyle w:val="BodyText"/>
        <w:rPr>
          <w:lang w:eastAsia="en-AU"/>
        </w:rPr>
      </w:pPr>
      <w:r w:rsidRPr="00DF0BE8">
        <w:rPr>
          <w:lang w:eastAsia="en-AU"/>
        </w:rPr>
        <w:t xml:space="preserve">Publicising our </w:t>
      </w:r>
      <w:r>
        <w:rPr>
          <w:lang w:eastAsia="en-AU"/>
        </w:rPr>
        <w:t>enforcement</w:t>
      </w:r>
      <w:r w:rsidRPr="00DF0BE8">
        <w:rPr>
          <w:lang w:eastAsia="en-AU"/>
        </w:rPr>
        <w:t xml:space="preserve"> outcomes </w:t>
      </w:r>
      <w:r>
        <w:rPr>
          <w:lang w:eastAsia="en-AU"/>
        </w:rPr>
        <w:t>via</w:t>
      </w:r>
      <w:r w:rsidRPr="00DF0BE8">
        <w:rPr>
          <w:lang w:eastAsia="en-AU"/>
        </w:rPr>
        <w:t xml:space="preserve"> social media channels is an excellent way to </w:t>
      </w:r>
      <w:r>
        <w:rPr>
          <w:lang w:eastAsia="en-AU"/>
        </w:rPr>
        <w:t>encourage compliant</w:t>
      </w:r>
      <w:r w:rsidRPr="00DF0BE8">
        <w:rPr>
          <w:lang w:eastAsia="en-AU"/>
        </w:rPr>
        <w:t xml:space="preserve"> business practices.</w:t>
      </w:r>
    </w:p>
    <w:p w14:paraId="58D1C739" w14:textId="77777777" w:rsidR="00DF0BE8" w:rsidRPr="00DF0BE8" w:rsidRDefault="00DF0BE8" w:rsidP="00535227">
      <w:pPr>
        <w:pStyle w:val="BodyText"/>
        <w:rPr>
          <w:lang w:eastAsia="en-AU"/>
        </w:rPr>
      </w:pPr>
      <w:r w:rsidRPr="00DF0BE8">
        <w:rPr>
          <w:lang w:eastAsia="en-AU"/>
        </w:rPr>
        <w:t>We continuously monitor the evolving social media landscape. In May we broadcast our first ‘Facebook live’ video, from the Shredfest event</w:t>
      </w:r>
      <w:r w:rsidR="00D172EB">
        <w:rPr>
          <w:lang w:eastAsia="en-AU"/>
        </w:rPr>
        <w:t xml:space="preserve"> where we encouraged Victorians to protect their personal information by appropriately destroying</w:t>
      </w:r>
      <w:r w:rsidR="00156617">
        <w:rPr>
          <w:lang w:eastAsia="en-AU"/>
        </w:rPr>
        <w:t xml:space="preserve"> their documents.</w:t>
      </w:r>
    </w:p>
    <w:p w14:paraId="58D1C73A" w14:textId="77777777" w:rsidR="00F36802" w:rsidRDefault="00DF0BE8" w:rsidP="00535227">
      <w:pPr>
        <w:pStyle w:val="BodyText"/>
      </w:pPr>
      <w:r w:rsidRPr="005F58AA">
        <w:t>On YouTube, we launched a series of renting videos in Dari, for Afghan refugees. The four videos explain the leasing process, bonds, condition reports and repairs.</w:t>
      </w:r>
    </w:p>
    <w:p w14:paraId="58D1C73B" w14:textId="77777777" w:rsidR="00052AFF" w:rsidRPr="00D074DB" w:rsidRDefault="00052AFF" w:rsidP="00040AF8">
      <w:pPr>
        <w:pStyle w:val="Heading4"/>
        <w:rPr>
          <w:lang w:eastAsia="en-AU"/>
        </w:rPr>
      </w:pPr>
      <w:r w:rsidRPr="00D074DB">
        <w:rPr>
          <w:lang w:eastAsia="en-AU"/>
        </w:rPr>
        <w:t>Scammers don’t discriminate</w:t>
      </w:r>
    </w:p>
    <w:p w14:paraId="58D1C73C" w14:textId="77777777" w:rsidR="00052AFF" w:rsidRPr="00052AFF" w:rsidRDefault="00D074DB" w:rsidP="00535227">
      <w:pPr>
        <w:pStyle w:val="BodyText"/>
        <w:rPr>
          <w:lang w:eastAsia="en-AU"/>
        </w:rPr>
      </w:pPr>
      <w:r>
        <w:rPr>
          <w:lang w:eastAsia="en-AU"/>
        </w:rPr>
        <w:t xml:space="preserve">The more we talk about scams, the more difficult it is for scammers to operate. </w:t>
      </w:r>
      <w:r w:rsidR="00052AFF">
        <w:rPr>
          <w:lang w:eastAsia="en-AU"/>
        </w:rPr>
        <w:t>This campaign aimed</w:t>
      </w:r>
      <w:r w:rsidR="00052AFF" w:rsidRPr="00052AFF">
        <w:rPr>
          <w:lang w:eastAsia="en-AU"/>
        </w:rPr>
        <w:t xml:space="preserve"> to hel</w:t>
      </w:r>
      <w:r w:rsidR="00052AFF">
        <w:rPr>
          <w:lang w:eastAsia="en-AU"/>
        </w:rPr>
        <w:t>p the public protect themselves against scams.</w:t>
      </w:r>
    </w:p>
    <w:p w14:paraId="58D1C73D" w14:textId="77777777" w:rsidR="00D074DB" w:rsidRDefault="00052AFF" w:rsidP="00535227">
      <w:pPr>
        <w:pStyle w:val="BodyText"/>
        <w:rPr>
          <w:lang w:eastAsia="en-AU"/>
        </w:rPr>
      </w:pPr>
      <w:r w:rsidRPr="00052AFF">
        <w:rPr>
          <w:lang w:eastAsia="en-AU"/>
        </w:rPr>
        <w:t xml:space="preserve">The campaign raised awareness that anyone can fall for a scam, how to avoid them and the importance of reporting scams to warn others about specific tactics. </w:t>
      </w:r>
      <w:r w:rsidR="00D074DB">
        <w:rPr>
          <w:lang w:eastAsia="en-AU"/>
        </w:rPr>
        <w:t xml:space="preserve">We </w:t>
      </w:r>
      <w:r w:rsidRPr="00052AFF">
        <w:rPr>
          <w:lang w:eastAsia="en-AU"/>
        </w:rPr>
        <w:t>promoted the mental health support services available to Victorians who may experience anxiety or depression as a result of being scammed.</w:t>
      </w:r>
    </w:p>
    <w:p w14:paraId="58D1C73E" w14:textId="77777777" w:rsidR="00D074DB" w:rsidRDefault="00052AFF" w:rsidP="00535227">
      <w:pPr>
        <w:pStyle w:val="BodyText"/>
        <w:rPr>
          <w:lang w:eastAsia="en-AU"/>
        </w:rPr>
      </w:pPr>
      <w:r w:rsidRPr="00052AFF">
        <w:rPr>
          <w:lang w:eastAsia="en-AU"/>
        </w:rPr>
        <w:t xml:space="preserve">During the campaign we worked in partnership with Good Shepherd and closely with BeyondBlue, SANE, headspace and </w:t>
      </w:r>
      <w:hyperlink r:id="rId14" w:history="1">
        <w:r w:rsidRPr="00052AFF">
          <w:rPr>
            <w:lang w:eastAsia="en-AU"/>
          </w:rPr>
          <w:t>Vi</w:t>
        </w:r>
        <w:r w:rsidR="00D074DB">
          <w:rPr>
            <w:lang w:eastAsia="en-AU"/>
          </w:rPr>
          <w:t>ctorian Men's Shed Association</w:t>
        </w:r>
      </w:hyperlink>
      <w:r w:rsidRPr="00052AFF">
        <w:rPr>
          <w:lang w:eastAsia="en-AU"/>
        </w:rPr>
        <w:t>.</w:t>
      </w:r>
    </w:p>
    <w:p w14:paraId="58D1C73F" w14:textId="77777777" w:rsidR="00052AFF" w:rsidRDefault="00052AFF" w:rsidP="00535227">
      <w:pPr>
        <w:pStyle w:val="BodyText"/>
        <w:rPr>
          <w:lang w:eastAsia="en-AU"/>
        </w:rPr>
      </w:pPr>
      <w:r w:rsidRPr="00052AFF">
        <w:rPr>
          <w:lang w:eastAsia="en-AU"/>
        </w:rPr>
        <w:t xml:space="preserve">The campaign </w:t>
      </w:r>
      <w:r w:rsidR="00D074DB">
        <w:rPr>
          <w:lang w:eastAsia="en-AU"/>
        </w:rPr>
        <w:t xml:space="preserve">directed Victorians to the information available on our website, and </w:t>
      </w:r>
      <w:r w:rsidRPr="00052AFF">
        <w:rPr>
          <w:lang w:eastAsia="en-AU"/>
        </w:rPr>
        <w:t>also directed people</w:t>
      </w:r>
      <w:r w:rsidR="00D074DB">
        <w:rPr>
          <w:lang w:eastAsia="en-AU"/>
        </w:rPr>
        <w:t xml:space="preserve"> to the MoneyHelp hotline if they had suffered</w:t>
      </w:r>
      <w:r w:rsidRPr="00052AFF">
        <w:rPr>
          <w:lang w:eastAsia="en-AU"/>
        </w:rPr>
        <w:t xml:space="preserve"> financial stres</w:t>
      </w:r>
      <w:r w:rsidR="00D074DB">
        <w:rPr>
          <w:lang w:eastAsia="en-AU"/>
        </w:rPr>
        <w:t>s due to losing money in a scam</w:t>
      </w:r>
      <w:r w:rsidRPr="00052AFF">
        <w:rPr>
          <w:lang w:eastAsia="en-AU"/>
        </w:rPr>
        <w:t>.</w:t>
      </w:r>
    </w:p>
    <w:p w14:paraId="58D1C740" w14:textId="77777777" w:rsidR="00052AFF" w:rsidRPr="00A76634" w:rsidRDefault="00535227" w:rsidP="00986E1E">
      <w:pPr>
        <w:pStyle w:val="Heading5"/>
        <w:rPr>
          <w:lang w:eastAsia="en-AU"/>
        </w:rPr>
      </w:pPr>
      <w:r>
        <w:rPr>
          <w:lang w:eastAsia="en-AU"/>
        </w:rPr>
        <w:t>Top five scams reported to CAV</w:t>
      </w:r>
    </w:p>
    <w:p w14:paraId="58D1C741" w14:textId="77777777" w:rsidR="00052AFF" w:rsidRPr="00A76634" w:rsidRDefault="00052AFF" w:rsidP="00535227">
      <w:pPr>
        <w:pStyle w:val="BodyText"/>
        <w:rPr>
          <w:lang w:eastAsia="en-AU"/>
        </w:rPr>
      </w:pPr>
      <w:r w:rsidRPr="00A76634">
        <w:rPr>
          <w:lang w:eastAsia="en-AU"/>
        </w:rPr>
        <w:t>We work collaboratively with the Australian Competition and Consumer Commission (ACCC) to help people to recognise and prevent scams. The Scamwatch website is run by the ACCC and most scams are reported through that channel; however, we also received nearly 1,500 reports of scams in the past year. The most reported scams were:</w:t>
      </w:r>
    </w:p>
    <w:p w14:paraId="58D1C742" w14:textId="77777777" w:rsidR="00535227" w:rsidRDefault="00052AFF" w:rsidP="00986E1E">
      <w:pPr>
        <w:pStyle w:val="ListNumber"/>
        <w:numPr>
          <w:ilvl w:val="0"/>
          <w:numId w:val="32"/>
        </w:numPr>
      </w:pPr>
      <w:r w:rsidRPr="00A76634">
        <w:t>Advance fee fraud – 29 per cent</w:t>
      </w:r>
    </w:p>
    <w:p w14:paraId="58D1C743" w14:textId="77777777" w:rsidR="00535227" w:rsidRDefault="00052AFF" w:rsidP="00535227">
      <w:pPr>
        <w:pStyle w:val="ListNumber"/>
      </w:pPr>
      <w:r w:rsidRPr="00A76634">
        <w:t>Travelling con men – 11 per cent</w:t>
      </w:r>
    </w:p>
    <w:p w14:paraId="58D1C744" w14:textId="77777777" w:rsidR="00535227" w:rsidRDefault="00052AFF" w:rsidP="00535227">
      <w:pPr>
        <w:pStyle w:val="ListNumber"/>
      </w:pPr>
      <w:r w:rsidRPr="00A76634">
        <w:t>Investment an</w:t>
      </w:r>
      <w:r w:rsidR="00535227">
        <w:t>d financial scams – 10 per cent</w:t>
      </w:r>
    </w:p>
    <w:p w14:paraId="58D1C745" w14:textId="77777777" w:rsidR="00EE29E7" w:rsidRDefault="00052AFF" w:rsidP="00535227">
      <w:pPr>
        <w:pStyle w:val="ListNumber"/>
      </w:pPr>
      <w:r w:rsidRPr="00A76634">
        <w:t>Unauthorised advertising / false billing scams – 10 per cent</w:t>
      </w:r>
    </w:p>
    <w:p w14:paraId="58D1C746" w14:textId="77777777" w:rsidR="00052AFF" w:rsidRPr="00A76634" w:rsidRDefault="00052AFF" w:rsidP="00535227">
      <w:pPr>
        <w:pStyle w:val="ListNumber"/>
      </w:pPr>
      <w:r w:rsidRPr="00A76634">
        <w:t>Phishing / Smishing / Vishing – 9 per cent</w:t>
      </w:r>
    </w:p>
    <w:p w14:paraId="58D1C747" w14:textId="77777777" w:rsidR="00052AFF" w:rsidRPr="00315661" w:rsidRDefault="00052AFF" w:rsidP="00896A7C">
      <w:pPr>
        <w:pStyle w:val="BodyText"/>
      </w:pPr>
      <w:r w:rsidRPr="00A76634">
        <w:t xml:space="preserve">Consumers can report scams at </w:t>
      </w:r>
      <w:r w:rsidR="00986E1E">
        <w:t xml:space="preserve">the </w:t>
      </w:r>
      <w:hyperlink r:id="rId15" w:history="1">
        <w:r w:rsidR="00986E1E" w:rsidRPr="00986E1E">
          <w:rPr>
            <w:rStyle w:val="Hyperlink"/>
          </w:rPr>
          <w:t>Scamwatch website</w:t>
        </w:r>
      </w:hyperlink>
      <w:r w:rsidR="00986E1E">
        <w:t xml:space="preserve"> &lt;</w:t>
      </w:r>
      <w:r w:rsidR="00A76634">
        <w:t>scamwatch.gov.au</w:t>
      </w:r>
      <w:r w:rsidR="00986E1E">
        <w:t>&gt;.</w:t>
      </w:r>
    </w:p>
    <w:p w14:paraId="58D1C748" w14:textId="77777777" w:rsidR="00FB38BE" w:rsidRPr="00FB38BE" w:rsidRDefault="00CF66CA" w:rsidP="00040AF8">
      <w:pPr>
        <w:pStyle w:val="Heading4"/>
        <w:rPr>
          <w:lang w:eastAsia="en-AU"/>
        </w:rPr>
      </w:pPr>
      <w:r>
        <w:rPr>
          <w:lang w:eastAsia="en-AU"/>
        </w:rPr>
        <w:lastRenderedPageBreak/>
        <w:t>Travelling c</w:t>
      </w:r>
      <w:r w:rsidR="00FB38BE" w:rsidRPr="00FB38BE">
        <w:rPr>
          <w:lang w:eastAsia="en-AU"/>
        </w:rPr>
        <w:t>on</w:t>
      </w:r>
      <w:r>
        <w:rPr>
          <w:lang w:eastAsia="en-AU"/>
        </w:rPr>
        <w:t xml:space="preserve"> </w:t>
      </w:r>
      <w:r w:rsidR="00FB38BE" w:rsidRPr="00FB38BE">
        <w:rPr>
          <w:lang w:eastAsia="en-AU"/>
        </w:rPr>
        <w:t xml:space="preserve">men </w:t>
      </w:r>
      <w:r w:rsidR="00FB38BE">
        <w:rPr>
          <w:lang w:eastAsia="en-AU"/>
        </w:rPr>
        <w:t>c</w:t>
      </w:r>
      <w:r w:rsidR="00FB38BE" w:rsidRPr="00FB38BE">
        <w:rPr>
          <w:lang w:eastAsia="en-AU"/>
        </w:rPr>
        <w:t>ampaign</w:t>
      </w:r>
      <w:r w:rsidR="00FB38BE">
        <w:rPr>
          <w:lang w:eastAsia="en-AU"/>
        </w:rPr>
        <w:t xml:space="preserve"> in</w:t>
      </w:r>
      <w:r w:rsidR="00FB38BE" w:rsidRPr="00FB38BE">
        <w:rPr>
          <w:lang w:eastAsia="en-AU"/>
        </w:rPr>
        <w:t xml:space="preserve"> partnersh</w:t>
      </w:r>
      <w:r w:rsidR="00FB38BE">
        <w:rPr>
          <w:lang w:eastAsia="en-AU"/>
        </w:rPr>
        <w:t>ip with Crime</w:t>
      </w:r>
      <w:r>
        <w:rPr>
          <w:lang w:eastAsia="en-AU"/>
        </w:rPr>
        <w:t xml:space="preserve"> </w:t>
      </w:r>
      <w:r w:rsidR="00FB38BE">
        <w:rPr>
          <w:lang w:eastAsia="en-AU"/>
        </w:rPr>
        <w:t>Stoppers Victoria</w:t>
      </w:r>
    </w:p>
    <w:p w14:paraId="58D1C749" w14:textId="77777777" w:rsidR="00EE29E7" w:rsidRDefault="00FB38BE" w:rsidP="00896A7C">
      <w:pPr>
        <w:pStyle w:val="BodyText"/>
        <w:rPr>
          <w:lang w:eastAsia="en-AU"/>
        </w:rPr>
      </w:pPr>
      <w:r>
        <w:rPr>
          <w:lang w:eastAsia="en-AU"/>
        </w:rPr>
        <w:t>We have been pleased to see less financial loss this financial year compared to last</w:t>
      </w:r>
      <w:r w:rsidR="00BE2991">
        <w:rPr>
          <w:lang w:eastAsia="en-AU"/>
        </w:rPr>
        <w:t>, following the launch of our travelling con</w:t>
      </w:r>
      <w:r w:rsidR="00CF66CA">
        <w:rPr>
          <w:lang w:eastAsia="en-AU"/>
        </w:rPr>
        <w:t xml:space="preserve"> </w:t>
      </w:r>
      <w:r w:rsidR="00BE2991">
        <w:rPr>
          <w:lang w:eastAsia="en-AU"/>
        </w:rPr>
        <w:t>men campaign in early 2015.</w:t>
      </w:r>
      <w:r>
        <w:rPr>
          <w:lang w:eastAsia="en-AU"/>
        </w:rPr>
        <w:t xml:space="preserve"> </w:t>
      </w:r>
      <w:r w:rsidRPr="00FB38BE">
        <w:rPr>
          <w:lang w:eastAsia="en-AU"/>
        </w:rPr>
        <w:t>In 20</w:t>
      </w:r>
      <w:r>
        <w:rPr>
          <w:lang w:eastAsia="en-AU"/>
        </w:rPr>
        <w:t>15-</w:t>
      </w:r>
      <w:r w:rsidRPr="00FB38BE">
        <w:rPr>
          <w:lang w:eastAsia="en-AU"/>
        </w:rPr>
        <w:t xml:space="preserve">16 </w:t>
      </w:r>
      <w:r>
        <w:rPr>
          <w:lang w:eastAsia="en-AU"/>
        </w:rPr>
        <w:t xml:space="preserve">there was a </w:t>
      </w:r>
      <w:r w:rsidRPr="00FB38BE">
        <w:rPr>
          <w:lang w:eastAsia="en-AU"/>
        </w:rPr>
        <w:t>reported loss of</w:t>
      </w:r>
      <w:r>
        <w:rPr>
          <w:lang w:eastAsia="en-AU"/>
        </w:rPr>
        <w:t xml:space="preserve"> about $400,000, a substantial decrease compared to nearly one and a half million dollars in the previous financial year</w:t>
      </w:r>
      <w:r w:rsidRPr="00FB38BE">
        <w:rPr>
          <w:lang w:eastAsia="en-AU"/>
        </w:rPr>
        <w:t>.</w:t>
      </w:r>
    </w:p>
    <w:p w14:paraId="58D1C74A" w14:textId="77777777" w:rsidR="00FB38BE" w:rsidRPr="00FB38BE" w:rsidRDefault="00FB38BE" w:rsidP="00896A7C">
      <w:pPr>
        <w:pStyle w:val="BodyText"/>
        <w:rPr>
          <w:lang w:eastAsia="en-AU"/>
        </w:rPr>
      </w:pPr>
      <w:r w:rsidRPr="00FB38BE">
        <w:rPr>
          <w:lang w:eastAsia="en-AU"/>
        </w:rPr>
        <w:t xml:space="preserve">Roofing remained the leading service offered by </w:t>
      </w:r>
      <w:r>
        <w:rPr>
          <w:lang w:eastAsia="en-AU"/>
        </w:rPr>
        <w:t>travelling con</w:t>
      </w:r>
      <w:r w:rsidR="00CF66CA">
        <w:rPr>
          <w:lang w:eastAsia="en-AU"/>
        </w:rPr>
        <w:t xml:space="preserve"> </w:t>
      </w:r>
      <w:r>
        <w:rPr>
          <w:lang w:eastAsia="en-AU"/>
        </w:rPr>
        <w:t>men</w:t>
      </w:r>
      <w:r w:rsidRPr="00FB38BE">
        <w:rPr>
          <w:lang w:eastAsia="en-AU"/>
        </w:rPr>
        <w:t>, followed by driveway repairs and tree lopping.</w:t>
      </w:r>
      <w:r>
        <w:rPr>
          <w:lang w:eastAsia="en-AU"/>
        </w:rPr>
        <w:t xml:space="preserve"> </w:t>
      </w:r>
      <w:r w:rsidR="00BE2991">
        <w:rPr>
          <w:lang w:eastAsia="en-AU"/>
        </w:rPr>
        <w:t xml:space="preserve">We continue to receive the highest number of reports about travelling conmen in the </w:t>
      </w:r>
      <w:r>
        <w:rPr>
          <w:lang w:eastAsia="en-AU"/>
        </w:rPr>
        <w:t>eastern m</w:t>
      </w:r>
      <w:r w:rsidRPr="00FB38BE">
        <w:rPr>
          <w:lang w:eastAsia="en-AU"/>
        </w:rPr>
        <w:t>etro</w:t>
      </w:r>
      <w:r>
        <w:rPr>
          <w:lang w:eastAsia="en-AU"/>
        </w:rPr>
        <w:t>politan</w:t>
      </w:r>
      <w:r w:rsidRPr="00FB38BE">
        <w:rPr>
          <w:lang w:eastAsia="en-AU"/>
        </w:rPr>
        <w:t xml:space="preserve"> region, followed by the</w:t>
      </w:r>
      <w:r w:rsidR="00BE2991">
        <w:rPr>
          <w:lang w:eastAsia="en-AU"/>
        </w:rPr>
        <w:t xml:space="preserve"> n</w:t>
      </w:r>
      <w:r w:rsidRPr="00FB38BE">
        <w:rPr>
          <w:lang w:eastAsia="en-AU"/>
        </w:rPr>
        <w:t xml:space="preserve">orth </w:t>
      </w:r>
      <w:r w:rsidR="00BE2991">
        <w:rPr>
          <w:lang w:eastAsia="en-AU"/>
        </w:rPr>
        <w:t>west and southern m</w:t>
      </w:r>
      <w:r w:rsidRPr="00FB38BE">
        <w:rPr>
          <w:lang w:eastAsia="en-AU"/>
        </w:rPr>
        <w:t xml:space="preserve">etropolitan </w:t>
      </w:r>
      <w:r w:rsidR="00BE2991">
        <w:rPr>
          <w:lang w:eastAsia="en-AU"/>
        </w:rPr>
        <w:t>regions</w:t>
      </w:r>
      <w:r w:rsidRPr="00FB38BE">
        <w:rPr>
          <w:lang w:eastAsia="en-AU"/>
        </w:rPr>
        <w:t>.</w:t>
      </w:r>
    </w:p>
    <w:p w14:paraId="58D1C74B" w14:textId="77777777" w:rsidR="00C90E80" w:rsidRPr="00896A7C" w:rsidRDefault="00F36802" w:rsidP="00201270">
      <w:pPr>
        <w:pStyle w:val="Heading3"/>
        <w:rPr>
          <w:rStyle w:val="Heading3largerchar"/>
        </w:rPr>
      </w:pPr>
      <w:r w:rsidRPr="00896A7C">
        <w:rPr>
          <w:rStyle w:val="Heading3largerchar"/>
        </w:rPr>
        <w:br w:type="page"/>
      </w:r>
      <w:bookmarkStart w:id="47" w:name="_Toc464830767"/>
      <w:r w:rsidR="00C90E80" w:rsidRPr="00896A7C">
        <w:rPr>
          <w:rStyle w:val="Heading3largerchar"/>
        </w:rPr>
        <w:lastRenderedPageBreak/>
        <w:t>Goal 3 – A fair and safe rental market</w:t>
      </w:r>
      <w:bookmarkEnd w:id="47"/>
    </w:p>
    <w:p w14:paraId="58D1C74C" w14:textId="77777777" w:rsidR="005D5646" w:rsidRPr="00151EF4" w:rsidRDefault="00EA541C" w:rsidP="00896A7C">
      <w:pPr>
        <w:pStyle w:val="BodyText"/>
      </w:pPr>
      <w:r w:rsidRPr="00151EF4">
        <w:t xml:space="preserve">As the Victorian regulator of residential tenancies, we work to achieve fair and safe rental housing in Victoria. Our priority is to ensure that the residential tenancy framework reflects the needs of the modern rental marketplace, to deliver </w:t>
      </w:r>
      <w:r w:rsidR="009D64E4">
        <w:t xml:space="preserve">the </w:t>
      </w:r>
      <w:r w:rsidRPr="00151EF4">
        <w:t>best results for all in the accommodation sector.</w:t>
      </w:r>
    </w:p>
    <w:p w14:paraId="58D1C74D" w14:textId="77777777" w:rsidR="009A58E3" w:rsidRDefault="009A58E3" w:rsidP="00896A7C">
      <w:pPr>
        <w:pStyle w:val="Heading4"/>
      </w:pPr>
      <w:bookmarkStart w:id="48" w:name="_Toc457494713"/>
      <w:bookmarkStart w:id="49" w:name="_Toc457494995"/>
      <w:r>
        <w:t>Highlights</w:t>
      </w:r>
      <w:bookmarkEnd w:id="48"/>
      <w:bookmarkEnd w:id="49"/>
    </w:p>
    <w:p w14:paraId="58D1C74E" w14:textId="77777777" w:rsidR="00156617" w:rsidRDefault="00542656" w:rsidP="00896A7C">
      <w:pPr>
        <w:pStyle w:val="BodyText"/>
      </w:pPr>
      <w:r>
        <w:t>In</w:t>
      </w:r>
      <w:r w:rsidR="0062480A">
        <w:t xml:space="preserve"> the past year,</w:t>
      </w:r>
      <w:r>
        <w:t xml:space="preserve"> we responded to nearly 70,000 calls about residential tenancies and around 90,000 calls to the Residential Tenancies Bond Authority (RTBA)</w:t>
      </w:r>
      <w:r w:rsidR="00CB60E1">
        <w:t>.</w:t>
      </w:r>
      <w:r w:rsidR="00156617">
        <w:t xml:space="preserve"> While we saw a reduction in telephone contacts about renting, there were 300,000 additional visits to the renting section of our website.</w:t>
      </w:r>
    </w:p>
    <w:p w14:paraId="58D1C74F" w14:textId="77777777" w:rsidR="00151EF4" w:rsidRDefault="00151EF4" w:rsidP="00896A7C">
      <w:pPr>
        <w:pStyle w:val="BodyText"/>
      </w:pPr>
      <w:r>
        <w:fldChar w:fldCharType="begin"/>
      </w:r>
      <w:r>
        <w:instrText xml:space="preserve"> REF _Ref456360762 \h </w:instrText>
      </w:r>
      <w:r>
        <w:fldChar w:fldCharType="separate"/>
      </w:r>
      <w:r w:rsidR="00973EC1">
        <w:t xml:space="preserve">Table </w:t>
      </w:r>
      <w:r w:rsidR="00973EC1">
        <w:rPr>
          <w:noProof/>
        </w:rPr>
        <w:t>4</w:t>
      </w:r>
      <w:r>
        <w:fldChar w:fldCharType="end"/>
      </w:r>
      <w:r>
        <w:t xml:space="preserve"> provides details about our activities related to residential tenancies in 2015-16.</w:t>
      </w:r>
    </w:p>
    <w:p w14:paraId="58D1C750" w14:textId="77777777" w:rsidR="00C1109D" w:rsidRDefault="00C1109D" w:rsidP="00896A7C">
      <w:pPr>
        <w:pStyle w:val="BodyText"/>
      </w:pPr>
      <w:r>
        <w:t xml:space="preserve">We completed </w:t>
      </w:r>
      <w:r w:rsidR="00A509E4">
        <w:t>nearly 4,000</w:t>
      </w:r>
      <w:r>
        <w:t xml:space="preserve"> goods left behind assessments for landlords where a tenant ha</w:t>
      </w:r>
      <w:r w:rsidR="00A509E4">
        <w:t>d</w:t>
      </w:r>
      <w:r>
        <w:t xml:space="preserve"> vacated a property but left </w:t>
      </w:r>
      <w:r w:rsidR="00922A21">
        <w:t xml:space="preserve">some of their </w:t>
      </w:r>
      <w:r w:rsidR="00A509E4">
        <w:t>belongings</w:t>
      </w:r>
      <w:r>
        <w:t xml:space="preserve"> behind</w:t>
      </w:r>
      <w:r w:rsidR="00922A21">
        <w:t>.</w:t>
      </w:r>
      <w:r w:rsidR="00A509E4">
        <w:t xml:space="preserve"> We also assessed nearly 2,000 properties at the request of tenants to </w:t>
      </w:r>
      <w:r w:rsidR="004645C0">
        <w:t xml:space="preserve">assist in negotiating an acceptable </w:t>
      </w:r>
      <w:r w:rsidR="00A509E4">
        <w:t xml:space="preserve">outcome for tenants and landlords in relation to </w:t>
      </w:r>
      <w:r w:rsidR="004645C0">
        <w:t xml:space="preserve">unfixed </w:t>
      </w:r>
      <w:r w:rsidR="00A509E4">
        <w:t>non-urgent repairs or proposed changes in rental charges.</w:t>
      </w:r>
    </w:p>
    <w:p w14:paraId="58D1C751" w14:textId="77777777" w:rsidR="004645C0" w:rsidRDefault="004645C0" w:rsidP="00896A7C">
      <w:pPr>
        <w:pStyle w:val="BodyText"/>
      </w:pPr>
      <w:r>
        <w:t>We inspected all rooming houses in Victoria to ensure that they complied with minimum standards, providing safety and amenity for residents. The process was positive, with all rooming houses compliant or provided assistance to become compliant.</w:t>
      </w:r>
    </w:p>
    <w:p w14:paraId="58D1C752" w14:textId="77777777" w:rsidR="00EE29E7" w:rsidRDefault="00151EF4" w:rsidP="00896A7C">
      <w:pPr>
        <w:pStyle w:val="BodyText"/>
      </w:pPr>
      <w:r>
        <w:t>We provide</w:t>
      </w:r>
      <w:r w:rsidR="007A2137">
        <w:t>d</w:t>
      </w:r>
      <w:r w:rsidR="00CB60E1">
        <w:t xml:space="preserve"> administrative support to the RTBA, ensuring </w:t>
      </w:r>
      <w:r w:rsidR="00CB60E1" w:rsidRPr="002C5076">
        <w:t xml:space="preserve">the </w:t>
      </w:r>
      <w:r w:rsidR="002C5076" w:rsidRPr="002C5076">
        <w:t>$951</w:t>
      </w:r>
      <w:r w:rsidR="004D0490">
        <w:t xml:space="preserve"> million</w:t>
      </w:r>
      <w:r w:rsidR="00CB60E1" w:rsidRPr="002C5076">
        <w:t xml:space="preserve"> held</w:t>
      </w:r>
      <w:r w:rsidR="007A2137">
        <w:t xml:space="preserve"> in trust was</w:t>
      </w:r>
      <w:r w:rsidR="00CB60E1">
        <w:t xml:space="preserve"> appropriately managed.</w:t>
      </w:r>
    </w:p>
    <w:p w14:paraId="58D1C753" w14:textId="77777777" w:rsidR="00151EF4" w:rsidRDefault="00744281" w:rsidP="00896A7C">
      <w:pPr>
        <w:pStyle w:val="BodyText"/>
      </w:pPr>
      <w:r>
        <w:t>We</w:t>
      </w:r>
      <w:r w:rsidR="00151EF4">
        <w:t xml:space="preserve"> provided</w:t>
      </w:r>
      <w:r w:rsidR="00156617">
        <w:t xml:space="preserve"> intensive assistance </w:t>
      </w:r>
      <w:r w:rsidR="00151EF4">
        <w:t xml:space="preserve">to almost 6,000 tenants through the Tenancy Advice and </w:t>
      </w:r>
      <w:r w:rsidR="004D0490">
        <w:t>Advocacy</w:t>
      </w:r>
      <w:r w:rsidR="00151EF4">
        <w:t xml:space="preserve"> Program.</w:t>
      </w:r>
    </w:p>
    <w:p w14:paraId="58D1C754" w14:textId="77777777" w:rsidR="00CB60E1" w:rsidRDefault="00CB60E1" w:rsidP="00896A7C">
      <w:pPr>
        <w:pStyle w:val="BodyText"/>
      </w:pPr>
      <w:r>
        <w:t>We also promoted information about rental rights among international students and particularly those newly arrived in Australia.</w:t>
      </w:r>
    </w:p>
    <w:p w14:paraId="58D1C755" w14:textId="77777777" w:rsidR="00742A5C" w:rsidRDefault="00742A5C" w:rsidP="0032485B">
      <w:pPr>
        <w:pStyle w:val="Caption"/>
        <w:pageBreakBefore/>
        <w:spacing w:before="0"/>
      </w:pPr>
      <w:bookmarkStart w:id="50" w:name="_Ref456360762"/>
      <w:r>
        <w:lastRenderedPageBreak/>
        <w:t xml:space="preserve">Table </w:t>
      </w:r>
      <w:r>
        <w:fldChar w:fldCharType="begin"/>
      </w:r>
      <w:r>
        <w:instrText xml:space="preserve"> SEQ Table \* ARABIC </w:instrText>
      </w:r>
      <w:r>
        <w:fldChar w:fldCharType="separate"/>
      </w:r>
      <w:r w:rsidR="00973EC1">
        <w:rPr>
          <w:noProof/>
        </w:rPr>
        <w:t>4</w:t>
      </w:r>
      <w:r>
        <w:fldChar w:fldCharType="end"/>
      </w:r>
      <w:bookmarkEnd w:id="50"/>
      <w:r>
        <w:t>: Information, advice and service delivery t</w:t>
      </w:r>
      <w:r w:rsidR="00CF66CA">
        <w:t>o tenants, landlords and agents</w:t>
      </w:r>
    </w:p>
    <w:tbl>
      <w:tblPr>
        <w:tblW w:w="9072" w:type="dxa"/>
        <w:tblInd w:w="108" w:type="dxa"/>
        <w:tblBorders>
          <w:top w:val="single" w:sz="4" w:space="0" w:color="0072CE"/>
          <w:left w:val="single" w:sz="4" w:space="0" w:color="0072CE"/>
          <w:bottom w:val="single" w:sz="4" w:space="0" w:color="0072CE"/>
          <w:right w:val="single" w:sz="4" w:space="0" w:color="0072CE"/>
          <w:insideH w:val="single" w:sz="4" w:space="0" w:color="0072CE"/>
          <w:insideV w:val="single" w:sz="4" w:space="0" w:color="0072CE"/>
        </w:tblBorders>
        <w:tblLook w:val="04A0" w:firstRow="1" w:lastRow="0" w:firstColumn="1" w:lastColumn="0" w:noHBand="0" w:noVBand="1"/>
      </w:tblPr>
      <w:tblGrid>
        <w:gridCol w:w="4896"/>
        <w:gridCol w:w="1392"/>
        <w:gridCol w:w="1392"/>
        <w:gridCol w:w="1392"/>
      </w:tblGrid>
      <w:tr w:rsidR="00EA541C" w:rsidRPr="00EA541C" w14:paraId="58D1C75A" w14:textId="77777777" w:rsidTr="00C6201E">
        <w:trPr>
          <w:cantSplit/>
          <w:tblHeader/>
        </w:trPr>
        <w:tc>
          <w:tcPr>
            <w:tcW w:w="4820" w:type="dxa"/>
            <w:tcBorders>
              <w:right w:val="single" w:sz="4" w:space="0" w:color="FFFFFF"/>
            </w:tcBorders>
            <w:shd w:val="clear" w:color="auto" w:fill="0072CE"/>
            <w:vAlign w:val="bottom"/>
          </w:tcPr>
          <w:p w14:paraId="58D1C756" w14:textId="77777777" w:rsidR="00EA541C" w:rsidRPr="00EA541C" w:rsidRDefault="00EA541C" w:rsidP="0032485B">
            <w:pPr>
              <w:pStyle w:val="TableColHead"/>
            </w:pPr>
          </w:p>
        </w:tc>
        <w:tc>
          <w:tcPr>
            <w:tcW w:w="1371" w:type="dxa"/>
            <w:tcBorders>
              <w:left w:val="single" w:sz="4" w:space="0" w:color="FFFFFF"/>
              <w:right w:val="single" w:sz="4" w:space="0" w:color="FFFFFF"/>
            </w:tcBorders>
            <w:shd w:val="clear" w:color="auto" w:fill="0072CE"/>
            <w:vAlign w:val="bottom"/>
          </w:tcPr>
          <w:p w14:paraId="58D1C757" w14:textId="77777777" w:rsidR="00EA541C" w:rsidRPr="00EA541C" w:rsidRDefault="00EA541C" w:rsidP="0032485B">
            <w:pPr>
              <w:pStyle w:val="TableColHeadRight"/>
            </w:pPr>
            <w:r w:rsidRPr="00EA541C">
              <w:t>2013-14</w:t>
            </w:r>
          </w:p>
        </w:tc>
        <w:tc>
          <w:tcPr>
            <w:tcW w:w="1371" w:type="dxa"/>
            <w:tcBorders>
              <w:left w:val="single" w:sz="4" w:space="0" w:color="FFFFFF"/>
              <w:right w:val="single" w:sz="4" w:space="0" w:color="FFFFFF"/>
            </w:tcBorders>
            <w:shd w:val="clear" w:color="auto" w:fill="0072CE"/>
            <w:vAlign w:val="bottom"/>
          </w:tcPr>
          <w:p w14:paraId="58D1C758" w14:textId="77777777" w:rsidR="00EA541C" w:rsidRPr="00EA541C" w:rsidRDefault="00EA541C" w:rsidP="0032485B">
            <w:pPr>
              <w:pStyle w:val="TableColHeadRight"/>
            </w:pPr>
            <w:r w:rsidRPr="00EA541C">
              <w:t>2014-15</w:t>
            </w:r>
          </w:p>
        </w:tc>
        <w:tc>
          <w:tcPr>
            <w:tcW w:w="1371" w:type="dxa"/>
            <w:tcBorders>
              <w:left w:val="single" w:sz="4" w:space="0" w:color="FFFFFF"/>
            </w:tcBorders>
            <w:shd w:val="clear" w:color="auto" w:fill="0072CE"/>
            <w:vAlign w:val="bottom"/>
          </w:tcPr>
          <w:p w14:paraId="58D1C759" w14:textId="77777777" w:rsidR="00EA541C" w:rsidRPr="00EA541C" w:rsidRDefault="00EA541C" w:rsidP="0032485B">
            <w:pPr>
              <w:pStyle w:val="TableColHeadRight"/>
            </w:pPr>
            <w:r w:rsidRPr="00EA541C">
              <w:t>2015-16</w:t>
            </w:r>
          </w:p>
        </w:tc>
      </w:tr>
      <w:tr w:rsidR="0014272B" w:rsidRPr="00A76634" w14:paraId="58D1C75C" w14:textId="77777777" w:rsidTr="00C6201E">
        <w:trPr>
          <w:cantSplit/>
        </w:trPr>
        <w:tc>
          <w:tcPr>
            <w:tcW w:w="8933" w:type="dxa"/>
            <w:gridSpan w:val="4"/>
            <w:shd w:val="clear" w:color="auto" w:fill="A6E1F4"/>
          </w:tcPr>
          <w:p w14:paraId="58D1C75B" w14:textId="77777777" w:rsidR="0014272B" w:rsidRPr="00A76634" w:rsidRDefault="0014272B" w:rsidP="00AB0C30">
            <w:pPr>
              <w:pStyle w:val="TableTextBold"/>
            </w:pPr>
            <w:r w:rsidRPr="00A76634">
              <w:t>Information and advice</w:t>
            </w:r>
          </w:p>
        </w:tc>
      </w:tr>
      <w:tr w:rsidR="00156617" w:rsidRPr="00A76634" w14:paraId="58D1C761" w14:textId="77777777" w:rsidTr="00C6201E">
        <w:trPr>
          <w:cantSplit/>
        </w:trPr>
        <w:tc>
          <w:tcPr>
            <w:tcW w:w="4820" w:type="dxa"/>
            <w:shd w:val="clear" w:color="auto" w:fill="E5F6FC"/>
          </w:tcPr>
          <w:p w14:paraId="58D1C75D" w14:textId="77777777" w:rsidR="00156617" w:rsidRPr="00A76634" w:rsidRDefault="00156617" w:rsidP="00AB0C30">
            <w:pPr>
              <w:pStyle w:val="TableText"/>
            </w:pPr>
            <w:r w:rsidRPr="00A76634">
              <w:t>Website sessions - renting section</w:t>
            </w:r>
          </w:p>
        </w:tc>
        <w:tc>
          <w:tcPr>
            <w:tcW w:w="1371" w:type="dxa"/>
            <w:shd w:val="clear" w:color="auto" w:fill="E5F6FC"/>
          </w:tcPr>
          <w:p w14:paraId="58D1C75E" w14:textId="77777777" w:rsidR="00156617" w:rsidRPr="00A76634" w:rsidRDefault="00156617" w:rsidP="00AB0C30">
            <w:pPr>
              <w:pStyle w:val="TableTextRight"/>
            </w:pPr>
            <w:r w:rsidRPr="00A76634">
              <w:t>1,452,652</w:t>
            </w:r>
          </w:p>
        </w:tc>
        <w:tc>
          <w:tcPr>
            <w:tcW w:w="1371" w:type="dxa"/>
            <w:shd w:val="clear" w:color="auto" w:fill="E5F6FC"/>
          </w:tcPr>
          <w:p w14:paraId="58D1C75F" w14:textId="77777777" w:rsidR="00156617" w:rsidRPr="00A76634" w:rsidRDefault="00156617" w:rsidP="00AB0C30">
            <w:pPr>
              <w:pStyle w:val="TableTextRight"/>
            </w:pPr>
            <w:r w:rsidRPr="00A76634">
              <w:t>1,236,289</w:t>
            </w:r>
          </w:p>
        </w:tc>
        <w:tc>
          <w:tcPr>
            <w:tcW w:w="1371" w:type="dxa"/>
            <w:shd w:val="clear" w:color="auto" w:fill="E5F6FC"/>
          </w:tcPr>
          <w:p w14:paraId="58D1C760" w14:textId="77777777" w:rsidR="00156617" w:rsidRPr="00A76634" w:rsidRDefault="00156617" w:rsidP="00AB0C30">
            <w:pPr>
              <w:pStyle w:val="TableTextBoldRight"/>
            </w:pPr>
            <w:r w:rsidRPr="00A76634">
              <w:t>1,552,271</w:t>
            </w:r>
          </w:p>
        </w:tc>
      </w:tr>
      <w:tr w:rsidR="00EA541C" w14:paraId="58D1C766" w14:textId="77777777" w:rsidTr="00C6201E">
        <w:trPr>
          <w:cantSplit/>
        </w:trPr>
        <w:tc>
          <w:tcPr>
            <w:tcW w:w="4820" w:type="dxa"/>
            <w:shd w:val="clear" w:color="auto" w:fill="E5F6FC"/>
          </w:tcPr>
          <w:p w14:paraId="58D1C762" w14:textId="77777777" w:rsidR="00EA541C" w:rsidRPr="00192DA4" w:rsidRDefault="00EA541C" w:rsidP="00AB0C30">
            <w:pPr>
              <w:pStyle w:val="TableText"/>
            </w:pPr>
            <w:r w:rsidRPr="00192DA4">
              <w:t>Calls answered – residential tenancies</w:t>
            </w:r>
          </w:p>
        </w:tc>
        <w:tc>
          <w:tcPr>
            <w:tcW w:w="1371" w:type="dxa"/>
            <w:shd w:val="clear" w:color="auto" w:fill="E5F6FC"/>
          </w:tcPr>
          <w:p w14:paraId="58D1C763" w14:textId="77777777" w:rsidR="00EA541C" w:rsidRPr="00192DA4" w:rsidRDefault="00EA541C" w:rsidP="00AB0C30">
            <w:pPr>
              <w:pStyle w:val="TableTextRight"/>
            </w:pPr>
            <w:r>
              <w:t>90,952</w:t>
            </w:r>
          </w:p>
        </w:tc>
        <w:tc>
          <w:tcPr>
            <w:tcW w:w="1371" w:type="dxa"/>
            <w:shd w:val="clear" w:color="auto" w:fill="E5F6FC"/>
          </w:tcPr>
          <w:p w14:paraId="58D1C764" w14:textId="77777777" w:rsidR="00EA541C" w:rsidRPr="00192DA4" w:rsidRDefault="00EA541C" w:rsidP="00AB0C30">
            <w:pPr>
              <w:pStyle w:val="TableTextRight"/>
            </w:pPr>
            <w:r w:rsidRPr="00192DA4">
              <w:t>73,791</w:t>
            </w:r>
          </w:p>
        </w:tc>
        <w:tc>
          <w:tcPr>
            <w:tcW w:w="1371" w:type="dxa"/>
            <w:shd w:val="clear" w:color="auto" w:fill="E5F6FC"/>
          </w:tcPr>
          <w:p w14:paraId="58D1C765" w14:textId="77777777" w:rsidR="00EA541C" w:rsidRPr="00542656" w:rsidRDefault="00F421E8" w:rsidP="00AB0C30">
            <w:pPr>
              <w:pStyle w:val="TableTextBoldRight"/>
            </w:pPr>
            <w:r w:rsidRPr="00542656">
              <w:t>69,365</w:t>
            </w:r>
          </w:p>
        </w:tc>
      </w:tr>
      <w:tr w:rsidR="00EA541C" w14:paraId="58D1C76B" w14:textId="77777777" w:rsidTr="00C6201E">
        <w:trPr>
          <w:cantSplit/>
        </w:trPr>
        <w:tc>
          <w:tcPr>
            <w:tcW w:w="4820" w:type="dxa"/>
            <w:shd w:val="clear" w:color="auto" w:fill="E5F6FC"/>
          </w:tcPr>
          <w:p w14:paraId="58D1C767" w14:textId="77777777" w:rsidR="00EA541C" w:rsidRPr="00192DA4" w:rsidRDefault="00EA541C" w:rsidP="00AB0C30">
            <w:pPr>
              <w:pStyle w:val="TableText"/>
            </w:pPr>
            <w:r w:rsidRPr="00192DA4">
              <w:t>Calls answered –</w:t>
            </w:r>
            <w:r w:rsidR="0014272B">
              <w:t xml:space="preserve"> RTBA</w:t>
            </w:r>
          </w:p>
        </w:tc>
        <w:tc>
          <w:tcPr>
            <w:tcW w:w="1371" w:type="dxa"/>
            <w:shd w:val="clear" w:color="auto" w:fill="E5F6FC"/>
          </w:tcPr>
          <w:p w14:paraId="58D1C768" w14:textId="77777777" w:rsidR="00EA541C" w:rsidRPr="00192DA4" w:rsidRDefault="00EA541C" w:rsidP="00AB0C30">
            <w:pPr>
              <w:pStyle w:val="TableTextRight"/>
            </w:pPr>
            <w:r>
              <w:t>97,309</w:t>
            </w:r>
          </w:p>
        </w:tc>
        <w:tc>
          <w:tcPr>
            <w:tcW w:w="1371" w:type="dxa"/>
            <w:shd w:val="clear" w:color="auto" w:fill="E5F6FC"/>
          </w:tcPr>
          <w:p w14:paraId="58D1C769" w14:textId="77777777" w:rsidR="00EA541C" w:rsidRPr="00192DA4" w:rsidRDefault="00EA541C" w:rsidP="00AB0C30">
            <w:pPr>
              <w:pStyle w:val="TableTextRight"/>
            </w:pPr>
            <w:r w:rsidRPr="00192DA4">
              <w:t>99,325</w:t>
            </w:r>
          </w:p>
        </w:tc>
        <w:tc>
          <w:tcPr>
            <w:tcW w:w="1371" w:type="dxa"/>
            <w:shd w:val="clear" w:color="auto" w:fill="E5F6FC"/>
          </w:tcPr>
          <w:p w14:paraId="58D1C76A" w14:textId="77777777" w:rsidR="00EA541C" w:rsidRPr="00542656" w:rsidRDefault="00F421E8" w:rsidP="00AB0C30">
            <w:pPr>
              <w:pStyle w:val="TableTextBoldRight"/>
            </w:pPr>
            <w:r w:rsidRPr="00542656">
              <w:t>90,224</w:t>
            </w:r>
          </w:p>
        </w:tc>
      </w:tr>
      <w:tr w:rsidR="00EA541C" w:rsidRPr="00192DA4" w14:paraId="58D1C770" w14:textId="77777777" w:rsidTr="00C6201E">
        <w:trPr>
          <w:cantSplit/>
        </w:trPr>
        <w:tc>
          <w:tcPr>
            <w:tcW w:w="4820" w:type="dxa"/>
            <w:shd w:val="clear" w:color="auto" w:fill="E5F6FC"/>
          </w:tcPr>
          <w:p w14:paraId="58D1C76C" w14:textId="77777777" w:rsidR="00EA541C" w:rsidRPr="00192DA4" w:rsidRDefault="00EA541C" w:rsidP="00AB0C30">
            <w:pPr>
              <w:pStyle w:val="TableText"/>
            </w:pPr>
            <w:r w:rsidRPr="00192DA4">
              <w:t>RentRight app downloads</w:t>
            </w:r>
          </w:p>
        </w:tc>
        <w:tc>
          <w:tcPr>
            <w:tcW w:w="1371" w:type="dxa"/>
            <w:shd w:val="clear" w:color="auto" w:fill="E5F6FC"/>
          </w:tcPr>
          <w:p w14:paraId="58D1C76D" w14:textId="77777777" w:rsidR="00EA541C" w:rsidRPr="00192DA4" w:rsidRDefault="00EA541C" w:rsidP="00AB0C30">
            <w:pPr>
              <w:pStyle w:val="TableTextRight"/>
            </w:pPr>
            <w:r>
              <w:t>10,368</w:t>
            </w:r>
          </w:p>
        </w:tc>
        <w:tc>
          <w:tcPr>
            <w:tcW w:w="1371" w:type="dxa"/>
            <w:shd w:val="clear" w:color="auto" w:fill="E5F6FC"/>
          </w:tcPr>
          <w:p w14:paraId="58D1C76E" w14:textId="77777777" w:rsidR="00EA541C" w:rsidRPr="00192DA4" w:rsidRDefault="00EA541C" w:rsidP="00AB0C30">
            <w:pPr>
              <w:pStyle w:val="TableTextRight"/>
            </w:pPr>
            <w:r>
              <w:t>16,591</w:t>
            </w:r>
          </w:p>
        </w:tc>
        <w:tc>
          <w:tcPr>
            <w:tcW w:w="1371" w:type="dxa"/>
            <w:shd w:val="clear" w:color="auto" w:fill="E5F6FC"/>
          </w:tcPr>
          <w:p w14:paraId="58D1C76F" w14:textId="77777777" w:rsidR="00EA541C" w:rsidRPr="00542656" w:rsidRDefault="00F421E8" w:rsidP="00AB0C30">
            <w:pPr>
              <w:pStyle w:val="TableTextBoldRight"/>
            </w:pPr>
            <w:r w:rsidRPr="00542656">
              <w:t>6,567</w:t>
            </w:r>
          </w:p>
        </w:tc>
      </w:tr>
      <w:tr w:rsidR="0014272B" w:rsidRPr="0014272B" w14:paraId="58D1C772" w14:textId="77777777" w:rsidTr="00C6201E">
        <w:trPr>
          <w:cantSplit/>
        </w:trPr>
        <w:tc>
          <w:tcPr>
            <w:tcW w:w="8933" w:type="dxa"/>
            <w:gridSpan w:val="4"/>
            <w:shd w:val="clear" w:color="auto" w:fill="A6E1F4"/>
          </w:tcPr>
          <w:p w14:paraId="58D1C771" w14:textId="77777777" w:rsidR="0014272B" w:rsidRPr="0014272B" w:rsidRDefault="0014272B" w:rsidP="00AB0C30">
            <w:pPr>
              <w:pStyle w:val="TableTextBold"/>
            </w:pPr>
            <w:r w:rsidRPr="0014272B">
              <w:t>Compliance</w:t>
            </w:r>
          </w:p>
        </w:tc>
      </w:tr>
      <w:tr w:rsidR="009F40AB" w:rsidRPr="00192DA4" w14:paraId="58D1C777" w14:textId="77777777" w:rsidTr="00C6201E">
        <w:trPr>
          <w:cantSplit/>
        </w:trPr>
        <w:tc>
          <w:tcPr>
            <w:tcW w:w="4820" w:type="dxa"/>
            <w:shd w:val="clear" w:color="auto" w:fill="E5F6FC"/>
          </w:tcPr>
          <w:p w14:paraId="58D1C773" w14:textId="77777777" w:rsidR="009F40AB" w:rsidRPr="00192DA4" w:rsidRDefault="009F40AB" w:rsidP="00AB0C30">
            <w:pPr>
              <w:pStyle w:val="TableText"/>
            </w:pPr>
            <w:r>
              <w:t>Rooming house inspections</w:t>
            </w:r>
            <w:r w:rsidR="00C1109D">
              <w:t xml:space="preserve"> (including repeat visits)</w:t>
            </w:r>
          </w:p>
        </w:tc>
        <w:tc>
          <w:tcPr>
            <w:tcW w:w="1371" w:type="dxa"/>
            <w:shd w:val="clear" w:color="auto" w:fill="E5F6FC"/>
          </w:tcPr>
          <w:p w14:paraId="58D1C774" w14:textId="77777777" w:rsidR="009F40AB" w:rsidRDefault="009F40AB" w:rsidP="00AB0C30">
            <w:pPr>
              <w:pStyle w:val="TableTextRight"/>
            </w:pPr>
            <w:r>
              <w:t>1,377</w:t>
            </w:r>
          </w:p>
        </w:tc>
        <w:tc>
          <w:tcPr>
            <w:tcW w:w="1371" w:type="dxa"/>
            <w:shd w:val="clear" w:color="auto" w:fill="E5F6FC"/>
          </w:tcPr>
          <w:p w14:paraId="58D1C775" w14:textId="77777777" w:rsidR="009F40AB" w:rsidRDefault="009F40AB" w:rsidP="00AB0C30">
            <w:pPr>
              <w:pStyle w:val="TableTextRight"/>
            </w:pPr>
            <w:r>
              <w:t>679</w:t>
            </w:r>
          </w:p>
        </w:tc>
        <w:tc>
          <w:tcPr>
            <w:tcW w:w="1371" w:type="dxa"/>
            <w:shd w:val="clear" w:color="auto" w:fill="E5F6FC"/>
          </w:tcPr>
          <w:p w14:paraId="58D1C776" w14:textId="77777777" w:rsidR="009F40AB" w:rsidRPr="00542656" w:rsidRDefault="009F40AB" w:rsidP="00AB0C30">
            <w:pPr>
              <w:pStyle w:val="TableTextBoldRight"/>
            </w:pPr>
            <w:r>
              <w:t>1,252</w:t>
            </w:r>
          </w:p>
        </w:tc>
      </w:tr>
      <w:tr w:rsidR="009F40AB" w:rsidRPr="00192DA4" w14:paraId="58D1C77C" w14:textId="77777777" w:rsidTr="00C6201E">
        <w:trPr>
          <w:cantSplit/>
        </w:trPr>
        <w:tc>
          <w:tcPr>
            <w:tcW w:w="4820" w:type="dxa"/>
            <w:shd w:val="clear" w:color="auto" w:fill="E5F6FC"/>
          </w:tcPr>
          <w:p w14:paraId="58D1C778" w14:textId="77777777" w:rsidR="009F40AB" w:rsidRDefault="009F40AB" w:rsidP="00AB0C30">
            <w:pPr>
              <w:pStyle w:val="TableText"/>
            </w:pPr>
            <w:r>
              <w:t>Rooming houses registered</w:t>
            </w:r>
          </w:p>
        </w:tc>
        <w:tc>
          <w:tcPr>
            <w:tcW w:w="1371" w:type="dxa"/>
            <w:shd w:val="clear" w:color="auto" w:fill="E5F6FC"/>
          </w:tcPr>
          <w:p w14:paraId="58D1C779" w14:textId="77777777" w:rsidR="009F40AB" w:rsidRDefault="009F40AB" w:rsidP="00AB0C30">
            <w:pPr>
              <w:pStyle w:val="TableTextRight"/>
            </w:pPr>
            <w:r w:rsidRPr="009F40AB">
              <w:t>1,127</w:t>
            </w:r>
          </w:p>
        </w:tc>
        <w:tc>
          <w:tcPr>
            <w:tcW w:w="1371" w:type="dxa"/>
            <w:shd w:val="clear" w:color="auto" w:fill="E5F6FC"/>
          </w:tcPr>
          <w:p w14:paraId="58D1C77A" w14:textId="77777777" w:rsidR="009F40AB" w:rsidRDefault="009F40AB" w:rsidP="00AB0C30">
            <w:pPr>
              <w:pStyle w:val="TableTextRight"/>
            </w:pPr>
            <w:r w:rsidRPr="009F40AB">
              <w:t xml:space="preserve">1,129 </w:t>
            </w:r>
          </w:p>
        </w:tc>
        <w:tc>
          <w:tcPr>
            <w:tcW w:w="1371" w:type="dxa"/>
            <w:shd w:val="clear" w:color="auto" w:fill="E5F6FC"/>
          </w:tcPr>
          <w:p w14:paraId="58D1C77B" w14:textId="77777777" w:rsidR="009F40AB" w:rsidRDefault="009F40AB" w:rsidP="00AB0C30">
            <w:pPr>
              <w:pStyle w:val="TableTextBoldRight"/>
            </w:pPr>
            <w:r w:rsidRPr="009F40AB">
              <w:t>1,157</w:t>
            </w:r>
          </w:p>
        </w:tc>
      </w:tr>
      <w:tr w:rsidR="0014272B" w:rsidRPr="0014272B" w14:paraId="58D1C77E" w14:textId="77777777" w:rsidTr="00C6201E">
        <w:trPr>
          <w:cantSplit/>
        </w:trPr>
        <w:tc>
          <w:tcPr>
            <w:tcW w:w="8933" w:type="dxa"/>
            <w:gridSpan w:val="4"/>
            <w:shd w:val="clear" w:color="auto" w:fill="A6E1F4"/>
          </w:tcPr>
          <w:p w14:paraId="58D1C77D" w14:textId="77777777" w:rsidR="0014272B" w:rsidRPr="0014272B" w:rsidRDefault="0014272B" w:rsidP="00AB0C30">
            <w:pPr>
              <w:pStyle w:val="TableTextBold"/>
            </w:pPr>
            <w:r w:rsidRPr="0014272B">
              <w:t>Transactions</w:t>
            </w:r>
          </w:p>
        </w:tc>
      </w:tr>
      <w:tr w:rsidR="00EA541C" w:rsidRPr="00192DA4" w14:paraId="58D1C783" w14:textId="77777777" w:rsidTr="00C6201E">
        <w:trPr>
          <w:cantSplit/>
        </w:trPr>
        <w:tc>
          <w:tcPr>
            <w:tcW w:w="4820" w:type="dxa"/>
            <w:shd w:val="clear" w:color="auto" w:fill="E5F6FC"/>
          </w:tcPr>
          <w:p w14:paraId="58D1C77F" w14:textId="77777777" w:rsidR="00EA541C" w:rsidRPr="00192DA4" w:rsidRDefault="00EA541C" w:rsidP="00AB0C30">
            <w:pPr>
              <w:pStyle w:val="TableText"/>
            </w:pPr>
            <w:r w:rsidRPr="00192DA4">
              <w:t>Bonds lodged</w:t>
            </w:r>
          </w:p>
        </w:tc>
        <w:tc>
          <w:tcPr>
            <w:tcW w:w="1371" w:type="dxa"/>
            <w:shd w:val="clear" w:color="auto" w:fill="E5F6FC"/>
          </w:tcPr>
          <w:p w14:paraId="58D1C780" w14:textId="77777777" w:rsidR="00EA541C" w:rsidRPr="00192DA4" w:rsidRDefault="00EA541C" w:rsidP="00AB0C30">
            <w:pPr>
              <w:pStyle w:val="TableTextRight"/>
            </w:pPr>
            <w:r>
              <w:t>221,623</w:t>
            </w:r>
          </w:p>
        </w:tc>
        <w:tc>
          <w:tcPr>
            <w:tcW w:w="1371" w:type="dxa"/>
            <w:shd w:val="clear" w:color="auto" w:fill="E5F6FC"/>
          </w:tcPr>
          <w:p w14:paraId="58D1C781" w14:textId="77777777" w:rsidR="00EA541C" w:rsidRPr="00192DA4" w:rsidRDefault="00EA541C" w:rsidP="00AB0C30">
            <w:pPr>
              <w:pStyle w:val="TableTextRight"/>
            </w:pPr>
            <w:r w:rsidRPr="00192DA4">
              <w:t>228,955</w:t>
            </w:r>
          </w:p>
        </w:tc>
        <w:tc>
          <w:tcPr>
            <w:tcW w:w="1371" w:type="dxa"/>
            <w:shd w:val="clear" w:color="auto" w:fill="E5F6FC"/>
          </w:tcPr>
          <w:p w14:paraId="58D1C782" w14:textId="77777777" w:rsidR="00EA541C" w:rsidRPr="00192DA4" w:rsidRDefault="002334B6" w:rsidP="00AB0C30">
            <w:pPr>
              <w:pStyle w:val="TableTextBoldRight"/>
            </w:pPr>
            <w:r>
              <w:t>236,971</w:t>
            </w:r>
          </w:p>
        </w:tc>
      </w:tr>
      <w:tr w:rsidR="00EA541C" w14:paraId="58D1C788" w14:textId="77777777" w:rsidTr="00C6201E">
        <w:trPr>
          <w:cantSplit/>
        </w:trPr>
        <w:tc>
          <w:tcPr>
            <w:tcW w:w="4820" w:type="dxa"/>
            <w:shd w:val="clear" w:color="auto" w:fill="E5F6FC"/>
          </w:tcPr>
          <w:p w14:paraId="58D1C784" w14:textId="77777777" w:rsidR="00EA541C" w:rsidRPr="00192DA4" w:rsidRDefault="00EA541C" w:rsidP="00AB0C30">
            <w:pPr>
              <w:pStyle w:val="TableText"/>
            </w:pPr>
            <w:r w:rsidRPr="00192DA4">
              <w:t>Bond repayments</w:t>
            </w:r>
          </w:p>
        </w:tc>
        <w:tc>
          <w:tcPr>
            <w:tcW w:w="1371" w:type="dxa"/>
            <w:shd w:val="clear" w:color="auto" w:fill="E5F6FC"/>
          </w:tcPr>
          <w:p w14:paraId="58D1C785" w14:textId="77777777" w:rsidR="00EA541C" w:rsidRPr="00192DA4" w:rsidRDefault="00EA541C" w:rsidP="00AB0C30">
            <w:pPr>
              <w:pStyle w:val="TableTextRight"/>
            </w:pPr>
            <w:r>
              <w:t>197,500</w:t>
            </w:r>
          </w:p>
        </w:tc>
        <w:tc>
          <w:tcPr>
            <w:tcW w:w="1371" w:type="dxa"/>
            <w:shd w:val="clear" w:color="auto" w:fill="E5F6FC"/>
          </w:tcPr>
          <w:p w14:paraId="58D1C786" w14:textId="77777777" w:rsidR="00EA541C" w:rsidRPr="00192DA4" w:rsidRDefault="00EA541C" w:rsidP="00AB0C30">
            <w:pPr>
              <w:pStyle w:val="TableTextRight"/>
            </w:pPr>
            <w:r w:rsidRPr="00192DA4">
              <w:t>203,614</w:t>
            </w:r>
          </w:p>
        </w:tc>
        <w:tc>
          <w:tcPr>
            <w:tcW w:w="1371" w:type="dxa"/>
            <w:shd w:val="clear" w:color="auto" w:fill="E5F6FC"/>
          </w:tcPr>
          <w:p w14:paraId="58D1C787" w14:textId="77777777" w:rsidR="00EA541C" w:rsidRPr="00192DA4" w:rsidRDefault="002334B6" w:rsidP="00AB0C30">
            <w:pPr>
              <w:pStyle w:val="TableTextBoldRight"/>
            </w:pPr>
            <w:r>
              <w:t>210,963</w:t>
            </w:r>
          </w:p>
        </w:tc>
      </w:tr>
      <w:tr w:rsidR="00EA541C" w:rsidRPr="00192DA4" w14:paraId="58D1C78D" w14:textId="77777777" w:rsidTr="00C6201E">
        <w:trPr>
          <w:cantSplit/>
        </w:trPr>
        <w:tc>
          <w:tcPr>
            <w:tcW w:w="4820" w:type="dxa"/>
            <w:shd w:val="clear" w:color="auto" w:fill="E5F6FC"/>
          </w:tcPr>
          <w:p w14:paraId="58D1C789" w14:textId="77777777" w:rsidR="00EA541C" w:rsidRPr="00192DA4" w:rsidRDefault="00EA541C" w:rsidP="00AB0C30">
            <w:pPr>
              <w:pStyle w:val="TableText"/>
            </w:pPr>
            <w:r w:rsidRPr="00192DA4">
              <w:t>Bonds transferred</w:t>
            </w:r>
          </w:p>
        </w:tc>
        <w:tc>
          <w:tcPr>
            <w:tcW w:w="1371" w:type="dxa"/>
            <w:shd w:val="clear" w:color="auto" w:fill="E5F6FC"/>
          </w:tcPr>
          <w:p w14:paraId="58D1C78A" w14:textId="77777777" w:rsidR="00EA541C" w:rsidRPr="00192DA4" w:rsidRDefault="00EA541C" w:rsidP="00AB0C30">
            <w:pPr>
              <w:pStyle w:val="TableTextRight"/>
            </w:pPr>
            <w:r>
              <w:t>60,398</w:t>
            </w:r>
          </w:p>
        </w:tc>
        <w:tc>
          <w:tcPr>
            <w:tcW w:w="1371" w:type="dxa"/>
            <w:shd w:val="clear" w:color="auto" w:fill="E5F6FC"/>
          </w:tcPr>
          <w:p w14:paraId="58D1C78B" w14:textId="77777777" w:rsidR="00EA541C" w:rsidRPr="00192DA4" w:rsidRDefault="00EA541C" w:rsidP="00AB0C30">
            <w:pPr>
              <w:pStyle w:val="TableTextRight"/>
            </w:pPr>
            <w:r w:rsidRPr="00192DA4">
              <w:t>73,639</w:t>
            </w:r>
          </w:p>
        </w:tc>
        <w:tc>
          <w:tcPr>
            <w:tcW w:w="1371" w:type="dxa"/>
            <w:shd w:val="clear" w:color="auto" w:fill="E5F6FC"/>
          </w:tcPr>
          <w:p w14:paraId="58D1C78C" w14:textId="77777777" w:rsidR="00EA541C" w:rsidRPr="00B4776C" w:rsidRDefault="00B4776C" w:rsidP="00AB0C30">
            <w:pPr>
              <w:pStyle w:val="TableTextBoldRight"/>
            </w:pPr>
            <w:r w:rsidRPr="00B4776C">
              <w:t>79,258</w:t>
            </w:r>
          </w:p>
        </w:tc>
      </w:tr>
      <w:tr w:rsidR="00EA541C" w14:paraId="58D1C792" w14:textId="77777777" w:rsidTr="00C6201E">
        <w:trPr>
          <w:cantSplit/>
        </w:trPr>
        <w:tc>
          <w:tcPr>
            <w:tcW w:w="4820" w:type="dxa"/>
            <w:shd w:val="clear" w:color="auto" w:fill="E5F6FC"/>
          </w:tcPr>
          <w:p w14:paraId="58D1C78E" w14:textId="77777777" w:rsidR="00EA541C" w:rsidRPr="00192DA4" w:rsidRDefault="00EA541C" w:rsidP="00AB0C30">
            <w:pPr>
              <w:pStyle w:val="TableText"/>
            </w:pPr>
            <w:r w:rsidRPr="00192DA4">
              <w:t>Bonds held</w:t>
            </w:r>
          </w:p>
        </w:tc>
        <w:tc>
          <w:tcPr>
            <w:tcW w:w="1371" w:type="dxa"/>
            <w:shd w:val="clear" w:color="auto" w:fill="E5F6FC"/>
          </w:tcPr>
          <w:p w14:paraId="58D1C78F" w14:textId="77777777" w:rsidR="00EA541C" w:rsidRPr="00192DA4" w:rsidRDefault="00EA541C" w:rsidP="00AB0C30">
            <w:pPr>
              <w:pStyle w:val="TableTextRight"/>
            </w:pPr>
            <w:r>
              <w:t>542,209</w:t>
            </w:r>
          </w:p>
        </w:tc>
        <w:tc>
          <w:tcPr>
            <w:tcW w:w="1371" w:type="dxa"/>
            <w:shd w:val="clear" w:color="auto" w:fill="E5F6FC"/>
          </w:tcPr>
          <w:p w14:paraId="58D1C790" w14:textId="77777777" w:rsidR="00EA541C" w:rsidRPr="00192DA4" w:rsidRDefault="00EA541C" w:rsidP="00AB0C30">
            <w:pPr>
              <w:pStyle w:val="TableTextRight"/>
            </w:pPr>
            <w:r w:rsidRPr="00192DA4">
              <w:t>567,550</w:t>
            </w:r>
          </w:p>
        </w:tc>
        <w:tc>
          <w:tcPr>
            <w:tcW w:w="1371" w:type="dxa"/>
            <w:shd w:val="clear" w:color="auto" w:fill="E5F6FC"/>
          </w:tcPr>
          <w:p w14:paraId="58D1C791" w14:textId="77777777" w:rsidR="00EA541C" w:rsidRPr="00B4776C" w:rsidRDefault="00B4776C" w:rsidP="00AB0C30">
            <w:pPr>
              <w:pStyle w:val="TableTextBoldRight"/>
            </w:pPr>
            <w:r w:rsidRPr="00B4776C">
              <w:t>593,558</w:t>
            </w:r>
          </w:p>
        </w:tc>
      </w:tr>
      <w:tr w:rsidR="00EA541C" w:rsidRPr="00192DA4" w14:paraId="58D1C797" w14:textId="77777777" w:rsidTr="00C6201E">
        <w:trPr>
          <w:cantSplit/>
        </w:trPr>
        <w:tc>
          <w:tcPr>
            <w:tcW w:w="4820" w:type="dxa"/>
            <w:shd w:val="clear" w:color="auto" w:fill="E5F6FC"/>
          </w:tcPr>
          <w:p w14:paraId="58D1C793" w14:textId="77777777" w:rsidR="00EA541C" w:rsidRPr="00192DA4" w:rsidRDefault="00EA541C" w:rsidP="00AB0C30">
            <w:pPr>
              <w:pStyle w:val="TableText"/>
            </w:pPr>
            <w:r w:rsidRPr="00192DA4">
              <w:t>Value held</w:t>
            </w:r>
          </w:p>
        </w:tc>
        <w:tc>
          <w:tcPr>
            <w:tcW w:w="1371" w:type="dxa"/>
            <w:shd w:val="clear" w:color="auto" w:fill="E5F6FC"/>
          </w:tcPr>
          <w:p w14:paraId="58D1C794" w14:textId="77777777" w:rsidR="00EA541C" w:rsidRPr="00192DA4" w:rsidRDefault="00EA541C" w:rsidP="00AB0C30">
            <w:pPr>
              <w:pStyle w:val="TableTextRight"/>
            </w:pPr>
            <w:r>
              <w:t>$806 million</w:t>
            </w:r>
          </w:p>
        </w:tc>
        <w:tc>
          <w:tcPr>
            <w:tcW w:w="1371" w:type="dxa"/>
            <w:shd w:val="clear" w:color="auto" w:fill="E5F6FC"/>
          </w:tcPr>
          <w:p w14:paraId="58D1C795" w14:textId="77777777" w:rsidR="00EA541C" w:rsidRPr="00192DA4" w:rsidRDefault="00EA541C" w:rsidP="00AB0C30">
            <w:pPr>
              <w:pStyle w:val="TableTextRight"/>
            </w:pPr>
            <w:r w:rsidRPr="00192DA4">
              <w:t>$874 million</w:t>
            </w:r>
          </w:p>
        </w:tc>
        <w:tc>
          <w:tcPr>
            <w:tcW w:w="1371" w:type="dxa"/>
            <w:shd w:val="clear" w:color="auto" w:fill="E5F6FC"/>
          </w:tcPr>
          <w:p w14:paraId="58D1C796" w14:textId="77777777" w:rsidR="00EA541C" w:rsidRPr="00B4776C" w:rsidRDefault="00B4776C" w:rsidP="00AB0C30">
            <w:pPr>
              <w:pStyle w:val="TableTextBoldRight"/>
            </w:pPr>
            <w:r w:rsidRPr="00B4776C">
              <w:t>$951 million</w:t>
            </w:r>
          </w:p>
        </w:tc>
      </w:tr>
      <w:tr w:rsidR="00EA541C" w:rsidRPr="00192DA4" w14:paraId="58D1C79C" w14:textId="77777777" w:rsidTr="00C6201E">
        <w:trPr>
          <w:cantSplit/>
        </w:trPr>
        <w:tc>
          <w:tcPr>
            <w:tcW w:w="4820" w:type="dxa"/>
            <w:shd w:val="clear" w:color="auto" w:fill="E5F6FC"/>
          </w:tcPr>
          <w:p w14:paraId="58D1C798" w14:textId="77777777" w:rsidR="00EA541C" w:rsidRPr="00192DA4" w:rsidRDefault="00EA541C" w:rsidP="00AB0C30">
            <w:pPr>
              <w:pStyle w:val="TableText"/>
            </w:pPr>
            <w:r w:rsidRPr="00192DA4">
              <w:t xml:space="preserve">Total transactions – </w:t>
            </w:r>
            <w:r>
              <w:t>RTBA</w:t>
            </w:r>
          </w:p>
        </w:tc>
        <w:tc>
          <w:tcPr>
            <w:tcW w:w="1371" w:type="dxa"/>
            <w:shd w:val="clear" w:color="auto" w:fill="E5F6FC"/>
          </w:tcPr>
          <w:p w14:paraId="58D1C799" w14:textId="77777777" w:rsidR="00EA541C" w:rsidRPr="00F53454" w:rsidRDefault="00EA541C" w:rsidP="00AB0C30">
            <w:pPr>
              <w:pStyle w:val="TableTextRight"/>
            </w:pPr>
            <w:r w:rsidRPr="00F53454">
              <w:t>419,135</w:t>
            </w:r>
          </w:p>
        </w:tc>
        <w:tc>
          <w:tcPr>
            <w:tcW w:w="1371" w:type="dxa"/>
            <w:shd w:val="clear" w:color="auto" w:fill="E5F6FC"/>
          </w:tcPr>
          <w:p w14:paraId="58D1C79A" w14:textId="77777777" w:rsidR="00EA541C" w:rsidRPr="00192DA4" w:rsidRDefault="00EA541C" w:rsidP="00AB0C30">
            <w:pPr>
              <w:pStyle w:val="TableTextRight"/>
            </w:pPr>
            <w:r w:rsidRPr="00192DA4">
              <w:t>432,569</w:t>
            </w:r>
          </w:p>
        </w:tc>
        <w:tc>
          <w:tcPr>
            <w:tcW w:w="1371" w:type="dxa"/>
            <w:shd w:val="clear" w:color="auto" w:fill="E5F6FC"/>
          </w:tcPr>
          <w:p w14:paraId="58D1C79B" w14:textId="77777777" w:rsidR="00EA541C" w:rsidRPr="00192DA4" w:rsidRDefault="002334B6" w:rsidP="00AB0C30">
            <w:pPr>
              <w:pStyle w:val="TableTextBoldRight"/>
            </w:pPr>
            <w:r>
              <w:t>447,934</w:t>
            </w:r>
          </w:p>
        </w:tc>
      </w:tr>
      <w:tr w:rsidR="0014272B" w:rsidRPr="0014272B" w14:paraId="58D1C79E" w14:textId="77777777" w:rsidTr="00C6201E">
        <w:trPr>
          <w:cantSplit/>
        </w:trPr>
        <w:tc>
          <w:tcPr>
            <w:tcW w:w="8933" w:type="dxa"/>
            <w:gridSpan w:val="4"/>
            <w:shd w:val="clear" w:color="auto" w:fill="A6E1F4"/>
          </w:tcPr>
          <w:p w14:paraId="58D1C79D" w14:textId="77777777" w:rsidR="0014272B" w:rsidRPr="0014272B" w:rsidRDefault="0014272B" w:rsidP="00AB0C30">
            <w:pPr>
              <w:pStyle w:val="TableTextBold"/>
            </w:pPr>
            <w:r w:rsidRPr="0014272B">
              <w:t>Face-to-face or intensive assistance</w:t>
            </w:r>
          </w:p>
        </w:tc>
      </w:tr>
      <w:tr w:rsidR="0014272B" w:rsidRPr="00EA541C" w14:paraId="58D1C7A0" w14:textId="77777777" w:rsidTr="00C6201E">
        <w:trPr>
          <w:cantSplit/>
        </w:trPr>
        <w:tc>
          <w:tcPr>
            <w:tcW w:w="8933" w:type="dxa"/>
            <w:gridSpan w:val="4"/>
            <w:shd w:val="clear" w:color="auto" w:fill="C7ECF8"/>
          </w:tcPr>
          <w:p w14:paraId="58D1C79F" w14:textId="77777777" w:rsidR="0014272B" w:rsidRPr="00AB0C30" w:rsidRDefault="0014272B" w:rsidP="00AB0C30">
            <w:pPr>
              <w:pStyle w:val="TableTextBold"/>
            </w:pPr>
            <w:r w:rsidRPr="00AB0C30">
              <w:t>Funded community services</w:t>
            </w:r>
          </w:p>
        </w:tc>
      </w:tr>
      <w:tr w:rsidR="00EA541C" w14:paraId="58D1C7A5" w14:textId="77777777" w:rsidTr="00C6201E">
        <w:trPr>
          <w:cantSplit/>
        </w:trPr>
        <w:tc>
          <w:tcPr>
            <w:tcW w:w="4820" w:type="dxa"/>
            <w:shd w:val="clear" w:color="auto" w:fill="E5F6FC"/>
          </w:tcPr>
          <w:p w14:paraId="58D1C7A1" w14:textId="77777777" w:rsidR="00EA541C" w:rsidRPr="00192DA4" w:rsidRDefault="00EA541C" w:rsidP="004D0490">
            <w:pPr>
              <w:pStyle w:val="TableText"/>
            </w:pPr>
            <w:r w:rsidRPr="00192DA4">
              <w:t xml:space="preserve">Tenants assisted under the Tenancy Advice and </w:t>
            </w:r>
            <w:r w:rsidR="004D0490">
              <w:t>Advocacy</w:t>
            </w:r>
            <w:r w:rsidRPr="00192DA4">
              <w:t xml:space="preserve"> Program</w:t>
            </w:r>
          </w:p>
        </w:tc>
        <w:tc>
          <w:tcPr>
            <w:tcW w:w="1371" w:type="dxa"/>
            <w:shd w:val="clear" w:color="auto" w:fill="E5F6FC"/>
          </w:tcPr>
          <w:p w14:paraId="58D1C7A2" w14:textId="77777777" w:rsidR="00EA541C" w:rsidRPr="00192DA4" w:rsidRDefault="00EA541C" w:rsidP="00AB0C30">
            <w:pPr>
              <w:pStyle w:val="TableTextRight"/>
            </w:pPr>
            <w:r>
              <w:t>6,178</w:t>
            </w:r>
          </w:p>
        </w:tc>
        <w:tc>
          <w:tcPr>
            <w:tcW w:w="1371" w:type="dxa"/>
            <w:shd w:val="clear" w:color="auto" w:fill="E5F6FC"/>
          </w:tcPr>
          <w:p w14:paraId="58D1C7A3" w14:textId="77777777" w:rsidR="00EA541C" w:rsidRPr="00192DA4" w:rsidRDefault="00EA541C" w:rsidP="00AB0C30">
            <w:pPr>
              <w:pStyle w:val="TableTextRight"/>
            </w:pPr>
            <w:r>
              <w:t>6,267</w:t>
            </w:r>
          </w:p>
        </w:tc>
        <w:tc>
          <w:tcPr>
            <w:tcW w:w="1371" w:type="dxa"/>
            <w:shd w:val="clear" w:color="auto" w:fill="E5F6FC"/>
          </w:tcPr>
          <w:p w14:paraId="58D1C7A4" w14:textId="77777777" w:rsidR="00EA541C" w:rsidRPr="00542656" w:rsidRDefault="00542656" w:rsidP="00AB0C30">
            <w:pPr>
              <w:pStyle w:val="TableTextBoldRight"/>
            </w:pPr>
            <w:r w:rsidRPr="00542656">
              <w:t>5,758</w:t>
            </w:r>
          </w:p>
        </w:tc>
      </w:tr>
      <w:tr w:rsidR="0014272B" w:rsidRPr="00EA541C" w14:paraId="58D1C7A7" w14:textId="77777777" w:rsidTr="00C6201E">
        <w:trPr>
          <w:cantSplit/>
        </w:trPr>
        <w:tc>
          <w:tcPr>
            <w:tcW w:w="8933" w:type="dxa"/>
            <w:gridSpan w:val="4"/>
            <w:shd w:val="clear" w:color="auto" w:fill="C7ECF8"/>
          </w:tcPr>
          <w:p w14:paraId="58D1C7A6" w14:textId="77777777" w:rsidR="0014272B" w:rsidRPr="00542656" w:rsidRDefault="0014272B" w:rsidP="00AB0C30">
            <w:pPr>
              <w:pStyle w:val="TableTextBold"/>
            </w:pPr>
            <w:r w:rsidRPr="00EA541C">
              <w:t>Assessments</w:t>
            </w:r>
          </w:p>
        </w:tc>
      </w:tr>
      <w:tr w:rsidR="00EA541C" w14:paraId="58D1C7AC" w14:textId="77777777" w:rsidTr="00C6201E">
        <w:trPr>
          <w:cantSplit/>
        </w:trPr>
        <w:tc>
          <w:tcPr>
            <w:tcW w:w="4820" w:type="dxa"/>
            <w:shd w:val="clear" w:color="auto" w:fill="E5F6FC"/>
          </w:tcPr>
          <w:p w14:paraId="58D1C7A8" w14:textId="77777777" w:rsidR="00EA541C" w:rsidRPr="003E7534" w:rsidRDefault="00EA541C" w:rsidP="00AB0C30">
            <w:pPr>
              <w:pStyle w:val="TableText"/>
            </w:pPr>
            <w:r w:rsidRPr="003E7534">
              <w:t>Repair reports</w:t>
            </w:r>
          </w:p>
        </w:tc>
        <w:tc>
          <w:tcPr>
            <w:tcW w:w="1371" w:type="dxa"/>
            <w:shd w:val="clear" w:color="auto" w:fill="E5F6FC"/>
          </w:tcPr>
          <w:p w14:paraId="58D1C7A9" w14:textId="77777777" w:rsidR="00EA541C" w:rsidRPr="00F53454" w:rsidRDefault="00EA541C" w:rsidP="00AB0C30">
            <w:pPr>
              <w:pStyle w:val="TableTextRight"/>
            </w:pPr>
            <w:r w:rsidRPr="00F53454">
              <w:t>1,106</w:t>
            </w:r>
          </w:p>
        </w:tc>
        <w:tc>
          <w:tcPr>
            <w:tcW w:w="1371" w:type="dxa"/>
            <w:shd w:val="clear" w:color="auto" w:fill="E5F6FC"/>
          </w:tcPr>
          <w:p w14:paraId="58D1C7AA" w14:textId="77777777" w:rsidR="00EA541C" w:rsidRPr="003E7534" w:rsidRDefault="00EA541C" w:rsidP="00AB0C30">
            <w:pPr>
              <w:pStyle w:val="TableTextRight"/>
            </w:pPr>
            <w:r w:rsidRPr="003E7534">
              <w:t>936</w:t>
            </w:r>
          </w:p>
        </w:tc>
        <w:tc>
          <w:tcPr>
            <w:tcW w:w="1371" w:type="dxa"/>
            <w:shd w:val="clear" w:color="auto" w:fill="E5F6FC"/>
          </w:tcPr>
          <w:p w14:paraId="58D1C7AB" w14:textId="77777777" w:rsidR="00EA541C" w:rsidRPr="00542656" w:rsidRDefault="00F421E8" w:rsidP="00AB0C30">
            <w:pPr>
              <w:pStyle w:val="TableTextBoldRight"/>
            </w:pPr>
            <w:r w:rsidRPr="00542656">
              <w:t>916</w:t>
            </w:r>
          </w:p>
        </w:tc>
      </w:tr>
      <w:tr w:rsidR="00EA541C" w:rsidRPr="00192DA4" w14:paraId="58D1C7B1" w14:textId="77777777" w:rsidTr="00C6201E">
        <w:trPr>
          <w:cantSplit/>
        </w:trPr>
        <w:tc>
          <w:tcPr>
            <w:tcW w:w="4820" w:type="dxa"/>
            <w:shd w:val="clear" w:color="auto" w:fill="E5F6FC"/>
          </w:tcPr>
          <w:p w14:paraId="58D1C7AD" w14:textId="77777777" w:rsidR="00EA541C" w:rsidRPr="003E7534" w:rsidRDefault="00EA541C" w:rsidP="00AB0C30">
            <w:pPr>
              <w:pStyle w:val="TableText"/>
            </w:pPr>
            <w:r w:rsidRPr="003E7534">
              <w:t xml:space="preserve">Goods left behind </w:t>
            </w:r>
          </w:p>
        </w:tc>
        <w:tc>
          <w:tcPr>
            <w:tcW w:w="1371" w:type="dxa"/>
            <w:shd w:val="clear" w:color="auto" w:fill="E5F6FC"/>
          </w:tcPr>
          <w:p w14:paraId="58D1C7AE" w14:textId="77777777" w:rsidR="00EA541C" w:rsidRPr="00F53454" w:rsidRDefault="00EA541C" w:rsidP="00AB0C30">
            <w:pPr>
              <w:pStyle w:val="TableTextRight"/>
            </w:pPr>
            <w:r w:rsidRPr="00F53454">
              <w:t>4,130</w:t>
            </w:r>
          </w:p>
        </w:tc>
        <w:tc>
          <w:tcPr>
            <w:tcW w:w="1371" w:type="dxa"/>
            <w:shd w:val="clear" w:color="auto" w:fill="E5F6FC"/>
          </w:tcPr>
          <w:p w14:paraId="58D1C7AF" w14:textId="77777777" w:rsidR="00EA541C" w:rsidRPr="003E7534" w:rsidRDefault="00EA541C" w:rsidP="00AB0C30">
            <w:pPr>
              <w:pStyle w:val="TableTextRight"/>
            </w:pPr>
            <w:r w:rsidRPr="003E7534">
              <w:t>3,885</w:t>
            </w:r>
          </w:p>
        </w:tc>
        <w:tc>
          <w:tcPr>
            <w:tcW w:w="1371" w:type="dxa"/>
            <w:shd w:val="clear" w:color="auto" w:fill="E5F6FC"/>
          </w:tcPr>
          <w:p w14:paraId="58D1C7B0" w14:textId="77777777" w:rsidR="00EA541C" w:rsidRPr="00542656" w:rsidRDefault="00F421E8" w:rsidP="00AB0C30">
            <w:pPr>
              <w:pStyle w:val="TableTextBoldRight"/>
            </w:pPr>
            <w:r w:rsidRPr="00542656">
              <w:t>3,861</w:t>
            </w:r>
          </w:p>
        </w:tc>
      </w:tr>
      <w:tr w:rsidR="00EA541C" w14:paraId="58D1C7B6" w14:textId="77777777" w:rsidTr="00C6201E">
        <w:trPr>
          <w:cantSplit/>
        </w:trPr>
        <w:tc>
          <w:tcPr>
            <w:tcW w:w="4820" w:type="dxa"/>
            <w:shd w:val="clear" w:color="auto" w:fill="E5F6FC"/>
          </w:tcPr>
          <w:p w14:paraId="58D1C7B2" w14:textId="77777777" w:rsidR="00EA541C" w:rsidRPr="003E7534" w:rsidRDefault="00EA541C" w:rsidP="00AB0C30">
            <w:pPr>
              <w:pStyle w:val="TableText"/>
            </w:pPr>
            <w:r w:rsidRPr="003E7534">
              <w:t xml:space="preserve">Rental reports </w:t>
            </w:r>
          </w:p>
        </w:tc>
        <w:tc>
          <w:tcPr>
            <w:tcW w:w="1371" w:type="dxa"/>
            <w:shd w:val="clear" w:color="auto" w:fill="E5F6FC"/>
          </w:tcPr>
          <w:p w14:paraId="58D1C7B3" w14:textId="77777777" w:rsidR="00EA541C" w:rsidRPr="00F53454" w:rsidRDefault="00EA541C" w:rsidP="00AB0C30">
            <w:pPr>
              <w:pStyle w:val="TableTextRight"/>
            </w:pPr>
            <w:r w:rsidRPr="00F53454">
              <w:t>1,052</w:t>
            </w:r>
          </w:p>
        </w:tc>
        <w:tc>
          <w:tcPr>
            <w:tcW w:w="1371" w:type="dxa"/>
            <w:shd w:val="clear" w:color="auto" w:fill="E5F6FC"/>
          </w:tcPr>
          <w:p w14:paraId="58D1C7B4" w14:textId="77777777" w:rsidR="00EA541C" w:rsidRPr="003E7534" w:rsidRDefault="00EA541C" w:rsidP="00AB0C30">
            <w:pPr>
              <w:pStyle w:val="TableTextRight"/>
            </w:pPr>
            <w:r w:rsidRPr="003E7534">
              <w:t>1,115</w:t>
            </w:r>
          </w:p>
        </w:tc>
        <w:tc>
          <w:tcPr>
            <w:tcW w:w="1371" w:type="dxa"/>
            <w:shd w:val="clear" w:color="auto" w:fill="E5F6FC"/>
          </w:tcPr>
          <w:p w14:paraId="58D1C7B5" w14:textId="77777777" w:rsidR="00EA541C" w:rsidRPr="00542656" w:rsidRDefault="00156617" w:rsidP="00AB0C30">
            <w:pPr>
              <w:pStyle w:val="TableTextBoldRight"/>
            </w:pPr>
            <w:r>
              <w:t>1,068</w:t>
            </w:r>
          </w:p>
        </w:tc>
      </w:tr>
    </w:tbl>
    <w:p w14:paraId="58D1C7B7" w14:textId="77777777" w:rsidR="00EA541C" w:rsidRDefault="0014272B" w:rsidP="00040AF8">
      <w:pPr>
        <w:pStyle w:val="Heading4"/>
        <w:rPr>
          <w:lang w:eastAsia="en-AU"/>
        </w:rPr>
      </w:pPr>
      <w:r>
        <w:rPr>
          <w:lang w:eastAsia="en-AU"/>
        </w:rPr>
        <w:t xml:space="preserve">Case study: </w:t>
      </w:r>
      <w:r w:rsidR="005C7DB4">
        <w:rPr>
          <w:lang w:eastAsia="en-AU"/>
        </w:rPr>
        <w:t>Helping those affected by family violence resolve tenancy issues</w:t>
      </w:r>
    </w:p>
    <w:p w14:paraId="58D1C7B8" w14:textId="77777777" w:rsidR="00EE29E7" w:rsidRDefault="00086AF2" w:rsidP="00896A7C">
      <w:pPr>
        <w:pStyle w:val="BodyText"/>
      </w:pPr>
      <w:r>
        <w:t>Through our partner agencies, w</w:t>
      </w:r>
      <w:r w:rsidR="00744281">
        <w:t xml:space="preserve">e </w:t>
      </w:r>
      <w:r w:rsidR="002C3944">
        <w:t xml:space="preserve">provide the Tenancy Advice and </w:t>
      </w:r>
      <w:r w:rsidR="004D0490">
        <w:t>Advocacy</w:t>
      </w:r>
      <w:r w:rsidR="002C3944">
        <w:t xml:space="preserve"> Program (TAAP) to </w:t>
      </w:r>
      <w:r w:rsidR="00744281">
        <w:t>ensure that those who are vulnerable in the Victorian community have access to assistance to resolve tenancy issues.</w:t>
      </w:r>
    </w:p>
    <w:p w14:paraId="58D1C7B9" w14:textId="77777777" w:rsidR="00151EF4" w:rsidRDefault="002A0546" w:rsidP="00896A7C">
      <w:pPr>
        <w:pStyle w:val="BodyText"/>
      </w:pPr>
      <w:r>
        <w:t>A</w:t>
      </w:r>
      <w:r w:rsidRPr="00D357BF">
        <w:t xml:space="preserve"> woman</w:t>
      </w:r>
      <w:r>
        <w:t xml:space="preserve"> accessed</w:t>
      </w:r>
      <w:r w:rsidR="002C3944">
        <w:t xml:space="preserve"> the TAAP</w:t>
      </w:r>
      <w:r w:rsidR="00CB60E1">
        <w:t xml:space="preserve"> </w:t>
      </w:r>
      <w:r>
        <w:t>for assistance in terminating her lease.</w:t>
      </w:r>
      <w:r w:rsidR="002C3944">
        <w:t xml:space="preserve"> </w:t>
      </w:r>
      <w:r>
        <w:t>She</w:t>
      </w:r>
      <w:r w:rsidRPr="00D357BF">
        <w:t xml:space="preserve"> was in a relationship characterised by </w:t>
      </w:r>
      <w:r>
        <w:t xml:space="preserve">family violence and had </w:t>
      </w:r>
      <w:r w:rsidRPr="00D357BF">
        <w:t>obtained an intervention o</w:t>
      </w:r>
      <w:r>
        <w:t xml:space="preserve">rder against the perpetrator </w:t>
      </w:r>
      <w:r w:rsidR="00744281">
        <w:t>excluding</w:t>
      </w:r>
      <w:r>
        <w:t xml:space="preserve"> him from entering the home they lived in together</w:t>
      </w:r>
      <w:r w:rsidRPr="00D357BF">
        <w:t>.</w:t>
      </w:r>
    </w:p>
    <w:p w14:paraId="58D1C7BA" w14:textId="77777777" w:rsidR="00321B25" w:rsidRDefault="00A765B2" w:rsidP="00896A7C">
      <w:pPr>
        <w:pStyle w:val="BodyText"/>
        <w:rPr>
          <w:lang w:eastAsia="en-AU"/>
        </w:rPr>
      </w:pPr>
      <w:r>
        <w:t>T</w:t>
      </w:r>
      <w:r w:rsidR="002A0546">
        <w:t xml:space="preserve">he woman no longer felt safe and </w:t>
      </w:r>
      <w:r w:rsidR="002A0546" w:rsidRPr="00D357BF">
        <w:t xml:space="preserve">had secured </w:t>
      </w:r>
      <w:r w:rsidR="002C3944">
        <w:t>an alternative</w:t>
      </w:r>
      <w:r w:rsidR="002A0546" w:rsidRPr="00D357BF">
        <w:t xml:space="preserve"> property.</w:t>
      </w:r>
      <w:r w:rsidR="00321B25">
        <w:t xml:space="preserve"> </w:t>
      </w:r>
      <w:r w:rsidR="00744281">
        <w:t xml:space="preserve">The TAAP worker provided her </w:t>
      </w:r>
      <w:r w:rsidR="00506885">
        <w:rPr>
          <w:lang w:eastAsia="en-AU"/>
        </w:rPr>
        <w:t>help</w:t>
      </w:r>
      <w:r w:rsidR="00744281">
        <w:rPr>
          <w:lang w:eastAsia="en-AU"/>
        </w:rPr>
        <w:t xml:space="preserve"> with</w:t>
      </w:r>
      <w:r w:rsidR="00321B25">
        <w:rPr>
          <w:lang w:eastAsia="en-AU"/>
        </w:rPr>
        <w:t>:</w:t>
      </w:r>
    </w:p>
    <w:p w14:paraId="58D1C7BB" w14:textId="77777777" w:rsidR="00321B25" w:rsidRPr="00321B25" w:rsidRDefault="00EB465D" w:rsidP="00896A7C">
      <w:pPr>
        <w:pStyle w:val="ListBullet"/>
      </w:pPr>
      <w:r w:rsidRPr="00321B25">
        <w:t>an</w:t>
      </w:r>
      <w:r w:rsidR="002A0546" w:rsidRPr="00321B25">
        <w:t xml:space="preserve"> application to</w:t>
      </w:r>
      <w:r w:rsidR="004D0490">
        <w:t xml:space="preserve"> the</w:t>
      </w:r>
      <w:r w:rsidR="002A0546" w:rsidRPr="00321B25">
        <w:t xml:space="preserve"> V</w:t>
      </w:r>
      <w:r w:rsidR="004D0490">
        <w:t xml:space="preserve">ictorian </w:t>
      </w:r>
      <w:r w:rsidR="002A0546" w:rsidRPr="00321B25">
        <w:t>C</w:t>
      </w:r>
      <w:r w:rsidR="004D0490">
        <w:t xml:space="preserve">ivil and </w:t>
      </w:r>
      <w:r w:rsidR="002A0546" w:rsidRPr="00321B25">
        <w:t>A</w:t>
      </w:r>
      <w:r w:rsidR="004D0490">
        <w:t xml:space="preserve">dministrative </w:t>
      </w:r>
      <w:r w:rsidR="002A0546" w:rsidRPr="00321B25">
        <w:t>T</w:t>
      </w:r>
      <w:r w:rsidR="004D0490">
        <w:t>ribunal (VCAT)</w:t>
      </w:r>
      <w:r w:rsidR="002A0546" w:rsidRPr="00321B25">
        <w:t xml:space="preserve"> </w:t>
      </w:r>
      <w:r w:rsidRPr="00321B25">
        <w:t xml:space="preserve">for a </w:t>
      </w:r>
      <w:r w:rsidR="002A0546" w:rsidRPr="00321B25">
        <w:t>reduction in th</w:t>
      </w:r>
      <w:r w:rsidRPr="00321B25">
        <w:t>e fixed term tenancy agreement</w:t>
      </w:r>
      <w:r w:rsidR="00086AF2">
        <w:t>.</w:t>
      </w:r>
    </w:p>
    <w:p w14:paraId="58D1C7BC" w14:textId="77777777" w:rsidR="00321B25" w:rsidRPr="00321B25" w:rsidRDefault="00744281" w:rsidP="00896A7C">
      <w:pPr>
        <w:pStyle w:val="ListBullet"/>
      </w:pPr>
      <w:r>
        <w:t>a referral to</w:t>
      </w:r>
      <w:r w:rsidR="002A0546" w:rsidRPr="00321B25">
        <w:t xml:space="preserve"> the </w:t>
      </w:r>
      <w:r w:rsidR="00321B25" w:rsidRPr="00321B25">
        <w:t xml:space="preserve">VCAT </w:t>
      </w:r>
      <w:r w:rsidR="009A5D08">
        <w:t>f</w:t>
      </w:r>
      <w:r w:rsidR="00321B25" w:rsidRPr="00321B25">
        <w:t xml:space="preserve">amily </w:t>
      </w:r>
      <w:r w:rsidR="009A5D08">
        <w:t>v</w:t>
      </w:r>
      <w:r w:rsidR="00321B25" w:rsidRPr="00321B25">
        <w:t>iolence</w:t>
      </w:r>
      <w:r w:rsidR="009A5D08">
        <w:t xml:space="preserve"> w</w:t>
      </w:r>
      <w:r w:rsidR="00321B25" w:rsidRPr="00321B25">
        <w:t>orker</w:t>
      </w:r>
      <w:r>
        <w:t>, and a recommendation for an urgent listing</w:t>
      </w:r>
      <w:r w:rsidR="00321B25" w:rsidRPr="00321B25">
        <w:t>.</w:t>
      </w:r>
    </w:p>
    <w:p w14:paraId="58D1C7BD" w14:textId="77777777" w:rsidR="00EE29E7" w:rsidRDefault="002A0546" w:rsidP="00896A7C">
      <w:pPr>
        <w:pStyle w:val="ListBullet"/>
      </w:pPr>
      <w:r w:rsidRPr="00321B25">
        <w:t xml:space="preserve">a referral to the Victoria Legal Aid </w:t>
      </w:r>
      <w:r w:rsidR="009A5D08">
        <w:t>d</w:t>
      </w:r>
      <w:r w:rsidRPr="00321B25">
        <w:t>uty</w:t>
      </w:r>
      <w:r w:rsidR="009A5D08">
        <w:t xml:space="preserve"> l</w:t>
      </w:r>
      <w:r w:rsidRPr="00321B25">
        <w:t>awyer</w:t>
      </w:r>
      <w:r w:rsidR="009A5D08">
        <w:t xml:space="preserve">, </w:t>
      </w:r>
      <w:r w:rsidRPr="00321B25">
        <w:t xml:space="preserve">who agreed to </w:t>
      </w:r>
      <w:r w:rsidR="00744281">
        <w:t>represent her</w:t>
      </w:r>
      <w:r w:rsidRPr="00321B25">
        <w:t xml:space="preserve"> </w:t>
      </w:r>
      <w:r w:rsidR="00321B25" w:rsidRPr="00321B25">
        <w:t>at VCAT</w:t>
      </w:r>
      <w:r w:rsidRPr="00321B25">
        <w:t>.</w:t>
      </w:r>
    </w:p>
    <w:p w14:paraId="58D1C7BE" w14:textId="77777777" w:rsidR="00EB465D" w:rsidRDefault="00EB465D" w:rsidP="00896A7C">
      <w:pPr>
        <w:pStyle w:val="BodyText"/>
        <w:rPr>
          <w:lang w:eastAsia="en-AU"/>
        </w:rPr>
      </w:pPr>
      <w:r>
        <w:rPr>
          <w:lang w:eastAsia="en-AU"/>
        </w:rPr>
        <w:lastRenderedPageBreak/>
        <w:t xml:space="preserve">Prior to the hearing, </w:t>
      </w:r>
      <w:r w:rsidR="00321B25">
        <w:rPr>
          <w:lang w:eastAsia="en-AU"/>
        </w:rPr>
        <w:t xml:space="preserve">the </w:t>
      </w:r>
      <w:r w:rsidR="00321B25" w:rsidRPr="00CB60E1">
        <w:rPr>
          <w:lang w:eastAsia="en-AU"/>
        </w:rPr>
        <w:t>TAAP worker</w:t>
      </w:r>
      <w:r>
        <w:rPr>
          <w:lang w:eastAsia="en-AU"/>
        </w:rPr>
        <w:t xml:space="preserve"> negotiated further with the landlord who agreed to a consent order being made and no lease break costs being charged. </w:t>
      </w:r>
      <w:r w:rsidRPr="00D357BF">
        <w:t>The fixed term agreement was reduced and no compensati</w:t>
      </w:r>
      <w:r w:rsidR="00321B25">
        <w:t>on was awarded to the landlord.</w:t>
      </w:r>
    </w:p>
    <w:p w14:paraId="58D1C7BF" w14:textId="77777777" w:rsidR="00EA541C" w:rsidRDefault="005C7DB4" w:rsidP="00040AF8">
      <w:pPr>
        <w:pStyle w:val="Heading4"/>
        <w:rPr>
          <w:lang w:eastAsia="en-AU"/>
        </w:rPr>
      </w:pPr>
      <w:r>
        <w:rPr>
          <w:lang w:eastAsia="en-AU"/>
        </w:rPr>
        <w:t>Ensuring i</w:t>
      </w:r>
      <w:r w:rsidR="00EA541C">
        <w:rPr>
          <w:lang w:eastAsia="en-AU"/>
        </w:rPr>
        <w:t xml:space="preserve">nternational students </w:t>
      </w:r>
      <w:r>
        <w:rPr>
          <w:lang w:eastAsia="en-AU"/>
        </w:rPr>
        <w:t xml:space="preserve">know their rights when </w:t>
      </w:r>
      <w:r w:rsidR="00EA541C">
        <w:rPr>
          <w:lang w:eastAsia="en-AU"/>
        </w:rPr>
        <w:t>rent</w:t>
      </w:r>
      <w:r>
        <w:rPr>
          <w:lang w:eastAsia="en-AU"/>
        </w:rPr>
        <w:t>ing property</w:t>
      </w:r>
    </w:p>
    <w:p w14:paraId="58D1C7C0" w14:textId="77777777" w:rsidR="00506885" w:rsidRDefault="009C1266" w:rsidP="00896A7C">
      <w:pPr>
        <w:pStyle w:val="BodyText"/>
        <w:rPr>
          <w:lang w:eastAsia="en-AU"/>
        </w:rPr>
      </w:pPr>
      <w:r w:rsidRPr="00FE7C21">
        <w:rPr>
          <w:lang w:eastAsia="en-AU"/>
        </w:rPr>
        <w:t>International students have the same renting rights as local residents. However, s</w:t>
      </w:r>
      <w:r w:rsidR="007D39F7" w:rsidRPr="00FE7C21">
        <w:rPr>
          <w:lang w:eastAsia="en-AU"/>
        </w:rPr>
        <w:t>tudents who are unfamiliar with local renting laws can sometimes be vulnerable to accommodation provide</w:t>
      </w:r>
      <w:r w:rsidR="00506885">
        <w:rPr>
          <w:lang w:eastAsia="en-AU"/>
        </w:rPr>
        <w:t>rs who do not follow the rules.</w:t>
      </w:r>
    </w:p>
    <w:p w14:paraId="58D1C7C1" w14:textId="77777777" w:rsidR="007D39F7" w:rsidRDefault="007D39F7" w:rsidP="00896A7C">
      <w:pPr>
        <w:pStyle w:val="BodyText"/>
        <w:rPr>
          <w:lang w:eastAsia="en-AU"/>
        </w:rPr>
      </w:pPr>
      <w:r w:rsidRPr="00FE7C21">
        <w:rPr>
          <w:lang w:eastAsia="en-AU"/>
        </w:rPr>
        <w:t>Problems reported to us have included misleading advertising, unlawfully keeping deposits and bonds, and unsafe or unhealthy conditions in rooming houses.</w:t>
      </w:r>
    </w:p>
    <w:p w14:paraId="58D1C7C2" w14:textId="77777777" w:rsidR="00506885" w:rsidRDefault="00506885" w:rsidP="00896A7C">
      <w:pPr>
        <w:pStyle w:val="BodyText"/>
        <w:rPr>
          <w:lang w:eastAsia="en-AU"/>
        </w:rPr>
      </w:pPr>
      <w:r>
        <w:rPr>
          <w:lang w:eastAsia="en-AU"/>
        </w:rPr>
        <w:t xml:space="preserve">In </w:t>
      </w:r>
      <w:r w:rsidR="00086AF2" w:rsidRPr="00086AF2">
        <w:rPr>
          <w:lang w:eastAsia="en-AU"/>
        </w:rPr>
        <w:t>early 2016</w:t>
      </w:r>
      <w:r w:rsidRPr="00086AF2">
        <w:rPr>
          <w:lang w:eastAsia="en-AU"/>
        </w:rPr>
        <w:t xml:space="preserve"> we</w:t>
      </w:r>
      <w:r>
        <w:rPr>
          <w:lang w:eastAsia="en-AU"/>
        </w:rPr>
        <w:t xml:space="preserve"> </w:t>
      </w:r>
      <w:r w:rsidR="00086AF2">
        <w:rPr>
          <w:lang w:eastAsia="en-AU"/>
        </w:rPr>
        <w:t>increased our efforts to educate</w:t>
      </w:r>
      <w:r w:rsidRPr="00FE7C21">
        <w:rPr>
          <w:lang w:eastAsia="en-AU"/>
        </w:rPr>
        <w:t xml:space="preserve"> international students to safely nav</w:t>
      </w:r>
      <w:r>
        <w:rPr>
          <w:lang w:eastAsia="en-AU"/>
        </w:rPr>
        <w:t>igate Victoria’s rental market, particularly in the early stages of their tenancy.</w:t>
      </w:r>
    </w:p>
    <w:p w14:paraId="58D1C7C3" w14:textId="77777777" w:rsidR="00EE29E7" w:rsidRDefault="00A61DA5" w:rsidP="00896A7C">
      <w:pPr>
        <w:pStyle w:val="BodyText"/>
        <w:rPr>
          <w:lang w:eastAsia="en-AU"/>
        </w:rPr>
      </w:pPr>
      <w:r w:rsidRPr="00FE7C21">
        <w:rPr>
          <w:lang w:eastAsia="en-AU"/>
        </w:rPr>
        <w:t>We work</w:t>
      </w:r>
      <w:r>
        <w:rPr>
          <w:lang w:eastAsia="en-AU"/>
        </w:rPr>
        <w:t>ed</w:t>
      </w:r>
      <w:r w:rsidRPr="00FE7C21">
        <w:rPr>
          <w:lang w:eastAsia="en-AU"/>
        </w:rPr>
        <w:t xml:space="preserve"> with higher education providers to inform students about their tenancy rights both before and a</w:t>
      </w:r>
      <w:r>
        <w:rPr>
          <w:lang w:eastAsia="en-AU"/>
        </w:rPr>
        <w:t xml:space="preserve">fter their arrival in Melbourne, </w:t>
      </w:r>
      <w:r w:rsidR="00506885">
        <w:rPr>
          <w:lang w:eastAsia="en-AU"/>
        </w:rPr>
        <w:t>mak</w:t>
      </w:r>
      <w:r>
        <w:rPr>
          <w:lang w:eastAsia="en-AU"/>
        </w:rPr>
        <w:t>ing</w:t>
      </w:r>
      <w:r w:rsidR="00506885">
        <w:rPr>
          <w:lang w:eastAsia="en-AU"/>
        </w:rPr>
        <w:t xml:space="preserve"> </w:t>
      </w:r>
      <w:r w:rsidR="00506885" w:rsidRPr="00FE7C21">
        <w:rPr>
          <w:lang w:eastAsia="en-AU"/>
        </w:rPr>
        <w:t>rental advice available through their o</w:t>
      </w:r>
      <w:r w:rsidR="00506885">
        <w:rPr>
          <w:lang w:eastAsia="en-AU"/>
        </w:rPr>
        <w:t>nline and social media channels.</w:t>
      </w:r>
    </w:p>
    <w:p w14:paraId="58D1C7C4" w14:textId="77777777" w:rsidR="00506885" w:rsidRDefault="00A61DA5" w:rsidP="00896A7C">
      <w:pPr>
        <w:pStyle w:val="BodyText"/>
        <w:rPr>
          <w:lang w:eastAsia="en-AU"/>
        </w:rPr>
      </w:pPr>
      <w:r>
        <w:rPr>
          <w:lang w:eastAsia="en-AU"/>
        </w:rPr>
        <w:t xml:space="preserve">We </w:t>
      </w:r>
      <w:r w:rsidR="00506885">
        <w:rPr>
          <w:lang w:eastAsia="en-AU"/>
        </w:rPr>
        <w:t xml:space="preserve">presented </w:t>
      </w:r>
      <w:r w:rsidR="00506885" w:rsidRPr="00FE7C21">
        <w:rPr>
          <w:lang w:eastAsia="en-AU"/>
        </w:rPr>
        <w:t>educational</w:t>
      </w:r>
      <w:r w:rsidR="00506885">
        <w:rPr>
          <w:lang w:eastAsia="en-AU"/>
        </w:rPr>
        <w:t xml:space="preserve"> sessions</w:t>
      </w:r>
      <w:r w:rsidR="00506885" w:rsidRPr="00506885">
        <w:rPr>
          <w:lang w:eastAsia="en-AU"/>
        </w:rPr>
        <w:t xml:space="preserve"> </w:t>
      </w:r>
      <w:r w:rsidR="00506885" w:rsidRPr="00FE7C21">
        <w:rPr>
          <w:lang w:eastAsia="en-AU"/>
        </w:rPr>
        <w:t>cover</w:t>
      </w:r>
      <w:r w:rsidR="00506885">
        <w:rPr>
          <w:lang w:eastAsia="en-AU"/>
        </w:rPr>
        <w:t>ing</w:t>
      </w:r>
      <w:r w:rsidR="00506885" w:rsidRPr="00FE7C21">
        <w:rPr>
          <w:lang w:eastAsia="en-AU"/>
        </w:rPr>
        <w:t xml:space="preserve"> types of accommodation, general tenancy issues and rooming house standards. </w:t>
      </w:r>
      <w:r>
        <w:rPr>
          <w:lang w:eastAsia="en-AU"/>
        </w:rPr>
        <w:t xml:space="preserve">We also provide </w:t>
      </w:r>
      <w:r w:rsidRPr="00FE7C21">
        <w:rPr>
          <w:lang w:eastAsia="en-AU"/>
        </w:rPr>
        <w:t>information</w:t>
      </w:r>
      <w:r>
        <w:rPr>
          <w:lang w:eastAsia="en-AU"/>
        </w:rPr>
        <w:t xml:space="preserve"> in 23 languages on our website</w:t>
      </w:r>
      <w:r w:rsidRPr="00FE7C21">
        <w:rPr>
          <w:lang w:eastAsia="en-AU"/>
        </w:rPr>
        <w:t>.</w:t>
      </w:r>
    </w:p>
    <w:p w14:paraId="58D1C7C5" w14:textId="77777777" w:rsidR="00EE29E7" w:rsidRDefault="00506885" w:rsidP="00896A7C">
      <w:pPr>
        <w:pStyle w:val="BodyText"/>
        <w:rPr>
          <w:lang w:eastAsia="en-AU"/>
        </w:rPr>
      </w:pPr>
      <w:r>
        <w:rPr>
          <w:lang w:eastAsia="en-AU"/>
        </w:rPr>
        <w:t>We have included rental advice in</w:t>
      </w:r>
      <w:r w:rsidR="007D39F7" w:rsidRPr="00FE7C21">
        <w:rPr>
          <w:lang w:eastAsia="en-AU"/>
        </w:rPr>
        <w:t xml:space="preserve"> a free welcome pack and international student guide at Melbourne Airport’s Welcome Desk.</w:t>
      </w:r>
    </w:p>
    <w:p w14:paraId="58D1C7C6" w14:textId="77777777" w:rsidR="007D39F7" w:rsidRPr="007D39F7" w:rsidRDefault="009C1266" w:rsidP="00896A7C">
      <w:pPr>
        <w:pStyle w:val="BodyText"/>
        <w:rPr>
          <w:w w:val="110"/>
        </w:rPr>
      </w:pPr>
      <w:r w:rsidRPr="009C1266">
        <w:rPr>
          <w:w w:val="110"/>
        </w:rPr>
        <w:t>Advice for newly arrived i</w:t>
      </w:r>
      <w:r w:rsidR="007D39F7" w:rsidRPr="007D39F7">
        <w:rPr>
          <w:w w:val="110"/>
        </w:rPr>
        <w:t>nternational students</w:t>
      </w:r>
      <w:r w:rsidR="0014272B">
        <w:rPr>
          <w:w w:val="110"/>
        </w:rPr>
        <w:t xml:space="preserve"> includes</w:t>
      </w:r>
      <w:r w:rsidR="007D39F7" w:rsidRPr="007D39F7">
        <w:rPr>
          <w:w w:val="110"/>
        </w:rPr>
        <w:t>:</w:t>
      </w:r>
    </w:p>
    <w:p w14:paraId="58D1C7C7" w14:textId="77777777" w:rsidR="007D39F7" w:rsidRPr="00321B25" w:rsidRDefault="007D39F7" w:rsidP="00896A7C">
      <w:pPr>
        <w:pStyle w:val="ListBullet"/>
      </w:pPr>
      <w:r w:rsidRPr="00321B25">
        <w:t>book temporary accommodation before arriving and look for longer-term accommodation once in Victoria</w:t>
      </w:r>
    </w:p>
    <w:p w14:paraId="58D1C7C8" w14:textId="77777777" w:rsidR="007D39F7" w:rsidRPr="00321B25" w:rsidRDefault="007D39F7" w:rsidP="00896A7C">
      <w:pPr>
        <w:pStyle w:val="ListBullet"/>
      </w:pPr>
      <w:r w:rsidRPr="00321B25">
        <w:t>only sign a lease or contract after viewing a property in person</w:t>
      </w:r>
    </w:p>
    <w:p w14:paraId="58D1C7C9" w14:textId="77777777" w:rsidR="007D39F7" w:rsidRPr="00321B25" w:rsidRDefault="007D39F7" w:rsidP="00896A7C">
      <w:pPr>
        <w:pStyle w:val="ListBullet"/>
      </w:pPr>
      <w:r w:rsidRPr="00321B25">
        <w:t>check the property is clean and</w:t>
      </w:r>
      <w:r w:rsidR="009C1266" w:rsidRPr="00321B25">
        <w:t xml:space="preserve"> safe and a</w:t>
      </w:r>
      <w:r w:rsidRPr="00321B25">
        <w:t>sk the landlord or owner to fix any problems before paying money or signing an agreement</w:t>
      </w:r>
    </w:p>
    <w:p w14:paraId="58D1C7CA" w14:textId="77777777" w:rsidR="007D39F7" w:rsidRPr="00321B25" w:rsidRDefault="007D39F7" w:rsidP="00896A7C">
      <w:pPr>
        <w:pStyle w:val="ListBullet"/>
      </w:pPr>
      <w:r w:rsidRPr="00321B25">
        <w:t>record any existing property damage in a condition report, and</w:t>
      </w:r>
    </w:p>
    <w:p w14:paraId="58D1C7CB" w14:textId="77777777" w:rsidR="007D39F7" w:rsidRPr="007D39F7" w:rsidRDefault="007D39F7" w:rsidP="00896A7C">
      <w:pPr>
        <w:pStyle w:val="ListBullet"/>
        <w:rPr>
          <w:rFonts w:ascii="Lucida Sans Unicode" w:eastAsia="Times New Roman" w:hAnsi="Lucida Sans Unicode" w:cs="Lucida Sans Unicode"/>
          <w:color w:val="444444"/>
          <w:sz w:val="18"/>
          <w:szCs w:val="18"/>
          <w:lang w:eastAsia="en-AU"/>
        </w:rPr>
      </w:pPr>
      <w:r w:rsidRPr="00321B25">
        <w:t xml:space="preserve">check </w:t>
      </w:r>
      <w:r w:rsidR="009C1266" w:rsidRPr="00321B25">
        <w:t>the</w:t>
      </w:r>
      <w:r w:rsidRPr="00321B25">
        <w:t xml:space="preserve"> landlord has lodged the bond with the </w:t>
      </w:r>
      <w:r w:rsidRPr="0014272B">
        <w:t>Residential Tenancies Bond Authority</w:t>
      </w:r>
    </w:p>
    <w:p w14:paraId="58D1C7CC" w14:textId="77777777" w:rsidR="00EE29E7" w:rsidRDefault="0014272B" w:rsidP="00040AF8">
      <w:pPr>
        <w:pStyle w:val="Heading4"/>
        <w:rPr>
          <w:highlight w:val="cyan"/>
        </w:rPr>
      </w:pPr>
      <w:r>
        <w:rPr>
          <w:lang w:eastAsia="en-AU"/>
        </w:rPr>
        <w:t xml:space="preserve">Case study: </w:t>
      </w:r>
      <w:r w:rsidR="005C7DB4">
        <w:rPr>
          <w:lang w:eastAsia="en-AU"/>
        </w:rPr>
        <w:t xml:space="preserve">Resolving a dispute between a tenant and </w:t>
      </w:r>
      <w:r w:rsidR="00435C2C">
        <w:rPr>
          <w:lang w:eastAsia="en-AU"/>
        </w:rPr>
        <w:t xml:space="preserve">an </w:t>
      </w:r>
      <w:r w:rsidR="005C7DB4">
        <w:rPr>
          <w:lang w:eastAsia="en-AU"/>
        </w:rPr>
        <w:t>estate agent</w:t>
      </w:r>
    </w:p>
    <w:p w14:paraId="58D1C7CD" w14:textId="77777777" w:rsidR="00B63D30" w:rsidRDefault="00B63D30" w:rsidP="00896A7C">
      <w:pPr>
        <w:pStyle w:val="BodyText"/>
        <w:rPr>
          <w:lang w:eastAsia="en-AU"/>
        </w:rPr>
      </w:pPr>
      <w:r>
        <w:rPr>
          <w:lang w:eastAsia="en-AU"/>
        </w:rPr>
        <w:t>A tenant contacted us about their hot water system</w:t>
      </w:r>
      <w:r w:rsidR="00C84E51">
        <w:rPr>
          <w:lang w:eastAsia="en-AU"/>
        </w:rPr>
        <w:t xml:space="preserve">, which </w:t>
      </w:r>
      <w:r>
        <w:rPr>
          <w:lang w:eastAsia="en-AU"/>
        </w:rPr>
        <w:t>had not been working for over a week. The tenant explained that they had contacted the estate agent on several occasions</w:t>
      </w:r>
      <w:r w:rsidR="00C84E51">
        <w:rPr>
          <w:lang w:eastAsia="en-AU"/>
        </w:rPr>
        <w:t xml:space="preserve">; the agent </w:t>
      </w:r>
      <w:r>
        <w:rPr>
          <w:lang w:eastAsia="en-AU"/>
        </w:rPr>
        <w:t>had repeatedly promised to fix the problem</w:t>
      </w:r>
      <w:r w:rsidR="00C84E51">
        <w:rPr>
          <w:lang w:eastAsia="en-AU"/>
        </w:rPr>
        <w:t xml:space="preserve">, </w:t>
      </w:r>
      <w:r w:rsidR="005C7DB4">
        <w:rPr>
          <w:lang w:eastAsia="en-AU"/>
        </w:rPr>
        <w:t>but had not yet done so</w:t>
      </w:r>
      <w:r>
        <w:rPr>
          <w:lang w:eastAsia="en-AU"/>
        </w:rPr>
        <w:t>.</w:t>
      </w:r>
    </w:p>
    <w:p w14:paraId="58D1C7CE" w14:textId="77777777" w:rsidR="00B63D30" w:rsidRDefault="00B63D30" w:rsidP="00896A7C">
      <w:pPr>
        <w:pStyle w:val="BodyText"/>
        <w:rPr>
          <w:lang w:eastAsia="en-AU"/>
        </w:rPr>
      </w:pPr>
      <w:r>
        <w:rPr>
          <w:lang w:eastAsia="en-AU"/>
        </w:rPr>
        <w:t>Our</w:t>
      </w:r>
      <w:r w:rsidR="00C84E51">
        <w:rPr>
          <w:lang w:eastAsia="en-AU"/>
        </w:rPr>
        <w:t xml:space="preserve"> e</w:t>
      </w:r>
      <w:r>
        <w:rPr>
          <w:lang w:eastAsia="en-AU"/>
        </w:rPr>
        <w:t xml:space="preserve">nquiries </w:t>
      </w:r>
      <w:r w:rsidR="00C84E51">
        <w:rPr>
          <w:lang w:eastAsia="en-AU"/>
        </w:rPr>
        <w:t>o</w:t>
      </w:r>
      <w:r>
        <w:rPr>
          <w:lang w:eastAsia="en-AU"/>
        </w:rPr>
        <w:t>fficer explained</w:t>
      </w:r>
      <w:r w:rsidR="00E72BDE">
        <w:rPr>
          <w:lang w:eastAsia="en-AU"/>
        </w:rPr>
        <w:t xml:space="preserve"> to </w:t>
      </w:r>
      <w:r>
        <w:rPr>
          <w:lang w:eastAsia="en-AU"/>
        </w:rPr>
        <w:t>the tenant their rights for urgent repairs to be completed by the estate agent.</w:t>
      </w:r>
      <w:r w:rsidR="00E72BDE">
        <w:rPr>
          <w:lang w:eastAsia="en-AU"/>
        </w:rPr>
        <w:t xml:space="preserve"> As the issue had become urgent, t</w:t>
      </w:r>
      <w:r>
        <w:rPr>
          <w:lang w:eastAsia="en-AU"/>
        </w:rPr>
        <w:t xml:space="preserve">he enquiries officer escalated the matter to our </w:t>
      </w:r>
      <w:r w:rsidR="00C84E51">
        <w:rPr>
          <w:lang w:eastAsia="en-AU"/>
        </w:rPr>
        <w:t>f</w:t>
      </w:r>
      <w:r>
        <w:rPr>
          <w:lang w:eastAsia="en-AU"/>
        </w:rPr>
        <w:t xml:space="preserve">ront </w:t>
      </w:r>
      <w:r w:rsidR="00C84E51">
        <w:rPr>
          <w:lang w:eastAsia="en-AU"/>
        </w:rPr>
        <w:t>l</w:t>
      </w:r>
      <w:r>
        <w:rPr>
          <w:lang w:eastAsia="en-AU"/>
        </w:rPr>
        <w:t xml:space="preserve">ine </w:t>
      </w:r>
      <w:r w:rsidR="00C84E51">
        <w:rPr>
          <w:lang w:eastAsia="en-AU"/>
        </w:rPr>
        <w:t>r</w:t>
      </w:r>
      <w:r>
        <w:rPr>
          <w:lang w:eastAsia="en-AU"/>
        </w:rPr>
        <w:t xml:space="preserve">esolution </w:t>
      </w:r>
      <w:r w:rsidR="00C84E51">
        <w:rPr>
          <w:lang w:eastAsia="en-AU"/>
        </w:rPr>
        <w:t>o</w:t>
      </w:r>
      <w:r>
        <w:rPr>
          <w:lang w:eastAsia="en-AU"/>
        </w:rPr>
        <w:t>fficer to provide dispute assistance.</w:t>
      </w:r>
    </w:p>
    <w:p w14:paraId="58D1C7CF" w14:textId="77777777" w:rsidR="00B63D30" w:rsidRDefault="00B63D30" w:rsidP="00896A7C">
      <w:pPr>
        <w:pStyle w:val="BodyText"/>
        <w:rPr>
          <w:lang w:eastAsia="en-AU"/>
        </w:rPr>
      </w:pPr>
      <w:r>
        <w:rPr>
          <w:lang w:eastAsia="en-AU"/>
        </w:rPr>
        <w:t xml:space="preserve">The officer contacted both the tenant and the estate agent to confirm the rights and responsibilities of both parties and reinforced the obligations of the estate agent under section 72 of the </w:t>
      </w:r>
      <w:r w:rsidRPr="00435045">
        <w:rPr>
          <w:i/>
          <w:lang w:eastAsia="en-AU"/>
        </w:rPr>
        <w:t>Residential Tenancies Act 1997</w:t>
      </w:r>
      <w:r>
        <w:rPr>
          <w:lang w:eastAsia="en-AU"/>
        </w:rPr>
        <w:t>.</w:t>
      </w:r>
    </w:p>
    <w:p w14:paraId="58D1C7D0" w14:textId="77777777" w:rsidR="00B63D30" w:rsidRPr="00A81648" w:rsidRDefault="00B63D30" w:rsidP="00896A7C">
      <w:pPr>
        <w:pStyle w:val="BodyText"/>
        <w:rPr>
          <w:lang w:eastAsia="en-AU"/>
        </w:rPr>
      </w:pPr>
      <w:r>
        <w:rPr>
          <w:lang w:eastAsia="en-AU"/>
        </w:rPr>
        <w:lastRenderedPageBreak/>
        <w:t>The matter was quickly resolved, with the estate agent organising a plumber to replace the hot water system on the same day that the tenant had contacted us.</w:t>
      </w:r>
      <w:r w:rsidRPr="00B63D30">
        <w:rPr>
          <w:lang w:eastAsia="en-AU"/>
        </w:rPr>
        <w:t xml:space="preserve"> </w:t>
      </w:r>
      <w:r>
        <w:rPr>
          <w:lang w:eastAsia="en-AU"/>
        </w:rPr>
        <w:t>We were also able to educate both t</w:t>
      </w:r>
      <w:r w:rsidRPr="00A81648">
        <w:rPr>
          <w:lang w:eastAsia="en-AU"/>
        </w:rPr>
        <w:t>he tenant and the agent so that they could resolve these type</w:t>
      </w:r>
      <w:r w:rsidR="007A2663">
        <w:rPr>
          <w:lang w:eastAsia="en-AU"/>
        </w:rPr>
        <w:t>s</w:t>
      </w:r>
      <w:r w:rsidRPr="00A81648">
        <w:rPr>
          <w:lang w:eastAsia="en-AU"/>
        </w:rPr>
        <w:t xml:space="preserve"> of issues in</w:t>
      </w:r>
      <w:r>
        <w:rPr>
          <w:lang w:eastAsia="en-AU"/>
        </w:rPr>
        <w:t xml:space="preserve"> the</w:t>
      </w:r>
      <w:r w:rsidRPr="00A81648">
        <w:rPr>
          <w:lang w:eastAsia="en-AU"/>
        </w:rPr>
        <w:t xml:space="preserve"> future.</w:t>
      </w:r>
    </w:p>
    <w:p w14:paraId="58D1C7D1" w14:textId="77777777" w:rsidR="00676450" w:rsidRDefault="007959A9" w:rsidP="00040AF8">
      <w:pPr>
        <w:pStyle w:val="Heading4"/>
        <w:rPr>
          <w:lang w:eastAsia="en-AU"/>
        </w:rPr>
      </w:pPr>
      <w:r>
        <w:rPr>
          <w:lang w:eastAsia="en-AU"/>
        </w:rPr>
        <w:t>All rooming houses inspected in 2015-16</w:t>
      </w:r>
    </w:p>
    <w:p w14:paraId="58D1C7D2" w14:textId="77777777" w:rsidR="003641AB" w:rsidRDefault="003641AB" w:rsidP="00896A7C">
      <w:pPr>
        <w:pStyle w:val="BodyText"/>
        <w:rPr>
          <w:lang w:eastAsia="en-AU"/>
        </w:rPr>
      </w:pPr>
      <w:r>
        <w:rPr>
          <w:lang w:eastAsia="en-AU"/>
        </w:rPr>
        <w:t>The Victorian Government made a commitment that all rooming houses would be inspected in 2015-16 to ensure compliance with the appropriate legislation and thus ensuring the safety and amenity of rooming house residents.</w:t>
      </w:r>
    </w:p>
    <w:p w14:paraId="58D1C7D3" w14:textId="77777777" w:rsidR="00EE29E7" w:rsidRDefault="003641AB" w:rsidP="00896A7C">
      <w:pPr>
        <w:pStyle w:val="BodyText"/>
        <w:rPr>
          <w:lang w:eastAsia="en-AU"/>
        </w:rPr>
      </w:pPr>
      <w:r>
        <w:rPr>
          <w:lang w:eastAsia="en-AU"/>
        </w:rPr>
        <w:t>Our rooming house compliance program includes safety and security requirements such as gas and electricity certification, locks and evacuation plans. Our inspectors also consider amenity of rooming houses such as kitchen and bathroom facilities.</w:t>
      </w:r>
    </w:p>
    <w:p w14:paraId="58D1C7D4" w14:textId="77777777" w:rsidR="00EE29E7" w:rsidRDefault="003641AB" w:rsidP="00896A7C">
      <w:pPr>
        <w:pStyle w:val="BodyText"/>
        <w:rPr>
          <w:lang w:eastAsia="en-AU"/>
        </w:rPr>
      </w:pPr>
      <w:r>
        <w:rPr>
          <w:lang w:eastAsia="en-AU"/>
        </w:rPr>
        <w:t>In 2015-16, we identified two areas where there was a higher risk of harm to residents and required prioritisation as part of the program. These two areas were gas certification for all rooming houses and ensuring newly registered rooming houses were compliant.</w:t>
      </w:r>
    </w:p>
    <w:p w14:paraId="58D1C7D5" w14:textId="77777777" w:rsidR="00EE29E7" w:rsidRDefault="003641AB" w:rsidP="00896A7C">
      <w:pPr>
        <w:pStyle w:val="BodyText"/>
        <w:rPr>
          <w:lang w:eastAsia="en-AU"/>
        </w:rPr>
      </w:pPr>
      <w:r>
        <w:rPr>
          <w:lang w:eastAsia="en-AU"/>
        </w:rPr>
        <w:t xml:space="preserve">Over the course of 2015-16, our inspectors visited all rooming houses and found that one hundred per cent of </w:t>
      </w:r>
      <w:r w:rsidRPr="00676450">
        <w:rPr>
          <w:lang w:eastAsia="en-AU"/>
        </w:rPr>
        <w:t>operator</w:t>
      </w:r>
      <w:r>
        <w:rPr>
          <w:lang w:eastAsia="en-AU"/>
        </w:rPr>
        <w:t xml:space="preserve">s were compliant with </w:t>
      </w:r>
      <w:r w:rsidRPr="00676450">
        <w:rPr>
          <w:lang w:eastAsia="en-AU"/>
        </w:rPr>
        <w:t>the gas certifications requirements.</w:t>
      </w:r>
    </w:p>
    <w:p w14:paraId="58D1C7D6" w14:textId="77777777" w:rsidR="003641AB" w:rsidRDefault="003641AB" w:rsidP="00896A7C">
      <w:pPr>
        <w:pStyle w:val="BodyText"/>
        <w:rPr>
          <w:lang w:eastAsia="en-AU"/>
        </w:rPr>
      </w:pPr>
      <w:r>
        <w:rPr>
          <w:lang w:eastAsia="en-AU"/>
        </w:rPr>
        <w:t xml:space="preserve">Upon registration, our inspectors promptly visited newly registered rooming houses to ensure operators understood their compliance obligations and that residents’ safety is our primary concern. </w:t>
      </w:r>
      <w:r w:rsidRPr="00676450">
        <w:rPr>
          <w:lang w:eastAsia="en-AU"/>
        </w:rPr>
        <w:t>All new</w:t>
      </w:r>
      <w:r>
        <w:rPr>
          <w:lang w:eastAsia="en-AU"/>
        </w:rPr>
        <w:t>ly</w:t>
      </w:r>
      <w:r w:rsidRPr="00676450">
        <w:rPr>
          <w:lang w:eastAsia="en-AU"/>
        </w:rPr>
        <w:t xml:space="preserve"> registered rooming houses were inspected and supported to achieve</w:t>
      </w:r>
      <w:r>
        <w:rPr>
          <w:lang w:eastAsia="en-AU"/>
        </w:rPr>
        <w:t xml:space="preserve"> positive</w:t>
      </w:r>
      <w:r w:rsidRPr="00676450">
        <w:rPr>
          <w:lang w:eastAsia="en-AU"/>
        </w:rPr>
        <w:t xml:space="preserve"> compliance outcomes.</w:t>
      </w:r>
    </w:p>
    <w:p w14:paraId="58D1C7D7" w14:textId="77777777" w:rsidR="00C90E80" w:rsidRPr="00896A7C" w:rsidRDefault="00C90E80" w:rsidP="00201270">
      <w:pPr>
        <w:pStyle w:val="Heading3"/>
        <w:rPr>
          <w:rStyle w:val="Heading3largerchar"/>
        </w:rPr>
      </w:pPr>
      <w:r w:rsidRPr="00896A7C">
        <w:rPr>
          <w:rStyle w:val="Heading3largerchar"/>
        </w:rPr>
        <w:br w:type="page"/>
      </w:r>
      <w:bookmarkStart w:id="51" w:name="_Toc457494714"/>
      <w:bookmarkStart w:id="52" w:name="_Toc457494996"/>
      <w:bookmarkStart w:id="53" w:name="_Toc464830768"/>
      <w:r w:rsidRPr="00896A7C">
        <w:rPr>
          <w:rStyle w:val="Heading3largerchar"/>
        </w:rPr>
        <w:lastRenderedPageBreak/>
        <w:t>Goal 4 – A modern and effective consumer law framework</w:t>
      </w:r>
      <w:bookmarkEnd w:id="51"/>
      <w:bookmarkEnd w:id="52"/>
      <w:bookmarkEnd w:id="53"/>
    </w:p>
    <w:p w14:paraId="58D1C7D8" w14:textId="77777777" w:rsidR="00EA541C" w:rsidRDefault="00EA541C" w:rsidP="001B2499">
      <w:pPr>
        <w:pStyle w:val="BodyText"/>
      </w:pPr>
      <w:r w:rsidRPr="00EA541C">
        <w:t>To be an effective regulator, our consumer law framework must continue to evolve with the changing market. We lead and participate in policy and legislative reviews, and work in partnership with other regulators and organisations to ensure our consumer law framework supports a fair and competitive marketplace.</w:t>
      </w:r>
    </w:p>
    <w:p w14:paraId="58D1C7D9" w14:textId="77777777" w:rsidR="009A58E3" w:rsidRDefault="009A58E3" w:rsidP="001B2499">
      <w:pPr>
        <w:pStyle w:val="Heading4"/>
      </w:pPr>
      <w:bookmarkStart w:id="54" w:name="_Toc457494715"/>
      <w:bookmarkStart w:id="55" w:name="_Toc457494997"/>
      <w:r>
        <w:t>Highlights</w:t>
      </w:r>
      <w:bookmarkEnd w:id="54"/>
      <w:bookmarkEnd w:id="55"/>
    </w:p>
    <w:p w14:paraId="58D1C7DA" w14:textId="77777777" w:rsidR="00A61DA5" w:rsidRPr="003F6265" w:rsidRDefault="00484D0A" w:rsidP="001B2499">
      <w:pPr>
        <w:pStyle w:val="BodyText"/>
      </w:pPr>
      <w:r>
        <w:t>L</w:t>
      </w:r>
      <w:r w:rsidR="003F6265">
        <w:t xml:space="preserve">egislation </w:t>
      </w:r>
      <w:r>
        <w:t xml:space="preserve">was passed </w:t>
      </w:r>
      <w:r w:rsidR="00461D0C">
        <w:t>to establish</w:t>
      </w:r>
      <w:r w:rsidR="00A61DA5" w:rsidRPr="003F6265">
        <w:t xml:space="preserve"> a new building </w:t>
      </w:r>
      <w:r w:rsidR="00435C2C">
        <w:t>dispute resolution</w:t>
      </w:r>
      <w:r w:rsidR="00A61DA5" w:rsidRPr="003F6265">
        <w:t xml:space="preserve"> service. Once </w:t>
      </w:r>
      <w:r w:rsidR="0048011B">
        <w:t>established</w:t>
      </w:r>
      <w:r w:rsidR="00431A7C">
        <w:t xml:space="preserve"> in 2016-17</w:t>
      </w:r>
      <w:r w:rsidR="00A61DA5" w:rsidRPr="003F6265">
        <w:t>, Domestic Building Dispute Resolution Victoria will assist consumers and builders to resolve disputes.</w:t>
      </w:r>
    </w:p>
    <w:p w14:paraId="58D1C7DB" w14:textId="77777777" w:rsidR="00EE29E7" w:rsidRDefault="00A61DA5" w:rsidP="001B2499">
      <w:pPr>
        <w:pStyle w:val="BodyText"/>
      </w:pPr>
      <w:r w:rsidRPr="003F6265">
        <w:t xml:space="preserve">The </w:t>
      </w:r>
      <w:r w:rsidRPr="00E72BDE">
        <w:rPr>
          <w:i/>
        </w:rPr>
        <w:t>Rooming House Operators Act</w:t>
      </w:r>
      <w:r w:rsidR="00E72BDE" w:rsidRPr="00E72BDE">
        <w:rPr>
          <w:i/>
        </w:rPr>
        <w:t xml:space="preserve"> 2016</w:t>
      </w:r>
      <w:r w:rsidR="00A6563E">
        <w:t xml:space="preserve">, which </w:t>
      </w:r>
      <w:r w:rsidR="00461D0C">
        <w:t>received</w:t>
      </w:r>
      <w:r w:rsidRPr="003F6265">
        <w:t xml:space="preserve"> royal assent in May</w:t>
      </w:r>
      <w:r w:rsidR="00A6563E">
        <w:t>,</w:t>
      </w:r>
      <w:r w:rsidR="00461D0C">
        <w:t xml:space="preserve"> provides the framework for a </w:t>
      </w:r>
      <w:r w:rsidR="00570715">
        <w:t>r</w:t>
      </w:r>
      <w:r w:rsidR="00461D0C">
        <w:t xml:space="preserve">ooming </w:t>
      </w:r>
      <w:r w:rsidR="00570715">
        <w:t>h</w:t>
      </w:r>
      <w:r w:rsidR="00461D0C">
        <w:t xml:space="preserve">ouse </w:t>
      </w:r>
      <w:r w:rsidR="00570715">
        <w:t>o</w:t>
      </w:r>
      <w:r w:rsidR="00461D0C">
        <w:t xml:space="preserve">perators </w:t>
      </w:r>
      <w:r w:rsidR="00570715">
        <w:t>l</w:t>
      </w:r>
      <w:r w:rsidR="00461D0C">
        <w:t xml:space="preserve">icensing </w:t>
      </w:r>
      <w:r w:rsidR="00570715">
        <w:t>s</w:t>
      </w:r>
      <w:r w:rsidR="00461D0C">
        <w:t>cheme to protect</w:t>
      </w:r>
      <w:r w:rsidRPr="003F6265">
        <w:t xml:space="preserve"> </w:t>
      </w:r>
      <w:r w:rsidR="00461D0C">
        <w:t>residents</w:t>
      </w:r>
      <w:r w:rsidRPr="003F6265">
        <w:t>.</w:t>
      </w:r>
    </w:p>
    <w:p w14:paraId="58D1C7DC" w14:textId="77777777" w:rsidR="00FE7C21" w:rsidRPr="003F6265" w:rsidRDefault="00461D0C" w:rsidP="001B2499">
      <w:pPr>
        <w:pStyle w:val="BodyText"/>
      </w:pPr>
      <w:r>
        <w:t xml:space="preserve">The </w:t>
      </w:r>
      <w:r w:rsidR="00A61DA5" w:rsidRPr="00E72BDE">
        <w:rPr>
          <w:i/>
        </w:rPr>
        <w:t>Road Safety Act</w:t>
      </w:r>
      <w:r w:rsidR="00E72BDE" w:rsidRPr="00E72BDE">
        <w:rPr>
          <w:i/>
        </w:rPr>
        <w:t xml:space="preserve"> 1986</w:t>
      </w:r>
      <w:r>
        <w:t xml:space="preserve"> was amended</w:t>
      </w:r>
      <w:r w:rsidR="00A61DA5" w:rsidRPr="003F6265">
        <w:t xml:space="preserve"> </w:t>
      </w:r>
      <w:r w:rsidR="00A6563E">
        <w:t xml:space="preserve">to </w:t>
      </w:r>
      <w:r w:rsidR="00A61DA5" w:rsidRPr="003F6265">
        <w:t xml:space="preserve">prevent </w:t>
      </w:r>
      <w:r w:rsidR="00A01A33">
        <w:t xml:space="preserve">private </w:t>
      </w:r>
      <w:r w:rsidR="00A61DA5" w:rsidRPr="003F6265">
        <w:t xml:space="preserve">car park operators </w:t>
      </w:r>
      <w:r w:rsidR="00A6563E">
        <w:t xml:space="preserve">from </w:t>
      </w:r>
      <w:r w:rsidR="00A61DA5" w:rsidRPr="003F6265">
        <w:t>obtaining details of vehicle owners</w:t>
      </w:r>
      <w:r w:rsidR="00A01A33">
        <w:t xml:space="preserve"> from the VicRoads registration database</w:t>
      </w:r>
      <w:r w:rsidR="00A61DA5" w:rsidRPr="003F6265">
        <w:t xml:space="preserve"> through the courts.</w:t>
      </w:r>
      <w:r w:rsidR="00A01A33">
        <w:t xml:space="preserve"> This will disrupt the practices of some operators that obtain these details and send letters of demand for large penalties to </w:t>
      </w:r>
      <w:r w:rsidR="00A01A33" w:rsidRPr="00A01A33">
        <w:t>customers who are alleged to have breached car park terms and conditions</w:t>
      </w:r>
      <w:r w:rsidR="00A01A33">
        <w:t>.</w:t>
      </w:r>
    </w:p>
    <w:p w14:paraId="58D1C7DD" w14:textId="77777777" w:rsidR="00EE29E7" w:rsidRDefault="00461D0C" w:rsidP="001B2499">
      <w:pPr>
        <w:pStyle w:val="BodyText"/>
      </w:pPr>
      <w:r>
        <w:t xml:space="preserve">We commenced a </w:t>
      </w:r>
      <w:r w:rsidRPr="00A61DA5">
        <w:t>review</w:t>
      </w:r>
      <w:r>
        <w:t xml:space="preserve"> of</w:t>
      </w:r>
      <w:r w:rsidRPr="00A61DA5">
        <w:t xml:space="preserve"> a number of Acts that affect the way people buy and sell property</w:t>
      </w:r>
      <w:r w:rsidR="00A6563E">
        <w:t>,</w:t>
      </w:r>
      <w:r w:rsidR="00E3430A">
        <w:t xml:space="preserve"> including the Sale of Land Act 1962 which has been in operation for more than 50 years.</w:t>
      </w:r>
      <w:r w:rsidRPr="00A61DA5">
        <w:t xml:space="preserve"> </w:t>
      </w:r>
      <w:r w:rsidR="003F6265">
        <w:t xml:space="preserve">We </w:t>
      </w:r>
      <w:r>
        <w:t xml:space="preserve">continue to </w:t>
      </w:r>
      <w:r w:rsidR="00DA1B8D">
        <w:t>explore</w:t>
      </w:r>
      <w:r>
        <w:t xml:space="preserve"> </w:t>
      </w:r>
      <w:r w:rsidR="00A6563E">
        <w:t xml:space="preserve">current </w:t>
      </w:r>
      <w:r w:rsidR="00A61DA5" w:rsidRPr="00A61DA5">
        <w:t>housing-related issues through the</w:t>
      </w:r>
      <w:r w:rsidR="00431A7C">
        <w:t xml:space="preserve"> ongoing</w:t>
      </w:r>
      <w:r w:rsidR="00A61DA5" w:rsidRPr="00A61DA5">
        <w:t xml:space="preserve"> </w:t>
      </w:r>
      <w:r w:rsidR="00431A7C">
        <w:t xml:space="preserve">Fairer Safer Housing </w:t>
      </w:r>
      <w:r w:rsidR="00A61DA5" w:rsidRPr="00A61DA5">
        <w:t xml:space="preserve">review of the </w:t>
      </w:r>
      <w:r w:rsidR="00A61DA5" w:rsidRPr="00E72BDE">
        <w:rPr>
          <w:i/>
        </w:rPr>
        <w:t>Residential Tenancies Act</w:t>
      </w:r>
      <w:r w:rsidR="00E72BDE" w:rsidRPr="00E72BDE">
        <w:rPr>
          <w:i/>
        </w:rPr>
        <w:t xml:space="preserve"> 1997</w:t>
      </w:r>
      <w:r w:rsidR="00A61DA5" w:rsidRPr="00A61DA5">
        <w:t>.</w:t>
      </w:r>
    </w:p>
    <w:p w14:paraId="58D1C7DE" w14:textId="77777777" w:rsidR="00F7724B" w:rsidRDefault="00F7724B" w:rsidP="00040AF8">
      <w:pPr>
        <w:pStyle w:val="Heading4"/>
        <w:rPr>
          <w:lang w:eastAsia="en-AU"/>
        </w:rPr>
      </w:pPr>
      <w:r>
        <w:rPr>
          <w:lang w:eastAsia="en-AU"/>
        </w:rPr>
        <w:t>Consumer property laws review</w:t>
      </w:r>
    </w:p>
    <w:p w14:paraId="58D1C7DF" w14:textId="77777777" w:rsidR="00461D0C" w:rsidRPr="00E33D24" w:rsidRDefault="00883165" w:rsidP="001B2499">
      <w:pPr>
        <w:pStyle w:val="BodyText"/>
      </w:pPr>
      <w:r>
        <w:t xml:space="preserve">This year </w:t>
      </w:r>
      <w:r w:rsidR="00461D0C">
        <w:t>we</w:t>
      </w:r>
      <w:r w:rsidR="00E33D24" w:rsidRPr="00E33D24">
        <w:t xml:space="preserve"> </w:t>
      </w:r>
      <w:r w:rsidR="00817D14" w:rsidRPr="00E33D24">
        <w:t>commenced a</w:t>
      </w:r>
      <w:r w:rsidR="0087028F" w:rsidRPr="00E33D24">
        <w:t xml:space="preserve"> review of</w:t>
      </w:r>
      <w:r w:rsidR="00461D0C">
        <w:t xml:space="preserve"> consumer property laws, </w:t>
      </w:r>
      <w:r w:rsidR="00461D0C" w:rsidRPr="00E33D24">
        <w:t>consider</w:t>
      </w:r>
      <w:r w:rsidR="00461D0C">
        <w:t>ing</w:t>
      </w:r>
      <w:r w:rsidR="00461D0C" w:rsidRPr="00E33D24">
        <w:t xml:space="preserve"> opportunities to improve</w:t>
      </w:r>
      <w:r w:rsidR="007A655A">
        <w:t xml:space="preserve"> </w:t>
      </w:r>
      <w:r w:rsidR="00461D0C" w:rsidRPr="00E33D24">
        <w:t>laws in order to meet the needs of the modern market.</w:t>
      </w:r>
    </w:p>
    <w:p w14:paraId="58D1C7E0" w14:textId="77777777" w:rsidR="00E33D24" w:rsidRPr="00E33D24" w:rsidRDefault="00461D0C" w:rsidP="001B2499">
      <w:pPr>
        <w:pStyle w:val="BodyText"/>
      </w:pPr>
      <w:r>
        <w:t>The laws under review include t</w:t>
      </w:r>
      <w:r w:rsidRPr="00E33D24">
        <w:t xml:space="preserve">he </w:t>
      </w:r>
      <w:r w:rsidRPr="008A75EF">
        <w:rPr>
          <w:i/>
        </w:rPr>
        <w:t>Sale of Land Act 1962</w:t>
      </w:r>
      <w:r w:rsidRPr="00E33D24">
        <w:t xml:space="preserve">, </w:t>
      </w:r>
      <w:r w:rsidRPr="008A75EF">
        <w:rPr>
          <w:i/>
        </w:rPr>
        <w:t>Estate Agents Act 1980</w:t>
      </w:r>
      <w:r w:rsidRPr="00E33D24">
        <w:t xml:space="preserve">, </w:t>
      </w:r>
      <w:r w:rsidRPr="008A75EF">
        <w:rPr>
          <w:i/>
        </w:rPr>
        <w:t>Conveyancers Act 2006</w:t>
      </w:r>
      <w:r w:rsidR="00435C2C">
        <w:t xml:space="preserve"> and </w:t>
      </w:r>
      <w:r w:rsidRPr="00E33D24">
        <w:t xml:space="preserve">the </w:t>
      </w:r>
      <w:r w:rsidRPr="008A75EF">
        <w:rPr>
          <w:i/>
        </w:rPr>
        <w:t>Owners Corporations Act</w:t>
      </w:r>
      <w:r>
        <w:rPr>
          <w:i/>
        </w:rPr>
        <w:t xml:space="preserve"> 2006</w:t>
      </w:r>
      <w:r w:rsidR="00435C2C">
        <w:t>.</w:t>
      </w:r>
    </w:p>
    <w:p w14:paraId="58D1C7E1" w14:textId="77777777" w:rsidR="0087028F" w:rsidRDefault="0087028F" w:rsidP="001B2499">
      <w:pPr>
        <w:pStyle w:val="BodyText"/>
      </w:pPr>
      <w:r w:rsidRPr="00E33D24">
        <w:t>We sought public input</w:t>
      </w:r>
      <w:r w:rsidR="008A75EF">
        <w:t xml:space="preserve"> through three issue</w:t>
      </w:r>
      <w:r w:rsidRPr="00E33D24">
        <w:t>s</w:t>
      </w:r>
      <w:r w:rsidR="008A75EF">
        <w:t xml:space="preserve"> papers</w:t>
      </w:r>
      <w:r w:rsidR="00A61C24">
        <w:t xml:space="preserve"> and received over 200 submissions</w:t>
      </w:r>
      <w:r w:rsidRPr="00E33D24">
        <w:t>.</w:t>
      </w:r>
      <w:r w:rsidR="008A75EF">
        <w:t xml:space="preserve"> These papers considered:</w:t>
      </w:r>
    </w:p>
    <w:p w14:paraId="58D1C7E2" w14:textId="77777777" w:rsidR="00C659AA" w:rsidRDefault="008A75EF" w:rsidP="001B2499">
      <w:pPr>
        <w:pStyle w:val="ListBullet"/>
      </w:pPr>
      <w:r>
        <w:t>licensing</w:t>
      </w:r>
      <w:r w:rsidR="00C659AA">
        <w:t xml:space="preserve"> and</w:t>
      </w:r>
      <w:r w:rsidR="00C659AA" w:rsidRPr="005E7D6F">
        <w:t xml:space="preserve"> conduct of </w:t>
      </w:r>
      <w:r w:rsidR="00C659AA">
        <w:t>estate agents, conveyancers and owners corporation managers and the institutional and regulatory arrangements that govern those licensing schemes</w:t>
      </w:r>
    </w:p>
    <w:p w14:paraId="58D1C7E3" w14:textId="77777777" w:rsidR="00C659AA" w:rsidRDefault="00C659AA" w:rsidP="001B2499">
      <w:pPr>
        <w:pStyle w:val="ListBullet"/>
      </w:pPr>
      <w:r>
        <w:t>owners corporations, specifically issues identified wi</w:t>
      </w:r>
      <w:r w:rsidR="008A75EF">
        <w:t xml:space="preserve">th the </w:t>
      </w:r>
      <w:r w:rsidR="008A75EF" w:rsidRPr="00431A7C">
        <w:rPr>
          <w:i/>
        </w:rPr>
        <w:t>Owners Corporations Act</w:t>
      </w:r>
      <w:r w:rsidR="008A75EF">
        <w:t xml:space="preserve"> (excluding </w:t>
      </w:r>
      <w:r>
        <w:t>the conduct of owners corporation managers</w:t>
      </w:r>
      <w:r w:rsidR="008A75EF">
        <w:t>, covered in the first paper)</w:t>
      </w:r>
    </w:p>
    <w:p w14:paraId="58D1C7E4" w14:textId="77777777" w:rsidR="00C659AA" w:rsidRDefault="00C659AA" w:rsidP="001B2499">
      <w:pPr>
        <w:pStyle w:val="ListBullet"/>
      </w:pPr>
      <w:r>
        <w:t xml:space="preserve">sale of land and business, specifically issues identified with the </w:t>
      </w:r>
      <w:r w:rsidRPr="00431A7C">
        <w:rPr>
          <w:i/>
        </w:rPr>
        <w:t>Sale of Land Act</w:t>
      </w:r>
      <w:r>
        <w:t>, including pre-contractual issues and contracts of sale.</w:t>
      </w:r>
    </w:p>
    <w:p w14:paraId="58D1C7E5" w14:textId="77777777" w:rsidR="0087028F" w:rsidRPr="00C659AA" w:rsidRDefault="0087028F" w:rsidP="001B2499">
      <w:pPr>
        <w:pStyle w:val="BodyText"/>
      </w:pPr>
      <w:r w:rsidRPr="00C659AA">
        <w:t xml:space="preserve">An options paper will be released for public consultation </w:t>
      </w:r>
      <w:r w:rsidR="008A75EF">
        <w:t>in 2016-17.</w:t>
      </w:r>
    </w:p>
    <w:p w14:paraId="58D1C7E6" w14:textId="77777777" w:rsidR="00F7724B" w:rsidRDefault="00AF252C" w:rsidP="00040AF8">
      <w:pPr>
        <w:pStyle w:val="Heading4"/>
        <w:rPr>
          <w:lang w:eastAsia="en-AU"/>
        </w:rPr>
      </w:pPr>
      <w:bookmarkStart w:id="56" w:name="_Ref459220040"/>
      <w:r w:rsidRPr="00484D0A">
        <w:rPr>
          <w:lang w:eastAsia="en-AU"/>
        </w:rPr>
        <w:t>Fairer S</w:t>
      </w:r>
      <w:r w:rsidR="00F7724B" w:rsidRPr="00484D0A">
        <w:rPr>
          <w:lang w:eastAsia="en-AU"/>
        </w:rPr>
        <w:t xml:space="preserve">afer </w:t>
      </w:r>
      <w:r w:rsidRPr="00484D0A">
        <w:rPr>
          <w:lang w:eastAsia="en-AU"/>
        </w:rPr>
        <w:t>H</w:t>
      </w:r>
      <w:r w:rsidR="00F7724B" w:rsidRPr="00484D0A">
        <w:rPr>
          <w:lang w:eastAsia="en-AU"/>
        </w:rPr>
        <w:t>ousing</w:t>
      </w:r>
      <w:bookmarkEnd w:id="56"/>
    </w:p>
    <w:p w14:paraId="58D1C7E7" w14:textId="77777777" w:rsidR="00EE29E7" w:rsidRDefault="00C21F93" w:rsidP="001B2499">
      <w:pPr>
        <w:pStyle w:val="BodyText"/>
        <w:rPr>
          <w:lang w:eastAsia="en-AU"/>
        </w:rPr>
      </w:pPr>
      <w:r>
        <w:rPr>
          <w:lang w:eastAsia="en-AU"/>
        </w:rPr>
        <w:t xml:space="preserve">Fairer Safer Housing is the </w:t>
      </w:r>
      <w:r w:rsidR="00AF252C">
        <w:rPr>
          <w:lang w:eastAsia="en-AU"/>
        </w:rPr>
        <w:t>government’s</w:t>
      </w:r>
      <w:r>
        <w:rPr>
          <w:lang w:eastAsia="en-AU"/>
        </w:rPr>
        <w:t xml:space="preserve"> work program for ensuring all Victorians have access to safe, affordable and secure housing.</w:t>
      </w:r>
    </w:p>
    <w:p w14:paraId="58D1C7E8" w14:textId="77777777" w:rsidR="00EE29E7" w:rsidRDefault="00C21F93" w:rsidP="001B2499">
      <w:pPr>
        <w:pStyle w:val="BodyText"/>
        <w:rPr>
          <w:lang w:eastAsia="en-AU"/>
        </w:rPr>
      </w:pPr>
      <w:r>
        <w:rPr>
          <w:lang w:eastAsia="en-AU"/>
        </w:rPr>
        <w:lastRenderedPageBreak/>
        <w:t>The review is examining how effective and relevant Victoria’s rental laws are in the modern rental market, including the balance of rights and responsibilities between tenants and landlords.</w:t>
      </w:r>
    </w:p>
    <w:p w14:paraId="58D1C7E9" w14:textId="77777777" w:rsidR="00DA1B8D" w:rsidRDefault="00C21F93" w:rsidP="001B2499">
      <w:pPr>
        <w:pStyle w:val="BodyText"/>
        <w:rPr>
          <w:lang w:eastAsia="en-AU"/>
        </w:rPr>
      </w:pPr>
      <w:r>
        <w:rPr>
          <w:lang w:eastAsia="en-AU"/>
        </w:rPr>
        <w:t xml:space="preserve">The first </w:t>
      </w:r>
      <w:r w:rsidR="00464A7E">
        <w:rPr>
          <w:lang w:eastAsia="en-AU"/>
        </w:rPr>
        <w:t>stage</w:t>
      </w:r>
      <w:r>
        <w:rPr>
          <w:lang w:eastAsia="en-AU"/>
        </w:rPr>
        <w:t xml:space="preserve"> of the review was to uncover trends and behaviours in the rental market through an initial consultation paper, </w:t>
      </w:r>
      <w:r w:rsidRPr="00C24CCD">
        <w:rPr>
          <w:i/>
          <w:lang w:eastAsia="en-AU"/>
        </w:rPr>
        <w:t>Laying the Groundwork</w:t>
      </w:r>
      <w:r>
        <w:rPr>
          <w:lang w:eastAsia="en-AU"/>
        </w:rPr>
        <w:t>, launched in June 2015.</w:t>
      </w:r>
    </w:p>
    <w:p w14:paraId="58D1C7EA" w14:textId="77777777" w:rsidR="00EE29E7" w:rsidRDefault="00DA1B8D" w:rsidP="001B2499">
      <w:pPr>
        <w:pStyle w:val="BodyText"/>
        <w:rPr>
          <w:lang w:eastAsia="en-AU"/>
        </w:rPr>
      </w:pPr>
      <w:r>
        <w:rPr>
          <w:lang w:eastAsia="en-AU"/>
        </w:rPr>
        <w:t>We received</w:t>
      </w:r>
      <w:r w:rsidR="00C21F93">
        <w:rPr>
          <w:lang w:eastAsia="en-AU"/>
        </w:rPr>
        <w:t xml:space="preserve"> 54 public submissions</w:t>
      </w:r>
      <w:r w:rsidR="00464A7E">
        <w:rPr>
          <w:lang w:eastAsia="en-AU"/>
        </w:rPr>
        <w:t xml:space="preserve">, a </w:t>
      </w:r>
      <w:r w:rsidR="00C21F93">
        <w:rPr>
          <w:lang w:eastAsia="en-AU"/>
        </w:rPr>
        <w:t xml:space="preserve">summary of </w:t>
      </w:r>
      <w:r w:rsidR="00464A7E">
        <w:rPr>
          <w:lang w:eastAsia="en-AU"/>
        </w:rPr>
        <w:t xml:space="preserve">which is available </w:t>
      </w:r>
      <w:r w:rsidR="00332BF3">
        <w:rPr>
          <w:lang w:eastAsia="en-AU"/>
        </w:rPr>
        <w:t xml:space="preserve">at the </w:t>
      </w:r>
      <w:hyperlink r:id="rId16" w:history="1">
        <w:r w:rsidR="00332BF3" w:rsidRPr="00332BF3">
          <w:rPr>
            <w:rStyle w:val="Hyperlink"/>
            <w:lang w:eastAsia="en-AU"/>
          </w:rPr>
          <w:t>Fairer Safer Housing website</w:t>
        </w:r>
      </w:hyperlink>
      <w:r>
        <w:rPr>
          <w:lang w:eastAsia="en-AU"/>
        </w:rPr>
        <w:t xml:space="preserve"> </w:t>
      </w:r>
      <w:r w:rsidR="00332BF3">
        <w:rPr>
          <w:lang w:eastAsia="en-AU"/>
        </w:rPr>
        <w:t>&lt;</w:t>
      </w:r>
      <w:r w:rsidRPr="00332BF3">
        <w:rPr>
          <w:lang w:eastAsia="en-AU"/>
        </w:rPr>
        <w:t>fairersaferhousing.vic.gov.au</w:t>
      </w:r>
      <w:r w:rsidR="00332BF3">
        <w:rPr>
          <w:lang w:eastAsia="en-AU"/>
        </w:rPr>
        <w:t>&gt;</w:t>
      </w:r>
      <w:r>
        <w:rPr>
          <w:lang w:eastAsia="en-AU"/>
        </w:rPr>
        <w:t xml:space="preserve">. Key </w:t>
      </w:r>
      <w:r w:rsidR="00C21F93">
        <w:rPr>
          <w:lang w:eastAsia="en-AU"/>
        </w:rPr>
        <w:t>areas of co</w:t>
      </w:r>
      <w:r>
        <w:rPr>
          <w:lang w:eastAsia="en-AU"/>
        </w:rPr>
        <w:t>ncern for landlords and tenants were</w:t>
      </w:r>
      <w:r w:rsidR="00C21F93">
        <w:rPr>
          <w:lang w:eastAsia="en-AU"/>
        </w:rPr>
        <w:t>:</w:t>
      </w:r>
    </w:p>
    <w:p w14:paraId="58D1C7EB" w14:textId="77777777" w:rsidR="00C21F93" w:rsidRDefault="00C21F93" w:rsidP="001B2499">
      <w:pPr>
        <w:pStyle w:val="ListBullet"/>
        <w:rPr>
          <w:lang w:eastAsia="en-AU"/>
        </w:rPr>
      </w:pPr>
      <w:r>
        <w:rPr>
          <w:lang w:eastAsia="en-AU"/>
        </w:rPr>
        <w:t>unfair termination of leases and retaliatory rent increases</w:t>
      </w:r>
    </w:p>
    <w:p w14:paraId="58D1C7EC" w14:textId="77777777" w:rsidR="00C21F93" w:rsidRDefault="00C21F93" w:rsidP="001B2499">
      <w:pPr>
        <w:pStyle w:val="ListBullet"/>
        <w:rPr>
          <w:lang w:eastAsia="en-AU"/>
        </w:rPr>
      </w:pPr>
      <w:r>
        <w:rPr>
          <w:lang w:eastAsia="en-AU"/>
        </w:rPr>
        <w:t>insufficient bond amounts and unrealistic notice periods for breaches such as rent arrears</w:t>
      </w:r>
    </w:p>
    <w:p w14:paraId="58D1C7ED" w14:textId="77777777" w:rsidR="00C21F93" w:rsidRDefault="00C21F93" w:rsidP="001B2499">
      <w:pPr>
        <w:pStyle w:val="ListBullet"/>
        <w:rPr>
          <w:lang w:eastAsia="en-AU"/>
        </w:rPr>
      </w:pPr>
      <w:r>
        <w:rPr>
          <w:lang w:eastAsia="en-AU"/>
        </w:rPr>
        <w:t>confusion about the parties' roles in maintaining a rental property, for example relating to the safety of appliances such as smoke alarms, heaters and stoves</w:t>
      </w:r>
    </w:p>
    <w:p w14:paraId="58D1C7EE" w14:textId="77777777" w:rsidR="00C21F93" w:rsidRDefault="00C21F93" w:rsidP="001B2499">
      <w:pPr>
        <w:pStyle w:val="ListBullet"/>
        <w:rPr>
          <w:lang w:eastAsia="en-AU"/>
        </w:rPr>
      </w:pPr>
      <w:r>
        <w:rPr>
          <w:lang w:eastAsia="en-AU"/>
        </w:rPr>
        <w:t xml:space="preserve">obtaining agreement to </w:t>
      </w:r>
      <w:r w:rsidR="00570715">
        <w:rPr>
          <w:lang w:eastAsia="en-AU"/>
        </w:rPr>
        <w:t xml:space="preserve">modify </w:t>
      </w:r>
      <w:r>
        <w:rPr>
          <w:lang w:eastAsia="en-AU"/>
        </w:rPr>
        <w:t>propert</w:t>
      </w:r>
      <w:r w:rsidR="00570715">
        <w:rPr>
          <w:lang w:eastAsia="en-AU"/>
        </w:rPr>
        <w:t xml:space="preserve">ies </w:t>
      </w:r>
      <w:r>
        <w:rPr>
          <w:lang w:eastAsia="en-AU"/>
        </w:rPr>
        <w:t>and reasonable expectations about</w:t>
      </w:r>
      <w:r w:rsidR="00DA1B8D">
        <w:rPr>
          <w:lang w:eastAsia="en-AU"/>
        </w:rPr>
        <w:t xml:space="preserve"> what changes should be allowed</w:t>
      </w:r>
    </w:p>
    <w:p w14:paraId="58D1C7EF" w14:textId="77777777" w:rsidR="00C21F93" w:rsidRDefault="00C21F93" w:rsidP="001B2499">
      <w:pPr>
        <w:pStyle w:val="ListBullet"/>
        <w:rPr>
          <w:lang w:eastAsia="en-AU"/>
        </w:rPr>
      </w:pPr>
      <w:r>
        <w:rPr>
          <w:lang w:eastAsia="en-AU"/>
        </w:rPr>
        <w:t>the absence of tailored rights and responsibilities for residents and operators of alternate tenure types, and</w:t>
      </w:r>
    </w:p>
    <w:p w14:paraId="58D1C7F0" w14:textId="77777777" w:rsidR="00C21F93" w:rsidRDefault="00C21F93" w:rsidP="001B2499">
      <w:pPr>
        <w:pStyle w:val="ListBullet"/>
        <w:rPr>
          <w:lang w:eastAsia="en-AU"/>
        </w:rPr>
      </w:pPr>
      <w:r>
        <w:rPr>
          <w:lang w:eastAsia="en-AU"/>
        </w:rPr>
        <w:t xml:space="preserve">reliance on adversarial dispute resolution processes at </w:t>
      </w:r>
      <w:r w:rsidR="004D0490">
        <w:rPr>
          <w:lang w:eastAsia="en-AU"/>
        </w:rPr>
        <w:t>VCAT</w:t>
      </w:r>
      <w:r w:rsidR="00DA1B8D">
        <w:rPr>
          <w:lang w:eastAsia="en-AU"/>
        </w:rPr>
        <w:t xml:space="preserve"> </w:t>
      </w:r>
      <w:r>
        <w:rPr>
          <w:lang w:eastAsia="en-AU"/>
        </w:rPr>
        <w:t>in situations where a different approach might be more appropriate or effective.</w:t>
      </w:r>
    </w:p>
    <w:p w14:paraId="58D1C7F1" w14:textId="77777777" w:rsidR="00EE29E7" w:rsidRDefault="00DA1B8D" w:rsidP="001B2499">
      <w:pPr>
        <w:pStyle w:val="BodyText"/>
        <w:rPr>
          <w:lang w:eastAsia="en-AU"/>
        </w:rPr>
      </w:pPr>
      <w:r>
        <w:rPr>
          <w:lang w:eastAsia="en-AU"/>
        </w:rPr>
        <w:t>Stag</w:t>
      </w:r>
      <w:r w:rsidR="00464A7E">
        <w:rPr>
          <w:lang w:eastAsia="en-AU"/>
        </w:rPr>
        <w:t>e two</w:t>
      </w:r>
      <w:r>
        <w:rPr>
          <w:lang w:eastAsia="en-AU"/>
        </w:rPr>
        <w:t xml:space="preserve"> of the consultation began in</w:t>
      </w:r>
      <w:r w:rsidR="00C21F93">
        <w:rPr>
          <w:lang w:eastAsia="en-AU"/>
        </w:rPr>
        <w:t xml:space="preserve"> Novembe</w:t>
      </w:r>
      <w:r>
        <w:rPr>
          <w:lang w:eastAsia="en-AU"/>
        </w:rPr>
        <w:t xml:space="preserve">r 2015 with the release </w:t>
      </w:r>
      <w:r w:rsidR="00C21F93">
        <w:rPr>
          <w:lang w:eastAsia="en-AU"/>
        </w:rPr>
        <w:t xml:space="preserve">of an issues paper examining security of tenure under the </w:t>
      </w:r>
      <w:r w:rsidR="00C21F93">
        <w:rPr>
          <w:i/>
          <w:iCs/>
          <w:lang w:eastAsia="en-AU"/>
        </w:rPr>
        <w:t>Residential Tenancies Act 1997</w:t>
      </w:r>
      <w:r w:rsidR="00C21F93">
        <w:rPr>
          <w:lang w:eastAsia="en-AU"/>
        </w:rPr>
        <w:t>.</w:t>
      </w:r>
    </w:p>
    <w:p w14:paraId="58D1C7F2" w14:textId="77777777" w:rsidR="00C21F93" w:rsidRDefault="00DA1B8D" w:rsidP="001B2499">
      <w:pPr>
        <w:pStyle w:val="BodyText"/>
        <w:rPr>
          <w:lang w:eastAsia="en-AU"/>
        </w:rPr>
      </w:pPr>
      <w:r>
        <w:rPr>
          <w:lang w:eastAsia="en-AU"/>
        </w:rPr>
        <w:t>We released a</w:t>
      </w:r>
      <w:r w:rsidR="00C21F93">
        <w:rPr>
          <w:lang w:eastAsia="en-AU"/>
        </w:rPr>
        <w:t xml:space="preserve"> further five issues papers, including </w:t>
      </w:r>
      <w:r w:rsidR="00570715">
        <w:rPr>
          <w:lang w:eastAsia="en-AU"/>
        </w:rPr>
        <w:t xml:space="preserve">one </w:t>
      </w:r>
      <w:r w:rsidR="00C21F93">
        <w:rPr>
          <w:lang w:eastAsia="en-AU"/>
        </w:rPr>
        <w:t>exploring specific protections for residents of caravan parks and movable dwellings.</w:t>
      </w:r>
    </w:p>
    <w:p w14:paraId="58D1C7F3" w14:textId="77777777" w:rsidR="00EE29E7" w:rsidRDefault="00A6563E" w:rsidP="001B2499">
      <w:pPr>
        <w:pStyle w:val="BodyText"/>
        <w:rPr>
          <w:lang w:eastAsia="en-AU"/>
        </w:rPr>
      </w:pPr>
      <w:r>
        <w:rPr>
          <w:lang w:eastAsia="en-AU"/>
        </w:rPr>
        <w:t xml:space="preserve">These issues papers </w:t>
      </w:r>
      <w:r w:rsidR="00DA1B8D">
        <w:rPr>
          <w:lang w:eastAsia="en-AU"/>
        </w:rPr>
        <w:t xml:space="preserve">received </w:t>
      </w:r>
      <w:r w:rsidR="00C21F93">
        <w:rPr>
          <w:lang w:eastAsia="en-AU"/>
        </w:rPr>
        <w:t>over 200 submissions, with hundreds of comments posted in online discussions, quick poll responses and stories about rental experiences</w:t>
      </w:r>
      <w:r w:rsidR="00E769DC">
        <w:rPr>
          <w:lang w:eastAsia="en-AU"/>
        </w:rPr>
        <w:t>.</w:t>
      </w:r>
    </w:p>
    <w:p w14:paraId="58D1C7F4" w14:textId="77777777" w:rsidR="00C21F93" w:rsidRDefault="00AF252C" w:rsidP="001B2499">
      <w:pPr>
        <w:pStyle w:val="BodyText"/>
        <w:rPr>
          <w:lang w:eastAsia="en-AU"/>
        </w:rPr>
      </w:pPr>
      <w:r>
        <w:rPr>
          <w:lang w:eastAsia="en-AU"/>
        </w:rPr>
        <w:t>Later in 2016 we will commence s</w:t>
      </w:r>
      <w:r w:rsidR="00C21F93">
        <w:rPr>
          <w:lang w:eastAsia="en-AU"/>
        </w:rPr>
        <w:t xml:space="preserve">tage </w:t>
      </w:r>
      <w:r>
        <w:rPr>
          <w:lang w:eastAsia="en-AU"/>
        </w:rPr>
        <w:t>three</w:t>
      </w:r>
      <w:r w:rsidR="00C21F93">
        <w:rPr>
          <w:lang w:eastAsia="en-AU"/>
        </w:rPr>
        <w:t xml:space="preserve"> of the </w:t>
      </w:r>
      <w:r>
        <w:rPr>
          <w:lang w:eastAsia="en-AU"/>
        </w:rPr>
        <w:t>r</w:t>
      </w:r>
      <w:r w:rsidR="00C21F93">
        <w:rPr>
          <w:lang w:eastAsia="en-AU"/>
        </w:rPr>
        <w:t>eview with the development of an options paper, in consultation with a stakeholder reference group and takin</w:t>
      </w:r>
      <w:r w:rsidR="00431A7C">
        <w:rPr>
          <w:lang w:eastAsia="en-AU"/>
        </w:rPr>
        <w:t xml:space="preserve">g into account the results of a </w:t>
      </w:r>
      <w:r w:rsidR="00C21F93">
        <w:rPr>
          <w:lang w:eastAsia="en-AU"/>
        </w:rPr>
        <w:t>market research study on landlord</w:t>
      </w:r>
      <w:r w:rsidR="00A6563E">
        <w:rPr>
          <w:lang w:eastAsia="en-AU"/>
        </w:rPr>
        <w:t>s’</w:t>
      </w:r>
      <w:r w:rsidR="00C21F93">
        <w:rPr>
          <w:lang w:eastAsia="en-AU"/>
        </w:rPr>
        <w:t xml:space="preserve"> and tenants</w:t>
      </w:r>
      <w:r w:rsidR="00A6563E">
        <w:rPr>
          <w:lang w:eastAsia="en-AU"/>
        </w:rPr>
        <w:t>’</w:t>
      </w:r>
      <w:r w:rsidR="00C21F93">
        <w:rPr>
          <w:lang w:eastAsia="en-AU"/>
        </w:rPr>
        <w:t xml:space="preserve"> views on key issues.</w:t>
      </w:r>
    </w:p>
    <w:p w14:paraId="58D1C7F5" w14:textId="77777777" w:rsidR="00EA541C" w:rsidRDefault="00EA541C" w:rsidP="00040AF8">
      <w:pPr>
        <w:pStyle w:val="Heading4"/>
      </w:pPr>
      <w:r>
        <w:t xml:space="preserve">Acts passed and regulations </w:t>
      </w:r>
      <w:r w:rsidR="00F7724B">
        <w:t>commenced or revoked</w:t>
      </w:r>
    </w:p>
    <w:p w14:paraId="58D1C7F6" w14:textId="77777777" w:rsidR="00EA541C" w:rsidRDefault="00EA541C" w:rsidP="001B2499">
      <w:pPr>
        <w:pStyle w:val="BodyText"/>
        <w:rPr>
          <w:lang w:eastAsia="en-AU"/>
        </w:rPr>
      </w:pPr>
      <w:r w:rsidRPr="00464A7E">
        <w:rPr>
          <w:lang w:eastAsia="en-AU"/>
        </w:rPr>
        <w:t xml:space="preserve">In 2015-16 we advised </w:t>
      </w:r>
      <w:r w:rsidR="00E72BDE">
        <w:rPr>
          <w:lang w:eastAsia="en-AU"/>
        </w:rPr>
        <w:t xml:space="preserve">the government </w:t>
      </w:r>
      <w:r w:rsidRPr="00464A7E">
        <w:rPr>
          <w:lang w:eastAsia="en-AU"/>
        </w:rPr>
        <w:t xml:space="preserve">on legislative changes to improve consumer protection and remake regulations due to expire, or that no longer met the needs of Victorian businesses and consumers. These changes are detailed in </w:t>
      </w:r>
      <w:r w:rsidR="00A0641C" w:rsidRPr="00464A7E">
        <w:rPr>
          <w:lang w:eastAsia="en-AU"/>
        </w:rPr>
        <w:fldChar w:fldCharType="begin"/>
      </w:r>
      <w:r w:rsidR="00A0641C" w:rsidRPr="00464A7E">
        <w:rPr>
          <w:lang w:eastAsia="en-AU"/>
        </w:rPr>
        <w:instrText xml:space="preserve"> REF _Ref456876073 \h </w:instrText>
      </w:r>
      <w:r w:rsidR="00E769DC" w:rsidRPr="00464A7E">
        <w:rPr>
          <w:lang w:eastAsia="en-AU"/>
        </w:rPr>
        <w:instrText xml:space="preserve"> \* MERGEFORMAT </w:instrText>
      </w:r>
      <w:r w:rsidR="00A0641C" w:rsidRPr="00464A7E">
        <w:rPr>
          <w:lang w:eastAsia="en-AU"/>
        </w:rPr>
      </w:r>
      <w:r w:rsidR="00A0641C" w:rsidRPr="00464A7E">
        <w:rPr>
          <w:lang w:eastAsia="en-AU"/>
        </w:rPr>
        <w:fldChar w:fldCharType="separate"/>
      </w:r>
      <w:r w:rsidR="00973EC1">
        <w:rPr>
          <w:lang w:eastAsia="en-AU"/>
        </w:rPr>
        <w:t>Table 5</w:t>
      </w:r>
      <w:r w:rsidR="00A0641C" w:rsidRPr="00464A7E">
        <w:rPr>
          <w:lang w:eastAsia="en-AU"/>
        </w:rPr>
        <w:fldChar w:fldCharType="end"/>
      </w:r>
      <w:r w:rsidR="00A0641C" w:rsidRPr="00464A7E">
        <w:rPr>
          <w:lang w:eastAsia="en-AU"/>
        </w:rPr>
        <w:t xml:space="preserve"> </w:t>
      </w:r>
      <w:r w:rsidRPr="00464A7E">
        <w:rPr>
          <w:lang w:eastAsia="en-AU"/>
        </w:rPr>
        <w:t>below.</w:t>
      </w:r>
    </w:p>
    <w:p w14:paraId="58D1C7F7" w14:textId="77777777" w:rsidR="00AB72A6" w:rsidRPr="00464A7E" w:rsidRDefault="00AB72A6" w:rsidP="001B2499">
      <w:pPr>
        <w:pStyle w:val="BodyText"/>
        <w:rPr>
          <w:lang w:eastAsia="en-AU"/>
        </w:rPr>
      </w:pPr>
      <w:r>
        <w:rPr>
          <w:lang w:eastAsia="en-AU"/>
        </w:rPr>
        <w:t xml:space="preserve">A </w:t>
      </w:r>
      <w:r w:rsidR="006E113C">
        <w:rPr>
          <w:lang w:eastAsia="en-AU"/>
        </w:rPr>
        <w:t>complete</w:t>
      </w:r>
      <w:r>
        <w:rPr>
          <w:lang w:eastAsia="en-AU"/>
        </w:rPr>
        <w:t xml:space="preserve"> list of </w:t>
      </w:r>
      <w:r w:rsidR="00E44BB1">
        <w:rPr>
          <w:lang w:eastAsia="en-AU"/>
        </w:rPr>
        <w:t xml:space="preserve">legislation </w:t>
      </w:r>
      <w:r>
        <w:rPr>
          <w:lang w:eastAsia="en-AU"/>
        </w:rPr>
        <w:t xml:space="preserve">that we administer is available </w:t>
      </w:r>
      <w:r w:rsidR="006E113C">
        <w:rPr>
          <w:lang w:eastAsia="en-AU"/>
        </w:rPr>
        <w:t xml:space="preserve">in </w:t>
      </w:r>
      <w:r w:rsidR="000D4FAE">
        <w:rPr>
          <w:lang w:eastAsia="en-AU"/>
        </w:rPr>
        <w:t xml:space="preserve">the </w:t>
      </w:r>
      <w:r w:rsidR="00E44BB1">
        <w:rPr>
          <w:lang w:eastAsia="en-AU"/>
        </w:rPr>
        <w:t>appendix</w:t>
      </w:r>
      <w:r w:rsidR="006E113C">
        <w:rPr>
          <w:lang w:eastAsia="en-AU"/>
        </w:rPr>
        <w:t>.</w:t>
      </w:r>
    </w:p>
    <w:p w14:paraId="58D1C7F8" w14:textId="77777777" w:rsidR="00742A5C" w:rsidRPr="003D578F" w:rsidRDefault="00742A5C" w:rsidP="00973A16">
      <w:pPr>
        <w:pStyle w:val="Caption"/>
        <w:pageBreakBefore/>
        <w:spacing w:before="0"/>
        <w:rPr>
          <w:rFonts w:eastAsia="Times New Roman" w:cs="Calibri"/>
          <w:spacing w:val="-3"/>
          <w:w w:val="110"/>
        </w:rPr>
      </w:pPr>
      <w:bookmarkStart w:id="57" w:name="_Ref456876073"/>
      <w:r>
        <w:lastRenderedPageBreak/>
        <w:t xml:space="preserve">Table </w:t>
      </w:r>
      <w:r>
        <w:fldChar w:fldCharType="begin"/>
      </w:r>
      <w:r>
        <w:instrText xml:space="preserve"> SEQ Table \* ARABIC </w:instrText>
      </w:r>
      <w:r>
        <w:fldChar w:fldCharType="separate"/>
      </w:r>
      <w:r w:rsidR="00973EC1">
        <w:rPr>
          <w:noProof/>
        </w:rPr>
        <w:t>5</w:t>
      </w:r>
      <w:r>
        <w:fldChar w:fldCharType="end"/>
      </w:r>
      <w:bookmarkEnd w:id="57"/>
      <w:r w:rsidR="00C119F0">
        <w:t>A</w:t>
      </w:r>
      <w:r w:rsidR="00CF66CA">
        <w:t>: Acts passed</w:t>
      </w:r>
    </w:p>
    <w:tbl>
      <w:tblPr>
        <w:tblW w:w="9072" w:type="dxa"/>
        <w:tblInd w:w="108" w:type="dxa"/>
        <w:tblBorders>
          <w:top w:val="single" w:sz="4" w:space="0" w:color="0072CE"/>
          <w:left w:val="single" w:sz="4" w:space="0" w:color="0072CE"/>
          <w:bottom w:val="single" w:sz="4" w:space="0" w:color="0072CE"/>
          <w:right w:val="single" w:sz="4" w:space="0" w:color="0072CE"/>
          <w:insideH w:val="single" w:sz="4" w:space="0" w:color="0072CE"/>
          <w:insideV w:val="single" w:sz="4" w:space="0" w:color="0072CE"/>
        </w:tblBorders>
        <w:tblLook w:val="04A0" w:firstRow="1" w:lastRow="0" w:firstColumn="1" w:lastColumn="0" w:noHBand="0" w:noVBand="1"/>
      </w:tblPr>
      <w:tblGrid>
        <w:gridCol w:w="6984"/>
        <w:gridCol w:w="2088"/>
      </w:tblGrid>
      <w:tr w:rsidR="00F7724B" w:rsidRPr="00B34E68" w14:paraId="58D1C7FB" w14:textId="77777777" w:rsidTr="00C6201E">
        <w:trPr>
          <w:cantSplit/>
          <w:tblHeader/>
        </w:trPr>
        <w:tc>
          <w:tcPr>
            <w:tcW w:w="6984" w:type="dxa"/>
            <w:tcBorders>
              <w:right w:val="single" w:sz="4" w:space="0" w:color="FFFFFF"/>
            </w:tcBorders>
            <w:shd w:val="clear" w:color="auto" w:fill="0072CE"/>
            <w:vAlign w:val="bottom"/>
          </w:tcPr>
          <w:p w14:paraId="58D1C7F9" w14:textId="77777777" w:rsidR="00F7724B" w:rsidRPr="00B34E68" w:rsidRDefault="00F7724B" w:rsidP="005C2B48">
            <w:pPr>
              <w:pStyle w:val="TableColHead"/>
            </w:pPr>
            <w:r w:rsidRPr="00B34E68">
              <w:t>Name</w:t>
            </w:r>
          </w:p>
        </w:tc>
        <w:tc>
          <w:tcPr>
            <w:tcW w:w="2088" w:type="dxa"/>
            <w:tcBorders>
              <w:left w:val="single" w:sz="4" w:space="0" w:color="FFFFFF"/>
            </w:tcBorders>
            <w:shd w:val="clear" w:color="auto" w:fill="0072CE"/>
            <w:vAlign w:val="bottom"/>
          </w:tcPr>
          <w:p w14:paraId="58D1C7FA" w14:textId="77777777" w:rsidR="00F7724B" w:rsidRPr="00B34E68" w:rsidRDefault="00F7724B" w:rsidP="005C2B48">
            <w:pPr>
              <w:pStyle w:val="TableColHead"/>
            </w:pPr>
            <w:r w:rsidRPr="00B34E68">
              <w:t>Date of royal assent</w:t>
            </w:r>
          </w:p>
        </w:tc>
      </w:tr>
      <w:tr w:rsidR="00F7724B" w:rsidRPr="00333E76" w14:paraId="58D1C7FE" w14:textId="77777777" w:rsidTr="00C6201E">
        <w:trPr>
          <w:cantSplit/>
        </w:trPr>
        <w:tc>
          <w:tcPr>
            <w:tcW w:w="6984" w:type="dxa"/>
            <w:shd w:val="clear" w:color="auto" w:fill="E5F6FC"/>
          </w:tcPr>
          <w:p w14:paraId="58D1C7FC" w14:textId="77777777" w:rsidR="00F7724B" w:rsidRPr="005C2B48" w:rsidRDefault="00F7724B" w:rsidP="005C2B48">
            <w:pPr>
              <w:pStyle w:val="TableText"/>
              <w:rPr>
                <w:rStyle w:val="Emphasis"/>
              </w:rPr>
            </w:pPr>
            <w:bookmarkStart w:id="58" w:name="_Toc457494716"/>
            <w:r w:rsidRPr="005C2B48">
              <w:rPr>
                <w:rStyle w:val="Emphasis"/>
              </w:rPr>
              <w:t>Associations Incorporation Reform (Electronic Transactions) Amendment Act 2016</w:t>
            </w:r>
            <w:bookmarkEnd w:id="58"/>
          </w:p>
        </w:tc>
        <w:tc>
          <w:tcPr>
            <w:tcW w:w="2088" w:type="dxa"/>
            <w:shd w:val="clear" w:color="auto" w:fill="E5F6FC"/>
          </w:tcPr>
          <w:p w14:paraId="58D1C7FD" w14:textId="77777777" w:rsidR="00F7724B" w:rsidRPr="00F7724B" w:rsidRDefault="00F7724B" w:rsidP="005C2B48">
            <w:pPr>
              <w:pStyle w:val="TableText"/>
            </w:pPr>
            <w:r w:rsidRPr="00F7724B">
              <w:t>21 April 2015</w:t>
            </w:r>
          </w:p>
        </w:tc>
      </w:tr>
      <w:tr w:rsidR="00F7724B" w:rsidRPr="00333E76" w14:paraId="58D1C801" w14:textId="77777777" w:rsidTr="00C6201E">
        <w:trPr>
          <w:cantSplit/>
        </w:trPr>
        <w:tc>
          <w:tcPr>
            <w:tcW w:w="6984" w:type="dxa"/>
            <w:shd w:val="clear" w:color="auto" w:fill="E5F6FC"/>
          </w:tcPr>
          <w:p w14:paraId="58D1C7FF" w14:textId="77777777" w:rsidR="00F7724B" w:rsidRPr="005C2B48" w:rsidRDefault="00F7724B" w:rsidP="005C2B48">
            <w:pPr>
              <w:pStyle w:val="TableText"/>
              <w:rPr>
                <w:rStyle w:val="Emphasis"/>
              </w:rPr>
            </w:pPr>
            <w:bookmarkStart w:id="59" w:name="_Toc457494717"/>
            <w:r w:rsidRPr="005C2B48">
              <w:rPr>
                <w:rStyle w:val="Emphasis"/>
              </w:rPr>
              <w:t>Rooming House Operators Act 2016</w:t>
            </w:r>
            <w:bookmarkEnd w:id="59"/>
          </w:p>
        </w:tc>
        <w:tc>
          <w:tcPr>
            <w:tcW w:w="2088" w:type="dxa"/>
            <w:shd w:val="clear" w:color="auto" w:fill="E5F6FC"/>
          </w:tcPr>
          <w:p w14:paraId="58D1C800" w14:textId="77777777" w:rsidR="00F7724B" w:rsidRPr="00F7724B" w:rsidRDefault="00F7724B" w:rsidP="005C2B48">
            <w:pPr>
              <w:pStyle w:val="TableText"/>
            </w:pPr>
            <w:r w:rsidRPr="00F7724B">
              <w:t>10 May 2016</w:t>
            </w:r>
          </w:p>
        </w:tc>
      </w:tr>
      <w:tr w:rsidR="00F7724B" w:rsidRPr="00333E76" w14:paraId="58D1C804" w14:textId="77777777" w:rsidTr="00C6201E">
        <w:trPr>
          <w:cantSplit/>
        </w:trPr>
        <w:tc>
          <w:tcPr>
            <w:tcW w:w="6984" w:type="dxa"/>
            <w:shd w:val="clear" w:color="auto" w:fill="E5F6FC"/>
          </w:tcPr>
          <w:p w14:paraId="58D1C802" w14:textId="77777777" w:rsidR="00F7724B" w:rsidRPr="005C2B48" w:rsidRDefault="00F7724B" w:rsidP="005C2B48">
            <w:pPr>
              <w:pStyle w:val="TableText"/>
              <w:rPr>
                <w:rStyle w:val="Emphasis"/>
              </w:rPr>
            </w:pPr>
            <w:bookmarkStart w:id="60" w:name="_Toc457494718"/>
            <w:r w:rsidRPr="005C2B48">
              <w:rPr>
                <w:rStyle w:val="Emphasis"/>
              </w:rPr>
              <w:t>Consumer Acts and Other Acts Amendment Act 2016</w:t>
            </w:r>
            <w:bookmarkEnd w:id="60"/>
          </w:p>
        </w:tc>
        <w:tc>
          <w:tcPr>
            <w:tcW w:w="2088" w:type="dxa"/>
            <w:shd w:val="clear" w:color="auto" w:fill="E5F6FC"/>
          </w:tcPr>
          <w:p w14:paraId="58D1C803" w14:textId="77777777" w:rsidR="00F7724B" w:rsidRPr="00F7724B" w:rsidRDefault="00F7724B" w:rsidP="005C2B48">
            <w:pPr>
              <w:pStyle w:val="TableText"/>
            </w:pPr>
            <w:r w:rsidRPr="00F7724B">
              <w:t>10 May 2016</w:t>
            </w:r>
          </w:p>
        </w:tc>
      </w:tr>
    </w:tbl>
    <w:p w14:paraId="58D1C805" w14:textId="77777777" w:rsidR="00C119F0" w:rsidRPr="00B34E68" w:rsidRDefault="00C119F0" w:rsidP="00C119F0">
      <w:pPr>
        <w:pStyle w:val="Caption"/>
      </w:pPr>
      <w:r>
        <w:t>Tab</w:t>
      </w:r>
      <w:r w:rsidR="00CF66CA">
        <w:t>le 5B: Regulations commenced</w:t>
      </w:r>
    </w:p>
    <w:tbl>
      <w:tblPr>
        <w:tblW w:w="9072" w:type="dxa"/>
        <w:tblInd w:w="108" w:type="dxa"/>
        <w:tblBorders>
          <w:top w:val="single" w:sz="4" w:space="0" w:color="0072CE"/>
          <w:left w:val="single" w:sz="4" w:space="0" w:color="0072CE"/>
          <w:bottom w:val="single" w:sz="4" w:space="0" w:color="0072CE"/>
          <w:right w:val="single" w:sz="4" w:space="0" w:color="0072CE"/>
          <w:insideH w:val="single" w:sz="4" w:space="0" w:color="0072CE"/>
          <w:insideV w:val="single" w:sz="4" w:space="0" w:color="0072CE"/>
        </w:tblBorders>
        <w:tblLook w:val="04A0" w:firstRow="1" w:lastRow="0" w:firstColumn="1" w:lastColumn="0" w:noHBand="0" w:noVBand="1"/>
      </w:tblPr>
      <w:tblGrid>
        <w:gridCol w:w="6984"/>
        <w:gridCol w:w="2088"/>
      </w:tblGrid>
      <w:tr w:rsidR="00F7724B" w:rsidRPr="00B34E68" w14:paraId="58D1C808" w14:textId="77777777" w:rsidTr="00C6201E">
        <w:trPr>
          <w:cantSplit/>
          <w:tblHeader/>
        </w:trPr>
        <w:tc>
          <w:tcPr>
            <w:tcW w:w="6984" w:type="dxa"/>
            <w:tcBorders>
              <w:right w:val="single" w:sz="4" w:space="0" w:color="FFFFFF"/>
            </w:tcBorders>
            <w:shd w:val="clear" w:color="auto" w:fill="0072CE"/>
            <w:vAlign w:val="bottom"/>
          </w:tcPr>
          <w:p w14:paraId="58D1C806" w14:textId="77777777" w:rsidR="00F7724B" w:rsidRPr="00B34E68" w:rsidRDefault="00F7724B" w:rsidP="005C2B48">
            <w:pPr>
              <w:pStyle w:val="TableColHead"/>
            </w:pPr>
            <w:r w:rsidRPr="00B34E68">
              <w:t>Name</w:t>
            </w:r>
          </w:p>
        </w:tc>
        <w:tc>
          <w:tcPr>
            <w:tcW w:w="2088" w:type="dxa"/>
            <w:tcBorders>
              <w:left w:val="single" w:sz="4" w:space="0" w:color="FFFFFF"/>
            </w:tcBorders>
            <w:shd w:val="clear" w:color="auto" w:fill="0072CE"/>
            <w:vAlign w:val="bottom"/>
          </w:tcPr>
          <w:p w14:paraId="58D1C807" w14:textId="77777777" w:rsidR="00F7724B" w:rsidRPr="00B34E68" w:rsidRDefault="00F7724B" w:rsidP="005C2B48">
            <w:pPr>
              <w:pStyle w:val="TableColHead"/>
            </w:pPr>
            <w:r w:rsidRPr="00B34E68">
              <w:t>Date commenced</w:t>
            </w:r>
          </w:p>
        </w:tc>
      </w:tr>
      <w:tr w:rsidR="00F7724B" w:rsidRPr="00333E76" w14:paraId="58D1C80B" w14:textId="77777777" w:rsidTr="00C6201E">
        <w:trPr>
          <w:cantSplit/>
        </w:trPr>
        <w:tc>
          <w:tcPr>
            <w:tcW w:w="6984" w:type="dxa"/>
            <w:shd w:val="clear" w:color="auto" w:fill="E5F6FC"/>
          </w:tcPr>
          <w:p w14:paraId="58D1C809" w14:textId="77777777" w:rsidR="00F7724B" w:rsidRPr="00F7724B" w:rsidRDefault="00F7724B" w:rsidP="005C2B48">
            <w:pPr>
              <w:pStyle w:val="TableText"/>
            </w:pPr>
            <w:bookmarkStart w:id="61" w:name="_Toc457494719"/>
            <w:r w:rsidRPr="00F7724B">
              <w:t>Estate Agents (Exemption) Regulations 2014</w:t>
            </w:r>
            <w:bookmarkEnd w:id="61"/>
          </w:p>
        </w:tc>
        <w:tc>
          <w:tcPr>
            <w:tcW w:w="2088" w:type="dxa"/>
            <w:shd w:val="clear" w:color="auto" w:fill="E5F6FC"/>
          </w:tcPr>
          <w:p w14:paraId="58D1C80A" w14:textId="77777777" w:rsidR="00F7724B" w:rsidRPr="00F7724B" w:rsidRDefault="00F7724B" w:rsidP="005C2B48">
            <w:pPr>
              <w:pStyle w:val="TableText"/>
            </w:pPr>
            <w:r w:rsidRPr="00F7724B">
              <w:t>1 July 2015</w:t>
            </w:r>
          </w:p>
        </w:tc>
      </w:tr>
      <w:tr w:rsidR="00F7724B" w:rsidRPr="00333E76" w14:paraId="58D1C80E" w14:textId="77777777" w:rsidTr="00C6201E">
        <w:trPr>
          <w:cantSplit/>
        </w:trPr>
        <w:tc>
          <w:tcPr>
            <w:tcW w:w="6984" w:type="dxa"/>
            <w:shd w:val="clear" w:color="auto" w:fill="E5F6FC"/>
          </w:tcPr>
          <w:p w14:paraId="58D1C80C" w14:textId="77777777" w:rsidR="00F7724B" w:rsidRPr="00F7724B" w:rsidRDefault="00F7724B" w:rsidP="005C2B48">
            <w:pPr>
              <w:pStyle w:val="TableText"/>
            </w:pPr>
            <w:bookmarkStart w:id="62" w:name="_Toc457494720"/>
            <w:r w:rsidRPr="00F7724B">
              <w:t>Conveyancers (Professional Conduct and Trust Account and General) Amendment Regulations 2015</w:t>
            </w:r>
            <w:bookmarkEnd w:id="62"/>
          </w:p>
        </w:tc>
        <w:tc>
          <w:tcPr>
            <w:tcW w:w="2088" w:type="dxa"/>
            <w:shd w:val="clear" w:color="auto" w:fill="E5F6FC"/>
          </w:tcPr>
          <w:p w14:paraId="58D1C80D" w14:textId="77777777" w:rsidR="00F7724B" w:rsidRPr="00F7724B" w:rsidRDefault="00F7724B" w:rsidP="005C2B48">
            <w:pPr>
              <w:pStyle w:val="TableText"/>
            </w:pPr>
            <w:r w:rsidRPr="00F7724B">
              <w:t>1 November 2015</w:t>
            </w:r>
          </w:p>
        </w:tc>
      </w:tr>
      <w:tr w:rsidR="00F7724B" w:rsidRPr="00333E76" w14:paraId="58D1C811" w14:textId="77777777" w:rsidTr="00C6201E">
        <w:trPr>
          <w:cantSplit/>
        </w:trPr>
        <w:tc>
          <w:tcPr>
            <w:tcW w:w="6984" w:type="dxa"/>
            <w:shd w:val="clear" w:color="auto" w:fill="E5F6FC"/>
          </w:tcPr>
          <w:p w14:paraId="58D1C80F" w14:textId="77777777" w:rsidR="00F7724B" w:rsidRPr="00F7724B" w:rsidRDefault="00F7724B" w:rsidP="005C2B48">
            <w:pPr>
              <w:pStyle w:val="TableText"/>
            </w:pPr>
            <w:bookmarkStart w:id="63" w:name="_Toc457494721"/>
            <w:r w:rsidRPr="00F7724B">
              <w:t>Retirement Villages (Records and Notices) Regulations 2015</w:t>
            </w:r>
            <w:bookmarkEnd w:id="63"/>
          </w:p>
        </w:tc>
        <w:tc>
          <w:tcPr>
            <w:tcW w:w="2088" w:type="dxa"/>
            <w:shd w:val="clear" w:color="auto" w:fill="E5F6FC"/>
          </w:tcPr>
          <w:p w14:paraId="58D1C810" w14:textId="77777777" w:rsidR="00F7724B" w:rsidRPr="00F7724B" w:rsidRDefault="00F7724B" w:rsidP="005C2B48">
            <w:pPr>
              <w:pStyle w:val="TableText"/>
            </w:pPr>
            <w:r w:rsidRPr="00F7724B">
              <w:t>12 December 2015</w:t>
            </w:r>
          </w:p>
        </w:tc>
      </w:tr>
      <w:tr w:rsidR="00F7724B" w:rsidRPr="00333E76" w14:paraId="58D1C814" w14:textId="77777777" w:rsidTr="00C6201E">
        <w:trPr>
          <w:cantSplit/>
        </w:trPr>
        <w:tc>
          <w:tcPr>
            <w:tcW w:w="6984" w:type="dxa"/>
            <w:shd w:val="clear" w:color="auto" w:fill="E5F6FC"/>
          </w:tcPr>
          <w:p w14:paraId="58D1C812" w14:textId="77777777" w:rsidR="00F7724B" w:rsidRPr="00F7724B" w:rsidRDefault="00F7724B" w:rsidP="005C2B48">
            <w:pPr>
              <w:pStyle w:val="TableText"/>
            </w:pPr>
            <w:bookmarkStart w:id="64" w:name="_Toc457494722"/>
            <w:r w:rsidRPr="00F7724B">
              <w:t>Sex Work Regulation</w:t>
            </w:r>
            <w:r w:rsidR="00435C2C">
              <w:t>s</w:t>
            </w:r>
            <w:r w:rsidRPr="00F7724B">
              <w:t xml:space="preserve"> 2016</w:t>
            </w:r>
            <w:bookmarkEnd w:id="64"/>
          </w:p>
        </w:tc>
        <w:tc>
          <w:tcPr>
            <w:tcW w:w="2088" w:type="dxa"/>
            <w:shd w:val="clear" w:color="auto" w:fill="E5F6FC"/>
          </w:tcPr>
          <w:p w14:paraId="58D1C813" w14:textId="77777777" w:rsidR="00F7724B" w:rsidRPr="00F7724B" w:rsidRDefault="00F7724B" w:rsidP="005C2B48">
            <w:pPr>
              <w:pStyle w:val="TableText"/>
            </w:pPr>
            <w:r w:rsidRPr="00F7724B">
              <w:t>1 June 2016</w:t>
            </w:r>
          </w:p>
        </w:tc>
      </w:tr>
      <w:tr w:rsidR="00F7724B" w:rsidRPr="00333E76" w14:paraId="58D1C817" w14:textId="77777777" w:rsidTr="00C6201E">
        <w:trPr>
          <w:cantSplit/>
        </w:trPr>
        <w:tc>
          <w:tcPr>
            <w:tcW w:w="6984" w:type="dxa"/>
            <w:shd w:val="clear" w:color="auto" w:fill="E5F6FC"/>
          </w:tcPr>
          <w:p w14:paraId="58D1C815" w14:textId="77777777" w:rsidR="00F7724B" w:rsidRPr="00F7724B" w:rsidRDefault="00F7724B" w:rsidP="005C2B48">
            <w:pPr>
              <w:pStyle w:val="TableText"/>
            </w:pPr>
            <w:bookmarkStart w:id="65" w:name="_Toc457494723"/>
            <w:r w:rsidRPr="00F7724B">
              <w:t>Second-Hand Dealers and Pawnbrokers (Exemption) Amendment Regulations 2016</w:t>
            </w:r>
            <w:bookmarkEnd w:id="65"/>
          </w:p>
        </w:tc>
        <w:tc>
          <w:tcPr>
            <w:tcW w:w="2088" w:type="dxa"/>
            <w:shd w:val="clear" w:color="auto" w:fill="E5F6FC"/>
          </w:tcPr>
          <w:p w14:paraId="58D1C816" w14:textId="77777777" w:rsidR="00F7724B" w:rsidRPr="00F7724B" w:rsidRDefault="00F7724B" w:rsidP="005C2B48">
            <w:pPr>
              <w:pStyle w:val="TableText"/>
            </w:pPr>
            <w:r w:rsidRPr="00F7724B">
              <w:t>1 June 2016</w:t>
            </w:r>
          </w:p>
        </w:tc>
      </w:tr>
    </w:tbl>
    <w:p w14:paraId="58D1C818" w14:textId="77777777" w:rsidR="00C119F0" w:rsidRPr="00B34E68" w:rsidRDefault="00C119F0" w:rsidP="00C119F0">
      <w:pPr>
        <w:pStyle w:val="Caption"/>
      </w:pPr>
      <w:r>
        <w:t xml:space="preserve">Table 5C: </w:t>
      </w:r>
      <w:r w:rsidRPr="00B34E68">
        <w:t>Regulations revoked</w:t>
      </w:r>
    </w:p>
    <w:tbl>
      <w:tblPr>
        <w:tblW w:w="9072" w:type="dxa"/>
        <w:tblInd w:w="108" w:type="dxa"/>
        <w:tblBorders>
          <w:top w:val="single" w:sz="4" w:space="0" w:color="0072CE"/>
          <w:left w:val="single" w:sz="4" w:space="0" w:color="0072CE"/>
          <w:bottom w:val="single" w:sz="4" w:space="0" w:color="0072CE"/>
          <w:right w:val="single" w:sz="4" w:space="0" w:color="0072CE"/>
          <w:insideH w:val="single" w:sz="4" w:space="0" w:color="0072CE"/>
          <w:insideV w:val="single" w:sz="4" w:space="0" w:color="0072CE"/>
        </w:tblBorders>
        <w:tblLook w:val="04A0" w:firstRow="1" w:lastRow="0" w:firstColumn="1" w:lastColumn="0" w:noHBand="0" w:noVBand="1"/>
      </w:tblPr>
      <w:tblGrid>
        <w:gridCol w:w="6984"/>
        <w:gridCol w:w="2088"/>
      </w:tblGrid>
      <w:tr w:rsidR="00F7724B" w:rsidRPr="00B34E68" w14:paraId="58D1C81B" w14:textId="77777777" w:rsidTr="00C6201E">
        <w:trPr>
          <w:cantSplit/>
          <w:tblHeader/>
        </w:trPr>
        <w:tc>
          <w:tcPr>
            <w:tcW w:w="6984" w:type="dxa"/>
            <w:tcBorders>
              <w:right w:val="single" w:sz="4" w:space="0" w:color="FFFFFF"/>
            </w:tcBorders>
            <w:shd w:val="clear" w:color="auto" w:fill="0072CE"/>
            <w:vAlign w:val="bottom"/>
          </w:tcPr>
          <w:p w14:paraId="58D1C819" w14:textId="77777777" w:rsidR="00F7724B" w:rsidRPr="00B34E68" w:rsidRDefault="00F7724B" w:rsidP="005C2B48">
            <w:pPr>
              <w:pStyle w:val="TableColHead"/>
            </w:pPr>
            <w:r w:rsidRPr="00B34E68">
              <w:t>Name</w:t>
            </w:r>
          </w:p>
        </w:tc>
        <w:tc>
          <w:tcPr>
            <w:tcW w:w="2088" w:type="dxa"/>
            <w:tcBorders>
              <w:left w:val="single" w:sz="4" w:space="0" w:color="FFFFFF"/>
            </w:tcBorders>
            <w:shd w:val="clear" w:color="auto" w:fill="0072CE"/>
            <w:vAlign w:val="bottom"/>
          </w:tcPr>
          <w:p w14:paraId="58D1C81A" w14:textId="77777777" w:rsidR="00F7724B" w:rsidRPr="00B34E68" w:rsidRDefault="00F7724B" w:rsidP="005C2B48">
            <w:pPr>
              <w:pStyle w:val="TableColHead"/>
            </w:pPr>
            <w:r w:rsidRPr="00B34E68">
              <w:t>Date revoked</w:t>
            </w:r>
          </w:p>
        </w:tc>
      </w:tr>
      <w:tr w:rsidR="00F7724B" w:rsidRPr="00333E76" w14:paraId="58D1C81E" w14:textId="77777777" w:rsidTr="00C6201E">
        <w:trPr>
          <w:cantSplit/>
        </w:trPr>
        <w:tc>
          <w:tcPr>
            <w:tcW w:w="6984" w:type="dxa"/>
            <w:shd w:val="clear" w:color="auto" w:fill="E5F6FC"/>
          </w:tcPr>
          <w:p w14:paraId="58D1C81C" w14:textId="77777777" w:rsidR="00F7724B" w:rsidRPr="00F7724B" w:rsidRDefault="00F7724B" w:rsidP="005C2B48">
            <w:pPr>
              <w:pStyle w:val="TableText"/>
            </w:pPr>
            <w:bookmarkStart w:id="66" w:name="_Toc457494724"/>
            <w:r w:rsidRPr="00F7724B">
              <w:t>Estate Agents (Exemption) Regulations 2005</w:t>
            </w:r>
            <w:bookmarkEnd w:id="66"/>
          </w:p>
        </w:tc>
        <w:tc>
          <w:tcPr>
            <w:tcW w:w="2088" w:type="dxa"/>
            <w:shd w:val="clear" w:color="auto" w:fill="E5F6FC"/>
          </w:tcPr>
          <w:p w14:paraId="58D1C81D" w14:textId="77777777" w:rsidR="00F7724B" w:rsidRPr="00F7724B" w:rsidRDefault="00F7724B" w:rsidP="005C2B48">
            <w:pPr>
              <w:pStyle w:val="TableText"/>
            </w:pPr>
            <w:r w:rsidRPr="00F7724B">
              <w:t>1 July 2015</w:t>
            </w:r>
          </w:p>
        </w:tc>
      </w:tr>
      <w:tr w:rsidR="00F7724B" w:rsidRPr="00333E76" w14:paraId="58D1C821" w14:textId="77777777" w:rsidTr="00C6201E">
        <w:trPr>
          <w:cantSplit/>
        </w:trPr>
        <w:tc>
          <w:tcPr>
            <w:tcW w:w="6984" w:type="dxa"/>
            <w:shd w:val="clear" w:color="auto" w:fill="E5F6FC"/>
          </w:tcPr>
          <w:p w14:paraId="58D1C81F" w14:textId="77777777" w:rsidR="00F7724B" w:rsidRPr="00F7724B" w:rsidRDefault="00F7724B" w:rsidP="005C2B48">
            <w:pPr>
              <w:pStyle w:val="TableText"/>
            </w:pPr>
            <w:bookmarkStart w:id="67" w:name="_Toc457494725"/>
            <w:r w:rsidRPr="00F7724B">
              <w:t>Retirement Villages (Records and Notices) Regulations 2005</w:t>
            </w:r>
            <w:bookmarkEnd w:id="67"/>
          </w:p>
        </w:tc>
        <w:tc>
          <w:tcPr>
            <w:tcW w:w="2088" w:type="dxa"/>
            <w:shd w:val="clear" w:color="auto" w:fill="E5F6FC"/>
          </w:tcPr>
          <w:p w14:paraId="58D1C820" w14:textId="77777777" w:rsidR="00F7724B" w:rsidRPr="00F7724B" w:rsidRDefault="00F7724B" w:rsidP="005C2B48">
            <w:pPr>
              <w:pStyle w:val="TableText"/>
            </w:pPr>
            <w:r w:rsidRPr="00F7724B">
              <w:t>12 December 2015</w:t>
            </w:r>
          </w:p>
        </w:tc>
      </w:tr>
      <w:tr w:rsidR="00F7724B" w:rsidRPr="00333E76" w14:paraId="58D1C824" w14:textId="77777777" w:rsidTr="00C6201E">
        <w:trPr>
          <w:cantSplit/>
        </w:trPr>
        <w:tc>
          <w:tcPr>
            <w:tcW w:w="6984" w:type="dxa"/>
            <w:shd w:val="clear" w:color="auto" w:fill="E5F6FC"/>
          </w:tcPr>
          <w:p w14:paraId="58D1C822" w14:textId="77777777" w:rsidR="00F7724B" w:rsidRPr="00F7724B" w:rsidRDefault="00F7724B" w:rsidP="005C2B48">
            <w:pPr>
              <w:pStyle w:val="TableText"/>
            </w:pPr>
            <w:bookmarkStart w:id="68" w:name="_Toc457494726"/>
            <w:r w:rsidRPr="00F7724B">
              <w:t>Sex Work Regulations 2006</w:t>
            </w:r>
            <w:bookmarkEnd w:id="68"/>
          </w:p>
        </w:tc>
        <w:tc>
          <w:tcPr>
            <w:tcW w:w="2088" w:type="dxa"/>
            <w:shd w:val="clear" w:color="auto" w:fill="E5F6FC"/>
          </w:tcPr>
          <w:p w14:paraId="58D1C823" w14:textId="77777777" w:rsidR="00F7724B" w:rsidRPr="00F7724B" w:rsidRDefault="00F7724B" w:rsidP="005C2B48">
            <w:pPr>
              <w:pStyle w:val="TableText"/>
            </w:pPr>
            <w:r w:rsidRPr="00F7724B">
              <w:t>1 June 2016</w:t>
            </w:r>
          </w:p>
        </w:tc>
      </w:tr>
    </w:tbl>
    <w:p w14:paraId="58D1C825" w14:textId="77777777" w:rsidR="00C90E80" w:rsidRPr="001B2499" w:rsidRDefault="00C90E80" w:rsidP="00201270">
      <w:pPr>
        <w:pStyle w:val="Heading3"/>
        <w:rPr>
          <w:rStyle w:val="Heading3largerchar"/>
        </w:rPr>
      </w:pPr>
      <w:r w:rsidRPr="001B2499">
        <w:rPr>
          <w:rStyle w:val="Heading3largerchar"/>
        </w:rPr>
        <w:br w:type="page"/>
      </w:r>
      <w:bookmarkStart w:id="69" w:name="_Toc457494727"/>
      <w:bookmarkStart w:id="70" w:name="_Toc457494998"/>
      <w:bookmarkStart w:id="71" w:name="_Toc464830769"/>
      <w:r w:rsidRPr="001B2499">
        <w:rPr>
          <w:rStyle w:val="Heading3largerchar"/>
        </w:rPr>
        <w:lastRenderedPageBreak/>
        <w:t>Goal 5 – A sustainable and innovative regulator</w:t>
      </w:r>
      <w:bookmarkEnd w:id="69"/>
      <w:bookmarkEnd w:id="70"/>
      <w:bookmarkEnd w:id="71"/>
    </w:p>
    <w:p w14:paraId="58D1C826" w14:textId="77777777" w:rsidR="00524553" w:rsidRDefault="00524553" w:rsidP="001B2499">
      <w:pPr>
        <w:pStyle w:val="BodyText"/>
      </w:pPr>
      <w:r w:rsidRPr="00524553">
        <w:t xml:space="preserve">Efficient and effective internal operations are critical to our ability to be a modern and effective regulator. We continue working on new ways to </w:t>
      </w:r>
      <w:r w:rsidR="00110D4C">
        <w:t xml:space="preserve">develop </w:t>
      </w:r>
      <w:r w:rsidR="004D0BA4">
        <w:t>our</w:t>
      </w:r>
      <w:r w:rsidR="004D0BA4" w:rsidRPr="00524553">
        <w:t xml:space="preserve"> </w:t>
      </w:r>
      <w:r w:rsidRPr="00524553">
        <w:t>capability, technology and collaboration with our partner agencies.</w:t>
      </w:r>
    </w:p>
    <w:p w14:paraId="58D1C827" w14:textId="77777777" w:rsidR="009A58E3" w:rsidRDefault="009A58E3" w:rsidP="001B2499">
      <w:pPr>
        <w:pStyle w:val="Heading4"/>
      </w:pPr>
      <w:bookmarkStart w:id="72" w:name="_Toc457494728"/>
      <w:bookmarkStart w:id="73" w:name="_Toc457494999"/>
      <w:r>
        <w:t>Highlights</w:t>
      </w:r>
      <w:bookmarkEnd w:id="72"/>
      <w:bookmarkEnd w:id="73"/>
    </w:p>
    <w:p w14:paraId="58D1C828" w14:textId="77777777" w:rsidR="00410EF4" w:rsidRDefault="00410EF4" w:rsidP="001B2499">
      <w:pPr>
        <w:pStyle w:val="BodyText"/>
      </w:pPr>
      <w:r>
        <w:t xml:space="preserve">We continued to maintain trust accounts in accordance with relevant legislation. Our prudent management of these funds </w:t>
      </w:r>
      <w:r w:rsidR="004D0BA4">
        <w:t xml:space="preserve">allowed </w:t>
      </w:r>
      <w:r>
        <w:t>for money to be allocated to important projects such as grants totalling $15 million awarded this year from the Victorian Property Fund for affordable housing projects.</w:t>
      </w:r>
    </w:p>
    <w:p w14:paraId="58D1C829" w14:textId="77777777" w:rsidR="00CE79C3" w:rsidRDefault="00AB72A6" w:rsidP="001B2499">
      <w:pPr>
        <w:pStyle w:val="BodyText"/>
        <w:rPr>
          <w:lang w:eastAsia="en-AU"/>
        </w:rPr>
      </w:pPr>
      <w:r>
        <w:t>W</w:t>
      </w:r>
      <w:r w:rsidR="00410EF4">
        <w:t xml:space="preserve">e </w:t>
      </w:r>
      <w:r w:rsidR="00CE79C3">
        <w:t>completed a two</w:t>
      </w:r>
      <w:r w:rsidR="00E44BB1">
        <w:t>-</w:t>
      </w:r>
      <w:r w:rsidR="00CE79C3">
        <w:t xml:space="preserve">year program to reduce the cost of regulation for businesses, while maintaining appropriate consumer protections. </w:t>
      </w:r>
      <w:r w:rsidR="00CE79C3" w:rsidRPr="00F420A4">
        <w:rPr>
          <w:lang w:eastAsia="en-AU"/>
        </w:rPr>
        <w:t xml:space="preserve">We estimate that these initiatives have </w:t>
      </w:r>
      <w:r w:rsidR="00FB4DA0">
        <w:rPr>
          <w:lang w:eastAsia="en-AU"/>
        </w:rPr>
        <w:t>saved Victorian businesses nearly $9 million per year.</w:t>
      </w:r>
    </w:p>
    <w:p w14:paraId="58D1C82A" w14:textId="77777777" w:rsidR="00C90E80" w:rsidRDefault="00AD2B07" w:rsidP="00040AF8">
      <w:pPr>
        <w:pStyle w:val="Heading4"/>
      </w:pPr>
      <w:r>
        <w:t>Reducing red tape for Victorian businesses</w:t>
      </w:r>
    </w:p>
    <w:p w14:paraId="58D1C82B" w14:textId="77777777" w:rsidR="00EE29E7" w:rsidRDefault="00464A7E" w:rsidP="001B2499">
      <w:pPr>
        <w:pStyle w:val="BodyText"/>
        <w:rPr>
          <w:lang w:eastAsia="en-AU"/>
        </w:rPr>
      </w:pPr>
      <w:r>
        <w:rPr>
          <w:lang w:eastAsia="en-AU"/>
        </w:rPr>
        <w:t>In June 2014</w:t>
      </w:r>
      <w:r w:rsidR="00B47AE6" w:rsidRPr="00B47AE6">
        <w:rPr>
          <w:lang w:eastAsia="en-AU"/>
        </w:rPr>
        <w:t xml:space="preserve">, the then </w:t>
      </w:r>
      <w:r w:rsidR="000D0E83" w:rsidRPr="000D0E83">
        <w:rPr>
          <w:lang w:eastAsia="en-AU"/>
        </w:rPr>
        <w:t>Minister for Consumer Affairs, Gaming and Liquor Regulation</w:t>
      </w:r>
      <w:r w:rsidR="00B47AE6" w:rsidRPr="00B47AE6">
        <w:rPr>
          <w:lang w:eastAsia="en-AU"/>
        </w:rPr>
        <w:t xml:space="preserve">s issued a reducing red </w:t>
      </w:r>
      <w:r w:rsidR="004E4902">
        <w:rPr>
          <w:lang w:eastAsia="en-AU"/>
        </w:rPr>
        <w:t xml:space="preserve">tape Statement of Expectations </w:t>
      </w:r>
      <w:r w:rsidR="00B47AE6" w:rsidRPr="00B47AE6">
        <w:rPr>
          <w:lang w:eastAsia="en-AU"/>
        </w:rPr>
        <w:t>for Consumer Affairs Victoria and th</w:t>
      </w:r>
      <w:r w:rsidR="004E4902">
        <w:rPr>
          <w:lang w:eastAsia="en-AU"/>
        </w:rPr>
        <w:t>e Business Licensing Authority for a two</w:t>
      </w:r>
      <w:r w:rsidR="00E44BB1">
        <w:rPr>
          <w:lang w:eastAsia="en-AU"/>
        </w:rPr>
        <w:t>-</w:t>
      </w:r>
      <w:r w:rsidR="004E4902">
        <w:rPr>
          <w:lang w:eastAsia="en-AU"/>
        </w:rPr>
        <w:t>year period.</w:t>
      </w:r>
    </w:p>
    <w:p w14:paraId="58D1C82C" w14:textId="77777777" w:rsidR="00B47AE6" w:rsidRPr="00B47AE6" w:rsidRDefault="00B47AE6" w:rsidP="001B2499">
      <w:pPr>
        <w:pStyle w:val="BodyText"/>
        <w:rPr>
          <w:lang w:eastAsia="en-AU"/>
        </w:rPr>
      </w:pPr>
      <w:r>
        <w:rPr>
          <w:lang w:eastAsia="en-AU"/>
        </w:rPr>
        <w:t>The s</w:t>
      </w:r>
      <w:r w:rsidRPr="00B47AE6">
        <w:rPr>
          <w:lang w:eastAsia="en-AU"/>
        </w:rPr>
        <w:t>tatement encouraged us to continue our risk-based approach to regulation and to identify key areas of governance and operational performance where there were opportunities to reduce the cost of regulation for business, while maintaining a high</w:t>
      </w:r>
      <w:r w:rsidR="00E44BB1">
        <w:rPr>
          <w:lang w:eastAsia="en-AU"/>
        </w:rPr>
        <w:t xml:space="preserve"> </w:t>
      </w:r>
      <w:r w:rsidRPr="00B47AE6">
        <w:rPr>
          <w:lang w:eastAsia="en-AU"/>
        </w:rPr>
        <w:t>level of consumer protection.</w:t>
      </w:r>
    </w:p>
    <w:p w14:paraId="58D1C82D" w14:textId="77777777" w:rsidR="00604689" w:rsidRDefault="004E4902" w:rsidP="001B2499">
      <w:pPr>
        <w:pStyle w:val="BodyText"/>
        <w:rPr>
          <w:lang w:eastAsia="en-AU"/>
        </w:rPr>
      </w:pPr>
      <w:r>
        <w:rPr>
          <w:lang w:eastAsia="en-AU"/>
        </w:rPr>
        <w:t xml:space="preserve">This </w:t>
      </w:r>
      <w:r w:rsidR="00F420A4">
        <w:rPr>
          <w:lang w:eastAsia="en-AU"/>
        </w:rPr>
        <w:t>work has come to an end and we</w:t>
      </w:r>
      <w:r w:rsidR="00513074" w:rsidRPr="00F420A4">
        <w:rPr>
          <w:lang w:eastAsia="en-AU"/>
        </w:rPr>
        <w:t xml:space="preserve"> estimate</w:t>
      </w:r>
      <w:r w:rsidR="00F420A4">
        <w:rPr>
          <w:lang w:eastAsia="en-AU"/>
        </w:rPr>
        <w:t xml:space="preserve"> that the</w:t>
      </w:r>
      <w:r w:rsidR="00513074" w:rsidRPr="00F420A4">
        <w:rPr>
          <w:lang w:eastAsia="en-AU"/>
        </w:rPr>
        <w:t xml:space="preserve"> initiatives </w:t>
      </w:r>
      <w:r w:rsidR="00F420A4">
        <w:rPr>
          <w:lang w:eastAsia="en-AU"/>
        </w:rPr>
        <w:t xml:space="preserve">we </w:t>
      </w:r>
      <w:r w:rsidR="00513074" w:rsidRPr="00F420A4">
        <w:rPr>
          <w:lang w:eastAsia="en-AU"/>
        </w:rPr>
        <w:t xml:space="preserve">have </w:t>
      </w:r>
      <w:r w:rsidR="00F420A4">
        <w:rPr>
          <w:lang w:eastAsia="en-AU"/>
        </w:rPr>
        <w:t xml:space="preserve">implemented </w:t>
      </w:r>
      <w:r w:rsidR="00513074" w:rsidRPr="00F420A4">
        <w:rPr>
          <w:lang w:eastAsia="en-AU"/>
        </w:rPr>
        <w:t xml:space="preserve">saved Victorian </w:t>
      </w:r>
      <w:r w:rsidR="00513074" w:rsidRPr="00416A25">
        <w:rPr>
          <w:lang w:eastAsia="en-AU"/>
        </w:rPr>
        <w:t xml:space="preserve">businesses </w:t>
      </w:r>
      <w:r w:rsidR="00513074" w:rsidRPr="00416A25">
        <w:rPr>
          <w:b/>
          <w:lang w:eastAsia="en-AU"/>
        </w:rPr>
        <w:t>$8</w:t>
      </w:r>
      <w:r w:rsidR="00CC0AD3" w:rsidRPr="00416A25">
        <w:rPr>
          <w:b/>
          <w:lang w:eastAsia="en-AU"/>
        </w:rPr>
        <w:t>.73 million per year</w:t>
      </w:r>
      <w:r w:rsidR="00513074" w:rsidRPr="00416A25">
        <w:rPr>
          <w:lang w:eastAsia="en-AU"/>
        </w:rPr>
        <w:t>.</w:t>
      </w:r>
      <w:r w:rsidR="00F420A4" w:rsidRPr="00416A25">
        <w:rPr>
          <w:lang w:eastAsia="en-AU"/>
        </w:rPr>
        <w:t xml:space="preserve"> </w:t>
      </w:r>
      <w:r w:rsidR="00513074" w:rsidRPr="00416A25">
        <w:rPr>
          <w:lang w:eastAsia="en-AU"/>
        </w:rPr>
        <w:t>These successful</w:t>
      </w:r>
      <w:r w:rsidR="00513074">
        <w:rPr>
          <w:lang w:eastAsia="en-AU"/>
        </w:rPr>
        <w:t xml:space="preserve"> </w:t>
      </w:r>
      <w:r w:rsidR="00F420A4">
        <w:rPr>
          <w:lang w:eastAsia="en-AU"/>
        </w:rPr>
        <w:t>initiatives</w:t>
      </w:r>
      <w:r w:rsidR="00416A25">
        <w:rPr>
          <w:lang w:eastAsia="en-AU"/>
        </w:rPr>
        <w:t xml:space="preserve"> undertaken in response to the minister’s Statement of Expectations</w:t>
      </w:r>
      <w:r w:rsidR="00513074">
        <w:rPr>
          <w:lang w:eastAsia="en-AU"/>
        </w:rPr>
        <w:t xml:space="preserve"> are as follows</w:t>
      </w:r>
      <w:r w:rsidR="00604689">
        <w:rPr>
          <w:lang w:eastAsia="en-AU"/>
        </w:rPr>
        <w:t>:</w:t>
      </w:r>
    </w:p>
    <w:p w14:paraId="58D1C82E" w14:textId="77777777" w:rsidR="00604689" w:rsidRDefault="00513074" w:rsidP="007A75A8">
      <w:pPr>
        <w:pStyle w:val="ListBullet"/>
        <w:rPr>
          <w:lang w:eastAsia="en-AU"/>
        </w:rPr>
      </w:pPr>
      <w:r w:rsidRPr="007A75A8">
        <w:rPr>
          <w:rStyle w:val="Strong"/>
        </w:rPr>
        <w:t>Provided</w:t>
      </w:r>
      <w:r w:rsidR="00604689" w:rsidRPr="007A75A8">
        <w:rPr>
          <w:rStyle w:val="Strong"/>
        </w:rPr>
        <w:t xml:space="preserve"> information on service standards for the processing of all applications</w:t>
      </w:r>
      <w:r w:rsidR="00604689" w:rsidRPr="00604689">
        <w:rPr>
          <w:lang w:eastAsia="en-AU"/>
        </w:rPr>
        <w:t xml:space="preserve"> </w:t>
      </w:r>
      <w:r w:rsidR="00604689">
        <w:rPr>
          <w:lang w:eastAsia="en-AU"/>
        </w:rPr>
        <w:t>by publishing q</w:t>
      </w:r>
      <w:r w:rsidR="00604689" w:rsidRPr="00604689">
        <w:rPr>
          <w:lang w:eastAsia="en-AU"/>
        </w:rPr>
        <w:t>uarterly updates of service performance on our website.</w:t>
      </w:r>
    </w:p>
    <w:p w14:paraId="58D1C82F" w14:textId="77777777" w:rsidR="00604689" w:rsidRDefault="00513074" w:rsidP="007A75A8">
      <w:pPr>
        <w:pStyle w:val="ListBullet"/>
        <w:rPr>
          <w:lang w:eastAsia="en-AU"/>
        </w:rPr>
      </w:pPr>
      <w:r w:rsidRPr="007A75A8">
        <w:rPr>
          <w:rStyle w:val="Strong"/>
        </w:rPr>
        <w:t>Made</w:t>
      </w:r>
      <w:r w:rsidR="00604689" w:rsidRPr="007A75A8">
        <w:rPr>
          <w:rStyle w:val="Strong"/>
        </w:rPr>
        <w:t xml:space="preserve"> reporting for landlords, agents and tenants easier and </w:t>
      </w:r>
      <w:r w:rsidR="00E21774" w:rsidRPr="007A75A8">
        <w:rPr>
          <w:rStyle w:val="Strong"/>
        </w:rPr>
        <w:t>more accessible</w:t>
      </w:r>
      <w:r w:rsidR="00604689">
        <w:rPr>
          <w:lang w:eastAsia="en-AU"/>
        </w:rPr>
        <w:t xml:space="preserve"> by launching </w:t>
      </w:r>
      <w:r w:rsidR="00604689" w:rsidRPr="00604689">
        <w:rPr>
          <w:i/>
          <w:lang w:eastAsia="en-AU"/>
        </w:rPr>
        <w:t>RentRight2</w:t>
      </w:r>
      <w:r w:rsidR="00604689" w:rsidRPr="00604689">
        <w:rPr>
          <w:lang w:eastAsia="en-AU"/>
        </w:rPr>
        <w:t xml:space="preserve">, a free smartphone </w:t>
      </w:r>
      <w:r w:rsidR="00604689">
        <w:rPr>
          <w:lang w:eastAsia="en-AU"/>
        </w:rPr>
        <w:t>app</w:t>
      </w:r>
      <w:r w:rsidR="00604689" w:rsidRPr="00604689">
        <w:rPr>
          <w:lang w:eastAsia="en-AU"/>
        </w:rPr>
        <w:t>.</w:t>
      </w:r>
    </w:p>
    <w:p w14:paraId="58D1C830" w14:textId="77777777" w:rsidR="00604689" w:rsidRDefault="00604689" w:rsidP="007A75A8">
      <w:pPr>
        <w:pStyle w:val="ListBullet"/>
        <w:rPr>
          <w:lang w:eastAsia="en-AU"/>
        </w:rPr>
      </w:pPr>
      <w:r w:rsidRPr="007A75A8">
        <w:rPr>
          <w:rStyle w:val="Strong"/>
        </w:rPr>
        <w:t>Reduc</w:t>
      </w:r>
      <w:r w:rsidR="00513074" w:rsidRPr="007A75A8">
        <w:rPr>
          <w:rStyle w:val="Strong"/>
        </w:rPr>
        <w:t>ed</w:t>
      </w:r>
      <w:r w:rsidRPr="007A75A8">
        <w:rPr>
          <w:rStyle w:val="Strong"/>
        </w:rPr>
        <w:t xml:space="preserve"> the time required by </w:t>
      </w:r>
      <w:r w:rsidR="007B200E" w:rsidRPr="007A75A8">
        <w:rPr>
          <w:rStyle w:val="Strong"/>
        </w:rPr>
        <w:t>i</w:t>
      </w:r>
      <w:r w:rsidRPr="007A75A8">
        <w:rPr>
          <w:rStyle w:val="Strong"/>
        </w:rPr>
        <w:t xml:space="preserve">ncorporated </w:t>
      </w:r>
      <w:r w:rsidR="007B200E" w:rsidRPr="007A75A8">
        <w:rPr>
          <w:rStyle w:val="Strong"/>
        </w:rPr>
        <w:t>a</w:t>
      </w:r>
      <w:r w:rsidRPr="007A75A8">
        <w:rPr>
          <w:rStyle w:val="Strong"/>
        </w:rPr>
        <w:t>ssociations to submit and process information</w:t>
      </w:r>
      <w:r w:rsidR="007B200E" w:rsidRPr="007A75A8">
        <w:rPr>
          <w:rStyle w:val="Strong"/>
        </w:rPr>
        <w:t xml:space="preserve"> by 20 per cent</w:t>
      </w:r>
      <w:r>
        <w:rPr>
          <w:lang w:eastAsia="en-AU"/>
        </w:rPr>
        <w:t xml:space="preserve">, </w:t>
      </w:r>
      <w:r w:rsidR="007B200E">
        <w:rPr>
          <w:lang w:eastAsia="en-AU"/>
        </w:rPr>
        <w:t xml:space="preserve">through the implementation of </w:t>
      </w:r>
      <w:r>
        <w:rPr>
          <w:lang w:eastAsia="en-AU"/>
        </w:rPr>
        <w:t>myCAV</w:t>
      </w:r>
      <w:r w:rsidR="00E21774">
        <w:rPr>
          <w:lang w:eastAsia="en-AU"/>
        </w:rPr>
        <w:t>.</w:t>
      </w:r>
    </w:p>
    <w:p w14:paraId="58D1C831" w14:textId="77777777" w:rsidR="00604689" w:rsidRDefault="00513074" w:rsidP="007A75A8">
      <w:pPr>
        <w:pStyle w:val="ListBullet"/>
        <w:rPr>
          <w:lang w:eastAsia="en-AU"/>
        </w:rPr>
      </w:pPr>
      <w:r w:rsidRPr="007A75A8">
        <w:rPr>
          <w:rStyle w:val="Strong"/>
        </w:rPr>
        <w:t>Reduced</w:t>
      </w:r>
      <w:r w:rsidR="00604689" w:rsidRPr="007A75A8">
        <w:rPr>
          <w:rStyle w:val="Strong"/>
        </w:rPr>
        <w:t xml:space="preserve"> the regulatory burden on motor car tr</w:t>
      </w:r>
      <w:r w:rsidRPr="007A75A8">
        <w:rPr>
          <w:rStyle w:val="Strong"/>
        </w:rPr>
        <w:t>aders and second-hand dealers and</w:t>
      </w:r>
      <w:r w:rsidR="00604689" w:rsidRPr="007A75A8">
        <w:rPr>
          <w:rStyle w:val="Strong"/>
        </w:rPr>
        <w:t xml:space="preserve"> </w:t>
      </w:r>
      <w:r w:rsidRPr="007A75A8">
        <w:rPr>
          <w:rStyle w:val="Strong"/>
        </w:rPr>
        <w:t>ensur</w:t>
      </w:r>
      <w:r w:rsidR="007B200E" w:rsidRPr="007A75A8">
        <w:rPr>
          <w:rStyle w:val="Strong"/>
        </w:rPr>
        <w:t xml:space="preserve">ed </w:t>
      </w:r>
      <w:r w:rsidR="00604689" w:rsidRPr="007A75A8">
        <w:rPr>
          <w:rStyle w:val="Strong"/>
        </w:rPr>
        <w:t>at least 40</w:t>
      </w:r>
      <w:r w:rsidR="007B200E" w:rsidRPr="007A75A8">
        <w:rPr>
          <w:rStyle w:val="Strong"/>
        </w:rPr>
        <w:t xml:space="preserve"> per cent </w:t>
      </w:r>
      <w:r w:rsidRPr="007A75A8">
        <w:rPr>
          <w:rStyle w:val="Strong"/>
        </w:rPr>
        <w:t xml:space="preserve">of </w:t>
      </w:r>
      <w:r w:rsidR="00604689" w:rsidRPr="007A75A8">
        <w:rPr>
          <w:rStyle w:val="Strong"/>
        </w:rPr>
        <w:t>licences</w:t>
      </w:r>
      <w:r w:rsidRPr="007A75A8">
        <w:rPr>
          <w:rStyle w:val="Strong"/>
        </w:rPr>
        <w:t xml:space="preserve"> </w:t>
      </w:r>
      <w:r w:rsidR="007B200E" w:rsidRPr="007A75A8">
        <w:rPr>
          <w:rStyle w:val="Strong"/>
        </w:rPr>
        <w:t xml:space="preserve">were </w:t>
      </w:r>
      <w:r w:rsidRPr="007A75A8">
        <w:rPr>
          <w:rStyle w:val="Strong"/>
        </w:rPr>
        <w:t>renewed</w:t>
      </w:r>
      <w:r w:rsidR="00604689" w:rsidRPr="007A75A8">
        <w:rPr>
          <w:rStyle w:val="Strong"/>
        </w:rPr>
        <w:t xml:space="preserve"> online by the end of 2014-15</w:t>
      </w:r>
      <w:r w:rsidR="00E21774">
        <w:rPr>
          <w:lang w:eastAsia="en-AU"/>
        </w:rPr>
        <w:t>,</w:t>
      </w:r>
      <w:r w:rsidR="007B200E">
        <w:rPr>
          <w:lang w:eastAsia="en-AU"/>
        </w:rPr>
        <w:t xml:space="preserve"> </w:t>
      </w:r>
      <w:r w:rsidR="00E21774">
        <w:rPr>
          <w:lang w:eastAsia="en-AU"/>
        </w:rPr>
        <w:t>a</w:t>
      </w:r>
      <w:r w:rsidR="007B200E" w:rsidRPr="00431A7C">
        <w:rPr>
          <w:lang w:eastAsia="en-AU"/>
        </w:rPr>
        <w:t>chieved</w:t>
      </w:r>
      <w:r w:rsidR="007B200E">
        <w:rPr>
          <w:lang w:eastAsia="en-AU"/>
        </w:rPr>
        <w:t xml:space="preserve"> </w:t>
      </w:r>
      <w:r w:rsidR="00604689">
        <w:rPr>
          <w:lang w:eastAsia="en-AU"/>
        </w:rPr>
        <w:t>by implementing i</w:t>
      </w:r>
      <w:r w:rsidR="00604689" w:rsidRPr="00604689">
        <w:rPr>
          <w:lang w:eastAsia="en-AU"/>
        </w:rPr>
        <w:t>nitiatives to increase the rate of online renewal</w:t>
      </w:r>
      <w:r w:rsidR="007B200E">
        <w:rPr>
          <w:lang w:eastAsia="en-AU"/>
        </w:rPr>
        <w:t xml:space="preserve">, </w:t>
      </w:r>
      <w:r w:rsidR="00604689">
        <w:rPr>
          <w:lang w:eastAsia="en-AU"/>
        </w:rPr>
        <w:t xml:space="preserve">resulting in 76 per cent of </w:t>
      </w:r>
      <w:r w:rsidR="00604689" w:rsidRPr="00604689">
        <w:rPr>
          <w:lang w:eastAsia="en-AU"/>
        </w:rPr>
        <w:t xml:space="preserve">motor car traders and </w:t>
      </w:r>
      <w:r w:rsidR="00604689">
        <w:rPr>
          <w:lang w:eastAsia="en-AU"/>
        </w:rPr>
        <w:t xml:space="preserve">69 per cent of </w:t>
      </w:r>
      <w:r w:rsidR="00604689" w:rsidRPr="00604689">
        <w:rPr>
          <w:lang w:eastAsia="en-AU"/>
        </w:rPr>
        <w:t xml:space="preserve">second-hand dealers </w:t>
      </w:r>
      <w:r w:rsidR="00604689">
        <w:rPr>
          <w:lang w:eastAsia="en-AU"/>
        </w:rPr>
        <w:t>r</w:t>
      </w:r>
      <w:r>
        <w:rPr>
          <w:lang w:eastAsia="en-AU"/>
        </w:rPr>
        <w:t>enewing online</w:t>
      </w:r>
      <w:r w:rsidR="00604689" w:rsidRPr="00604689">
        <w:rPr>
          <w:lang w:eastAsia="en-AU"/>
        </w:rPr>
        <w:t>.</w:t>
      </w:r>
    </w:p>
    <w:p w14:paraId="58D1C832" w14:textId="77777777" w:rsidR="00604689" w:rsidRPr="00604689" w:rsidRDefault="00604689" w:rsidP="007A75A8">
      <w:pPr>
        <w:pStyle w:val="ListBullet"/>
        <w:rPr>
          <w:lang w:eastAsia="en-AU"/>
        </w:rPr>
      </w:pPr>
      <w:r w:rsidRPr="007A75A8">
        <w:rPr>
          <w:rStyle w:val="Strong"/>
        </w:rPr>
        <w:t>Reduc</w:t>
      </w:r>
      <w:r w:rsidR="00513074" w:rsidRPr="007A75A8">
        <w:rPr>
          <w:rStyle w:val="Strong"/>
        </w:rPr>
        <w:t>ed</w:t>
      </w:r>
      <w:r w:rsidRPr="007A75A8">
        <w:rPr>
          <w:rStyle w:val="Strong"/>
        </w:rPr>
        <w:t xml:space="preserve"> the regulatory burden on motor car traders in producing notices and forms when selling motor cars by implementing changes to the </w:t>
      </w:r>
      <w:r w:rsidRPr="007A75A8">
        <w:rPr>
          <w:rStyle w:val="Strong"/>
          <w:i/>
        </w:rPr>
        <w:t>Motor Car Traders Act</w:t>
      </w:r>
      <w:r w:rsidRPr="00513074">
        <w:rPr>
          <w:lang w:eastAsia="en-AU"/>
        </w:rPr>
        <w:t xml:space="preserve"> </w:t>
      </w:r>
      <w:r w:rsidR="00416A25">
        <w:rPr>
          <w:lang w:eastAsia="en-AU"/>
        </w:rPr>
        <w:t xml:space="preserve">that has </w:t>
      </w:r>
      <w:r w:rsidRPr="00604689">
        <w:rPr>
          <w:lang w:eastAsia="en-AU"/>
        </w:rPr>
        <w:t xml:space="preserve">resulted in less paperwork for </w:t>
      </w:r>
      <w:r w:rsidR="00416A25">
        <w:rPr>
          <w:lang w:eastAsia="en-AU"/>
        </w:rPr>
        <w:t>businesses</w:t>
      </w:r>
      <w:r w:rsidRPr="00604689">
        <w:rPr>
          <w:lang w:eastAsia="en-AU"/>
        </w:rPr>
        <w:t xml:space="preserve"> and made buying a car easier for consumers to understand.</w:t>
      </w:r>
    </w:p>
    <w:p w14:paraId="58D1C833" w14:textId="77777777" w:rsidR="00604689" w:rsidRDefault="00604689" w:rsidP="007A75A8">
      <w:pPr>
        <w:pStyle w:val="ListBullet"/>
        <w:rPr>
          <w:lang w:eastAsia="en-AU"/>
        </w:rPr>
      </w:pPr>
      <w:r w:rsidRPr="007A75A8">
        <w:rPr>
          <w:rStyle w:val="Strong"/>
        </w:rPr>
        <w:t>Reduc</w:t>
      </w:r>
      <w:r w:rsidR="00513074" w:rsidRPr="007A75A8">
        <w:rPr>
          <w:rStyle w:val="Strong"/>
        </w:rPr>
        <w:t>ed</w:t>
      </w:r>
      <w:r w:rsidRPr="007A75A8">
        <w:rPr>
          <w:rStyle w:val="Strong"/>
        </w:rPr>
        <w:t xml:space="preserve"> the regulatory burden on sellers of property, estate agents, conveyancers and lawyers by implementing reforms to section 32 statements in the </w:t>
      </w:r>
      <w:r w:rsidRPr="007A75A8">
        <w:rPr>
          <w:rStyle w:val="Strong"/>
          <w:i/>
        </w:rPr>
        <w:t>Sale of Land Act</w:t>
      </w:r>
      <w:r w:rsidR="00B840D0">
        <w:rPr>
          <w:lang w:eastAsia="en-AU"/>
        </w:rPr>
        <w:t xml:space="preserve"> </w:t>
      </w:r>
      <w:r w:rsidR="00513074">
        <w:rPr>
          <w:lang w:eastAsia="en-AU"/>
        </w:rPr>
        <w:t xml:space="preserve">that </w:t>
      </w:r>
      <w:r w:rsidRPr="00604689">
        <w:rPr>
          <w:lang w:eastAsia="en-AU"/>
        </w:rPr>
        <w:t>clarify the information that sellers must provide to prospective home buyers.</w:t>
      </w:r>
    </w:p>
    <w:p w14:paraId="58D1C834" w14:textId="77777777" w:rsidR="005C0C79" w:rsidRPr="00217576" w:rsidRDefault="00604689" w:rsidP="007A75A8">
      <w:pPr>
        <w:pStyle w:val="BodyText"/>
        <w:rPr>
          <w:lang w:eastAsia="en-AU"/>
        </w:rPr>
      </w:pPr>
      <w:r>
        <w:rPr>
          <w:lang w:eastAsia="en-AU"/>
        </w:rPr>
        <w:t xml:space="preserve">The remaining </w:t>
      </w:r>
      <w:r w:rsidR="00513074">
        <w:rPr>
          <w:lang w:eastAsia="en-AU"/>
        </w:rPr>
        <w:t>initiatives</w:t>
      </w:r>
      <w:r>
        <w:rPr>
          <w:lang w:eastAsia="en-AU"/>
        </w:rPr>
        <w:t xml:space="preserve"> have either been closed with the approval of the minister or are expected to be </w:t>
      </w:r>
      <w:r w:rsidR="00217576" w:rsidRPr="0038367D">
        <w:rPr>
          <w:lang w:eastAsia="en-AU"/>
        </w:rPr>
        <w:t>completed in 2016-17.</w:t>
      </w:r>
    </w:p>
    <w:p w14:paraId="58D1C835" w14:textId="77777777" w:rsidR="001C56C0" w:rsidRPr="001556C0" w:rsidRDefault="0038367D" w:rsidP="007A75A8">
      <w:pPr>
        <w:pStyle w:val="BodyText"/>
        <w:rPr>
          <w:highlight w:val="yellow"/>
          <w:lang w:eastAsia="en-AU"/>
        </w:rPr>
      </w:pPr>
      <w:r>
        <w:rPr>
          <w:lang w:eastAsia="en-AU"/>
        </w:rPr>
        <w:lastRenderedPageBreak/>
        <w:t>T</w:t>
      </w:r>
      <w:r w:rsidR="00217576">
        <w:rPr>
          <w:lang w:eastAsia="en-AU"/>
        </w:rPr>
        <w:t xml:space="preserve">he </w:t>
      </w:r>
      <w:r>
        <w:rPr>
          <w:lang w:eastAsia="en-AU"/>
        </w:rPr>
        <w:t>Statement of E</w:t>
      </w:r>
      <w:r w:rsidR="00217576">
        <w:rPr>
          <w:lang w:eastAsia="en-AU"/>
        </w:rPr>
        <w:t>xpectations</w:t>
      </w:r>
      <w:r>
        <w:rPr>
          <w:lang w:eastAsia="en-AU"/>
        </w:rPr>
        <w:t xml:space="preserve"> 2014-16</w:t>
      </w:r>
      <w:r w:rsidR="00217576" w:rsidRPr="00217576">
        <w:rPr>
          <w:lang w:eastAsia="en-AU"/>
        </w:rPr>
        <w:t xml:space="preserve"> is </w:t>
      </w:r>
      <w:r w:rsidR="001C56C0" w:rsidRPr="00217576">
        <w:rPr>
          <w:lang w:eastAsia="en-AU"/>
        </w:rPr>
        <w:t>available on our website</w:t>
      </w:r>
      <w:r w:rsidR="00CE79C3" w:rsidRPr="00217576">
        <w:rPr>
          <w:lang w:eastAsia="en-AU"/>
        </w:rPr>
        <w:t xml:space="preserve"> at</w:t>
      </w:r>
      <w:r w:rsidR="003D666F">
        <w:rPr>
          <w:lang w:eastAsia="en-AU"/>
        </w:rPr>
        <w:t xml:space="preserve"> the </w:t>
      </w:r>
      <w:hyperlink r:id="rId17" w:history="1">
        <w:r w:rsidR="003D666F" w:rsidRPr="003D666F">
          <w:rPr>
            <w:rStyle w:val="Hyperlink"/>
            <w:lang w:eastAsia="en-AU"/>
          </w:rPr>
          <w:t>Statement of Expectations page on the Consumer Affairs Victoria website</w:t>
        </w:r>
      </w:hyperlink>
      <w:r w:rsidR="00CE79C3" w:rsidRPr="00217576">
        <w:rPr>
          <w:lang w:eastAsia="en-AU"/>
        </w:rPr>
        <w:t xml:space="preserve"> </w:t>
      </w:r>
      <w:r w:rsidR="003D666F">
        <w:rPr>
          <w:lang w:eastAsia="en-AU"/>
        </w:rPr>
        <w:t>&lt;</w:t>
      </w:r>
      <w:r w:rsidR="0014272B" w:rsidRPr="003D666F">
        <w:rPr>
          <w:lang w:eastAsia="en-AU"/>
        </w:rPr>
        <w:t>consumer.vic.gov.au/about-us/statement-of-expectations-2014-16</w:t>
      </w:r>
      <w:r w:rsidR="003D666F">
        <w:rPr>
          <w:lang w:eastAsia="en-AU"/>
        </w:rPr>
        <w:t>&gt;</w:t>
      </w:r>
      <w:r w:rsidR="00217576">
        <w:rPr>
          <w:lang w:eastAsia="en-AU"/>
        </w:rPr>
        <w:t>.</w:t>
      </w:r>
    </w:p>
    <w:p w14:paraId="58D1C836" w14:textId="77777777" w:rsidR="0067302D" w:rsidRDefault="00BF4177" w:rsidP="00040AF8">
      <w:pPr>
        <w:pStyle w:val="Heading4"/>
        <w:rPr>
          <w:lang w:eastAsia="en-AU"/>
        </w:rPr>
      </w:pPr>
      <w:r>
        <w:rPr>
          <w:lang w:eastAsia="en-AU"/>
        </w:rPr>
        <w:t>Our a</w:t>
      </w:r>
      <w:r w:rsidR="008A5248">
        <w:rPr>
          <w:lang w:eastAsia="en-AU"/>
        </w:rPr>
        <w:t>ward</w:t>
      </w:r>
      <w:r>
        <w:rPr>
          <w:lang w:eastAsia="en-AU"/>
        </w:rPr>
        <w:t>-</w:t>
      </w:r>
      <w:r w:rsidR="008A5248">
        <w:rPr>
          <w:lang w:eastAsia="en-AU"/>
        </w:rPr>
        <w:t xml:space="preserve">winning </w:t>
      </w:r>
      <w:r w:rsidR="0067302D">
        <w:rPr>
          <w:lang w:eastAsia="en-AU"/>
        </w:rPr>
        <w:t>RentRight</w:t>
      </w:r>
      <w:r w:rsidR="009913D8">
        <w:rPr>
          <w:lang w:eastAsia="en-AU"/>
        </w:rPr>
        <w:t xml:space="preserve"> app</w:t>
      </w:r>
    </w:p>
    <w:p w14:paraId="58D1C837" w14:textId="77777777" w:rsidR="008A5248" w:rsidRDefault="008A5248" w:rsidP="007A75A8">
      <w:pPr>
        <w:pStyle w:val="BodyText"/>
      </w:pPr>
      <w:r w:rsidRPr="008A5248">
        <w:t>Our free RentRight app provides information and tools to enable renters and landlords to manage their tenancies. It</w:t>
      </w:r>
      <w:r w:rsidR="00143662">
        <w:t xml:space="preserve"> provides </w:t>
      </w:r>
      <w:r w:rsidRPr="008A5248">
        <w:t>template emails</w:t>
      </w:r>
      <w:r w:rsidR="00143662">
        <w:t xml:space="preserve"> and notices, a rent calculator</w:t>
      </w:r>
      <w:r w:rsidRPr="008A5248">
        <w:t xml:space="preserve"> and</w:t>
      </w:r>
      <w:r w:rsidR="00143662">
        <w:t xml:space="preserve"> tools </w:t>
      </w:r>
      <w:r w:rsidRPr="008A5248">
        <w:t>to generate co</w:t>
      </w:r>
      <w:r w:rsidR="00BA1C6E">
        <w:t>ndition and inspection reports.</w:t>
      </w:r>
    </w:p>
    <w:p w14:paraId="58D1C838" w14:textId="77777777" w:rsidR="00EE29E7" w:rsidRDefault="00BA1C6E" w:rsidP="007A75A8">
      <w:pPr>
        <w:pStyle w:val="BodyText"/>
      </w:pPr>
      <w:r>
        <w:t xml:space="preserve">This year we updated the app to provide more information to landlords and renters, and additional tools such as a ‘moving in’ calculator to </w:t>
      </w:r>
      <w:r w:rsidR="00BF4177">
        <w:t xml:space="preserve">enable </w:t>
      </w:r>
      <w:r>
        <w:t>renters to calculate the cost of moving house.</w:t>
      </w:r>
    </w:p>
    <w:p w14:paraId="58D1C839" w14:textId="77777777" w:rsidR="008A5248" w:rsidRPr="008A5248" w:rsidRDefault="00143662" w:rsidP="007A75A8">
      <w:pPr>
        <w:pStyle w:val="BodyText"/>
      </w:pPr>
      <w:r>
        <w:t xml:space="preserve">The app was installed </w:t>
      </w:r>
      <w:r w:rsidRPr="00143662">
        <w:t>6</w:t>
      </w:r>
      <w:r>
        <w:t>,</w:t>
      </w:r>
      <w:r w:rsidRPr="00143662">
        <w:t>567</w:t>
      </w:r>
      <w:r w:rsidR="00D366EA">
        <w:t xml:space="preserve"> times this year, totalling over 30,000 installs over the past three years.</w:t>
      </w:r>
    </w:p>
    <w:p w14:paraId="58D1C83A" w14:textId="77777777" w:rsidR="008A5248" w:rsidRDefault="008A5248" w:rsidP="007A75A8">
      <w:pPr>
        <w:pStyle w:val="BodyText"/>
      </w:pPr>
      <w:r w:rsidRPr="008A5248">
        <w:t>RentRight won the ‘Most Accessible Mainstream App’ in the Australian Communications Consumer Action Network’s Apps for All Challenge awards in September</w:t>
      </w:r>
      <w:r>
        <w:t xml:space="preserve"> 2015</w:t>
      </w:r>
      <w:r w:rsidRPr="008A5248">
        <w:t>.</w:t>
      </w:r>
    </w:p>
    <w:p w14:paraId="58D1C83B" w14:textId="77777777" w:rsidR="008A5248" w:rsidRDefault="00BF4177" w:rsidP="007A75A8">
      <w:pPr>
        <w:pStyle w:val="BodyText"/>
      </w:pPr>
      <w:r>
        <w:t>I</w:t>
      </w:r>
      <w:r w:rsidR="008A5248">
        <w:t xml:space="preserve">n February </w:t>
      </w:r>
      <w:r>
        <w:t>2016</w:t>
      </w:r>
      <w:r w:rsidR="00EB1889">
        <w:t xml:space="preserve">, </w:t>
      </w:r>
      <w:r w:rsidR="008A5248">
        <w:t xml:space="preserve">RentRight </w:t>
      </w:r>
      <w:r w:rsidR="00BA1C6E">
        <w:t xml:space="preserve">was </w:t>
      </w:r>
      <w:r w:rsidR="00484D0A">
        <w:t>recognised</w:t>
      </w:r>
      <w:r w:rsidR="008A5248">
        <w:t xml:space="preserve"> </w:t>
      </w:r>
      <w:r w:rsidR="009913D8">
        <w:t>at the Institute of Public Administration Australia Victoria’s Leadership in the Public Sector Awards. The a</w:t>
      </w:r>
      <w:r w:rsidR="009913D8" w:rsidRPr="009913D8">
        <w:t xml:space="preserve">ward </w:t>
      </w:r>
      <w:r w:rsidR="00484D0A">
        <w:t>acknowledges</w:t>
      </w:r>
      <w:r w:rsidR="009913D8">
        <w:t xml:space="preserve"> initiatives that deliver</w:t>
      </w:r>
      <w:r w:rsidR="009913D8" w:rsidRPr="009913D8">
        <w:t xml:space="preserve"> genuine public value through best practice communication</w:t>
      </w:r>
      <w:r w:rsidR="009913D8">
        <w:t>.</w:t>
      </w:r>
    </w:p>
    <w:p w14:paraId="58D1C83C" w14:textId="77777777" w:rsidR="00BF4177" w:rsidRDefault="00BF4177" w:rsidP="00040AF8">
      <w:pPr>
        <w:pStyle w:val="Heading4"/>
      </w:pPr>
      <w:r>
        <w:t>Delivering award-winning service through myCAV</w:t>
      </w:r>
    </w:p>
    <w:p w14:paraId="58D1C83D" w14:textId="77777777" w:rsidR="008A5248" w:rsidRDefault="00BA1C6E" w:rsidP="007A75A8">
      <w:pPr>
        <w:pStyle w:val="BodyText"/>
      </w:pPr>
      <w:r>
        <w:t>At the same time we also received a service delivery</w:t>
      </w:r>
      <w:r w:rsidR="009913D8">
        <w:t xml:space="preserve"> award </w:t>
      </w:r>
      <w:r>
        <w:t>for myCAV, which recognises</w:t>
      </w:r>
      <w:r w:rsidR="009913D8" w:rsidRPr="009913D8">
        <w:t xml:space="preserve"> innovation or improvement in the provision of </w:t>
      </w:r>
      <w:r w:rsidR="009913D8">
        <w:t xml:space="preserve">government services to citizens. See page </w:t>
      </w:r>
      <w:r w:rsidR="00B71611">
        <w:fldChar w:fldCharType="begin"/>
      </w:r>
      <w:r w:rsidR="00B71611">
        <w:instrText xml:space="preserve"> PAGEREF _Ref464831868 \h </w:instrText>
      </w:r>
      <w:r w:rsidR="00B71611">
        <w:fldChar w:fldCharType="separate"/>
      </w:r>
      <w:r w:rsidR="00355028">
        <w:rPr>
          <w:noProof/>
        </w:rPr>
        <w:t>3</w:t>
      </w:r>
      <w:r w:rsidR="00B71611">
        <w:fldChar w:fldCharType="end"/>
      </w:r>
      <w:r w:rsidR="00B71611">
        <w:t xml:space="preserve"> </w:t>
      </w:r>
      <w:r>
        <w:t xml:space="preserve">to </w:t>
      </w:r>
      <w:hyperlink w:anchor="_Registration_and_licensing" w:history="1">
        <w:r w:rsidRPr="00B71611">
          <w:rPr>
            <w:rStyle w:val="Hyperlink"/>
          </w:rPr>
          <w:t>read more about myCAV</w:t>
        </w:r>
      </w:hyperlink>
      <w:r>
        <w:t>.</w:t>
      </w:r>
    </w:p>
    <w:p w14:paraId="58D1C83E" w14:textId="77777777" w:rsidR="00CE79C3" w:rsidRDefault="00CE79C3" w:rsidP="00040AF8">
      <w:pPr>
        <w:pStyle w:val="Heading4"/>
        <w:rPr>
          <w:lang w:eastAsia="en-AU"/>
        </w:rPr>
      </w:pPr>
      <w:r>
        <w:rPr>
          <w:lang w:eastAsia="en-AU"/>
        </w:rPr>
        <w:t>Trust funds managed by Consumer Affairs Victoria</w:t>
      </w:r>
    </w:p>
    <w:p w14:paraId="58D1C83F" w14:textId="77777777" w:rsidR="00CE79C3" w:rsidRDefault="00EB1889" w:rsidP="007A75A8">
      <w:pPr>
        <w:pStyle w:val="BodyText"/>
        <w:rPr>
          <w:lang w:eastAsia="en-AU"/>
        </w:rPr>
      </w:pPr>
      <w:r>
        <w:rPr>
          <w:lang w:eastAsia="en-AU"/>
        </w:rPr>
        <w:t xml:space="preserve">We manage </w:t>
      </w:r>
      <w:r w:rsidR="00CE79C3" w:rsidRPr="00524553">
        <w:rPr>
          <w:lang w:eastAsia="en-AU"/>
        </w:rPr>
        <w:t>eight funds established b</w:t>
      </w:r>
      <w:r w:rsidR="00CE79C3">
        <w:rPr>
          <w:lang w:eastAsia="en-AU"/>
        </w:rPr>
        <w:t>y Acts of the Victorian Parliament.</w:t>
      </w:r>
      <w:r w:rsidR="00CE79C3" w:rsidRPr="00646284">
        <w:rPr>
          <w:lang w:eastAsia="en-AU"/>
        </w:rPr>
        <w:t xml:space="preserve"> </w:t>
      </w:r>
      <w:r w:rsidR="00CE79C3">
        <w:rPr>
          <w:lang w:eastAsia="en-AU"/>
        </w:rPr>
        <w:t xml:space="preserve">The funds and their expenditure purpose </w:t>
      </w:r>
      <w:r w:rsidR="00CE79C3" w:rsidRPr="00524553">
        <w:rPr>
          <w:lang w:eastAsia="en-AU"/>
        </w:rPr>
        <w:t>are</w:t>
      </w:r>
      <w:r w:rsidR="00CE79C3">
        <w:rPr>
          <w:lang w:eastAsia="en-AU"/>
        </w:rPr>
        <w:t xml:space="preserve"> outlined in </w:t>
      </w:r>
      <w:r w:rsidR="00CE79C3">
        <w:rPr>
          <w:lang w:eastAsia="en-AU"/>
        </w:rPr>
        <w:fldChar w:fldCharType="begin"/>
      </w:r>
      <w:r w:rsidR="00CE79C3">
        <w:rPr>
          <w:lang w:eastAsia="en-AU"/>
        </w:rPr>
        <w:instrText xml:space="preserve"> REF _Ref456875801 \h </w:instrText>
      </w:r>
      <w:r w:rsidR="00CE79C3">
        <w:rPr>
          <w:lang w:eastAsia="en-AU"/>
        </w:rPr>
      </w:r>
      <w:r w:rsidR="00CE79C3">
        <w:rPr>
          <w:lang w:eastAsia="en-AU"/>
        </w:rPr>
        <w:fldChar w:fldCharType="separate"/>
      </w:r>
      <w:r w:rsidR="00973EC1">
        <w:t xml:space="preserve">Table </w:t>
      </w:r>
      <w:r w:rsidR="00973EC1">
        <w:rPr>
          <w:noProof/>
        </w:rPr>
        <w:t>6</w:t>
      </w:r>
      <w:r w:rsidR="00CE79C3">
        <w:rPr>
          <w:lang w:eastAsia="en-AU"/>
        </w:rPr>
        <w:fldChar w:fldCharType="end"/>
      </w:r>
      <w:r w:rsidR="00CE79C3">
        <w:rPr>
          <w:lang w:eastAsia="en-AU"/>
        </w:rPr>
        <w:t>.</w:t>
      </w:r>
    </w:p>
    <w:p w14:paraId="58D1C840" w14:textId="77777777" w:rsidR="00CE79C3" w:rsidRDefault="00CE79C3" w:rsidP="007A75A8">
      <w:pPr>
        <w:pStyle w:val="BodyText"/>
        <w:rPr>
          <w:lang w:eastAsia="en-AU"/>
        </w:rPr>
      </w:pPr>
      <w:r>
        <w:rPr>
          <w:lang w:eastAsia="en-AU"/>
        </w:rPr>
        <w:t>We have a significant governance framework that determines the investment and administration of these funds. Changes to the framework are approved by the</w:t>
      </w:r>
      <w:r w:rsidRPr="00646284">
        <w:rPr>
          <w:lang w:eastAsia="en-AU"/>
        </w:rPr>
        <w:t xml:space="preserve"> </w:t>
      </w:r>
      <w:r>
        <w:rPr>
          <w:lang w:eastAsia="en-AU"/>
        </w:rPr>
        <w:t xml:space="preserve">Minister for Consumer Affairs, Gaming and Liquor Regulation, </w:t>
      </w:r>
      <w:r w:rsidR="00EB1889">
        <w:rPr>
          <w:lang w:eastAsia="en-AU"/>
        </w:rPr>
        <w:t xml:space="preserve">the </w:t>
      </w:r>
      <w:r>
        <w:rPr>
          <w:lang w:eastAsia="en-AU"/>
        </w:rPr>
        <w:t xml:space="preserve">Minister for Finance, </w:t>
      </w:r>
      <w:r w:rsidR="00EB1889">
        <w:rPr>
          <w:lang w:eastAsia="en-AU"/>
        </w:rPr>
        <w:t xml:space="preserve">the </w:t>
      </w:r>
      <w:r>
        <w:rPr>
          <w:lang w:eastAsia="en-AU"/>
        </w:rPr>
        <w:t>Treasurer and Governor in Council.</w:t>
      </w:r>
    </w:p>
    <w:p w14:paraId="58D1C841" w14:textId="77777777" w:rsidR="00CE79C3" w:rsidRDefault="00CE79C3" w:rsidP="007A75A8">
      <w:pPr>
        <w:pStyle w:val="BodyText"/>
        <w:rPr>
          <w:lang w:eastAsia="en-AU"/>
        </w:rPr>
      </w:pPr>
      <w:r>
        <w:rPr>
          <w:lang w:eastAsia="en-AU"/>
        </w:rPr>
        <w:t xml:space="preserve">This </w:t>
      </w:r>
      <w:r w:rsidR="00431A7C">
        <w:rPr>
          <w:lang w:eastAsia="en-AU"/>
        </w:rPr>
        <w:t xml:space="preserve">framework </w:t>
      </w:r>
      <w:r>
        <w:rPr>
          <w:lang w:eastAsia="en-AU"/>
        </w:rPr>
        <w:t>ensures the sound and prudent investment of the funds, in compliance with all relevant legislation and Victorian Government policy.</w:t>
      </w:r>
    </w:p>
    <w:p w14:paraId="58D1C842" w14:textId="77777777" w:rsidR="00CE79C3" w:rsidRPr="00524553" w:rsidRDefault="00CE79C3" w:rsidP="00021DA6">
      <w:pPr>
        <w:pStyle w:val="Caption"/>
        <w:pageBreakBefore/>
        <w:spacing w:before="0"/>
        <w:rPr>
          <w:lang w:eastAsia="en-AU"/>
        </w:rPr>
      </w:pPr>
      <w:bookmarkStart w:id="74" w:name="_Ref456875801"/>
      <w:bookmarkStart w:id="75" w:name="_Ref456875794"/>
      <w:r>
        <w:lastRenderedPageBreak/>
        <w:t xml:space="preserve">Table </w:t>
      </w:r>
      <w:r>
        <w:fldChar w:fldCharType="begin"/>
      </w:r>
      <w:r>
        <w:instrText xml:space="preserve"> SEQ Table \* ARABIC </w:instrText>
      </w:r>
      <w:r>
        <w:fldChar w:fldCharType="separate"/>
      </w:r>
      <w:r w:rsidR="00973EC1">
        <w:rPr>
          <w:noProof/>
        </w:rPr>
        <w:t>6</w:t>
      </w:r>
      <w:r>
        <w:fldChar w:fldCharType="end"/>
      </w:r>
      <w:bookmarkEnd w:id="74"/>
      <w:r>
        <w:t>: Trust funds administered by C</w:t>
      </w:r>
      <w:bookmarkEnd w:id="75"/>
      <w:r>
        <w:t>onsumer Affairs Victoria</w:t>
      </w:r>
    </w:p>
    <w:tbl>
      <w:tblPr>
        <w:tblW w:w="9072" w:type="dxa"/>
        <w:tblInd w:w="108" w:type="dxa"/>
        <w:tblBorders>
          <w:top w:val="single" w:sz="4" w:space="0" w:color="0072CE"/>
          <w:left w:val="single" w:sz="4" w:space="0" w:color="0072CE"/>
          <w:bottom w:val="single" w:sz="4" w:space="0" w:color="0072CE"/>
          <w:right w:val="single" w:sz="4" w:space="0" w:color="0072CE"/>
          <w:insideH w:val="single" w:sz="4" w:space="0" w:color="0072CE"/>
          <w:insideV w:val="single" w:sz="4" w:space="0" w:color="0072CE"/>
        </w:tblBorders>
        <w:tblLook w:val="04A0" w:firstRow="1" w:lastRow="0" w:firstColumn="1" w:lastColumn="0" w:noHBand="0" w:noVBand="1"/>
      </w:tblPr>
      <w:tblGrid>
        <w:gridCol w:w="2769"/>
        <w:gridCol w:w="6303"/>
      </w:tblGrid>
      <w:tr w:rsidR="00CE79C3" w:rsidRPr="00552098" w14:paraId="58D1C845" w14:textId="77777777" w:rsidTr="00C6201E">
        <w:trPr>
          <w:cantSplit/>
          <w:tblHeader/>
        </w:trPr>
        <w:tc>
          <w:tcPr>
            <w:tcW w:w="2740" w:type="dxa"/>
            <w:tcBorders>
              <w:right w:val="single" w:sz="4" w:space="0" w:color="FFFFFF"/>
            </w:tcBorders>
            <w:shd w:val="clear" w:color="auto" w:fill="0072CE"/>
            <w:vAlign w:val="bottom"/>
          </w:tcPr>
          <w:p w14:paraId="58D1C843" w14:textId="77777777" w:rsidR="00CE79C3" w:rsidRPr="00552098" w:rsidRDefault="00CE79C3" w:rsidP="00021DA6">
            <w:pPr>
              <w:pStyle w:val="TableColHead"/>
              <w:rPr>
                <w:lang w:eastAsia="en-AU"/>
              </w:rPr>
            </w:pPr>
            <w:r w:rsidRPr="00552098">
              <w:rPr>
                <w:lang w:eastAsia="en-AU"/>
              </w:rPr>
              <w:t>Trust fund</w:t>
            </w:r>
          </w:p>
        </w:tc>
        <w:tc>
          <w:tcPr>
            <w:tcW w:w="6237" w:type="dxa"/>
            <w:tcBorders>
              <w:left w:val="single" w:sz="4" w:space="0" w:color="FFFFFF"/>
            </w:tcBorders>
            <w:shd w:val="clear" w:color="auto" w:fill="0072CE"/>
            <w:vAlign w:val="bottom"/>
          </w:tcPr>
          <w:p w14:paraId="58D1C844" w14:textId="77777777" w:rsidR="00CE79C3" w:rsidRPr="00552098" w:rsidRDefault="00CE79C3" w:rsidP="00021DA6">
            <w:pPr>
              <w:pStyle w:val="TableColHead"/>
              <w:rPr>
                <w:lang w:eastAsia="en-AU"/>
              </w:rPr>
            </w:pPr>
            <w:r w:rsidRPr="00552098">
              <w:rPr>
                <w:lang w:eastAsia="en-AU"/>
              </w:rPr>
              <w:t>Expenditure purpose</w:t>
            </w:r>
          </w:p>
        </w:tc>
      </w:tr>
      <w:tr w:rsidR="00CE79C3" w:rsidRPr="002F063F" w14:paraId="58D1C848" w14:textId="77777777" w:rsidTr="00C6201E">
        <w:trPr>
          <w:cantSplit/>
        </w:trPr>
        <w:tc>
          <w:tcPr>
            <w:tcW w:w="2740" w:type="dxa"/>
            <w:shd w:val="clear" w:color="auto" w:fill="E5F6FC"/>
          </w:tcPr>
          <w:p w14:paraId="58D1C846" w14:textId="77777777" w:rsidR="00CE79C3" w:rsidRPr="002F063F" w:rsidRDefault="00CE79C3" w:rsidP="006832C1">
            <w:pPr>
              <w:pStyle w:val="TableText"/>
              <w:rPr>
                <w:lang w:eastAsia="en-AU"/>
              </w:rPr>
            </w:pPr>
            <w:r w:rsidRPr="002F063F">
              <w:rPr>
                <w:lang w:eastAsia="en-AU"/>
              </w:rPr>
              <w:t xml:space="preserve">Domestic Builders Fund </w:t>
            </w:r>
          </w:p>
        </w:tc>
        <w:tc>
          <w:tcPr>
            <w:tcW w:w="6237" w:type="dxa"/>
            <w:shd w:val="clear" w:color="auto" w:fill="E5F6FC"/>
          </w:tcPr>
          <w:p w14:paraId="58D1C847" w14:textId="77777777" w:rsidR="00CE79C3" w:rsidRPr="002F063F" w:rsidRDefault="00CE79C3" w:rsidP="00021DA6">
            <w:pPr>
              <w:pStyle w:val="TableText"/>
              <w:rPr>
                <w:lang w:eastAsia="en-AU"/>
              </w:rPr>
            </w:pPr>
            <w:r>
              <w:rPr>
                <w:lang w:eastAsia="en-AU"/>
              </w:rPr>
              <w:t>A</w:t>
            </w:r>
            <w:r w:rsidRPr="002F063F">
              <w:rPr>
                <w:lang w:eastAsia="en-AU"/>
              </w:rPr>
              <w:t xml:space="preserve">dministration of the </w:t>
            </w:r>
            <w:r w:rsidRPr="00333E76">
              <w:rPr>
                <w:i/>
                <w:lang w:eastAsia="en-AU"/>
              </w:rPr>
              <w:t>Domestic Building Contracts Act 1995</w:t>
            </w:r>
            <w:r w:rsidRPr="002F063F">
              <w:rPr>
                <w:lang w:eastAsia="en-AU"/>
              </w:rPr>
              <w:t>, costs relating to the</w:t>
            </w:r>
            <w:r>
              <w:rPr>
                <w:lang w:eastAsia="en-AU"/>
              </w:rPr>
              <w:t xml:space="preserve"> VCAT Domestic Building List.</w:t>
            </w:r>
          </w:p>
        </w:tc>
      </w:tr>
      <w:tr w:rsidR="00CE79C3" w:rsidRPr="002F063F" w14:paraId="58D1C84B" w14:textId="77777777" w:rsidTr="00C6201E">
        <w:trPr>
          <w:cantSplit/>
        </w:trPr>
        <w:tc>
          <w:tcPr>
            <w:tcW w:w="2740" w:type="dxa"/>
            <w:shd w:val="clear" w:color="auto" w:fill="E5F6FC"/>
          </w:tcPr>
          <w:p w14:paraId="58D1C849" w14:textId="77777777" w:rsidR="00CE79C3" w:rsidRPr="002F063F" w:rsidRDefault="00CE79C3" w:rsidP="006832C1">
            <w:pPr>
              <w:pStyle w:val="TableText"/>
              <w:rPr>
                <w:lang w:eastAsia="en-AU"/>
              </w:rPr>
            </w:pPr>
            <w:r w:rsidRPr="002F063F">
              <w:rPr>
                <w:lang w:eastAsia="en-AU"/>
              </w:rPr>
              <w:t xml:space="preserve">Motor Car Traders Guarantee Fund </w:t>
            </w:r>
          </w:p>
        </w:tc>
        <w:tc>
          <w:tcPr>
            <w:tcW w:w="6237" w:type="dxa"/>
            <w:shd w:val="clear" w:color="auto" w:fill="E5F6FC"/>
          </w:tcPr>
          <w:p w14:paraId="58D1C84A" w14:textId="77777777" w:rsidR="00CE79C3" w:rsidRPr="002F063F" w:rsidRDefault="00CE79C3" w:rsidP="00021DA6">
            <w:pPr>
              <w:pStyle w:val="TableText"/>
              <w:rPr>
                <w:lang w:eastAsia="en-AU"/>
              </w:rPr>
            </w:pPr>
            <w:r>
              <w:rPr>
                <w:lang w:eastAsia="en-AU"/>
              </w:rPr>
              <w:t>A</w:t>
            </w:r>
            <w:r w:rsidRPr="002F063F">
              <w:rPr>
                <w:lang w:eastAsia="en-AU"/>
              </w:rPr>
              <w:t xml:space="preserve">dministration of the </w:t>
            </w:r>
            <w:r w:rsidRPr="00333E76">
              <w:rPr>
                <w:i/>
                <w:lang w:eastAsia="en-AU"/>
              </w:rPr>
              <w:t>Motor Car Traders Act 1986</w:t>
            </w:r>
            <w:r>
              <w:rPr>
                <w:lang w:eastAsia="en-AU"/>
              </w:rPr>
              <w:t>, guarantee claims.</w:t>
            </w:r>
          </w:p>
        </w:tc>
      </w:tr>
      <w:tr w:rsidR="00CE79C3" w:rsidRPr="002F063F" w14:paraId="58D1C84E" w14:textId="77777777" w:rsidTr="00C6201E">
        <w:trPr>
          <w:cantSplit/>
        </w:trPr>
        <w:tc>
          <w:tcPr>
            <w:tcW w:w="2740" w:type="dxa"/>
            <w:shd w:val="clear" w:color="auto" w:fill="E5F6FC"/>
          </w:tcPr>
          <w:p w14:paraId="58D1C84C" w14:textId="77777777" w:rsidR="00CE79C3" w:rsidRPr="002F063F" w:rsidRDefault="00CE79C3" w:rsidP="006832C1">
            <w:pPr>
              <w:pStyle w:val="TableText"/>
              <w:rPr>
                <w:lang w:eastAsia="en-AU"/>
              </w:rPr>
            </w:pPr>
            <w:r w:rsidRPr="002F063F">
              <w:rPr>
                <w:lang w:eastAsia="en-AU"/>
              </w:rPr>
              <w:t xml:space="preserve">Residential Bonds Investment Income Account </w:t>
            </w:r>
          </w:p>
        </w:tc>
        <w:tc>
          <w:tcPr>
            <w:tcW w:w="6237" w:type="dxa"/>
            <w:shd w:val="clear" w:color="auto" w:fill="E5F6FC"/>
          </w:tcPr>
          <w:p w14:paraId="58D1C84D" w14:textId="77777777" w:rsidR="00CE79C3" w:rsidRPr="002F063F" w:rsidRDefault="00CE79C3" w:rsidP="00021DA6">
            <w:pPr>
              <w:pStyle w:val="TableText"/>
              <w:rPr>
                <w:lang w:eastAsia="en-AU"/>
              </w:rPr>
            </w:pPr>
            <w:r>
              <w:rPr>
                <w:lang w:eastAsia="en-AU"/>
              </w:rPr>
              <w:t>A</w:t>
            </w:r>
            <w:r w:rsidRPr="002F063F">
              <w:rPr>
                <w:lang w:eastAsia="en-AU"/>
              </w:rPr>
              <w:t>dministration of the Resid</w:t>
            </w:r>
            <w:r>
              <w:rPr>
                <w:lang w:eastAsia="en-AU"/>
              </w:rPr>
              <w:t>ential Tenancies Bond Authority.</w:t>
            </w:r>
          </w:p>
        </w:tc>
      </w:tr>
      <w:tr w:rsidR="00CE79C3" w:rsidRPr="002F063F" w14:paraId="58D1C851" w14:textId="77777777" w:rsidTr="00C6201E">
        <w:trPr>
          <w:cantSplit/>
        </w:trPr>
        <w:tc>
          <w:tcPr>
            <w:tcW w:w="2740" w:type="dxa"/>
            <w:shd w:val="clear" w:color="auto" w:fill="E5F6FC"/>
          </w:tcPr>
          <w:p w14:paraId="58D1C84F" w14:textId="77777777" w:rsidR="00CE79C3" w:rsidRPr="002F063F" w:rsidRDefault="00CE79C3" w:rsidP="006832C1">
            <w:pPr>
              <w:pStyle w:val="TableText"/>
              <w:rPr>
                <w:lang w:eastAsia="en-AU"/>
              </w:rPr>
            </w:pPr>
            <w:r w:rsidRPr="002F063F">
              <w:rPr>
                <w:lang w:eastAsia="en-AU"/>
              </w:rPr>
              <w:t xml:space="preserve">Residential Bonds Account </w:t>
            </w:r>
          </w:p>
        </w:tc>
        <w:tc>
          <w:tcPr>
            <w:tcW w:w="6237" w:type="dxa"/>
            <w:shd w:val="clear" w:color="auto" w:fill="E5F6FC"/>
          </w:tcPr>
          <w:p w14:paraId="58D1C850" w14:textId="77777777" w:rsidR="00CE79C3" w:rsidRPr="002F063F" w:rsidRDefault="00CE79C3" w:rsidP="00021DA6">
            <w:pPr>
              <w:pStyle w:val="TableText"/>
              <w:rPr>
                <w:lang w:eastAsia="en-AU"/>
              </w:rPr>
            </w:pPr>
            <w:r>
              <w:rPr>
                <w:lang w:eastAsia="en-AU"/>
              </w:rPr>
              <w:t>B</w:t>
            </w:r>
            <w:r w:rsidRPr="002F063F">
              <w:rPr>
                <w:lang w:eastAsia="en-AU"/>
              </w:rPr>
              <w:t>onds he</w:t>
            </w:r>
            <w:r>
              <w:rPr>
                <w:lang w:eastAsia="en-AU"/>
              </w:rPr>
              <w:t>ld on trust, repayment of bonds.</w:t>
            </w:r>
          </w:p>
        </w:tc>
      </w:tr>
      <w:tr w:rsidR="00CE79C3" w:rsidRPr="002F063F" w14:paraId="58D1C854" w14:textId="77777777" w:rsidTr="00C6201E">
        <w:trPr>
          <w:cantSplit/>
        </w:trPr>
        <w:tc>
          <w:tcPr>
            <w:tcW w:w="2740" w:type="dxa"/>
            <w:shd w:val="clear" w:color="auto" w:fill="E5F6FC"/>
          </w:tcPr>
          <w:p w14:paraId="58D1C852" w14:textId="77777777" w:rsidR="00CE79C3" w:rsidRPr="002F063F" w:rsidRDefault="00CE79C3" w:rsidP="006832C1">
            <w:pPr>
              <w:pStyle w:val="TableText"/>
              <w:rPr>
                <w:lang w:eastAsia="en-AU"/>
              </w:rPr>
            </w:pPr>
            <w:r w:rsidRPr="002F063F">
              <w:rPr>
                <w:lang w:eastAsia="en-AU"/>
              </w:rPr>
              <w:t xml:space="preserve">Residential Tenancies Fund </w:t>
            </w:r>
          </w:p>
        </w:tc>
        <w:tc>
          <w:tcPr>
            <w:tcW w:w="6237" w:type="dxa"/>
            <w:shd w:val="clear" w:color="auto" w:fill="E5F6FC"/>
          </w:tcPr>
          <w:p w14:paraId="58D1C853" w14:textId="77777777" w:rsidR="00CE79C3" w:rsidRPr="002F063F" w:rsidRDefault="00CE79C3" w:rsidP="00021DA6">
            <w:pPr>
              <w:pStyle w:val="TableText"/>
              <w:rPr>
                <w:lang w:eastAsia="en-AU"/>
              </w:rPr>
            </w:pPr>
            <w:r>
              <w:rPr>
                <w:lang w:eastAsia="en-AU"/>
              </w:rPr>
              <w:t>A</w:t>
            </w:r>
            <w:r w:rsidRPr="002F063F">
              <w:rPr>
                <w:lang w:eastAsia="en-AU"/>
              </w:rPr>
              <w:t xml:space="preserve">dministration of the </w:t>
            </w:r>
            <w:r w:rsidRPr="00333E76">
              <w:rPr>
                <w:i/>
                <w:lang w:eastAsia="en-AU"/>
              </w:rPr>
              <w:t>Residential Tenancies Act 1997</w:t>
            </w:r>
            <w:r w:rsidRPr="002F063F">
              <w:rPr>
                <w:lang w:eastAsia="en-AU"/>
              </w:rPr>
              <w:t xml:space="preserve">, costs relating to the </w:t>
            </w:r>
            <w:r>
              <w:rPr>
                <w:lang w:eastAsia="en-AU"/>
              </w:rPr>
              <w:t xml:space="preserve">VCAT </w:t>
            </w:r>
            <w:r w:rsidRPr="002F063F">
              <w:rPr>
                <w:lang w:eastAsia="en-AU"/>
              </w:rPr>
              <w:t>Res</w:t>
            </w:r>
            <w:r>
              <w:rPr>
                <w:lang w:eastAsia="en-AU"/>
              </w:rPr>
              <w:t>idential Tenancies List.</w:t>
            </w:r>
          </w:p>
        </w:tc>
      </w:tr>
      <w:tr w:rsidR="00CE79C3" w:rsidRPr="002F063F" w14:paraId="58D1C857" w14:textId="77777777" w:rsidTr="00C6201E">
        <w:trPr>
          <w:cantSplit/>
        </w:trPr>
        <w:tc>
          <w:tcPr>
            <w:tcW w:w="2740" w:type="dxa"/>
            <w:shd w:val="clear" w:color="auto" w:fill="E5F6FC"/>
          </w:tcPr>
          <w:p w14:paraId="58D1C855" w14:textId="77777777" w:rsidR="00CE79C3" w:rsidRPr="002F063F" w:rsidRDefault="00CE79C3" w:rsidP="006832C1">
            <w:pPr>
              <w:pStyle w:val="TableText"/>
              <w:rPr>
                <w:lang w:eastAsia="en-AU"/>
              </w:rPr>
            </w:pPr>
            <w:r w:rsidRPr="002F063F">
              <w:rPr>
                <w:lang w:eastAsia="en-AU"/>
              </w:rPr>
              <w:t xml:space="preserve">Sex Work Regulation Fund </w:t>
            </w:r>
          </w:p>
        </w:tc>
        <w:tc>
          <w:tcPr>
            <w:tcW w:w="6237" w:type="dxa"/>
            <w:shd w:val="clear" w:color="auto" w:fill="E5F6FC"/>
          </w:tcPr>
          <w:p w14:paraId="58D1C856" w14:textId="77777777" w:rsidR="00CE79C3" w:rsidRPr="002F063F" w:rsidRDefault="00CE79C3" w:rsidP="00021DA6">
            <w:pPr>
              <w:pStyle w:val="TableText"/>
              <w:rPr>
                <w:lang w:eastAsia="en-AU"/>
              </w:rPr>
            </w:pPr>
            <w:r>
              <w:rPr>
                <w:lang w:eastAsia="en-AU"/>
              </w:rPr>
              <w:t>A</w:t>
            </w:r>
            <w:r w:rsidRPr="002F063F">
              <w:rPr>
                <w:lang w:eastAsia="en-AU"/>
              </w:rPr>
              <w:t xml:space="preserve">dministration of the </w:t>
            </w:r>
            <w:r w:rsidRPr="00333E76">
              <w:rPr>
                <w:i/>
                <w:lang w:eastAsia="en-AU"/>
              </w:rPr>
              <w:t>Sex Work Act 1994</w:t>
            </w:r>
            <w:r>
              <w:rPr>
                <w:lang w:eastAsia="en-AU"/>
              </w:rPr>
              <w:t>.</w:t>
            </w:r>
          </w:p>
        </w:tc>
      </w:tr>
      <w:tr w:rsidR="00CE79C3" w:rsidRPr="002F063F" w14:paraId="58D1C85A" w14:textId="77777777" w:rsidTr="00C6201E">
        <w:trPr>
          <w:cantSplit/>
        </w:trPr>
        <w:tc>
          <w:tcPr>
            <w:tcW w:w="2740" w:type="dxa"/>
            <w:shd w:val="clear" w:color="auto" w:fill="E5F6FC"/>
          </w:tcPr>
          <w:p w14:paraId="58D1C858" w14:textId="77777777" w:rsidR="00CE79C3" w:rsidRPr="002F063F" w:rsidRDefault="00CE79C3" w:rsidP="006832C1">
            <w:pPr>
              <w:pStyle w:val="TableText"/>
              <w:rPr>
                <w:lang w:eastAsia="en-AU"/>
              </w:rPr>
            </w:pPr>
            <w:r w:rsidRPr="002F063F">
              <w:rPr>
                <w:lang w:eastAsia="en-AU"/>
              </w:rPr>
              <w:t xml:space="preserve">Victorian Consumer Law Fund </w:t>
            </w:r>
          </w:p>
        </w:tc>
        <w:tc>
          <w:tcPr>
            <w:tcW w:w="6237" w:type="dxa"/>
            <w:shd w:val="clear" w:color="auto" w:fill="E5F6FC"/>
          </w:tcPr>
          <w:p w14:paraId="58D1C859" w14:textId="77777777" w:rsidR="00CE79C3" w:rsidRPr="002F063F" w:rsidRDefault="00CE79C3" w:rsidP="00021DA6">
            <w:pPr>
              <w:pStyle w:val="TableText"/>
              <w:rPr>
                <w:lang w:eastAsia="en-AU"/>
              </w:rPr>
            </w:pPr>
            <w:r>
              <w:rPr>
                <w:lang w:eastAsia="en-AU"/>
              </w:rPr>
              <w:t>A</w:t>
            </w:r>
            <w:r w:rsidRPr="002F063F">
              <w:rPr>
                <w:lang w:eastAsia="en-AU"/>
              </w:rPr>
              <w:t xml:space="preserve">dministration of the </w:t>
            </w:r>
            <w:r w:rsidRPr="00333E76">
              <w:rPr>
                <w:i/>
                <w:lang w:eastAsia="en-AU"/>
              </w:rPr>
              <w:t>Australian Consumer Law and Fair Trading Act 2012</w:t>
            </w:r>
            <w:r w:rsidRPr="002F063F">
              <w:rPr>
                <w:lang w:eastAsia="en-AU"/>
              </w:rPr>
              <w:t xml:space="preserve"> Part 7, Division 2, s.102A to E, orders for payment to non-party co</w:t>
            </w:r>
            <w:r>
              <w:rPr>
                <w:lang w:eastAsia="en-AU"/>
              </w:rPr>
              <w:t>nsumers, special purpose grants.</w:t>
            </w:r>
          </w:p>
        </w:tc>
      </w:tr>
      <w:tr w:rsidR="00CE79C3" w:rsidRPr="002F063F" w14:paraId="58D1C85D" w14:textId="77777777" w:rsidTr="00C6201E">
        <w:trPr>
          <w:cantSplit/>
        </w:trPr>
        <w:tc>
          <w:tcPr>
            <w:tcW w:w="2740" w:type="dxa"/>
            <w:shd w:val="clear" w:color="auto" w:fill="E5F6FC"/>
          </w:tcPr>
          <w:p w14:paraId="58D1C85B" w14:textId="77777777" w:rsidR="00CE79C3" w:rsidRPr="002F063F" w:rsidRDefault="00CE79C3" w:rsidP="006832C1">
            <w:pPr>
              <w:pStyle w:val="TableText"/>
              <w:rPr>
                <w:lang w:eastAsia="en-AU"/>
              </w:rPr>
            </w:pPr>
            <w:r w:rsidRPr="002F063F">
              <w:rPr>
                <w:lang w:eastAsia="en-AU"/>
              </w:rPr>
              <w:t xml:space="preserve">Victorian Property Fund </w:t>
            </w:r>
          </w:p>
        </w:tc>
        <w:tc>
          <w:tcPr>
            <w:tcW w:w="6237" w:type="dxa"/>
            <w:shd w:val="clear" w:color="auto" w:fill="E5F6FC"/>
          </w:tcPr>
          <w:p w14:paraId="58D1C85C" w14:textId="77777777" w:rsidR="00CE79C3" w:rsidRPr="002F063F" w:rsidRDefault="00CE79C3" w:rsidP="00021DA6">
            <w:pPr>
              <w:pStyle w:val="TableText"/>
              <w:rPr>
                <w:lang w:eastAsia="en-AU"/>
              </w:rPr>
            </w:pPr>
            <w:r w:rsidRPr="002F063F">
              <w:rPr>
                <w:lang w:eastAsia="en-AU"/>
              </w:rPr>
              <w:t xml:space="preserve">Administration of the </w:t>
            </w:r>
            <w:r w:rsidRPr="00333E76">
              <w:rPr>
                <w:i/>
                <w:lang w:eastAsia="en-AU"/>
              </w:rPr>
              <w:t>Estate Agents Act 1980</w:t>
            </w:r>
            <w:r w:rsidRPr="002F063F">
              <w:rPr>
                <w:lang w:eastAsia="en-AU"/>
              </w:rPr>
              <w:t xml:space="preserve"> and other real estate related legislation as permitted by s.75 of the Act, grants relating to real estate as permitted by s.76(3) of the Act, operation of the Estate Agents Council, guarantee claims, costs relating to the </w:t>
            </w:r>
            <w:r>
              <w:rPr>
                <w:lang w:eastAsia="en-AU"/>
              </w:rPr>
              <w:t xml:space="preserve">VCAT </w:t>
            </w:r>
            <w:r w:rsidRPr="002F063F">
              <w:rPr>
                <w:lang w:eastAsia="en-AU"/>
              </w:rPr>
              <w:t>O</w:t>
            </w:r>
            <w:r>
              <w:rPr>
                <w:lang w:eastAsia="en-AU"/>
              </w:rPr>
              <w:t>wners Corporation List.</w:t>
            </w:r>
          </w:p>
        </w:tc>
      </w:tr>
    </w:tbl>
    <w:p w14:paraId="58D1C85E" w14:textId="77777777" w:rsidR="00E21774" w:rsidRDefault="00E21774" w:rsidP="00040AF8">
      <w:pPr>
        <w:pStyle w:val="Heading4"/>
        <w:rPr>
          <w:lang w:eastAsia="en-AU"/>
        </w:rPr>
      </w:pPr>
      <w:r>
        <w:rPr>
          <w:lang w:eastAsia="en-AU"/>
        </w:rPr>
        <w:t>Grants from the Victorian Property Fund in 2015-16</w:t>
      </w:r>
    </w:p>
    <w:p w14:paraId="58D1C85F" w14:textId="77777777" w:rsidR="00EE29E7" w:rsidRDefault="00E21774" w:rsidP="007A75A8">
      <w:pPr>
        <w:pStyle w:val="BodyText"/>
        <w:rPr>
          <w:lang w:eastAsia="en-AU"/>
        </w:rPr>
      </w:pPr>
      <w:r w:rsidRPr="00524553">
        <w:rPr>
          <w:lang w:eastAsia="en-AU"/>
        </w:rPr>
        <w:t xml:space="preserve">The </w:t>
      </w:r>
      <w:r w:rsidRPr="00F04806">
        <w:rPr>
          <w:i/>
          <w:lang w:eastAsia="en-AU"/>
        </w:rPr>
        <w:t>Estate Agents Act 1980</w:t>
      </w:r>
      <w:r w:rsidRPr="00524553">
        <w:rPr>
          <w:lang w:eastAsia="en-AU"/>
        </w:rPr>
        <w:t xml:space="preserve"> allows the Minister for Consumer Affairs to make grants from the Victorian Property Fund for the purposes specified in section 76(3) of the Act.</w:t>
      </w:r>
    </w:p>
    <w:p w14:paraId="58D1C860" w14:textId="77777777" w:rsidR="00E21774" w:rsidRPr="00524553" w:rsidRDefault="00E21774" w:rsidP="007A75A8">
      <w:pPr>
        <w:pStyle w:val="BodyText"/>
        <w:rPr>
          <w:lang w:eastAsia="en-AU"/>
        </w:rPr>
      </w:pPr>
      <w:r w:rsidRPr="00524553">
        <w:rPr>
          <w:lang w:eastAsia="en-AU"/>
        </w:rPr>
        <w:t>The minister makes her decision on grants after consultation with the Estate Agents Council, Consumer Affairs Victoria and any industry associations, government departments and other organisations as appropriate.</w:t>
      </w:r>
    </w:p>
    <w:p w14:paraId="58D1C861" w14:textId="77777777" w:rsidR="00E21774" w:rsidRDefault="00E21774" w:rsidP="007A75A8">
      <w:pPr>
        <w:pStyle w:val="BodyText"/>
        <w:rPr>
          <w:lang w:eastAsia="en-AU"/>
        </w:rPr>
      </w:pPr>
      <w:r w:rsidRPr="00524553">
        <w:rPr>
          <w:lang w:eastAsia="en-AU"/>
        </w:rPr>
        <w:t xml:space="preserve">In 2015-16, the </w:t>
      </w:r>
      <w:r>
        <w:rPr>
          <w:lang w:eastAsia="en-AU"/>
        </w:rPr>
        <w:t>minister</w:t>
      </w:r>
      <w:r w:rsidRPr="00524553">
        <w:rPr>
          <w:lang w:eastAsia="en-AU"/>
        </w:rPr>
        <w:t xml:space="preserve"> approved </w:t>
      </w:r>
      <w:r>
        <w:t xml:space="preserve">a number of grants from the fund, totalling over $15 million. These are </w:t>
      </w:r>
      <w:r w:rsidRPr="00524553">
        <w:rPr>
          <w:lang w:eastAsia="en-AU"/>
        </w:rPr>
        <w:t>outlined in</w:t>
      </w:r>
      <w:r w:rsidR="0058055D">
        <w:rPr>
          <w:lang w:eastAsia="en-AU"/>
        </w:rPr>
        <w:t xml:space="preserve"> T</w:t>
      </w:r>
      <w:r w:rsidR="00916163">
        <w:rPr>
          <w:lang w:eastAsia="en-AU"/>
        </w:rPr>
        <w:t>able 7</w:t>
      </w:r>
      <w:r w:rsidRPr="00524553">
        <w:rPr>
          <w:lang w:eastAsia="en-AU"/>
        </w:rPr>
        <w:t>.</w:t>
      </w:r>
    </w:p>
    <w:p w14:paraId="58D1C862" w14:textId="77777777" w:rsidR="00E21774" w:rsidRPr="00524553" w:rsidRDefault="00E21774" w:rsidP="001E5B35">
      <w:pPr>
        <w:pStyle w:val="Caption"/>
        <w:rPr>
          <w:lang w:eastAsia="en-AU"/>
        </w:rPr>
      </w:pPr>
      <w:r>
        <w:t xml:space="preserve">Table </w:t>
      </w:r>
      <w:r>
        <w:fldChar w:fldCharType="begin"/>
      </w:r>
      <w:r>
        <w:instrText xml:space="preserve"> SEQ Table \* ARABIC </w:instrText>
      </w:r>
      <w:r>
        <w:fldChar w:fldCharType="separate"/>
      </w:r>
      <w:r w:rsidR="00973EC1">
        <w:rPr>
          <w:noProof/>
        </w:rPr>
        <w:t>7</w:t>
      </w:r>
      <w:r>
        <w:fldChar w:fldCharType="end"/>
      </w:r>
      <w:r>
        <w:t>: Grants made from the Victorian Property Fund in 2015-16</w:t>
      </w:r>
    </w:p>
    <w:tbl>
      <w:tblPr>
        <w:tblW w:w="9072" w:type="dxa"/>
        <w:tblInd w:w="108" w:type="dxa"/>
        <w:tblBorders>
          <w:top w:val="single" w:sz="4" w:space="0" w:color="0072CE"/>
          <w:left w:val="single" w:sz="4" w:space="0" w:color="0072CE"/>
          <w:bottom w:val="single" w:sz="4" w:space="0" w:color="0072CE"/>
          <w:right w:val="single" w:sz="4" w:space="0" w:color="0072CE"/>
          <w:insideH w:val="single" w:sz="4" w:space="0" w:color="0072CE"/>
          <w:insideV w:val="single" w:sz="4" w:space="0" w:color="0072CE"/>
        </w:tblBorders>
        <w:tblLook w:val="04A0" w:firstRow="1" w:lastRow="0" w:firstColumn="1" w:lastColumn="0" w:noHBand="0" w:noVBand="1"/>
      </w:tblPr>
      <w:tblGrid>
        <w:gridCol w:w="3011"/>
        <w:gridCol w:w="4384"/>
        <w:gridCol w:w="1677"/>
      </w:tblGrid>
      <w:tr w:rsidR="00E21774" w:rsidRPr="00524553" w14:paraId="58D1C866" w14:textId="77777777" w:rsidTr="00C6201E">
        <w:trPr>
          <w:cantSplit/>
          <w:tblHeader/>
        </w:trPr>
        <w:tc>
          <w:tcPr>
            <w:tcW w:w="2961" w:type="dxa"/>
            <w:tcBorders>
              <w:right w:val="single" w:sz="4" w:space="0" w:color="FFFFFF"/>
            </w:tcBorders>
            <w:shd w:val="clear" w:color="auto" w:fill="0072CE"/>
            <w:vAlign w:val="bottom"/>
          </w:tcPr>
          <w:p w14:paraId="58D1C863" w14:textId="77777777" w:rsidR="00E21774" w:rsidRPr="00524553" w:rsidRDefault="00E21774" w:rsidP="006832C1">
            <w:pPr>
              <w:pStyle w:val="TableColHead"/>
              <w:rPr>
                <w:lang w:eastAsia="en-AU"/>
              </w:rPr>
            </w:pPr>
            <w:r w:rsidRPr="00524553">
              <w:rPr>
                <w:lang w:eastAsia="en-AU"/>
              </w:rPr>
              <w:t>Recipient</w:t>
            </w:r>
          </w:p>
        </w:tc>
        <w:tc>
          <w:tcPr>
            <w:tcW w:w="4311" w:type="dxa"/>
            <w:tcBorders>
              <w:left w:val="single" w:sz="4" w:space="0" w:color="FFFFFF"/>
              <w:right w:val="single" w:sz="4" w:space="0" w:color="FFFFFF"/>
            </w:tcBorders>
            <w:shd w:val="clear" w:color="auto" w:fill="0072CE"/>
            <w:vAlign w:val="bottom"/>
          </w:tcPr>
          <w:p w14:paraId="58D1C864" w14:textId="77777777" w:rsidR="00E21774" w:rsidRPr="00524553" w:rsidRDefault="00E21774" w:rsidP="006832C1">
            <w:pPr>
              <w:pStyle w:val="TableColHead"/>
              <w:rPr>
                <w:lang w:eastAsia="en-AU"/>
              </w:rPr>
            </w:pPr>
            <w:r w:rsidRPr="00524553">
              <w:rPr>
                <w:lang w:eastAsia="en-AU"/>
              </w:rPr>
              <w:t>Description of funded program</w:t>
            </w:r>
          </w:p>
        </w:tc>
        <w:tc>
          <w:tcPr>
            <w:tcW w:w="1649" w:type="dxa"/>
            <w:tcBorders>
              <w:left w:val="single" w:sz="4" w:space="0" w:color="FFFFFF"/>
            </w:tcBorders>
            <w:shd w:val="clear" w:color="auto" w:fill="0072CE"/>
            <w:vAlign w:val="bottom"/>
          </w:tcPr>
          <w:p w14:paraId="58D1C865" w14:textId="77777777" w:rsidR="00E21774" w:rsidRPr="00524553" w:rsidRDefault="00E21774" w:rsidP="006832C1">
            <w:pPr>
              <w:pStyle w:val="TableColHead"/>
              <w:rPr>
                <w:lang w:eastAsia="en-AU"/>
              </w:rPr>
            </w:pPr>
            <w:r w:rsidRPr="00524553">
              <w:rPr>
                <w:lang w:eastAsia="en-AU"/>
              </w:rPr>
              <w:t>Value (ex GST)</w:t>
            </w:r>
          </w:p>
        </w:tc>
      </w:tr>
      <w:tr w:rsidR="00E21774" w:rsidRPr="00524553" w14:paraId="58D1C86A" w14:textId="77777777" w:rsidTr="00C6201E">
        <w:trPr>
          <w:cantSplit/>
        </w:trPr>
        <w:tc>
          <w:tcPr>
            <w:tcW w:w="2961" w:type="dxa"/>
            <w:shd w:val="clear" w:color="auto" w:fill="E5F6FC"/>
          </w:tcPr>
          <w:p w14:paraId="58D1C867" w14:textId="77777777" w:rsidR="00E21774" w:rsidRPr="00524553" w:rsidRDefault="00E21774" w:rsidP="006832C1">
            <w:pPr>
              <w:pStyle w:val="TableText"/>
              <w:rPr>
                <w:lang w:eastAsia="en-AU"/>
              </w:rPr>
            </w:pPr>
            <w:r w:rsidRPr="00524553">
              <w:rPr>
                <w:lang w:eastAsia="en-AU"/>
              </w:rPr>
              <w:t>Community Housing (Vic) Ltd</w:t>
            </w:r>
          </w:p>
        </w:tc>
        <w:tc>
          <w:tcPr>
            <w:tcW w:w="4311" w:type="dxa"/>
            <w:shd w:val="clear" w:color="auto" w:fill="E5F6FC"/>
          </w:tcPr>
          <w:p w14:paraId="58D1C868" w14:textId="77777777" w:rsidR="00E21774" w:rsidRPr="00524553" w:rsidRDefault="00E21774" w:rsidP="006832C1">
            <w:pPr>
              <w:pStyle w:val="TableText"/>
              <w:rPr>
                <w:lang w:eastAsia="en-AU"/>
              </w:rPr>
            </w:pPr>
            <w:r w:rsidRPr="00524553">
              <w:rPr>
                <w:lang w:eastAsia="en-AU"/>
              </w:rPr>
              <w:t>Anderson Street Lilydale Affordable Housing</w:t>
            </w:r>
          </w:p>
        </w:tc>
        <w:tc>
          <w:tcPr>
            <w:tcW w:w="1649" w:type="dxa"/>
            <w:shd w:val="clear" w:color="auto" w:fill="E5F6FC"/>
          </w:tcPr>
          <w:p w14:paraId="58D1C869" w14:textId="77777777" w:rsidR="00E21774" w:rsidRPr="00524553" w:rsidRDefault="00E21774" w:rsidP="006832C1">
            <w:pPr>
              <w:pStyle w:val="TableTextRight"/>
              <w:rPr>
                <w:lang w:eastAsia="en-AU"/>
              </w:rPr>
            </w:pPr>
            <w:r w:rsidRPr="00524553">
              <w:rPr>
                <w:lang w:eastAsia="en-AU"/>
              </w:rPr>
              <w:t>$2,967,102</w:t>
            </w:r>
          </w:p>
        </w:tc>
      </w:tr>
      <w:tr w:rsidR="00E21774" w:rsidRPr="00524553" w14:paraId="58D1C86E" w14:textId="77777777" w:rsidTr="00C6201E">
        <w:trPr>
          <w:cantSplit/>
        </w:trPr>
        <w:tc>
          <w:tcPr>
            <w:tcW w:w="2961" w:type="dxa"/>
            <w:shd w:val="clear" w:color="auto" w:fill="E5F6FC"/>
          </w:tcPr>
          <w:p w14:paraId="58D1C86B" w14:textId="77777777" w:rsidR="00E21774" w:rsidRPr="00524553" w:rsidRDefault="00E21774" w:rsidP="006832C1">
            <w:pPr>
              <w:pStyle w:val="TableText"/>
              <w:rPr>
                <w:lang w:eastAsia="en-AU"/>
              </w:rPr>
            </w:pPr>
            <w:r w:rsidRPr="00524553">
              <w:rPr>
                <w:lang w:eastAsia="en-AU"/>
              </w:rPr>
              <w:t>Loddon Mallee Housing Services Ltd</w:t>
            </w:r>
          </w:p>
        </w:tc>
        <w:tc>
          <w:tcPr>
            <w:tcW w:w="4311" w:type="dxa"/>
            <w:shd w:val="clear" w:color="auto" w:fill="E5F6FC"/>
          </w:tcPr>
          <w:p w14:paraId="58D1C86C" w14:textId="77777777" w:rsidR="00E21774" w:rsidRPr="00524553" w:rsidRDefault="00E21774" w:rsidP="006832C1">
            <w:pPr>
              <w:pStyle w:val="TableText"/>
              <w:rPr>
                <w:lang w:eastAsia="en-AU"/>
              </w:rPr>
            </w:pPr>
            <w:r w:rsidRPr="00524553">
              <w:rPr>
                <w:lang w:eastAsia="en-AU"/>
              </w:rPr>
              <w:t>Melliodora Disability Housing project</w:t>
            </w:r>
          </w:p>
        </w:tc>
        <w:tc>
          <w:tcPr>
            <w:tcW w:w="1649" w:type="dxa"/>
            <w:shd w:val="clear" w:color="auto" w:fill="E5F6FC"/>
          </w:tcPr>
          <w:p w14:paraId="58D1C86D" w14:textId="77777777" w:rsidR="00E21774" w:rsidRPr="00524553" w:rsidRDefault="00E21774" w:rsidP="006832C1">
            <w:pPr>
              <w:pStyle w:val="TableTextRight"/>
              <w:rPr>
                <w:lang w:eastAsia="en-AU"/>
              </w:rPr>
            </w:pPr>
            <w:r w:rsidRPr="00524553">
              <w:rPr>
                <w:lang w:eastAsia="en-AU"/>
              </w:rPr>
              <w:t>$600,000</w:t>
            </w:r>
          </w:p>
        </w:tc>
      </w:tr>
      <w:tr w:rsidR="00E21774" w:rsidRPr="00524553" w14:paraId="58D1C872" w14:textId="77777777" w:rsidTr="00C6201E">
        <w:trPr>
          <w:cantSplit/>
        </w:trPr>
        <w:tc>
          <w:tcPr>
            <w:tcW w:w="2961" w:type="dxa"/>
            <w:shd w:val="clear" w:color="auto" w:fill="E5F6FC"/>
          </w:tcPr>
          <w:p w14:paraId="58D1C86F" w14:textId="77777777" w:rsidR="00E21774" w:rsidRPr="00524553" w:rsidRDefault="00E21774" w:rsidP="006832C1">
            <w:pPr>
              <w:pStyle w:val="TableText"/>
              <w:rPr>
                <w:lang w:eastAsia="en-AU"/>
              </w:rPr>
            </w:pPr>
            <w:r w:rsidRPr="00524553">
              <w:rPr>
                <w:lang w:eastAsia="en-AU"/>
              </w:rPr>
              <w:t>Women's Housing Ltd</w:t>
            </w:r>
          </w:p>
        </w:tc>
        <w:tc>
          <w:tcPr>
            <w:tcW w:w="4311" w:type="dxa"/>
            <w:shd w:val="clear" w:color="auto" w:fill="E5F6FC"/>
          </w:tcPr>
          <w:p w14:paraId="58D1C870" w14:textId="77777777" w:rsidR="00E21774" w:rsidRPr="00524553" w:rsidRDefault="00E21774" w:rsidP="006832C1">
            <w:pPr>
              <w:pStyle w:val="TableText"/>
              <w:rPr>
                <w:lang w:eastAsia="en-AU"/>
              </w:rPr>
            </w:pPr>
            <w:r w:rsidRPr="00524553">
              <w:rPr>
                <w:lang w:eastAsia="en-AU"/>
              </w:rPr>
              <w:t xml:space="preserve">Affordable </w:t>
            </w:r>
            <w:r>
              <w:rPr>
                <w:lang w:eastAsia="en-AU"/>
              </w:rPr>
              <w:t>h</w:t>
            </w:r>
            <w:r w:rsidRPr="00524553">
              <w:rPr>
                <w:lang w:eastAsia="en-AU"/>
              </w:rPr>
              <w:t xml:space="preserve">ousing for </w:t>
            </w:r>
            <w:r>
              <w:rPr>
                <w:lang w:eastAsia="en-AU"/>
              </w:rPr>
              <w:t>l</w:t>
            </w:r>
            <w:r w:rsidRPr="00524553">
              <w:rPr>
                <w:lang w:eastAsia="en-AU"/>
              </w:rPr>
              <w:t xml:space="preserve">ow </w:t>
            </w:r>
            <w:r>
              <w:rPr>
                <w:lang w:eastAsia="en-AU"/>
              </w:rPr>
              <w:t>i</w:t>
            </w:r>
            <w:r w:rsidRPr="00524553">
              <w:rPr>
                <w:lang w:eastAsia="en-AU"/>
              </w:rPr>
              <w:t xml:space="preserve">ncome </w:t>
            </w:r>
            <w:r>
              <w:rPr>
                <w:lang w:eastAsia="en-AU"/>
              </w:rPr>
              <w:t>w</w:t>
            </w:r>
            <w:r w:rsidRPr="00524553">
              <w:rPr>
                <w:lang w:eastAsia="en-AU"/>
              </w:rPr>
              <w:t>omen at Bradley Street, Newport</w:t>
            </w:r>
          </w:p>
        </w:tc>
        <w:tc>
          <w:tcPr>
            <w:tcW w:w="1649" w:type="dxa"/>
            <w:shd w:val="clear" w:color="auto" w:fill="E5F6FC"/>
          </w:tcPr>
          <w:p w14:paraId="58D1C871" w14:textId="77777777" w:rsidR="00E21774" w:rsidRPr="00524553" w:rsidRDefault="00E21774" w:rsidP="006832C1">
            <w:pPr>
              <w:pStyle w:val="TableTextRight"/>
              <w:rPr>
                <w:lang w:eastAsia="en-AU"/>
              </w:rPr>
            </w:pPr>
            <w:r w:rsidRPr="00524553">
              <w:rPr>
                <w:lang w:eastAsia="en-AU"/>
              </w:rPr>
              <w:t>$5,557,348</w:t>
            </w:r>
          </w:p>
        </w:tc>
      </w:tr>
      <w:tr w:rsidR="00E21774" w:rsidRPr="00524553" w14:paraId="58D1C876" w14:textId="77777777" w:rsidTr="00C6201E">
        <w:trPr>
          <w:cantSplit/>
        </w:trPr>
        <w:tc>
          <w:tcPr>
            <w:tcW w:w="2961" w:type="dxa"/>
            <w:shd w:val="clear" w:color="auto" w:fill="E5F6FC"/>
          </w:tcPr>
          <w:p w14:paraId="58D1C873" w14:textId="77777777" w:rsidR="00E21774" w:rsidRPr="00524553" w:rsidRDefault="00E21774" w:rsidP="006832C1">
            <w:pPr>
              <w:pStyle w:val="TableText"/>
              <w:rPr>
                <w:lang w:eastAsia="en-AU"/>
              </w:rPr>
            </w:pPr>
            <w:r w:rsidRPr="00524553">
              <w:rPr>
                <w:lang w:eastAsia="en-AU"/>
              </w:rPr>
              <w:t>Department of Health and Human Services</w:t>
            </w:r>
          </w:p>
        </w:tc>
        <w:tc>
          <w:tcPr>
            <w:tcW w:w="4311" w:type="dxa"/>
            <w:shd w:val="clear" w:color="auto" w:fill="E5F6FC"/>
          </w:tcPr>
          <w:p w14:paraId="58D1C874" w14:textId="77777777" w:rsidR="00E21774" w:rsidRPr="00524553" w:rsidRDefault="00E21774" w:rsidP="006832C1">
            <w:pPr>
              <w:pStyle w:val="TableText"/>
              <w:rPr>
                <w:lang w:eastAsia="en-AU"/>
              </w:rPr>
            </w:pPr>
            <w:r w:rsidRPr="00524553">
              <w:rPr>
                <w:lang w:eastAsia="en-AU"/>
              </w:rPr>
              <w:t xml:space="preserve">Redesign and </w:t>
            </w:r>
            <w:r>
              <w:rPr>
                <w:lang w:eastAsia="en-AU"/>
              </w:rPr>
              <w:t>r</w:t>
            </w:r>
            <w:r w:rsidRPr="00524553">
              <w:rPr>
                <w:lang w:eastAsia="en-AU"/>
              </w:rPr>
              <w:t xml:space="preserve">enovation of </w:t>
            </w:r>
            <w:r>
              <w:rPr>
                <w:lang w:eastAsia="en-AU"/>
              </w:rPr>
              <w:t>o</w:t>
            </w:r>
            <w:r w:rsidRPr="00524553">
              <w:rPr>
                <w:lang w:eastAsia="en-AU"/>
              </w:rPr>
              <w:t xml:space="preserve">ut of </w:t>
            </w:r>
            <w:r>
              <w:rPr>
                <w:lang w:eastAsia="en-AU"/>
              </w:rPr>
              <w:t>h</w:t>
            </w:r>
            <w:r w:rsidRPr="00524553">
              <w:rPr>
                <w:lang w:eastAsia="en-AU"/>
              </w:rPr>
              <w:t xml:space="preserve">ome </w:t>
            </w:r>
            <w:r>
              <w:rPr>
                <w:lang w:eastAsia="en-AU"/>
              </w:rPr>
              <w:t>c</w:t>
            </w:r>
            <w:r w:rsidRPr="00524553">
              <w:rPr>
                <w:lang w:eastAsia="en-AU"/>
              </w:rPr>
              <w:t xml:space="preserve">are </w:t>
            </w:r>
            <w:r>
              <w:rPr>
                <w:lang w:eastAsia="en-AU"/>
              </w:rPr>
              <w:t>p</w:t>
            </w:r>
            <w:r w:rsidRPr="00524553">
              <w:rPr>
                <w:lang w:eastAsia="en-AU"/>
              </w:rPr>
              <w:t>roperties</w:t>
            </w:r>
          </w:p>
        </w:tc>
        <w:tc>
          <w:tcPr>
            <w:tcW w:w="1649" w:type="dxa"/>
            <w:shd w:val="clear" w:color="auto" w:fill="E5F6FC"/>
          </w:tcPr>
          <w:p w14:paraId="58D1C875" w14:textId="77777777" w:rsidR="00E21774" w:rsidRPr="00524553" w:rsidRDefault="00E21774" w:rsidP="006832C1">
            <w:pPr>
              <w:pStyle w:val="TableTextRight"/>
              <w:rPr>
                <w:lang w:eastAsia="en-AU"/>
              </w:rPr>
            </w:pPr>
            <w:r w:rsidRPr="00524553">
              <w:rPr>
                <w:lang w:eastAsia="en-AU"/>
              </w:rPr>
              <w:t>$6,270,000</w:t>
            </w:r>
          </w:p>
        </w:tc>
      </w:tr>
      <w:tr w:rsidR="00E21774" w:rsidRPr="00524553" w14:paraId="58D1C87A" w14:textId="77777777" w:rsidTr="00C6201E">
        <w:trPr>
          <w:cantSplit/>
        </w:trPr>
        <w:tc>
          <w:tcPr>
            <w:tcW w:w="2961" w:type="dxa"/>
            <w:shd w:val="clear" w:color="auto" w:fill="E5F6FC"/>
          </w:tcPr>
          <w:p w14:paraId="58D1C877" w14:textId="77777777" w:rsidR="00E21774" w:rsidRPr="006832C1" w:rsidRDefault="00E21774" w:rsidP="006832C1">
            <w:pPr>
              <w:pStyle w:val="TableTextBold"/>
            </w:pPr>
            <w:r w:rsidRPr="00524553">
              <w:rPr>
                <w:lang w:eastAsia="en-AU"/>
              </w:rPr>
              <w:t>Total</w:t>
            </w:r>
          </w:p>
        </w:tc>
        <w:tc>
          <w:tcPr>
            <w:tcW w:w="4311" w:type="dxa"/>
            <w:shd w:val="clear" w:color="auto" w:fill="E5F6FC"/>
          </w:tcPr>
          <w:p w14:paraId="58D1C878" w14:textId="77777777" w:rsidR="00E21774" w:rsidRPr="00524553" w:rsidRDefault="00E21774" w:rsidP="006832C1">
            <w:pPr>
              <w:pStyle w:val="TableTextBold"/>
              <w:rPr>
                <w:lang w:eastAsia="en-AU"/>
              </w:rPr>
            </w:pPr>
          </w:p>
        </w:tc>
        <w:tc>
          <w:tcPr>
            <w:tcW w:w="1649" w:type="dxa"/>
            <w:shd w:val="clear" w:color="auto" w:fill="E5F6FC"/>
          </w:tcPr>
          <w:p w14:paraId="58D1C879" w14:textId="77777777" w:rsidR="00E21774" w:rsidRPr="006832C1" w:rsidRDefault="00E21774" w:rsidP="006832C1">
            <w:pPr>
              <w:pStyle w:val="TableTextBoldRight"/>
            </w:pPr>
            <w:r w:rsidRPr="00524553">
              <w:rPr>
                <w:lang w:eastAsia="en-AU"/>
              </w:rPr>
              <w:t>$15,394,450</w:t>
            </w:r>
          </w:p>
        </w:tc>
      </w:tr>
    </w:tbl>
    <w:p w14:paraId="58D1C87B" w14:textId="77777777" w:rsidR="00E21774" w:rsidRPr="00973A16" w:rsidRDefault="00E21774" w:rsidP="00973A16">
      <w:pPr>
        <w:pStyle w:val="TableFootnote"/>
      </w:pPr>
      <w:r w:rsidRPr="00973A16">
        <w:t>Value is reported exclusive of GST, representing the net cost to the fund.</w:t>
      </w:r>
    </w:p>
    <w:p w14:paraId="58D1C87C" w14:textId="77777777" w:rsidR="00E21774" w:rsidRPr="00973A16" w:rsidRDefault="00E21774" w:rsidP="00973A16">
      <w:pPr>
        <w:pStyle w:val="TableFootnote"/>
      </w:pPr>
      <w:r w:rsidRPr="00973A16">
        <w:t>Expenditure shown in the financial information section of this report reflects part payment of these grants plus payments made in 2015-16 for grants approved in previous years.</w:t>
      </w:r>
    </w:p>
    <w:p w14:paraId="58D1C87D" w14:textId="77777777" w:rsidR="00E21774" w:rsidRDefault="008800C6" w:rsidP="00040AF8">
      <w:pPr>
        <w:pStyle w:val="Heading4"/>
      </w:pPr>
      <w:r>
        <w:lastRenderedPageBreak/>
        <w:t xml:space="preserve">Case study: </w:t>
      </w:r>
      <w:r w:rsidR="00E21774">
        <w:t>Creating affordable ho</w:t>
      </w:r>
      <w:r>
        <w:t>using for vulnerable Victorians</w:t>
      </w:r>
    </w:p>
    <w:p w14:paraId="58D1C87E" w14:textId="77777777" w:rsidR="00EE29E7" w:rsidRDefault="00E21774" w:rsidP="007A75A8">
      <w:pPr>
        <w:pStyle w:val="BodyText"/>
      </w:pPr>
      <w:r>
        <w:t>One of the purposes of the Victorian Property Fund is</w:t>
      </w:r>
      <w:r w:rsidRPr="00E0180B">
        <w:t xml:space="preserve"> to improve access to quality affordable accommodation for the most vulnerable in our community.</w:t>
      </w:r>
    </w:p>
    <w:p w14:paraId="58D1C87F" w14:textId="77777777" w:rsidR="00EE29E7" w:rsidRDefault="00E21774" w:rsidP="007A75A8">
      <w:pPr>
        <w:pStyle w:val="BodyText"/>
      </w:pPr>
      <w:r>
        <w:t>This year a grant of almost $3 million was awarded to Community Housing to develop 15 new affordable housing units in Anderson Street, Lilydale.</w:t>
      </w:r>
    </w:p>
    <w:p w14:paraId="58D1C880" w14:textId="77777777" w:rsidR="00E21774" w:rsidRDefault="00E21774" w:rsidP="007A75A8">
      <w:pPr>
        <w:pStyle w:val="BodyText"/>
      </w:pPr>
      <w:r>
        <w:t>The housing will be provided for tenants</w:t>
      </w:r>
      <w:r w:rsidRPr="00605574">
        <w:t xml:space="preserve"> </w:t>
      </w:r>
      <w:r>
        <w:t xml:space="preserve">with low-incomes, including people from a range of age groups living with physical or intellectual disabilities, </w:t>
      </w:r>
      <w:r w:rsidRPr="00605574">
        <w:t xml:space="preserve">who </w:t>
      </w:r>
      <w:r>
        <w:t>may</w:t>
      </w:r>
      <w:r w:rsidRPr="00605574">
        <w:t xml:space="preserve"> otherwise have difficult</w:t>
      </w:r>
      <w:r>
        <w:t>y in the private rental market.</w:t>
      </w:r>
    </w:p>
    <w:p w14:paraId="58D1C881" w14:textId="77777777" w:rsidR="00E21774" w:rsidRDefault="00E21774" w:rsidP="007A75A8">
      <w:pPr>
        <w:pStyle w:val="BodyText"/>
      </w:pPr>
      <w:r>
        <w:t>Almost half the units will have accessibility features such as full shower access, support handrails and kitchens designed for wheelchair access.</w:t>
      </w:r>
    </w:p>
    <w:p w14:paraId="58D1C882" w14:textId="77777777" w:rsidR="00EE29E7" w:rsidRDefault="00E21774" w:rsidP="007A75A8">
      <w:pPr>
        <w:pStyle w:val="BodyText"/>
      </w:pPr>
      <w:r>
        <w:t>All 15 units will include sustainable design features to reduce energy and water consumption, helping minimise utility bills for residents and maintaining the long-term affordability of the housing.</w:t>
      </w:r>
    </w:p>
    <w:p w14:paraId="58D1C883" w14:textId="77777777" w:rsidR="00E21774" w:rsidRDefault="00E21774" w:rsidP="007A75A8">
      <w:pPr>
        <w:pStyle w:val="BodyText"/>
      </w:pPr>
      <w:r>
        <w:t>Community Housing will contribute $250,000 and has partnered with Melba Support Services who will provide ongoing support services for tenants. Melba Support Services have donated the land, worth over $1 million, and will also provide a further $125,000.</w:t>
      </w:r>
    </w:p>
    <w:p w14:paraId="58D1C884" w14:textId="77777777" w:rsidR="00E21774" w:rsidRDefault="00E21774" w:rsidP="007A75A8">
      <w:pPr>
        <w:pStyle w:val="BodyText"/>
        <w:rPr>
          <w:lang w:eastAsia="en-AU"/>
        </w:rPr>
      </w:pPr>
      <w:r>
        <w:t>This project will help</w:t>
      </w:r>
      <w:r>
        <w:rPr>
          <w:color w:val="000000"/>
        </w:rPr>
        <w:t xml:space="preserve"> meet the significant demand for social housing rental accommodation in the Lilydale area.</w:t>
      </w:r>
    </w:p>
    <w:p w14:paraId="58D1C885" w14:textId="77777777" w:rsidR="00E21774" w:rsidRPr="0058055D" w:rsidRDefault="00E21774" w:rsidP="0058055D">
      <w:pPr>
        <w:pStyle w:val="BodyText"/>
      </w:pPr>
    </w:p>
    <w:p w14:paraId="58D1C886" w14:textId="77777777" w:rsidR="00AA5C2C" w:rsidRPr="0058055D" w:rsidRDefault="00AA5C2C" w:rsidP="0058055D">
      <w:pPr>
        <w:pStyle w:val="BodyText"/>
        <w:sectPr w:rsidR="00AA5C2C" w:rsidRPr="0058055D" w:rsidSect="00783BEE">
          <w:footerReference w:type="even" r:id="rId18"/>
          <w:footerReference w:type="default" r:id="rId19"/>
          <w:footerReference w:type="first" r:id="rId20"/>
          <w:footnotePr>
            <w:numRestart w:val="eachPage"/>
          </w:footnotePr>
          <w:pgSz w:w="11906" w:h="16838" w:code="9"/>
          <w:pgMar w:top="1418" w:right="1418" w:bottom="1134" w:left="1418" w:header="510" w:footer="510" w:gutter="0"/>
          <w:cols w:space="708"/>
          <w:titlePg/>
          <w:docGrid w:linePitch="360"/>
        </w:sectPr>
      </w:pPr>
    </w:p>
    <w:p w14:paraId="58D1C887" w14:textId="77777777" w:rsidR="00C90E80" w:rsidRPr="00AF7BEB" w:rsidRDefault="00C90E80" w:rsidP="007A75A8">
      <w:pPr>
        <w:pStyle w:val="Heading2"/>
        <w:rPr>
          <w:vertAlign w:val="superscript"/>
        </w:rPr>
      </w:pPr>
      <w:bookmarkStart w:id="76" w:name="_Toc457494729"/>
      <w:bookmarkStart w:id="77" w:name="_Toc457495000"/>
      <w:bookmarkStart w:id="78" w:name="_Toc464830770"/>
      <w:r>
        <w:lastRenderedPageBreak/>
        <w:t>Financial information 2015-16</w:t>
      </w:r>
      <w:bookmarkEnd w:id="76"/>
      <w:bookmarkEnd w:id="77"/>
      <w:bookmarkEnd w:id="78"/>
      <w:r w:rsidR="00AF7BEB">
        <w:rPr>
          <w:rStyle w:val="FootnoteReference"/>
        </w:rPr>
        <w:footnoteReference w:id="15"/>
      </w:r>
    </w:p>
    <w:tbl>
      <w:tblPr>
        <w:tblW w:w="15706" w:type="dxa"/>
        <w:tblInd w:w="108" w:type="dxa"/>
        <w:tblBorders>
          <w:top w:val="single" w:sz="4" w:space="0" w:color="0072CE"/>
          <w:left w:val="single" w:sz="4" w:space="0" w:color="0072CE"/>
          <w:bottom w:val="single" w:sz="4" w:space="0" w:color="0072CE"/>
          <w:right w:val="single" w:sz="4" w:space="0" w:color="0072CE"/>
          <w:insideH w:val="single" w:sz="4" w:space="0" w:color="0072CE"/>
          <w:insideV w:val="single" w:sz="4" w:space="0" w:color="0072CE"/>
        </w:tblBorders>
        <w:tblLayout w:type="fixed"/>
        <w:tblLook w:val="0020" w:firstRow="1" w:lastRow="0" w:firstColumn="0" w:lastColumn="0" w:noHBand="0" w:noVBand="0"/>
      </w:tblPr>
      <w:tblGrid>
        <w:gridCol w:w="2804"/>
        <w:gridCol w:w="1242"/>
        <w:gridCol w:w="1242"/>
        <w:gridCol w:w="1242"/>
        <w:gridCol w:w="1242"/>
        <w:gridCol w:w="1242"/>
        <w:gridCol w:w="1242"/>
        <w:gridCol w:w="1242"/>
        <w:gridCol w:w="1223"/>
        <w:gridCol w:w="1492"/>
        <w:gridCol w:w="1493"/>
      </w:tblGrid>
      <w:tr w:rsidR="00C6201E" w:rsidRPr="00333E76" w14:paraId="58D1C894" w14:textId="77777777" w:rsidTr="00333E76">
        <w:trPr>
          <w:cantSplit/>
          <w:trHeight w:val="20"/>
          <w:tblHeader/>
        </w:trPr>
        <w:tc>
          <w:tcPr>
            <w:tcW w:w="2943" w:type="dxa"/>
            <w:tcBorders>
              <w:right w:val="single" w:sz="4" w:space="0" w:color="FFFFFF"/>
            </w:tcBorders>
            <w:shd w:val="clear" w:color="auto" w:fill="0072CE"/>
            <w:vAlign w:val="bottom"/>
          </w:tcPr>
          <w:p w14:paraId="58D1C888" w14:textId="77777777" w:rsidR="008800C6" w:rsidRPr="00333E76" w:rsidRDefault="008800C6" w:rsidP="00091597">
            <w:pPr>
              <w:pStyle w:val="TableColHead"/>
              <w:rPr>
                <w:sz w:val="16"/>
                <w:szCs w:val="16"/>
              </w:rPr>
            </w:pPr>
          </w:p>
        </w:tc>
        <w:tc>
          <w:tcPr>
            <w:tcW w:w="1296" w:type="dxa"/>
            <w:tcBorders>
              <w:left w:val="single" w:sz="4" w:space="0" w:color="FFFFFF"/>
              <w:right w:val="single" w:sz="4" w:space="0" w:color="FFFFFF"/>
            </w:tcBorders>
            <w:shd w:val="clear" w:color="auto" w:fill="0072CE"/>
            <w:vAlign w:val="bottom"/>
          </w:tcPr>
          <w:p w14:paraId="58D1C889" w14:textId="77777777" w:rsidR="008800C6" w:rsidRPr="00333E76" w:rsidRDefault="009F76FB" w:rsidP="00091597">
            <w:pPr>
              <w:pStyle w:val="TableColHeadRight"/>
              <w:rPr>
                <w:sz w:val="15"/>
                <w:szCs w:val="15"/>
              </w:rPr>
            </w:pPr>
            <w:r w:rsidRPr="00333E76">
              <w:rPr>
                <w:sz w:val="15"/>
                <w:szCs w:val="15"/>
              </w:rPr>
              <w:t>.</w:t>
            </w:r>
          </w:p>
        </w:tc>
        <w:tc>
          <w:tcPr>
            <w:tcW w:w="1296" w:type="dxa"/>
            <w:tcBorders>
              <w:left w:val="single" w:sz="4" w:space="0" w:color="FFFFFF"/>
              <w:right w:val="single" w:sz="4" w:space="0" w:color="FFFFFF"/>
            </w:tcBorders>
            <w:shd w:val="clear" w:color="auto" w:fill="0072CE"/>
            <w:vAlign w:val="bottom"/>
          </w:tcPr>
          <w:p w14:paraId="58D1C88A" w14:textId="77777777" w:rsidR="008800C6" w:rsidRPr="00333E76" w:rsidRDefault="008800C6" w:rsidP="00091597">
            <w:pPr>
              <w:pStyle w:val="TableColHeadRight"/>
              <w:rPr>
                <w:sz w:val="15"/>
                <w:szCs w:val="15"/>
              </w:rPr>
            </w:pPr>
            <w:r w:rsidRPr="00333E76">
              <w:rPr>
                <w:sz w:val="15"/>
                <w:szCs w:val="15"/>
              </w:rPr>
              <w:t>Domestic Builders Fund</w:t>
            </w:r>
          </w:p>
        </w:tc>
        <w:tc>
          <w:tcPr>
            <w:tcW w:w="1296" w:type="dxa"/>
            <w:tcBorders>
              <w:left w:val="single" w:sz="4" w:space="0" w:color="FFFFFF"/>
              <w:right w:val="single" w:sz="4" w:space="0" w:color="FFFFFF"/>
            </w:tcBorders>
            <w:shd w:val="clear" w:color="auto" w:fill="0072CE"/>
            <w:vAlign w:val="bottom"/>
          </w:tcPr>
          <w:p w14:paraId="58D1C88B" w14:textId="77777777" w:rsidR="008800C6" w:rsidRPr="00333E76" w:rsidRDefault="008800C6" w:rsidP="00091597">
            <w:pPr>
              <w:pStyle w:val="TableColHeadRight"/>
              <w:rPr>
                <w:sz w:val="15"/>
                <w:szCs w:val="15"/>
              </w:rPr>
            </w:pPr>
            <w:r w:rsidRPr="00333E76">
              <w:rPr>
                <w:sz w:val="15"/>
                <w:szCs w:val="15"/>
              </w:rPr>
              <w:t>Motor Car Traders' Guarantee Fund</w:t>
            </w:r>
          </w:p>
        </w:tc>
        <w:tc>
          <w:tcPr>
            <w:tcW w:w="1296" w:type="dxa"/>
            <w:tcBorders>
              <w:left w:val="single" w:sz="4" w:space="0" w:color="FFFFFF"/>
              <w:right w:val="single" w:sz="4" w:space="0" w:color="FFFFFF"/>
            </w:tcBorders>
            <w:shd w:val="clear" w:color="auto" w:fill="0072CE"/>
            <w:vAlign w:val="bottom"/>
          </w:tcPr>
          <w:p w14:paraId="58D1C88C" w14:textId="77777777" w:rsidR="008800C6" w:rsidRPr="00333E76" w:rsidRDefault="008800C6" w:rsidP="00091597">
            <w:pPr>
              <w:pStyle w:val="TableColHeadRight"/>
              <w:rPr>
                <w:sz w:val="15"/>
                <w:szCs w:val="15"/>
              </w:rPr>
            </w:pPr>
            <w:r w:rsidRPr="00333E76">
              <w:rPr>
                <w:sz w:val="15"/>
                <w:szCs w:val="15"/>
              </w:rPr>
              <w:t>Residential Bonds Investment Income account</w:t>
            </w:r>
          </w:p>
        </w:tc>
        <w:tc>
          <w:tcPr>
            <w:tcW w:w="1296" w:type="dxa"/>
            <w:tcBorders>
              <w:left w:val="single" w:sz="4" w:space="0" w:color="FFFFFF"/>
              <w:right w:val="single" w:sz="4" w:space="0" w:color="FFFFFF"/>
            </w:tcBorders>
            <w:shd w:val="clear" w:color="auto" w:fill="0072CE"/>
            <w:vAlign w:val="bottom"/>
          </w:tcPr>
          <w:p w14:paraId="58D1C88D" w14:textId="77777777" w:rsidR="008800C6" w:rsidRPr="00333E76" w:rsidRDefault="008800C6" w:rsidP="00091597">
            <w:pPr>
              <w:pStyle w:val="TableColHeadRight"/>
              <w:rPr>
                <w:sz w:val="15"/>
                <w:szCs w:val="15"/>
              </w:rPr>
            </w:pPr>
            <w:r w:rsidRPr="00333E76">
              <w:rPr>
                <w:sz w:val="15"/>
                <w:szCs w:val="15"/>
              </w:rPr>
              <w:t>Residential Tenancies Fund</w:t>
            </w:r>
          </w:p>
        </w:tc>
        <w:tc>
          <w:tcPr>
            <w:tcW w:w="1296" w:type="dxa"/>
            <w:tcBorders>
              <w:left w:val="single" w:sz="4" w:space="0" w:color="FFFFFF"/>
              <w:right w:val="single" w:sz="4" w:space="0" w:color="FFFFFF"/>
            </w:tcBorders>
            <w:shd w:val="clear" w:color="auto" w:fill="0072CE"/>
            <w:vAlign w:val="bottom"/>
          </w:tcPr>
          <w:p w14:paraId="58D1C88E" w14:textId="77777777" w:rsidR="008800C6" w:rsidRPr="00333E76" w:rsidRDefault="008150FD" w:rsidP="00091597">
            <w:pPr>
              <w:pStyle w:val="TableColHeadRight"/>
              <w:rPr>
                <w:sz w:val="15"/>
                <w:szCs w:val="15"/>
              </w:rPr>
            </w:pPr>
            <w:r w:rsidRPr="00333E76">
              <w:rPr>
                <w:sz w:val="15"/>
                <w:szCs w:val="15"/>
              </w:rPr>
              <w:t xml:space="preserve">Sex Work Regulation </w:t>
            </w:r>
            <w:r w:rsidR="008800C6" w:rsidRPr="00333E76">
              <w:rPr>
                <w:sz w:val="15"/>
                <w:szCs w:val="15"/>
              </w:rPr>
              <w:t>Fund</w:t>
            </w:r>
          </w:p>
        </w:tc>
        <w:tc>
          <w:tcPr>
            <w:tcW w:w="1296" w:type="dxa"/>
            <w:tcBorders>
              <w:left w:val="single" w:sz="4" w:space="0" w:color="FFFFFF"/>
              <w:right w:val="single" w:sz="4" w:space="0" w:color="FFFFFF"/>
            </w:tcBorders>
            <w:shd w:val="clear" w:color="auto" w:fill="0072CE"/>
            <w:vAlign w:val="bottom"/>
          </w:tcPr>
          <w:p w14:paraId="58D1C88F" w14:textId="77777777" w:rsidR="008800C6" w:rsidRPr="00333E76" w:rsidRDefault="008800C6" w:rsidP="00091597">
            <w:pPr>
              <w:pStyle w:val="TableColHeadRight"/>
              <w:rPr>
                <w:sz w:val="15"/>
                <w:szCs w:val="15"/>
              </w:rPr>
            </w:pPr>
            <w:r w:rsidRPr="00333E76">
              <w:rPr>
                <w:sz w:val="15"/>
                <w:szCs w:val="15"/>
              </w:rPr>
              <w:t>Victorian Property</w:t>
            </w:r>
          </w:p>
          <w:p w14:paraId="58D1C890" w14:textId="77777777" w:rsidR="008800C6" w:rsidRPr="00333E76" w:rsidRDefault="008800C6" w:rsidP="00091597">
            <w:pPr>
              <w:pStyle w:val="TableColHeadRight"/>
              <w:rPr>
                <w:sz w:val="15"/>
                <w:szCs w:val="15"/>
              </w:rPr>
            </w:pPr>
            <w:r w:rsidRPr="00333E76">
              <w:rPr>
                <w:sz w:val="15"/>
                <w:szCs w:val="15"/>
              </w:rPr>
              <w:t>Fund</w:t>
            </w:r>
          </w:p>
        </w:tc>
        <w:tc>
          <w:tcPr>
            <w:tcW w:w="1276" w:type="dxa"/>
            <w:tcBorders>
              <w:left w:val="single" w:sz="4" w:space="0" w:color="FFFFFF"/>
              <w:right w:val="single" w:sz="4" w:space="0" w:color="FFFFFF"/>
            </w:tcBorders>
            <w:shd w:val="clear" w:color="auto" w:fill="0072CE"/>
            <w:vAlign w:val="bottom"/>
          </w:tcPr>
          <w:p w14:paraId="58D1C891" w14:textId="77777777" w:rsidR="008800C6" w:rsidRPr="00333E76" w:rsidRDefault="008150FD" w:rsidP="008150FD">
            <w:pPr>
              <w:pStyle w:val="TableColHeadRight"/>
              <w:rPr>
                <w:sz w:val="15"/>
                <w:szCs w:val="15"/>
              </w:rPr>
            </w:pPr>
            <w:r w:rsidRPr="00333E76">
              <w:rPr>
                <w:sz w:val="15"/>
                <w:szCs w:val="15"/>
              </w:rPr>
              <w:t xml:space="preserve">Trust Funds </w:t>
            </w:r>
            <w:r w:rsidRPr="00333E76">
              <w:rPr>
                <w:sz w:val="15"/>
                <w:szCs w:val="15"/>
              </w:rPr>
              <w:br/>
            </w:r>
            <w:r w:rsidR="008800C6" w:rsidRPr="00333E76">
              <w:rPr>
                <w:sz w:val="15"/>
                <w:szCs w:val="15"/>
              </w:rPr>
              <w:t xml:space="preserve">total </w:t>
            </w:r>
            <w:r w:rsidRPr="00333E76">
              <w:rPr>
                <w:sz w:val="15"/>
                <w:szCs w:val="15"/>
              </w:rPr>
              <w:br/>
            </w:r>
            <w:r w:rsidR="008800C6" w:rsidRPr="00333E76">
              <w:rPr>
                <w:sz w:val="15"/>
                <w:szCs w:val="15"/>
              </w:rPr>
              <w:t>2015-16</w:t>
            </w:r>
          </w:p>
        </w:tc>
        <w:tc>
          <w:tcPr>
            <w:tcW w:w="1559" w:type="dxa"/>
            <w:tcBorders>
              <w:left w:val="single" w:sz="4" w:space="0" w:color="FFFFFF"/>
              <w:right w:val="single" w:sz="4" w:space="0" w:color="FFFFFF"/>
            </w:tcBorders>
            <w:shd w:val="clear" w:color="auto" w:fill="0072CE"/>
            <w:vAlign w:val="bottom"/>
          </w:tcPr>
          <w:p w14:paraId="58D1C892" w14:textId="77777777" w:rsidR="008800C6" w:rsidRPr="00333E76" w:rsidRDefault="008800C6" w:rsidP="008150FD">
            <w:pPr>
              <w:pStyle w:val="TableColHeadRight"/>
              <w:rPr>
                <w:sz w:val="15"/>
                <w:szCs w:val="15"/>
              </w:rPr>
            </w:pPr>
            <w:r w:rsidRPr="00333E76">
              <w:rPr>
                <w:sz w:val="15"/>
                <w:szCs w:val="15"/>
              </w:rPr>
              <w:t>Consumer</w:t>
            </w:r>
            <w:r w:rsidR="00AB604F" w:rsidRPr="00333E76">
              <w:rPr>
                <w:sz w:val="15"/>
                <w:szCs w:val="15"/>
              </w:rPr>
              <w:t xml:space="preserve"> </w:t>
            </w:r>
            <w:r w:rsidRPr="00333E76">
              <w:rPr>
                <w:sz w:val="15"/>
                <w:szCs w:val="15"/>
              </w:rPr>
              <w:t>Affairs Vict</w:t>
            </w:r>
            <w:r w:rsidR="00AB604F" w:rsidRPr="00333E76">
              <w:rPr>
                <w:sz w:val="15"/>
                <w:szCs w:val="15"/>
              </w:rPr>
              <w:t xml:space="preserve">oria appropriations </w:t>
            </w:r>
            <w:r w:rsidR="008150FD" w:rsidRPr="00333E76">
              <w:rPr>
                <w:sz w:val="15"/>
                <w:szCs w:val="15"/>
              </w:rPr>
              <w:t xml:space="preserve">&amp; other </w:t>
            </w:r>
            <w:r w:rsidR="008150FD" w:rsidRPr="00333E76">
              <w:rPr>
                <w:sz w:val="15"/>
                <w:szCs w:val="15"/>
              </w:rPr>
              <w:br/>
            </w:r>
            <w:r w:rsidRPr="00333E76">
              <w:rPr>
                <w:sz w:val="15"/>
                <w:szCs w:val="15"/>
              </w:rPr>
              <w:t>2015-16</w:t>
            </w:r>
          </w:p>
        </w:tc>
        <w:tc>
          <w:tcPr>
            <w:tcW w:w="1560" w:type="dxa"/>
            <w:tcBorders>
              <w:left w:val="single" w:sz="4" w:space="0" w:color="FFFFFF"/>
            </w:tcBorders>
            <w:shd w:val="clear" w:color="auto" w:fill="0072CE"/>
            <w:vAlign w:val="bottom"/>
          </w:tcPr>
          <w:p w14:paraId="58D1C893" w14:textId="77777777" w:rsidR="008800C6" w:rsidRPr="00333E76" w:rsidRDefault="008800C6" w:rsidP="008150FD">
            <w:pPr>
              <w:pStyle w:val="TableColHeadRight"/>
              <w:rPr>
                <w:sz w:val="15"/>
                <w:szCs w:val="15"/>
              </w:rPr>
            </w:pPr>
            <w:r w:rsidRPr="00333E76">
              <w:rPr>
                <w:sz w:val="15"/>
                <w:szCs w:val="15"/>
              </w:rPr>
              <w:t xml:space="preserve">Consumer Affairs Victoria </w:t>
            </w:r>
            <w:r w:rsidR="008150FD" w:rsidRPr="00333E76">
              <w:rPr>
                <w:sz w:val="15"/>
                <w:szCs w:val="15"/>
              </w:rPr>
              <w:t xml:space="preserve">total output </w:t>
            </w:r>
            <w:r w:rsidRPr="00333E76">
              <w:rPr>
                <w:sz w:val="15"/>
                <w:szCs w:val="15"/>
              </w:rPr>
              <w:t>2015-16</w:t>
            </w:r>
          </w:p>
        </w:tc>
      </w:tr>
      <w:tr w:rsidR="008800C6" w:rsidRPr="00333E76" w14:paraId="58D1C896" w14:textId="77777777" w:rsidTr="00C6201E">
        <w:trPr>
          <w:cantSplit/>
          <w:trHeight w:val="20"/>
        </w:trPr>
        <w:tc>
          <w:tcPr>
            <w:tcW w:w="16410" w:type="dxa"/>
            <w:gridSpan w:val="11"/>
            <w:shd w:val="clear" w:color="auto" w:fill="C7ECF8"/>
          </w:tcPr>
          <w:p w14:paraId="58D1C895" w14:textId="77777777" w:rsidR="008800C6" w:rsidRPr="00333E76" w:rsidRDefault="008800C6" w:rsidP="00177DC1">
            <w:pPr>
              <w:pStyle w:val="TableTextBold"/>
              <w:rPr>
                <w:sz w:val="16"/>
                <w:szCs w:val="16"/>
              </w:rPr>
            </w:pPr>
            <w:r w:rsidRPr="00333E76">
              <w:rPr>
                <w:sz w:val="16"/>
                <w:szCs w:val="16"/>
              </w:rPr>
              <w:t>Co</w:t>
            </w:r>
            <w:r w:rsidR="008150FD" w:rsidRPr="00333E76">
              <w:rPr>
                <w:sz w:val="16"/>
                <w:szCs w:val="16"/>
              </w:rPr>
              <w:t>nsumer Affairs Victoria revenue</w:t>
            </w:r>
          </w:p>
        </w:tc>
      </w:tr>
      <w:tr w:rsidR="00C6201E" w:rsidRPr="00333E76" w14:paraId="58D1C8A2" w14:textId="77777777" w:rsidTr="00333E76">
        <w:trPr>
          <w:cantSplit/>
          <w:trHeight w:val="20"/>
        </w:trPr>
        <w:tc>
          <w:tcPr>
            <w:tcW w:w="2943" w:type="dxa"/>
            <w:shd w:val="clear" w:color="auto" w:fill="E5F6FC"/>
          </w:tcPr>
          <w:p w14:paraId="58D1C897" w14:textId="77777777" w:rsidR="008800C6" w:rsidRPr="00333E76" w:rsidRDefault="008800C6" w:rsidP="008150FD">
            <w:pPr>
              <w:pStyle w:val="TableText"/>
              <w:rPr>
                <w:i/>
                <w:iCs/>
                <w:sz w:val="16"/>
                <w:szCs w:val="16"/>
              </w:rPr>
            </w:pPr>
            <w:r w:rsidRPr="00333E76">
              <w:rPr>
                <w:sz w:val="16"/>
                <w:szCs w:val="16"/>
              </w:rPr>
              <w:t xml:space="preserve">Revenue recognition, estate agent </w:t>
            </w:r>
            <w:r w:rsidR="00091597" w:rsidRPr="00333E76">
              <w:rPr>
                <w:sz w:val="16"/>
                <w:szCs w:val="16"/>
              </w:rPr>
              <w:t>and conveyancer trust accounts</w:t>
            </w:r>
          </w:p>
        </w:tc>
        <w:tc>
          <w:tcPr>
            <w:tcW w:w="1296" w:type="dxa"/>
            <w:shd w:val="clear" w:color="auto" w:fill="E5F6FC"/>
          </w:tcPr>
          <w:p w14:paraId="58D1C898" w14:textId="77777777" w:rsidR="008800C6" w:rsidRPr="00333E76" w:rsidRDefault="008800C6" w:rsidP="008150FD">
            <w:pPr>
              <w:pStyle w:val="TableTextRight"/>
              <w:rPr>
                <w:sz w:val="16"/>
                <w:szCs w:val="16"/>
              </w:rPr>
            </w:pPr>
          </w:p>
        </w:tc>
        <w:tc>
          <w:tcPr>
            <w:tcW w:w="1296" w:type="dxa"/>
            <w:shd w:val="clear" w:color="auto" w:fill="E5F6FC"/>
          </w:tcPr>
          <w:p w14:paraId="58D1C899" w14:textId="77777777" w:rsidR="008800C6" w:rsidRPr="00333E76" w:rsidRDefault="008800C6" w:rsidP="008150FD">
            <w:pPr>
              <w:pStyle w:val="TableTextRight"/>
              <w:rPr>
                <w:sz w:val="16"/>
                <w:szCs w:val="16"/>
              </w:rPr>
            </w:pPr>
          </w:p>
        </w:tc>
        <w:tc>
          <w:tcPr>
            <w:tcW w:w="1296" w:type="dxa"/>
            <w:shd w:val="clear" w:color="auto" w:fill="E5F6FC"/>
          </w:tcPr>
          <w:p w14:paraId="58D1C89A" w14:textId="77777777" w:rsidR="008800C6" w:rsidRPr="00333E76" w:rsidRDefault="008800C6" w:rsidP="008150FD">
            <w:pPr>
              <w:pStyle w:val="TableTextRight"/>
              <w:rPr>
                <w:sz w:val="16"/>
                <w:szCs w:val="16"/>
              </w:rPr>
            </w:pPr>
          </w:p>
        </w:tc>
        <w:tc>
          <w:tcPr>
            <w:tcW w:w="1296" w:type="dxa"/>
            <w:shd w:val="clear" w:color="auto" w:fill="E5F6FC"/>
          </w:tcPr>
          <w:p w14:paraId="58D1C89B" w14:textId="77777777" w:rsidR="008800C6" w:rsidRPr="00333E76" w:rsidRDefault="008800C6" w:rsidP="008150FD">
            <w:pPr>
              <w:pStyle w:val="TableTextRight"/>
              <w:rPr>
                <w:sz w:val="16"/>
                <w:szCs w:val="16"/>
              </w:rPr>
            </w:pPr>
          </w:p>
        </w:tc>
        <w:tc>
          <w:tcPr>
            <w:tcW w:w="1296" w:type="dxa"/>
            <w:shd w:val="clear" w:color="auto" w:fill="E5F6FC"/>
          </w:tcPr>
          <w:p w14:paraId="58D1C89C" w14:textId="77777777" w:rsidR="008800C6" w:rsidRPr="00333E76" w:rsidRDefault="008800C6" w:rsidP="008150FD">
            <w:pPr>
              <w:pStyle w:val="TableTextRight"/>
              <w:rPr>
                <w:sz w:val="16"/>
                <w:szCs w:val="16"/>
              </w:rPr>
            </w:pPr>
          </w:p>
        </w:tc>
        <w:tc>
          <w:tcPr>
            <w:tcW w:w="1296" w:type="dxa"/>
            <w:shd w:val="clear" w:color="auto" w:fill="E5F6FC"/>
          </w:tcPr>
          <w:p w14:paraId="58D1C89D" w14:textId="77777777" w:rsidR="008800C6" w:rsidRPr="00333E76" w:rsidRDefault="008800C6" w:rsidP="008150FD">
            <w:pPr>
              <w:pStyle w:val="TableTextRight"/>
              <w:rPr>
                <w:sz w:val="16"/>
                <w:szCs w:val="16"/>
              </w:rPr>
            </w:pPr>
          </w:p>
        </w:tc>
        <w:tc>
          <w:tcPr>
            <w:tcW w:w="1296" w:type="dxa"/>
            <w:shd w:val="clear" w:color="auto" w:fill="E5F6FC"/>
          </w:tcPr>
          <w:p w14:paraId="58D1C89E" w14:textId="77777777" w:rsidR="008800C6" w:rsidRPr="00333E76" w:rsidRDefault="008800C6" w:rsidP="008150FD">
            <w:pPr>
              <w:pStyle w:val="TableTextRight"/>
              <w:rPr>
                <w:sz w:val="16"/>
                <w:szCs w:val="16"/>
              </w:rPr>
            </w:pPr>
            <w:r w:rsidRPr="00333E76">
              <w:rPr>
                <w:sz w:val="16"/>
                <w:szCs w:val="16"/>
              </w:rPr>
              <w:t>29,822,573</w:t>
            </w:r>
          </w:p>
        </w:tc>
        <w:tc>
          <w:tcPr>
            <w:tcW w:w="1276" w:type="dxa"/>
            <w:shd w:val="clear" w:color="auto" w:fill="E5F6FC"/>
          </w:tcPr>
          <w:p w14:paraId="58D1C89F" w14:textId="77777777" w:rsidR="008800C6" w:rsidRPr="00333E76" w:rsidRDefault="008800C6" w:rsidP="008150FD">
            <w:pPr>
              <w:pStyle w:val="TableTextRight"/>
              <w:rPr>
                <w:sz w:val="16"/>
                <w:szCs w:val="16"/>
              </w:rPr>
            </w:pPr>
            <w:r w:rsidRPr="00333E76">
              <w:rPr>
                <w:sz w:val="16"/>
                <w:szCs w:val="16"/>
              </w:rPr>
              <w:t>29,822,573</w:t>
            </w:r>
          </w:p>
        </w:tc>
        <w:tc>
          <w:tcPr>
            <w:tcW w:w="1559" w:type="dxa"/>
            <w:shd w:val="clear" w:color="auto" w:fill="E5F6FC"/>
          </w:tcPr>
          <w:p w14:paraId="58D1C8A0" w14:textId="77777777" w:rsidR="008800C6" w:rsidRPr="00333E76" w:rsidRDefault="008800C6" w:rsidP="008150FD">
            <w:pPr>
              <w:pStyle w:val="TableTextRight"/>
              <w:rPr>
                <w:sz w:val="16"/>
                <w:szCs w:val="16"/>
              </w:rPr>
            </w:pPr>
          </w:p>
        </w:tc>
        <w:tc>
          <w:tcPr>
            <w:tcW w:w="1560" w:type="dxa"/>
            <w:shd w:val="clear" w:color="auto" w:fill="E5F6FC"/>
          </w:tcPr>
          <w:p w14:paraId="58D1C8A1" w14:textId="77777777" w:rsidR="008800C6" w:rsidRPr="00333E76" w:rsidRDefault="008800C6" w:rsidP="008150FD">
            <w:pPr>
              <w:pStyle w:val="TableTextRight"/>
              <w:rPr>
                <w:sz w:val="16"/>
                <w:szCs w:val="16"/>
              </w:rPr>
            </w:pPr>
            <w:r w:rsidRPr="00333E76">
              <w:rPr>
                <w:sz w:val="16"/>
                <w:szCs w:val="16"/>
              </w:rPr>
              <w:t>29,822,573</w:t>
            </w:r>
          </w:p>
        </w:tc>
      </w:tr>
      <w:tr w:rsidR="00C6201E" w:rsidRPr="00333E76" w14:paraId="58D1C8AE" w14:textId="77777777" w:rsidTr="00333E76">
        <w:trPr>
          <w:cantSplit/>
          <w:trHeight w:val="20"/>
        </w:trPr>
        <w:tc>
          <w:tcPr>
            <w:tcW w:w="2943" w:type="dxa"/>
            <w:shd w:val="clear" w:color="auto" w:fill="E5F6FC"/>
          </w:tcPr>
          <w:p w14:paraId="58D1C8A3" w14:textId="77777777" w:rsidR="008800C6" w:rsidRPr="00333E76" w:rsidRDefault="008800C6" w:rsidP="008150FD">
            <w:pPr>
              <w:pStyle w:val="TableText"/>
              <w:rPr>
                <w:sz w:val="16"/>
                <w:szCs w:val="16"/>
              </w:rPr>
            </w:pPr>
            <w:r w:rsidRPr="00333E76">
              <w:rPr>
                <w:sz w:val="16"/>
                <w:szCs w:val="16"/>
              </w:rPr>
              <w:t xml:space="preserve">Revenue recognition, residential </w:t>
            </w:r>
            <w:r w:rsidR="00091597" w:rsidRPr="00333E76">
              <w:rPr>
                <w:sz w:val="16"/>
                <w:szCs w:val="16"/>
              </w:rPr>
              <w:t>tenancy bonds</w:t>
            </w:r>
          </w:p>
        </w:tc>
        <w:tc>
          <w:tcPr>
            <w:tcW w:w="1296" w:type="dxa"/>
            <w:shd w:val="clear" w:color="auto" w:fill="E5F6FC"/>
          </w:tcPr>
          <w:p w14:paraId="58D1C8A4" w14:textId="77777777" w:rsidR="008800C6" w:rsidRPr="00333E76" w:rsidRDefault="008800C6" w:rsidP="008150FD">
            <w:pPr>
              <w:pStyle w:val="TableTextRight"/>
              <w:rPr>
                <w:sz w:val="16"/>
                <w:szCs w:val="16"/>
              </w:rPr>
            </w:pPr>
          </w:p>
        </w:tc>
        <w:tc>
          <w:tcPr>
            <w:tcW w:w="1296" w:type="dxa"/>
            <w:shd w:val="clear" w:color="auto" w:fill="E5F6FC"/>
          </w:tcPr>
          <w:p w14:paraId="58D1C8A5" w14:textId="77777777" w:rsidR="008800C6" w:rsidRPr="00333E76" w:rsidRDefault="008800C6" w:rsidP="008150FD">
            <w:pPr>
              <w:pStyle w:val="TableTextRight"/>
              <w:rPr>
                <w:sz w:val="16"/>
                <w:szCs w:val="16"/>
              </w:rPr>
            </w:pPr>
          </w:p>
        </w:tc>
        <w:tc>
          <w:tcPr>
            <w:tcW w:w="1296" w:type="dxa"/>
            <w:shd w:val="clear" w:color="auto" w:fill="E5F6FC"/>
          </w:tcPr>
          <w:p w14:paraId="58D1C8A6" w14:textId="77777777" w:rsidR="008800C6" w:rsidRPr="00333E76" w:rsidRDefault="008800C6" w:rsidP="008150FD">
            <w:pPr>
              <w:pStyle w:val="TableTextRight"/>
              <w:rPr>
                <w:sz w:val="16"/>
                <w:szCs w:val="16"/>
              </w:rPr>
            </w:pPr>
          </w:p>
        </w:tc>
        <w:tc>
          <w:tcPr>
            <w:tcW w:w="1296" w:type="dxa"/>
            <w:shd w:val="clear" w:color="auto" w:fill="E5F6FC"/>
          </w:tcPr>
          <w:p w14:paraId="58D1C8A7" w14:textId="77777777" w:rsidR="008800C6" w:rsidRPr="00333E76" w:rsidRDefault="008800C6" w:rsidP="008150FD">
            <w:pPr>
              <w:pStyle w:val="TableTextRight"/>
              <w:rPr>
                <w:sz w:val="16"/>
                <w:szCs w:val="16"/>
              </w:rPr>
            </w:pPr>
            <w:r w:rsidRPr="00333E76">
              <w:rPr>
                <w:sz w:val="16"/>
                <w:szCs w:val="16"/>
              </w:rPr>
              <w:t>19,844,465</w:t>
            </w:r>
          </w:p>
        </w:tc>
        <w:tc>
          <w:tcPr>
            <w:tcW w:w="1296" w:type="dxa"/>
            <w:shd w:val="clear" w:color="auto" w:fill="E5F6FC"/>
          </w:tcPr>
          <w:p w14:paraId="58D1C8A8" w14:textId="77777777" w:rsidR="008800C6" w:rsidRPr="00333E76" w:rsidRDefault="008800C6" w:rsidP="008150FD">
            <w:pPr>
              <w:pStyle w:val="TableTextRight"/>
              <w:rPr>
                <w:sz w:val="16"/>
                <w:szCs w:val="16"/>
              </w:rPr>
            </w:pPr>
          </w:p>
        </w:tc>
        <w:tc>
          <w:tcPr>
            <w:tcW w:w="1296" w:type="dxa"/>
            <w:shd w:val="clear" w:color="auto" w:fill="E5F6FC"/>
          </w:tcPr>
          <w:p w14:paraId="58D1C8A9" w14:textId="77777777" w:rsidR="008800C6" w:rsidRPr="00333E76" w:rsidRDefault="008800C6" w:rsidP="008150FD">
            <w:pPr>
              <w:pStyle w:val="TableTextRight"/>
              <w:rPr>
                <w:sz w:val="16"/>
                <w:szCs w:val="16"/>
              </w:rPr>
            </w:pPr>
          </w:p>
        </w:tc>
        <w:tc>
          <w:tcPr>
            <w:tcW w:w="1296" w:type="dxa"/>
            <w:shd w:val="clear" w:color="auto" w:fill="E5F6FC"/>
          </w:tcPr>
          <w:p w14:paraId="58D1C8AA" w14:textId="77777777" w:rsidR="008800C6" w:rsidRPr="00333E76" w:rsidRDefault="008800C6" w:rsidP="008150FD">
            <w:pPr>
              <w:pStyle w:val="TableTextRight"/>
              <w:rPr>
                <w:sz w:val="16"/>
                <w:szCs w:val="16"/>
              </w:rPr>
            </w:pPr>
          </w:p>
        </w:tc>
        <w:tc>
          <w:tcPr>
            <w:tcW w:w="1276" w:type="dxa"/>
            <w:shd w:val="clear" w:color="auto" w:fill="E5F6FC"/>
          </w:tcPr>
          <w:p w14:paraId="58D1C8AB" w14:textId="77777777" w:rsidR="008800C6" w:rsidRPr="00333E76" w:rsidRDefault="008800C6" w:rsidP="008150FD">
            <w:pPr>
              <w:pStyle w:val="TableTextRight"/>
              <w:rPr>
                <w:sz w:val="16"/>
                <w:szCs w:val="16"/>
              </w:rPr>
            </w:pPr>
            <w:r w:rsidRPr="00333E76">
              <w:rPr>
                <w:sz w:val="16"/>
                <w:szCs w:val="16"/>
              </w:rPr>
              <w:t>19,844,465</w:t>
            </w:r>
          </w:p>
        </w:tc>
        <w:tc>
          <w:tcPr>
            <w:tcW w:w="1559" w:type="dxa"/>
            <w:shd w:val="clear" w:color="auto" w:fill="E5F6FC"/>
          </w:tcPr>
          <w:p w14:paraId="58D1C8AC" w14:textId="77777777" w:rsidR="008800C6" w:rsidRPr="00333E76" w:rsidRDefault="008800C6" w:rsidP="008150FD">
            <w:pPr>
              <w:pStyle w:val="TableTextRight"/>
              <w:rPr>
                <w:sz w:val="16"/>
                <w:szCs w:val="16"/>
              </w:rPr>
            </w:pPr>
          </w:p>
        </w:tc>
        <w:tc>
          <w:tcPr>
            <w:tcW w:w="1560" w:type="dxa"/>
            <w:shd w:val="clear" w:color="auto" w:fill="E5F6FC"/>
          </w:tcPr>
          <w:p w14:paraId="58D1C8AD" w14:textId="77777777" w:rsidR="008800C6" w:rsidRPr="00333E76" w:rsidRDefault="008800C6" w:rsidP="008150FD">
            <w:pPr>
              <w:pStyle w:val="TableTextRight"/>
              <w:rPr>
                <w:sz w:val="16"/>
                <w:szCs w:val="16"/>
              </w:rPr>
            </w:pPr>
            <w:r w:rsidRPr="00333E76">
              <w:rPr>
                <w:sz w:val="16"/>
                <w:szCs w:val="16"/>
              </w:rPr>
              <w:t>19,844,465</w:t>
            </w:r>
          </w:p>
        </w:tc>
      </w:tr>
      <w:tr w:rsidR="00C6201E" w:rsidRPr="00333E76" w14:paraId="58D1C8BA" w14:textId="77777777" w:rsidTr="00333E76">
        <w:trPr>
          <w:cantSplit/>
          <w:trHeight w:val="20"/>
        </w:trPr>
        <w:tc>
          <w:tcPr>
            <w:tcW w:w="2943" w:type="dxa"/>
            <w:shd w:val="clear" w:color="auto" w:fill="E5F6FC"/>
          </w:tcPr>
          <w:p w14:paraId="58D1C8AF" w14:textId="77777777" w:rsidR="008800C6" w:rsidRPr="00333E76" w:rsidRDefault="008800C6" w:rsidP="008150FD">
            <w:pPr>
              <w:pStyle w:val="TableText"/>
              <w:rPr>
                <w:sz w:val="16"/>
                <w:szCs w:val="16"/>
              </w:rPr>
            </w:pPr>
            <w:r w:rsidRPr="00333E76">
              <w:rPr>
                <w:sz w:val="16"/>
                <w:szCs w:val="16"/>
              </w:rPr>
              <w:t>Appropriations : Consumer Affairs Victoria</w:t>
            </w:r>
          </w:p>
        </w:tc>
        <w:tc>
          <w:tcPr>
            <w:tcW w:w="1296" w:type="dxa"/>
            <w:shd w:val="clear" w:color="auto" w:fill="E5F6FC"/>
          </w:tcPr>
          <w:p w14:paraId="58D1C8B0" w14:textId="77777777" w:rsidR="008800C6" w:rsidRPr="00333E76" w:rsidRDefault="008800C6" w:rsidP="008150FD">
            <w:pPr>
              <w:pStyle w:val="TableTextRight"/>
              <w:rPr>
                <w:sz w:val="16"/>
                <w:szCs w:val="16"/>
              </w:rPr>
            </w:pPr>
          </w:p>
        </w:tc>
        <w:tc>
          <w:tcPr>
            <w:tcW w:w="1296" w:type="dxa"/>
            <w:shd w:val="clear" w:color="auto" w:fill="E5F6FC"/>
          </w:tcPr>
          <w:p w14:paraId="58D1C8B1" w14:textId="77777777" w:rsidR="008800C6" w:rsidRPr="00333E76" w:rsidRDefault="008800C6" w:rsidP="008150FD">
            <w:pPr>
              <w:pStyle w:val="TableTextRight"/>
              <w:rPr>
                <w:sz w:val="16"/>
                <w:szCs w:val="16"/>
              </w:rPr>
            </w:pPr>
          </w:p>
        </w:tc>
        <w:tc>
          <w:tcPr>
            <w:tcW w:w="1296" w:type="dxa"/>
            <w:shd w:val="clear" w:color="auto" w:fill="E5F6FC"/>
          </w:tcPr>
          <w:p w14:paraId="58D1C8B2" w14:textId="77777777" w:rsidR="008800C6" w:rsidRPr="00333E76" w:rsidRDefault="008800C6" w:rsidP="008150FD">
            <w:pPr>
              <w:pStyle w:val="TableTextRight"/>
              <w:rPr>
                <w:sz w:val="16"/>
                <w:szCs w:val="16"/>
              </w:rPr>
            </w:pPr>
          </w:p>
        </w:tc>
        <w:tc>
          <w:tcPr>
            <w:tcW w:w="1296" w:type="dxa"/>
            <w:shd w:val="clear" w:color="auto" w:fill="E5F6FC"/>
          </w:tcPr>
          <w:p w14:paraId="58D1C8B3" w14:textId="77777777" w:rsidR="008800C6" w:rsidRPr="00333E76" w:rsidRDefault="008800C6" w:rsidP="008150FD">
            <w:pPr>
              <w:pStyle w:val="TableTextRight"/>
              <w:rPr>
                <w:sz w:val="16"/>
                <w:szCs w:val="16"/>
              </w:rPr>
            </w:pPr>
          </w:p>
        </w:tc>
        <w:tc>
          <w:tcPr>
            <w:tcW w:w="1296" w:type="dxa"/>
            <w:shd w:val="clear" w:color="auto" w:fill="E5F6FC"/>
          </w:tcPr>
          <w:p w14:paraId="58D1C8B4" w14:textId="77777777" w:rsidR="008800C6" w:rsidRPr="00333E76" w:rsidRDefault="008800C6" w:rsidP="008150FD">
            <w:pPr>
              <w:pStyle w:val="TableTextRight"/>
              <w:rPr>
                <w:sz w:val="16"/>
                <w:szCs w:val="16"/>
              </w:rPr>
            </w:pPr>
          </w:p>
        </w:tc>
        <w:tc>
          <w:tcPr>
            <w:tcW w:w="1296" w:type="dxa"/>
            <w:shd w:val="clear" w:color="auto" w:fill="E5F6FC"/>
          </w:tcPr>
          <w:p w14:paraId="58D1C8B5" w14:textId="77777777" w:rsidR="008800C6" w:rsidRPr="00333E76" w:rsidRDefault="008800C6" w:rsidP="008150FD">
            <w:pPr>
              <w:pStyle w:val="TableTextRight"/>
              <w:rPr>
                <w:sz w:val="16"/>
                <w:szCs w:val="16"/>
              </w:rPr>
            </w:pPr>
          </w:p>
        </w:tc>
        <w:tc>
          <w:tcPr>
            <w:tcW w:w="1296" w:type="dxa"/>
            <w:shd w:val="clear" w:color="auto" w:fill="E5F6FC"/>
          </w:tcPr>
          <w:p w14:paraId="58D1C8B6" w14:textId="77777777" w:rsidR="008800C6" w:rsidRPr="00333E76" w:rsidRDefault="008800C6" w:rsidP="008150FD">
            <w:pPr>
              <w:pStyle w:val="TableTextRight"/>
              <w:rPr>
                <w:sz w:val="16"/>
                <w:szCs w:val="16"/>
              </w:rPr>
            </w:pPr>
          </w:p>
        </w:tc>
        <w:tc>
          <w:tcPr>
            <w:tcW w:w="1276" w:type="dxa"/>
            <w:shd w:val="clear" w:color="auto" w:fill="E5F6FC"/>
          </w:tcPr>
          <w:p w14:paraId="58D1C8B7" w14:textId="77777777" w:rsidR="008800C6" w:rsidRPr="00333E76" w:rsidRDefault="008800C6" w:rsidP="008150FD">
            <w:pPr>
              <w:pStyle w:val="TableTextRight"/>
              <w:rPr>
                <w:sz w:val="16"/>
                <w:szCs w:val="16"/>
              </w:rPr>
            </w:pPr>
          </w:p>
        </w:tc>
        <w:tc>
          <w:tcPr>
            <w:tcW w:w="1559" w:type="dxa"/>
            <w:shd w:val="clear" w:color="auto" w:fill="E5F6FC"/>
          </w:tcPr>
          <w:p w14:paraId="58D1C8B8" w14:textId="77777777" w:rsidR="008800C6" w:rsidRPr="00333E76" w:rsidRDefault="008800C6" w:rsidP="008150FD">
            <w:pPr>
              <w:pStyle w:val="TableTextRight"/>
              <w:rPr>
                <w:sz w:val="16"/>
                <w:szCs w:val="16"/>
              </w:rPr>
            </w:pPr>
            <w:r w:rsidRPr="00333E76">
              <w:rPr>
                <w:sz w:val="16"/>
                <w:szCs w:val="16"/>
              </w:rPr>
              <w:t>27,672,638</w:t>
            </w:r>
          </w:p>
        </w:tc>
        <w:tc>
          <w:tcPr>
            <w:tcW w:w="1560" w:type="dxa"/>
            <w:shd w:val="clear" w:color="auto" w:fill="E5F6FC"/>
          </w:tcPr>
          <w:p w14:paraId="58D1C8B9" w14:textId="77777777" w:rsidR="008800C6" w:rsidRPr="00333E76" w:rsidRDefault="008800C6" w:rsidP="008150FD">
            <w:pPr>
              <w:pStyle w:val="TableTextRight"/>
              <w:rPr>
                <w:sz w:val="16"/>
                <w:szCs w:val="16"/>
              </w:rPr>
            </w:pPr>
            <w:r w:rsidRPr="00333E76">
              <w:rPr>
                <w:sz w:val="16"/>
                <w:szCs w:val="16"/>
              </w:rPr>
              <w:t>27,672,638</w:t>
            </w:r>
          </w:p>
        </w:tc>
      </w:tr>
      <w:tr w:rsidR="00C6201E" w:rsidRPr="00333E76" w14:paraId="58D1C8C6" w14:textId="77777777" w:rsidTr="00333E76">
        <w:trPr>
          <w:cantSplit/>
          <w:trHeight w:val="20"/>
        </w:trPr>
        <w:tc>
          <w:tcPr>
            <w:tcW w:w="2943" w:type="dxa"/>
            <w:shd w:val="clear" w:color="auto" w:fill="E5F6FC"/>
          </w:tcPr>
          <w:p w14:paraId="58D1C8BB" w14:textId="77777777" w:rsidR="008800C6" w:rsidRPr="00333E76" w:rsidRDefault="00091597" w:rsidP="008150FD">
            <w:pPr>
              <w:pStyle w:val="TableText"/>
              <w:rPr>
                <w:sz w:val="16"/>
                <w:szCs w:val="16"/>
              </w:rPr>
            </w:pPr>
            <w:r w:rsidRPr="00333E76">
              <w:rPr>
                <w:sz w:val="16"/>
                <w:szCs w:val="16"/>
              </w:rPr>
              <w:t>Fees income</w:t>
            </w:r>
          </w:p>
        </w:tc>
        <w:tc>
          <w:tcPr>
            <w:tcW w:w="1296" w:type="dxa"/>
            <w:shd w:val="clear" w:color="auto" w:fill="E5F6FC"/>
          </w:tcPr>
          <w:p w14:paraId="58D1C8BC" w14:textId="77777777" w:rsidR="008800C6" w:rsidRPr="00333E76" w:rsidRDefault="008800C6" w:rsidP="008150FD">
            <w:pPr>
              <w:pStyle w:val="TableTextRight"/>
              <w:rPr>
                <w:sz w:val="16"/>
                <w:szCs w:val="16"/>
              </w:rPr>
            </w:pPr>
          </w:p>
        </w:tc>
        <w:tc>
          <w:tcPr>
            <w:tcW w:w="1296" w:type="dxa"/>
            <w:shd w:val="clear" w:color="auto" w:fill="E5F6FC"/>
          </w:tcPr>
          <w:p w14:paraId="58D1C8BD" w14:textId="77777777" w:rsidR="008800C6" w:rsidRPr="00333E76" w:rsidRDefault="008800C6" w:rsidP="008150FD">
            <w:pPr>
              <w:pStyle w:val="TableTextRight"/>
              <w:rPr>
                <w:sz w:val="16"/>
                <w:szCs w:val="16"/>
              </w:rPr>
            </w:pPr>
            <w:r w:rsidRPr="00333E76">
              <w:rPr>
                <w:sz w:val="16"/>
                <w:szCs w:val="16"/>
              </w:rPr>
              <w:t>543,693</w:t>
            </w:r>
          </w:p>
        </w:tc>
        <w:tc>
          <w:tcPr>
            <w:tcW w:w="1296" w:type="dxa"/>
            <w:shd w:val="clear" w:color="auto" w:fill="E5F6FC"/>
          </w:tcPr>
          <w:p w14:paraId="58D1C8BE" w14:textId="77777777" w:rsidR="008800C6" w:rsidRPr="00333E76" w:rsidRDefault="008800C6" w:rsidP="008150FD">
            <w:pPr>
              <w:pStyle w:val="TableTextRight"/>
              <w:rPr>
                <w:sz w:val="16"/>
                <w:szCs w:val="16"/>
              </w:rPr>
            </w:pPr>
            <w:r w:rsidRPr="00333E76">
              <w:rPr>
                <w:sz w:val="16"/>
                <w:szCs w:val="16"/>
              </w:rPr>
              <w:t>3,485,057</w:t>
            </w:r>
          </w:p>
        </w:tc>
        <w:tc>
          <w:tcPr>
            <w:tcW w:w="1296" w:type="dxa"/>
            <w:shd w:val="clear" w:color="auto" w:fill="E5F6FC"/>
          </w:tcPr>
          <w:p w14:paraId="58D1C8BF" w14:textId="77777777" w:rsidR="008800C6" w:rsidRPr="00333E76" w:rsidRDefault="008800C6" w:rsidP="008150FD">
            <w:pPr>
              <w:pStyle w:val="TableTextRight"/>
              <w:rPr>
                <w:sz w:val="16"/>
                <w:szCs w:val="16"/>
              </w:rPr>
            </w:pPr>
          </w:p>
        </w:tc>
        <w:tc>
          <w:tcPr>
            <w:tcW w:w="1296" w:type="dxa"/>
            <w:shd w:val="clear" w:color="auto" w:fill="E5F6FC"/>
          </w:tcPr>
          <w:p w14:paraId="58D1C8C0" w14:textId="77777777" w:rsidR="008800C6" w:rsidRPr="00333E76" w:rsidRDefault="008800C6" w:rsidP="008150FD">
            <w:pPr>
              <w:pStyle w:val="TableTextRight"/>
              <w:rPr>
                <w:sz w:val="16"/>
                <w:szCs w:val="16"/>
              </w:rPr>
            </w:pPr>
            <w:r w:rsidRPr="00333E76">
              <w:rPr>
                <w:sz w:val="16"/>
                <w:szCs w:val="16"/>
              </w:rPr>
              <w:t>2,984,930</w:t>
            </w:r>
          </w:p>
        </w:tc>
        <w:tc>
          <w:tcPr>
            <w:tcW w:w="1296" w:type="dxa"/>
            <w:shd w:val="clear" w:color="auto" w:fill="E5F6FC"/>
          </w:tcPr>
          <w:p w14:paraId="58D1C8C1" w14:textId="77777777" w:rsidR="008800C6" w:rsidRPr="00333E76" w:rsidRDefault="008800C6" w:rsidP="008150FD">
            <w:pPr>
              <w:pStyle w:val="TableTextRight"/>
              <w:rPr>
                <w:sz w:val="16"/>
                <w:szCs w:val="16"/>
              </w:rPr>
            </w:pPr>
            <w:r w:rsidRPr="00333E76">
              <w:rPr>
                <w:sz w:val="16"/>
                <w:szCs w:val="16"/>
              </w:rPr>
              <w:t>887,296</w:t>
            </w:r>
          </w:p>
        </w:tc>
        <w:tc>
          <w:tcPr>
            <w:tcW w:w="1296" w:type="dxa"/>
            <w:shd w:val="clear" w:color="auto" w:fill="E5F6FC"/>
          </w:tcPr>
          <w:p w14:paraId="58D1C8C2" w14:textId="77777777" w:rsidR="008800C6" w:rsidRPr="00333E76" w:rsidRDefault="008800C6" w:rsidP="008150FD">
            <w:pPr>
              <w:pStyle w:val="TableTextRight"/>
              <w:rPr>
                <w:sz w:val="16"/>
                <w:szCs w:val="16"/>
              </w:rPr>
            </w:pPr>
            <w:r w:rsidRPr="00333E76">
              <w:rPr>
                <w:sz w:val="16"/>
                <w:szCs w:val="16"/>
              </w:rPr>
              <w:t>5,766,674</w:t>
            </w:r>
          </w:p>
        </w:tc>
        <w:tc>
          <w:tcPr>
            <w:tcW w:w="1276" w:type="dxa"/>
            <w:shd w:val="clear" w:color="auto" w:fill="E5F6FC"/>
          </w:tcPr>
          <w:p w14:paraId="58D1C8C3" w14:textId="77777777" w:rsidR="008800C6" w:rsidRPr="00333E76" w:rsidRDefault="008800C6" w:rsidP="008150FD">
            <w:pPr>
              <w:pStyle w:val="TableTextRight"/>
              <w:rPr>
                <w:sz w:val="16"/>
                <w:szCs w:val="16"/>
              </w:rPr>
            </w:pPr>
            <w:r w:rsidRPr="00333E76">
              <w:rPr>
                <w:sz w:val="16"/>
                <w:szCs w:val="16"/>
              </w:rPr>
              <w:t>13,667,650</w:t>
            </w:r>
          </w:p>
        </w:tc>
        <w:tc>
          <w:tcPr>
            <w:tcW w:w="1559" w:type="dxa"/>
            <w:shd w:val="clear" w:color="auto" w:fill="E5F6FC"/>
          </w:tcPr>
          <w:p w14:paraId="58D1C8C4" w14:textId="77777777" w:rsidR="008800C6" w:rsidRPr="00333E76" w:rsidRDefault="008800C6" w:rsidP="008150FD">
            <w:pPr>
              <w:pStyle w:val="TableTextRight"/>
              <w:rPr>
                <w:sz w:val="16"/>
                <w:szCs w:val="16"/>
              </w:rPr>
            </w:pPr>
            <w:r w:rsidRPr="00333E76">
              <w:rPr>
                <w:sz w:val="16"/>
                <w:szCs w:val="16"/>
              </w:rPr>
              <w:t>2,456,530</w:t>
            </w:r>
          </w:p>
        </w:tc>
        <w:tc>
          <w:tcPr>
            <w:tcW w:w="1560" w:type="dxa"/>
            <w:shd w:val="clear" w:color="auto" w:fill="E5F6FC"/>
          </w:tcPr>
          <w:p w14:paraId="58D1C8C5" w14:textId="77777777" w:rsidR="008800C6" w:rsidRPr="00333E76" w:rsidRDefault="008800C6" w:rsidP="008150FD">
            <w:pPr>
              <w:pStyle w:val="TableTextRight"/>
              <w:rPr>
                <w:sz w:val="16"/>
                <w:szCs w:val="16"/>
              </w:rPr>
            </w:pPr>
            <w:r w:rsidRPr="00333E76">
              <w:rPr>
                <w:sz w:val="16"/>
                <w:szCs w:val="16"/>
              </w:rPr>
              <w:t>16,124,180</w:t>
            </w:r>
          </w:p>
        </w:tc>
      </w:tr>
      <w:tr w:rsidR="00C6201E" w:rsidRPr="00333E76" w14:paraId="58D1C8D2" w14:textId="77777777" w:rsidTr="00333E76">
        <w:trPr>
          <w:cantSplit/>
          <w:trHeight w:val="20"/>
        </w:trPr>
        <w:tc>
          <w:tcPr>
            <w:tcW w:w="2943" w:type="dxa"/>
            <w:shd w:val="clear" w:color="auto" w:fill="E5F6FC"/>
          </w:tcPr>
          <w:p w14:paraId="58D1C8C7" w14:textId="77777777" w:rsidR="008800C6" w:rsidRPr="00333E76" w:rsidRDefault="00653983" w:rsidP="008150FD">
            <w:pPr>
              <w:pStyle w:val="TableText"/>
              <w:rPr>
                <w:sz w:val="16"/>
                <w:szCs w:val="16"/>
              </w:rPr>
            </w:pPr>
            <w:r w:rsidRPr="00333E76">
              <w:rPr>
                <w:sz w:val="16"/>
                <w:szCs w:val="16"/>
              </w:rPr>
              <w:t>Interest income</w:t>
            </w:r>
          </w:p>
        </w:tc>
        <w:tc>
          <w:tcPr>
            <w:tcW w:w="1296" w:type="dxa"/>
            <w:shd w:val="clear" w:color="auto" w:fill="E5F6FC"/>
          </w:tcPr>
          <w:p w14:paraId="58D1C8C8" w14:textId="77777777" w:rsidR="008800C6" w:rsidRPr="00333E76" w:rsidRDefault="008800C6" w:rsidP="008150FD">
            <w:pPr>
              <w:pStyle w:val="TableTextRight"/>
              <w:rPr>
                <w:sz w:val="16"/>
                <w:szCs w:val="16"/>
              </w:rPr>
            </w:pPr>
            <w:r w:rsidRPr="00333E76">
              <w:rPr>
                <w:sz w:val="16"/>
                <w:szCs w:val="16"/>
              </w:rPr>
              <w:t>25,778</w:t>
            </w:r>
          </w:p>
        </w:tc>
        <w:tc>
          <w:tcPr>
            <w:tcW w:w="1296" w:type="dxa"/>
            <w:shd w:val="clear" w:color="auto" w:fill="E5F6FC"/>
          </w:tcPr>
          <w:p w14:paraId="58D1C8C9" w14:textId="77777777" w:rsidR="008800C6" w:rsidRPr="00333E76" w:rsidRDefault="008800C6" w:rsidP="008150FD">
            <w:pPr>
              <w:pStyle w:val="TableTextRight"/>
              <w:rPr>
                <w:sz w:val="16"/>
                <w:szCs w:val="16"/>
              </w:rPr>
            </w:pPr>
            <w:r w:rsidRPr="00333E76">
              <w:rPr>
                <w:sz w:val="16"/>
                <w:szCs w:val="16"/>
              </w:rPr>
              <w:t>391,779</w:t>
            </w:r>
          </w:p>
        </w:tc>
        <w:tc>
          <w:tcPr>
            <w:tcW w:w="1296" w:type="dxa"/>
            <w:shd w:val="clear" w:color="auto" w:fill="E5F6FC"/>
          </w:tcPr>
          <w:p w14:paraId="58D1C8CA" w14:textId="77777777" w:rsidR="008800C6" w:rsidRPr="00333E76" w:rsidRDefault="008800C6" w:rsidP="008150FD">
            <w:pPr>
              <w:pStyle w:val="TableTextRight"/>
              <w:rPr>
                <w:sz w:val="16"/>
                <w:szCs w:val="16"/>
              </w:rPr>
            </w:pPr>
            <w:r w:rsidRPr="00333E76">
              <w:rPr>
                <w:sz w:val="16"/>
                <w:szCs w:val="16"/>
              </w:rPr>
              <w:t>41,219</w:t>
            </w:r>
          </w:p>
        </w:tc>
        <w:tc>
          <w:tcPr>
            <w:tcW w:w="1296" w:type="dxa"/>
            <w:shd w:val="clear" w:color="auto" w:fill="E5F6FC"/>
          </w:tcPr>
          <w:p w14:paraId="58D1C8CB" w14:textId="77777777" w:rsidR="008800C6" w:rsidRPr="00333E76" w:rsidRDefault="008800C6" w:rsidP="008150FD">
            <w:pPr>
              <w:pStyle w:val="TableTextRight"/>
              <w:rPr>
                <w:sz w:val="16"/>
                <w:szCs w:val="16"/>
              </w:rPr>
            </w:pPr>
            <w:r w:rsidRPr="00333E76">
              <w:rPr>
                <w:sz w:val="16"/>
                <w:szCs w:val="16"/>
              </w:rPr>
              <w:t>1,156,964</w:t>
            </w:r>
          </w:p>
        </w:tc>
        <w:tc>
          <w:tcPr>
            <w:tcW w:w="1296" w:type="dxa"/>
            <w:shd w:val="clear" w:color="auto" w:fill="E5F6FC"/>
          </w:tcPr>
          <w:p w14:paraId="58D1C8CC" w14:textId="77777777" w:rsidR="008800C6" w:rsidRPr="00333E76" w:rsidRDefault="008800C6" w:rsidP="008150FD">
            <w:pPr>
              <w:pStyle w:val="TableTextRight"/>
              <w:rPr>
                <w:sz w:val="16"/>
                <w:szCs w:val="16"/>
              </w:rPr>
            </w:pPr>
            <w:r w:rsidRPr="00333E76">
              <w:rPr>
                <w:sz w:val="16"/>
                <w:szCs w:val="16"/>
              </w:rPr>
              <w:t>1,208,055</w:t>
            </w:r>
          </w:p>
        </w:tc>
        <w:tc>
          <w:tcPr>
            <w:tcW w:w="1296" w:type="dxa"/>
            <w:shd w:val="clear" w:color="auto" w:fill="E5F6FC"/>
          </w:tcPr>
          <w:p w14:paraId="58D1C8CD" w14:textId="77777777" w:rsidR="008800C6" w:rsidRPr="00333E76" w:rsidRDefault="008800C6" w:rsidP="008150FD">
            <w:pPr>
              <w:pStyle w:val="TableTextRight"/>
              <w:rPr>
                <w:sz w:val="16"/>
                <w:szCs w:val="16"/>
              </w:rPr>
            </w:pPr>
            <w:r w:rsidRPr="00333E76">
              <w:rPr>
                <w:sz w:val="16"/>
                <w:szCs w:val="16"/>
              </w:rPr>
              <w:t>9,692</w:t>
            </w:r>
          </w:p>
        </w:tc>
        <w:tc>
          <w:tcPr>
            <w:tcW w:w="1296" w:type="dxa"/>
            <w:shd w:val="clear" w:color="auto" w:fill="E5F6FC"/>
          </w:tcPr>
          <w:p w14:paraId="58D1C8CE" w14:textId="77777777" w:rsidR="008800C6" w:rsidRPr="00333E76" w:rsidRDefault="008800C6" w:rsidP="008150FD">
            <w:pPr>
              <w:pStyle w:val="TableTextRight"/>
              <w:rPr>
                <w:sz w:val="16"/>
                <w:szCs w:val="16"/>
              </w:rPr>
            </w:pPr>
            <w:r w:rsidRPr="00333E76">
              <w:rPr>
                <w:sz w:val="16"/>
                <w:szCs w:val="16"/>
              </w:rPr>
              <w:t>16,805,765</w:t>
            </w:r>
          </w:p>
        </w:tc>
        <w:tc>
          <w:tcPr>
            <w:tcW w:w="1276" w:type="dxa"/>
            <w:shd w:val="clear" w:color="auto" w:fill="E5F6FC"/>
          </w:tcPr>
          <w:p w14:paraId="58D1C8CF" w14:textId="77777777" w:rsidR="008800C6" w:rsidRPr="00333E76" w:rsidRDefault="008800C6" w:rsidP="008150FD">
            <w:pPr>
              <w:pStyle w:val="TableTextRight"/>
              <w:rPr>
                <w:sz w:val="16"/>
                <w:szCs w:val="16"/>
              </w:rPr>
            </w:pPr>
            <w:r w:rsidRPr="00333E76">
              <w:rPr>
                <w:sz w:val="16"/>
                <w:szCs w:val="16"/>
              </w:rPr>
              <w:t>19,639,252</w:t>
            </w:r>
          </w:p>
        </w:tc>
        <w:tc>
          <w:tcPr>
            <w:tcW w:w="1559" w:type="dxa"/>
            <w:shd w:val="clear" w:color="auto" w:fill="E5F6FC"/>
          </w:tcPr>
          <w:p w14:paraId="58D1C8D0" w14:textId="77777777" w:rsidR="008800C6" w:rsidRPr="00333E76" w:rsidRDefault="008800C6" w:rsidP="008150FD">
            <w:pPr>
              <w:pStyle w:val="TableTextRight"/>
              <w:rPr>
                <w:sz w:val="16"/>
                <w:szCs w:val="16"/>
              </w:rPr>
            </w:pPr>
          </w:p>
        </w:tc>
        <w:tc>
          <w:tcPr>
            <w:tcW w:w="1560" w:type="dxa"/>
            <w:shd w:val="clear" w:color="auto" w:fill="E5F6FC"/>
          </w:tcPr>
          <w:p w14:paraId="58D1C8D1" w14:textId="77777777" w:rsidR="008800C6" w:rsidRPr="00333E76" w:rsidRDefault="008800C6" w:rsidP="008150FD">
            <w:pPr>
              <w:pStyle w:val="TableTextRight"/>
              <w:rPr>
                <w:sz w:val="16"/>
                <w:szCs w:val="16"/>
              </w:rPr>
            </w:pPr>
            <w:r w:rsidRPr="00333E76">
              <w:rPr>
                <w:sz w:val="16"/>
                <w:szCs w:val="16"/>
              </w:rPr>
              <w:t>19,639,252</w:t>
            </w:r>
          </w:p>
        </w:tc>
      </w:tr>
      <w:tr w:rsidR="00C6201E" w:rsidRPr="00333E76" w14:paraId="58D1C8DE" w14:textId="77777777" w:rsidTr="00333E76">
        <w:trPr>
          <w:cantSplit/>
          <w:trHeight w:val="20"/>
        </w:trPr>
        <w:tc>
          <w:tcPr>
            <w:tcW w:w="2943" w:type="dxa"/>
            <w:shd w:val="clear" w:color="auto" w:fill="E5F6FC"/>
          </w:tcPr>
          <w:p w14:paraId="58D1C8D3" w14:textId="77777777" w:rsidR="008800C6" w:rsidRPr="00333E76" w:rsidRDefault="008800C6" w:rsidP="008150FD">
            <w:pPr>
              <w:pStyle w:val="TableText"/>
              <w:rPr>
                <w:sz w:val="16"/>
                <w:szCs w:val="16"/>
              </w:rPr>
            </w:pPr>
            <w:r w:rsidRPr="00333E76">
              <w:rPr>
                <w:sz w:val="16"/>
                <w:szCs w:val="16"/>
              </w:rPr>
              <w:t xml:space="preserve">Transferred from the </w:t>
            </w:r>
            <w:r w:rsidR="00653983" w:rsidRPr="00333E76">
              <w:rPr>
                <w:sz w:val="16"/>
                <w:szCs w:val="16"/>
              </w:rPr>
              <w:t>Victorian Building Authority</w:t>
            </w:r>
            <w:r w:rsidR="00653983" w:rsidRPr="00333E76">
              <w:rPr>
                <w:rStyle w:val="FootnoteReference"/>
                <w:sz w:val="16"/>
                <w:szCs w:val="16"/>
              </w:rPr>
              <w:footnoteReference w:id="16"/>
            </w:r>
          </w:p>
        </w:tc>
        <w:tc>
          <w:tcPr>
            <w:tcW w:w="1296" w:type="dxa"/>
            <w:shd w:val="clear" w:color="auto" w:fill="E5F6FC"/>
          </w:tcPr>
          <w:p w14:paraId="58D1C8D4" w14:textId="77777777" w:rsidR="008800C6" w:rsidRPr="00333E76" w:rsidRDefault="008800C6" w:rsidP="008150FD">
            <w:pPr>
              <w:pStyle w:val="TableTextRight"/>
              <w:rPr>
                <w:sz w:val="16"/>
                <w:szCs w:val="16"/>
              </w:rPr>
            </w:pPr>
          </w:p>
        </w:tc>
        <w:tc>
          <w:tcPr>
            <w:tcW w:w="1296" w:type="dxa"/>
            <w:shd w:val="clear" w:color="auto" w:fill="E5F6FC"/>
          </w:tcPr>
          <w:p w14:paraId="58D1C8D5" w14:textId="77777777" w:rsidR="008800C6" w:rsidRPr="00333E76" w:rsidRDefault="008800C6" w:rsidP="008150FD">
            <w:pPr>
              <w:pStyle w:val="TableTextRight"/>
              <w:rPr>
                <w:sz w:val="16"/>
                <w:szCs w:val="16"/>
              </w:rPr>
            </w:pPr>
            <w:r w:rsidRPr="00333E76">
              <w:rPr>
                <w:sz w:val="16"/>
                <w:szCs w:val="16"/>
              </w:rPr>
              <w:t>11,883,530</w:t>
            </w:r>
          </w:p>
        </w:tc>
        <w:tc>
          <w:tcPr>
            <w:tcW w:w="1296" w:type="dxa"/>
            <w:shd w:val="clear" w:color="auto" w:fill="E5F6FC"/>
          </w:tcPr>
          <w:p w14:paraId="58D1C8D6" w14:textId="77777777" w:rsidR="008800C6" w:rsidRPr="00333E76" w:rsidRDefault="008800C6" w:rsidP="008150FD">
            <w:pPr>
              <w:pStyle w:val="TableTextRight"/>
              <w:rPr>
                <w:sz w:val="16"/>
                <w:szCs w:val="16"/>
              </w:rPr>
            </w:pPr>
          </w:p>
        </w:tc>
        <w:tc>
          <w:tcPr>
            <w:tcW w:w="1296" w:type="dxa"/>
            <w:shd w:val="clear" w:color="auto" w:fill="E5F6FC"/>
          </w:tcPr>
          <w:p w14:paraId="58D1C8D7" w14:textId="77777777" w:rsidR="008800C6" w:rsidRPr="00333E76" w:rsidRDefault="008800C6" w:rsidP="008150FD">
            <w:pPr>
              <w:pStyle w:val="TableTextRight"/>
              <w:rPr>
                <w:sz w:val="16"/>
                <w:szCs w:val="16"/>
              </w:rPr>
            </w:pPr>
          </w:p>
        </w:tc>
        <w:tc>
          <w:tcPr>
            <w:tcW w:w="1296" w:type="dxa"/>
            <w:shd w:val="clear" w:color="auto" w:fill="E5F6FC"/>
          </w:tcPr>
          <w:p w14:paraId="58D1C8D8" w14:textId="77777777" w:rsidR="008800C6" w:rsidRPr="00333E76" w:rsidRDefault="008800C6" w:rsidP="008150FD">
            <w:pPr>
              <w:pStyle w:val="TableTextRight"/>
              <w:rPr>
                <w:sz w:val="16"/>
                <w:szCs w:val="16"/>
              </w:rPr>
            </w:pPr>
          </w:p>
        </w:tc>
        <w:tc>
          <w:tcPr>
            <w:tcW w:w="1296" w:type="dxa"/>
            <w:shd w:val="clear" w:color="auto" w:fill="E5F6FC"/>
          </w:tcPr>
          <w:p w14:paraId="58D1C8D9" w14:textId="77777777" w:rsidR="008800C6" w:rsidRPr="00333E76" w:rsidRDefault="008800C6" w:rsidP="008150FD">
            <w:pPr>
              <w:pStyle w:val="TableTextRight"/>
              <w:rPr>
                <w:sz w:val="16"/>
                <w:szCs w:val="16"/>
              </w:rPr>
            </w:pPr>
          </w:p>
        </w:tc>
        <w:tc>
          <w:tcPr>
            <w:tcW w:w="1296" w:type="dxa"/>
            <w:shd w:val="clear" w:color="auto" w:fill="E5F6FC"/>
          </w:tcPr>
          <w:p w14:paraId="58D1C8DA" w14:textId="77777777" w:rsidR="008800C6" w:rsidRPr="00333E76" w:rsidRDefault="008800C6" w:rsidP="008150FD">
            <w:pPr>
              <w:pStyle w:val="TableTextRight"/>
              <w:rPr>
                <w:sz w:val="16"/>
                <w:szCs w:val="16"/>
              </w:rPr>
            </w:pPr>
          </w:p>
        </w:tc>
        <w:tc>
          <w:tcPr>
            <w:tcW w:w="1276" w:type="dxa"/>
            <w:shd w:val="clear" w:color="auto" w:fill="E5F6FC"/>
          </w:tcPr>
          <w:p w14:paraId="58D1C8DB" w14:textId="77777777" w:rsidR="008800C6" w:rsidRPr="00333E76" w:rsidRDefault="008800C6" w:rsidP="008150FD">
            <w:pPr>
              <w:pStyle w:val="TableTextRight"/>
              <w:rPr>
                <w:sz w:val="16"/>
                <w:szCs w:val="16"/>
              </w:rPr>
            </w:pPr>
            <w:r w:rsidRPr="00333E76">
              <w:rPr>
                <w:sz w:val="16"/>
                <w:szCs w:val="16"/>
              </w:rPr>
              <w:t>11,883,530</w:t>
            </w:r>
          </w:p>
        </w:tc>
        <w:tc>
          <w:tcPr>
            <w:tcW w:w="1559" w:type="dxa"/>
            <w:shd w:val="clear" w:color="auto" w:fill="E5F6FC"/>
          </w:tcPr>
          <w:p w14:paraId="58D1C8DC" w14:textId="77777777" w:rsidR="008800C6" w:rsidRPr="00333E76" w:rsidRDefault="008800C6" w:rsidP="008150FD">
            <w:pPr>
              <w:pStyle w:val="TableTextRight"/>
              <w:rPr>
                <w:sz w:val="16"/>
                <w:szCs w:val="16"/>
              </w:rPr>
            </w:pPr>
          </w:p>
        </w:tc>
        <w:tc>
          <w:tcPr>
            <w:tcW w:w="1560" w:type="dxa"/>
            <w:shd w:val="clear" w:color="auto" w:fill="E5F6FC"/>
          </w:tcPr>
          <w:p w14:paraId="58D1C8DD" w14:textId="77777777" w:rsidR="008800C6" w:rsidRPr="00333E76" w:rsidRDefault="008800C6" w:rsidP="008150FD">
            <w:pPr>
              <w:pStyle w:val="TableTextRight"/>
              <w:rPr>
                <w:sz w:val="16"/>
                <w:szCs w:val="16"/>
              </w:rPr>
            </w:pPr>
            <w:r w:rsidRPr="00333E76">
              <w:rPr>
                <w:sz w:val="16"/>
                <w:szCs w:val="16"/>
              </w:rPr>
              <w:t>11,883,530</w:t>
            </w:r>
          </w:p>
        </w:tc>
      </w:tr>
      <w:tr w:rsidR="00C6201E" w:rsidRPr="00333E76" w14:paraId="58D1C8EA" w14:textId="77777777" w:rsidTr="00333E76">
        <w:trPr>
          <w:cantSplit/>
          <w:trHeight w:val="20"/>
        </w:trPr>
        <w:tc>
          <w:tcPr>
            <w:tcW w:w="2943" w:type="dxa"/>
            <w:shd w:val="clear" w:color="auto" w:fill="E5F6FC"/>
          </w:tcPr>
          <w:p w14:paraId="58D1C8DF" w14:textId="77777777" w:rsidR="008800C6" w:rsidRPr="00333E76" w:rsidRDefault="008800C6" w:rsidP="008150FD">
            <w:pPr>
              <w:pStyle w:val="TableText"/>
              <w:rPr>
                <w:sz w:val="16"/>
                <w:szCs w:val="16"/>
              </w:rPr>
            </w:pPr>
            <w:r w:rsidRPr="00333E76">
              <w:rPr>
                <w:sz w:val="16"/>
                <w:szCs w:val="16"/>
              </w:rPr>
              <w:t>Gr</w:t>
            </w:r>
            <w:r w:rsidR="00091597" w:rsidRPr="00333E76">
              <w:rPr>
                <w:sz w:val="16"/>
                <w:szCs w:val="16"/>
              </w:rPr>
              <w:t>ants received and other revenue</w:t>
            </w:r>
          </w:p>
        </w:tc>
        <w:tc>
          <w:tcPr>
            <w:tcW w:w="1296" w:type="dxa"/>
            <w:shd w:val="clear" w:color="auto" w:fill="E5F6FC"/>
          </w:tcPr>
          <w:p w14:paraId="58D1C8E0" w14:textId="77777777" w:rsidR="008800C6" w:rsidRPr="00333E76" w:rsidRDefault="008800C6" w:rsidP="008150FD">
            <w:pPr>
              <w:pStyle w:val="TableTextRight"/>
              <w:rPr>
                <w:sz w:val="16"/>
                <w:szCs w:val="16"/>
              </w:rPr>
            </w:pPr>
            <w:r w:rsidRPr="00333E76">
              <w:rPr>
                <w:sz w:val="16"/>
                <w:szCs w:val="16"/>
              </w:rPr>
              <w:t>230,000</w:t>
            </w:r>
          </w:p>
        </w:tc>
        <w:tc>
          <w:tcPr>
            <w:tcW w:w="1296" w:type="dxa"/>
            <w:shd w:val="clear" w:color="auto" w:fill="E5F6FC"/>
          </w:tcPr>
          <w:p w14:paraId="58D1C8E1" w14:textId="77777777" w:rsidR="008800C6" w:rsidRPr="00333E76" w:rsidRDefault="008800C6" w:rsidP="008150FD">
            <w:pPr>
              <w:pStyle w:val="TableTextRight"/>
              <w:rPr>
                <w:sz w:val="16"/>
                <w:szCs w:val="16"/>
              </w:rPr>
            </w:pPr>
            <w:r w:rsidRPr="00333E76">
              <w:rPr>
                <w:sz w:val="16"/>
                <w:szCs w:val="16"/>
              </w:rPr>
              <w:t>12,344</w:t>
            </w:r>
          </w:p>
        </w:tc>
        <w:tc>
          <w:tcPr>
            <w:tcW w:w="1296" w:type="dxa"/>
            <w:shd w:val="clear" w:color="auto" w:fill="E5F6FC"/>
          </w:tcPr>
          <w:p w14:paraId="58D1C8E2" w14:textId="77777777" w:rsidR="008800C6" w:rsidRPr="00333E76" w:rsidRDefault="008800C6" w:rsidP="008150FD">
            <w:pPr>
              <w:pStyle w:val="TableTextRight"/>
              <w:rPr>
                <w:sz w:val="16"/>
                <w:szCs w:val="16"/>
              </w:rPr>
            </w:pPr>
            <w:r w:rsidRPr="00333E76">
              <w:rPr>
                <w:sz w:val="16"/>
                <w:szCs w:val="16"/>
              </w:rPr>
              <w:t>12,186</w:t>
            </w:r>
          </w:p>
        </w:tc>
        <w:tc>
          <w:tcPr>
            <w:tcW w:w="1296" w:type="dxa"/>
            <w:shd w:val="clear" w:color="auto" w:fill="E5F6FC"/>
          </w:tcPr>
          <w:p w14:paraId="58D1C8E3" w14:textId="77777777" w:rsidR="008800C6" w:rsidRPr="00333E76" w:rsidRDefault="008800C6" w:rsidP="008150FD">
            <w:pPr>
              <w:pStyle w:val="TableTextRight"/>
              <w:rPr>
                <w:sz w:val="16"/>
                <w:szCs w:val="16"/>
              </w:rPr>
            </w:pPr>
          </w:p>
        </w:tc>
        <w:tc>
          <w:tcPr>
            <w:tcW w:w="1296" w:type="dxa"/>
            <w:shd w:val="clear" w:color="auto" w:fill="E5F6FC"/>
          </w:tcPr>
          <w:p w14:paraId="58D1C8E4" w14:textId="77777777" w:rsidR="008800C6" w:rsidRPr="00333E76" w:rsidRDefault="008800C6" w:rsidP="008150FD">
            <w:pPr>
              <w:pStyle w:val="TableTextRight"/>
              <w:rPr>
                <w:sz w:val="16"/>
                <w:szCs w:val="16"/>
              </w:rPr>
            </w:pPr>
            <w:r w:rsidRPr="00333E76">
              <w:rPr>
                <w:sz w:val="16"/>
                <w:szCs w:val="16"/>
              </w:rPr>
              <w:t>1,500</w:t>
            </w:r>
          </w:p>
        </w:tc>
        <w:tc>
          <w:tcPr>
            <w:tcW w:w="1296" w:type="dxa"/>
            <w:shd w:val="clear" w:color="auto" w:fill="E5F6FC"/>
          </w:tcPr>
          <w:p w14:paraId="58D1C8E5" w14:textId="77777777" w:rsidR="008800C6" w:rsidRPr="00333E76" w:rsidRDefault="008800C6" w:rsidP="008150FD">
            <w:pPr>
              <w:pStyle w:val="TableTextRight"/>
              <w:rPr>
                <w:sz w:val="16"/>
                <w:szCs w:val="16"/>
              </w:rPr>
            </w:pPr>
            <w:r w:rsidRPr="00333E76">
              <w:rPr>
                <w:sz w:val="16"/>
                <w:szCs w:val="16"/>
              </w:rPr>
              <w:t>3,198</w:t>
            </w:r>
          </w:p>
        </w:tc>
        <w:tc>
          <w:tcPr>
            <w:tcW w:w="1296" w:type="dxa"/>
            <w:shd w:val="clear" w:color="auto" w:fill="E5F6FC"/>
          </w:tcPr>
          <w:p w14:paraId="58D1C8E6" w14:textId="77777777" w:rsidR="008800C6" w:rsidRPr="00333E76" w:rsidRDefault="008800C6" w:rsidP="008150FD">
            <w:pPr>
              <w:pStyle w:val="TableTextRight"/>
              <w:rPr>
                <w:sz w:val="16"/>
                <w:szCs w:val="16"/>
              </w:rPr>
            </w:pPr>
            <w:r w:rsidRPr="00333E76">
              <w:rPr>
                <w:sz w:val="16"/>
                <w:szCs w:val="16"/>
              </w:rPr>
              <w:t>122,462</w:t>
            </w:r>
          </w:p>
        </w:tc>
        <w:tc>
          <w:tcPr>
            <w:tcW w:w="1276" w:type="dxa"/>
            <w:shd w:val="clear" w:color="auto" w:fill="E5F6FC"/>
          </w:tcPr>
          <w:p w14:paraId="58D1C8E7" w14:textId="77777777" w:rsidR="008800C6" w:rsidRPr="00333E76" w:rsidRDefault="008800C6" w:rsidP="008150FD">
            <w:pPr>
              <w:pStyle w:val="TableTextRight"/>
              <w:rPr>
                <w:sz w:val="16"/>
                <w:szCs w:val="16"/>
              </w:rPr>
            </w:pPr>
            <w:r w:rsidRPr="00333E76">
              <w:rPr>
                <w:sz w:val="16"/>
                <w:szCs w:val="16"/>
              </w:rPr>
              <w:t>381,690</w:t>
            </w:r>
          </w:p>
        </w:tc>
        <w:tc>
          <w:tcPr>
            <w:tcW w:w="1559" w:type="dxa"/>
            <w:shd w:val="clear" w:color="auto" w:fill="E5F6FC"/>
          </w:tcPr>
          <w:p w14:paraId="58D1C8E8" w14:textId="77777777" w:rsidR="008800C6" w:rsidRPr="00333E76" w:rsidRDefault="008800C6" w:rsidP="008150FD">
            <w:pPr>
              <w:pStyle w:val="TableTextRight"/>
              <w:rPr>
                <w:sz w:val="16"/>
                <w:szCs w:val="16"/>
              </w:rPr>
            </w:pPr>
            <w:r w:rsidRPr="00333E76">
              <w:rPr>
                <w:sz w:val="16"/>
                <w:szCs w:val="16"/>
              </w:rPr>
              <w:t>5,529,555</w:t>
            </w:r>
          </w:p>
        </w:tc>
        <w:tc>
          <w:tcPr>
            <w:tcW w:w="1560" w:type="dxa"/>
            <w:shd w:val="clear" w:color="auto" w:fill="E5F6FC"/>
          </w:tcPr>
          <w:p w14:paraId="58D1C8E9" w14:textId="77777777" w:rsidR="008800C6" w:rsidRPr="00333E76" w:rsidRDefault="008800C6" w:rsidP="008150FD">
            <w:pPr>
              <w:pStyle w:val="TableTextRight"/>
              <w:rPr>
                <w:sz w:val="16"/>
                <w:szCs w:val="16"/>
              </w:rPr>
            </w:pPr>
            <w:r w:rsidRPr="00333E76">
              <w:rPr>
                <w:sz w:val="16"/>
                <w:szCs w:val="16"/>
              </w:rPr>
              <w:t>5,911,245</w:t>
            </w:r>
          </w:p>
        </w:tc>
      </w:tr>
      <w:tr w:rsidR="00C6201E" w:rsidRPr="00333E76" w14:paraId="58D1C8F6" w14:textId="77777777" w:rsidTr="00333E76">
        <w:trPr>
          <w:cantSplit/>
          <w:trHeight w:val="20"/>
        </w:trPr>
        <w:tc>
          <w:tcPr>
            <w:tcW w:w="2943" w:type="dxa"/>
            <w:shd w:val="clear" w:color="auto" w:fill="E5F6FC"/>
          </w:tcPr>
          <w:p w14:paraId="58D1C8EB" w14:textId="77777777" w:rsidR="008800C6" w:rsidRPr="00333E76" w:rsidRDefault="008800C6" w:rsidP="008150FD">
            <w:pPr>
              <w:pStyle w:val="TableText"/>
              <w:rPr>
                <w:sz w:val="16"/>
                <w:szCs w:val="16"/>
              </w:rPr>
            </w:pPr>
            <w:r w:rsidRPr="00333E76">
              <w:rPr>
                <w:sz w:val="16"/>
                <w:szCs w:val="16"/>
              </w:rPr>
              <w:t>Recoveries related to claims previously paid</w:t>
            </w:r>
          </w:p>
        </w:tc>
        <w:tc>
          <w:tcPr>
            <w:tcW w:w="1296" w:type="dxa"/>
            <w:shd w:val="clear" w:color="auto" w:fill="E5F6FC"/>
          </w:tcPr>
          <w:p w14:paraId="58D1C8EC" w14:textId="77777777" w:rsidR="008800C6" w:rsidRPr="00333E76" w:rsidRDefault="008800C6" w:rsidP="008150FD">
            <w:pPr>
              <w:pStyle w:val="TableTextRight"/>
              <w:rPr>
                <w:sz w:val="16"/>
                <w:szCs w:val="16"/>
              </w:rPr>
            </w:pPr>
          </w:p>
        </w:tc>
        <w:tc>
          <w:tcPr>
            <w:tcW w:w="1296" w:type="dxa"/>
            <w:shd w:val="clear" w:color="auto" w:fill="E5F6FC"/>
          </w:tcPr>
          <w:p w14:paraId="58D1C8ED" w14:textId="77777777" w:rsidR="008800C6" w:rsidRPr="00333E76" w:rsidRDefault="008800C6" w:rsidP="008150FD">
            <w:pPr>
              <w:pStyle w:val="TableTextRight"/>
              <w:rPr>
                <w:sz w:val="16"/>
                <w:szCs w:val="16"/>
              </w:rPr>
            </w:pPr>
          </w:p>
        </w:tc>
        <w:tc>
          <w:tcPr>
            <w:tcW w:w="1296" w:type="dxa"/>
            <w:shd w:val="clear" w:color="auto" w:fill="E5F6FC"/>
          </w:tcPr>
          <w:p w14:paraId="58D1C8EE" w14:textId="77777777" w:rsidR="008800C6" w:rsidRPr="00333E76" w:rsidRDefault="008800C6" w:rsidP="008150FD">
            <w:pPr>
              <w:pStyle w:val="TableTextRight"/>
              <w:rPr>
                <w:sz w:val="16"/>
                <w:szCs w:val="16"/>
              </w:rPr>
            </w:pPr>
            <w:r w:rsidRPr="00333E76">
              <w:rPr>
                <w:sz w:val="16"/>
                <w:szCs w:val="16"/>
              </w:rPr>
              <w:t>44,290</w:t>
            </w:r>
          </w:p>
        </w:tc>
        <w:tc>
          <w:tcPr>
            <w:tcW w:w="1296" w:type="dxa"/>
            <w:shd w:val="clear" w:color="auto" w:fill="E5F6FC"/>
          </w:tcPr>
          <w:p w14:paraId="58D1C8EF" w14:textId="77777777" w:rsidR="008800C6" w:rsidRPr="00333E76" w:rsidRDefault="008800C6" w:rsidP="008150FD">
            <w:pPr>
              <w:pStyle w:val="TableTextRight"/>
              <w:rPr>
                <w:sz w:val="16"/>
                <w:szCs w:val="16"/>
              </w:rPr>
            </w:pPr>
          </w:p>
        </w:tc>
        <w:tc>
          <w:tcPr>
            <w:tcW w:w="1296" w:type="dxa"/>
            <w:shd w:val="clear" w:color="auto" w:fill="E5F6FC"/>
          </w:tcPr>
          <w:p w14:paraId="58D1C8F0" w14:textId="77777777" w:rsidR="008800C6" w:rsidRPr="00333E76" w:rsidRDefault="008800C6" w:rsidP="008150FD">
            <w:pPr>
              <w:pStyle w:val="TableTextRight"/>
              <w:rPr>
                <w:sz w:val="16"/>
                <w:szCs w:val="16"/>
              </w:rPr>
            </w:pPr>
          </w:p>
        </w:tc>
        <w:tc>
          <w:tcPr>
            <w:tcW w:w="1296" w:type="dxa"/>
            <w:shd w:val="clear" w:color="auto" w:fill="E5F6FC"/>
          </w:tcPr>
          <w:p w14:paraId="58D1C8F1" w14:textId="77777777" w:rsidR="008800C6" w:rsidRPr="00333E76" w:rsidRDefault="008800C6" w:rsidP="008150FD">
            <w:pPr>
              <w:pStyle w:val="TableTextRight"/>
              <w:rPr>
                <w:sz w:val="16"/>
                <w:szCs w:val="16"/>
              </w:rPr>
            </w:pPr>
          </w:p>
        </w:tc>
        <w:tc>
          <w:tcPr>
            <w:tcW w:w="1296" w:type="dxa"/>
            <w:shd w:val="clear" w:color="auto" w:fill="E5F6FC"/>
          </w:tcPr>
          <w:p w14:paraId="58D1C8F2" w14:textId="77777777" w:rsidR="008800C6" w:rsidRPr="00333E76" w:rsidRDefault="008800C6" w:rsidP="008150FD">
            <w:pPr>
              <w:pStyle w:val="TableTextRight"/>
              <w:rPr>
                <w:sz w:val="16"/>
                <w:szCs w:val="16"/>
              </w:rPr>
            </w:pPr>
          </w:p>
        </w:tc>
        <w:tc>
          <w:tcPr>
            <w:tcW w:w="1276" w:type="dxa"/>
            <w:shd w:val="clear" w:color="auto" w:fill="E5F6FC"/>
          </w:tcPr>
          <w:p w14:paraId="58D1C8F3" w14:textId="77777777" w:rsidR="008800C6" w:rsidRPr="00333E76" w:rsidRDefault="008800C6" w:rsidP="008150FD">
            <w:pPr>
              <w:pStyle w:val="TableTextRight"/>
              <w:rPr>
                <w:sz w:val="16"/>
                <w:szCs w:val="16"/>
              </w:rPr>
            </w:pPr>
            <w:r w:rsidRPr="00333E76">
              <w:rPr>
                <w:sz w:val="16"/>
                <w:szCs w:val="16"/>
              </w:rPr>
              <w:t>44,290</w:t>
            </w:r>
          </w:p>
        </w:tc>
        <w:tc>
          <w:tcPr>
            <w:tcW w:w="1559" w:type="dxa"/>
            <w:shd w:val="clear" w:color="auto" w:fill="E5F6FC"/>
          </w:tcPr>
          <w:p w14:paraId="58D1C8F4" w14:textId="77777777" w:rsidR="008800C6" w:rsidRPr="00333E76" w:rsidRDefault="008800C6" w:rsidP="008150FD">
            <w:pPr>
              <w:pStyle w:val="TableTextRight"/>
              <w:rPr>
                <w:sz w:val="16"/>
                <w:szCs w:val="16"/>
              </w:rPr>
            </w:pPr>
          </w:p>
        </w:tc>
        <w:tc>
          <w:tcPr>
            <w:tcW w:w="1560" w:type="dxa"/>
            <w:shd w:val="clear" w:color="auto" w:fill="E5F6FC"/>
          </w:tcPr>
          <w:p w14:paraId="58D1C8F5" w14:textId="77777777" w:rsidR="008800C6" w:rsidRPr="00333E76" w:rsidRDefault="008800C6" w:rsidP="008150FD">
            <w:pPr>
              <w:pStyle w:val="TableTextRight"/>
              <w:rPr>
                <w:sz w:val="16"/>
                <w:szCs w:val="16"/>
              </w:rPr>
            </w:pPr>
            <w:r w:rsidRPr="00333E76">
              <w:rPr>
                <w:sz w:val="16"/>
                <w:szCs w:val="16"/>
              </w:rPr>
              <w:t>44,290</w:t>
            </w:r>
          </w:p>
        </w:tc>
      </w:tr>
      <w:tr w:rsidR="00C6201E" w:rsidRPr="00333E76" w14:paraId="58D1C902" w14:textId="77777777" w:rsidTr="00333E76">
        <w:trPr>
          <w:cantSplit/>
          <w:trHeight w:val="20"/>
        </w:trPr>
        <w:tc>
          <w:tcPr>
            <w:tcW w:w="2943" w:type="dxa"/>
            <w:shd w:val="clear" w:color="auto" w:fill="E5F6FC"/>
          </w:tcPr>
          <w:p w14:paraId="58D1C8F7" w14:textId="77777777" w:rsidR="008800C6" w:rsidRPr="00333E76" w:rsidRDefault="00091597" w:rsidP="008150FD">
            <w:pPr>
              <w:pStyle w:val="TableText"/>
              <w:rPr>
                <w:sz w:val="16"/>
                <w:szCs w:val="16"/>
              </w:rPr>
            </w:pPr>
            <w:r w:rsidRPr="00333E76">
              <w:rPr>
                <w:sz w:val="16"/>
                <w:szCs w:val="16"/>
              </w:rPr>
              <w:t>Penalty income</w:t>
            </w:r>
          </w:p>
        </w:tc>
        <w:tc>
          <w:tcPr>
            <w:tcW w:w="1296" w:type="dxa"/>
            <w:shd w:val="clear" w:color="auto" w:fill="E5F6FC"/>
          </w:tcPr>
          <w:p w14:paraId="58D1C8F8" w14:textId="77777777" w:rsidR="008800C6" w:rsidRPr="00333E76" w:rsidRDefault="008800C6" w:rsidP="008150FD">
            <w:pPr>
              <w:pStyle w:val="TableTextRight"/>
              <w:rPr>
                <w:sz w:val="16"/>
                <w:szCs w:val="16"/>
              </w:rPr>
            </w:pPr>
          </w:p>
        </w:tc>
        <w:tc>
          <w:tcPr>
            <w:tcW w:w="1296" w:type="dxa"/>
            <w:shd w:val="clear" w:color="auto" w:fill="E5F6FC"/>
          </w:tcPr>
          <w:p w14:paraId="58D1C8F9" w14:textId="77777777" w:rsidR="008800C6" w:rsidRPr="00333E76" w:rsidRDefault="008800C6" w:rsidP="008150FD">
            <w:pPr>
              <w:pStyle w:val="TableTextRight"/>
              <w:rPr>
                <w:sz w:val="16"/>
                <w:szCs w:val="16"/>
              </w:rPr>
            </w:pPr>
          </w:p>
        </w:tc>
        <w:tc>
          <w:tcPr>
            <w:tcW w:w="1296" w:type="dxa"/>
            <w:shd w:val="clear" w:color="auto" w:fill="E5F6FC"/>
          </w:tcPr>
          <w:p w14:paraId="58D1C8FA" w14:textId="77777777" w:rsidR="008800C6" w:rsidRPr="00333E76" w:rsidRDefault="008800C6" w:rsidP="008150FD">
            <w:pPr>
              <w:pStyle w:val="TableTextRight"/>
              <w:rPr>
                <w:sz w:val="16"/>
                <w:szCs w:val="16"/>
              </w:rPr>
            </w:pPr>
            <w:r w:rsidRPr="00333E76">
              <w:rPr>
                <w:sz w:val="16"/>
                <w:szCs w:val="16"/>
              </w:rPr>
              <w:t>19,327</w:t>
            </w:r>
          </w:p>
        </w:tc>
        <w:tc>
          <w:tcPr>
            <w:tcW w:w="1296" w:type="dxa"/>
            <w:shd w:val="clear" w:color="auto" w:fill="E5F6FC"/>
          </w:tcPr>
          <w:p w14:paraId="58D1C8FB" w14:textId="77777777" w:rsidR="008800C6" w:rsidRPr="00333E76" w:rsidRDefault="008800C6" w:rsidP="008150FD">
            <w:pPr>
              <w:pStyle w:val="TableTextRight"/>
              <w:rPr>
                <w:sz w:val="16"/>
                <w:szCs w:val="16"/>
              </w:rPr>
            </w:pPr>
          </w:p>
        </w:tc>
        <w:tc>
          <w:tcPr>
            <w:tcW w:w="1296" w:type="dxa"/>
            <w:shd w:val="clear" w:color="auto" w:fill="E5F6FC"/>
          </w:tcPr>
          <w:p w14:paraId="58D1C8FC" w14:textId="77777777" w:rsidR="008800C6" w:rsidRPr="00333E76" w:rsidRDefault="008800C6" w:rsidP="008150FD">
            <w:pPr>
              <w:pStyle w:val="TableTextRight"/>
              <w:rPr>
                <w:sz w:val="16"/>
                <w:szCs w:val="16"/>
              </w:rPr>
            </w:pPr>
          </w:p>
        </w:tc>
        <w:tc>
          <w:tcPr>
            <w:tcW w:w="1296" w:type="dxa"/>
            <w:shd w:val="clear" w:color="auto" w:fill="E5F6FC"/>
          </w:tcPr>
          <w:p w14:paraId="58D1C8FD" w14:textId="77777777" w:rsidR="008800C6" w:rsidRPr="00333E76" w:rsidRDefault="008800C6" w:rsidP="008150FD">
            <w:pPr>
              <w:pStyle w:val="TableTextRight"/>
              <w:rPr>
                <w:sz w:val="16"/>
                <w:szCs w:val="16"/>
              </w:rPr>
            </w:pPr>
            <w:r w:rsidRPr="00333E76">
              <w:rPr>
                <w:sz w:val="16"/>
                <w:szCs w:val="16"/>
              </w:rPr>
              <w:t>7,555</w:t>
            </w:r>
          </w:p>
        </w:tc>
        <w:tc>
          <w:tcPr>
            <w:tcW w:w="1296" w:type="dxa"/>
            <w:shd w:val="clear" w:color="auto" w:fill="E5F6FC"/>
          </w:tcPr>
          <w:p w14:paraId="58D1C8FE" w14:textId="77777777" w:rsidR="008800C6" w:rsidRPr="00333E76" w:rsidRDefault="008800C6" w:rsidP="008150FD">
            <w:pPr>
              <w:pStyle w:val="TableTextRight"/>
              <w:rPr>
                <w:sz w:val="16"/>
                <w:szCs w:val="16"/>
                <w:highlight w:val="yellow"/>
              </w:rPr>
            </w:pPr>
            <w:r w:rsidRPr="00333E76">
              <w:rPr>
                <w:sz w:val="16"/>
                <w:szCs w:val="16"/>
              </w:rPr>
              <w:t>74,913</w:t>
            </w:r>
          </w:p>
        </w:tc>
        <w:tc>
          <w:tcPr>
            <w:tcW w:w="1276" w:type="dxa"/>
            <w:shd w:val="clear" w:color="auto" w:fill="E5F6FC"/>
          </w:tcPr>
          <w:p w14:paraId="58D1C8FF" w14:textId="77777777" w:rsidR="008800C6" w:rsidRPr="00333E76" w:rsidRDefault="008800C6" w:rsidP="008150FD">
            <w:pPr>
              <w:pStyle w:val="TableTextRight"/>
              <w:rPr>
                <w:sz w:val="16"/>
                <w:szCs w:val="16"/>
              </w:rPr>
            </w:pPr>
            <w:r w:rsidRPr="00333E76">
              <w:rPr>
                <w:sz w:val="16"/>
                <w:szCs w:val="16"/>
              </w:rPr>
              <w:t>101,795</w:t>
            </w:r>
          </w:p>
        </w:tc>
        <w:tc>
          <w:tcPr>
            <w:tcW w:w="1559" w:type="dxa"/>
            <w:shd w:val="clear" w:color="auto" w:fill="E5F6FC"/>
          </w:tcPr>
          <w:p w14:paraId="58D1C900" w14:textId="77777777" w:rsidR="008800C6" w:rsidRPr="00333E76" w:rsidRDefault="008800C6" w:rsidP="008150FD">
            <w:pPr>
              <w:pStyle w:val="TableTextRight"/>
              <w:rPr>
                <w:sz w:val="16"/>
                <w:szCs w:val="16"/>
              </w:rPr>
            </w:pPr>
          </w:p>
        </w:tc>
        <w:tc>
          <w:tcPr>
            <w:tcW w:w="1560" w:type="dxa"/>
            <w:shd w:val="clear" w:color="auto" w:fill="E5F6FC"/>
          </w:tcPr>
          <w:p w14:paraId="58D1C901" w14:textId="77777777" w:rsidR="008800C6" w:rsidRPr="00333E76" w:rsidRDefault="008800C6" w:rsidP="008150FD">
            <w:pPr>
              <w:pStyle w:val="TableTextRight"/>
              <w:rPr>
                <w:sz w:val="16"/>
                <w:szCs w:val="16"/>
              </w:rPr>
            </w:pPr>
            <w:r w:rsidRPr="00333E76">
              <w:rPr>
                <w:sz w:val="16"/>
                <w:szCs w:val="16"/>
              </w:rPr>
              <w:t>101,795</w:t>
            </w:r>
          </w:p>
        </w:tc>
      </w:tr>
      <w:tr w:rsidR="00C6201E" w:rsidRPr="00333E76" w14:paraId="58D1C90E" w14:textId="77777777" w:rsidTr="00333E76">
        <w:trPr>
          <w:cantSplit/>
          <w:trHeight w:val="20"/>
        </w:trPr>
        <w:tc>
          <w:tcPr>
            <w:tcW w:w="2943" w:type="dxa"/>
            <w:shd w:val="clear" w:color="auto" w:fill="E5F6FC"/>
          </w:tcPr>
          <w:p w14:paraId="58D1C903" w14:textId="77777777" w:rsidR="008800C6" w:rsidRPr="00333E76" w:rsidRDefault="00091597" w:rsidP="008150FD">
            <w:pPr>
              <w:pStyle w:val="TableText"/>
              <w:rPr>
                <w:sz w:val="16"/>
                <w:szCs w:val="16"/>
              </w:rPr>
            </w:pPr>
            <w:r w:rsidRPr="00333E76">
              <w:rPr>
                <w:sz w:val="16"/>
                <w:szCs w:val="16"/>
              </w:rPr>
              <w:t>Transfers</w:t>
            </w:r>
          </w:p>
        </w:tc>
        <w:tc>
          <w:tcPr>
            <w:tcW w:w="1296" w:type="dxa"/>
            <w:shd w:val="clear" w:color="auto" w:fill="E5F6FC"/>
          </w:tcPr>
          <w:p w14:paraId="58D1C904" w14:textId="77777777" w:rsidR="008800C6" w:rsidRPr="00333E76" w:rsidRDefault="008800C6" w:rsidP="008150FD">
            <w:pPr>
              <w:pStyle w:val="TableTextRight"/>
              <w:rPr>
                <w:sz w:val="16"/>
                <w:szCs w:val="16"/>
              </w:rPr>
            </w:pPr>
          </w:p>
        </w:tc>
        <w:tc>
          <w:tcPr>
            <w:tcW w:w="1296" w:type="dxa"/>
            <w:shd w:val="clear" w:color="auto" w:fill="E5F6FC"/>
          </w:tcPr>
          <w:p w14:paraId="58D1C905" w14:textId="77777777" w:rsidR="008800C6" w:rsidRPr="00333E76" w:rsidRDefault="008800C6" w:rsidP="008150FD">
            <w:pPr>
              <w:pStyle w:val="TableTextRight"/>
              <w:rPr>
                <w:sz w:val="16"/>
                <w:szCs w:val="16"/>
              </w:rPr>
            </w:pPr>
          </w:p>
        </w:tc>
        <w:tc>
          <w:tcPr>
            <w:tcW w:w="1296" w:type="dxa"/>
            <w:shd w:val="clear" w:color="auto" w:fill="E5F6FC"/>
          </w:tcPr>
          <w:p w14:paraId="58D1C906" w14:textId="77777777" w:rsidR="008800C6" w:rsidRPr="00333E76" w:rsidRDefault="008800C6" w:rsidP="008150FD">
            <w:pPr>
              <w:pStyle w:val="TableTextRight"/>
              <w:rPr>
                <w:sz w:val="16"/>
                <w:szCs w:val="16"/>
              </w:rPr>
            </w:pPr>
            <w:r w:rsidRPr="00333E76">
              <w:rPr>
                <w:sz w:val="16"/>
                <w:szCs w:val="16"/>
              </w:rPr>
              <w:t>100,000</w:t>
            </w:r>
          </w:p>
        </w:tc>
        <w:tc>
          <w:tcPr>
            <w:tcW w:w="1296" w:type="dxa"/>
            <w:shd w:val="clear" w:color="auto" w:fill="E5F6FC"/>
          </w:tcPr>
          <w:p w14:paraId="58D1C907" w14:textId="77777777" w:rsidR="008800C6" w:rsidRPr="00333E76" w:rsidRDefault="008800C6" w:rsidP="008150FD">
            <w:pPr>
              <w:pStyle w:val="TableTextRight"/>
              <w:rPr>
                <w:sz w:val="16"/>
                <w:szCs w:val="16"/>
              </w:rPr>
            </w:pPr>
            <w:r w:rsidRPr="00333E76">
              <w:rPr>
                <w:sz w:val="16"/>
                <w:szCs w:val="16"/>
              </w:rPr>
              <w:t>(10,000,000)</w:t>
            </w:r>
          </w:p>
        </w:tc>
        <w:tc>
          <w:tcPr>
            <w:tcW w:w="1296" w:type="dxa"/>
            <w:shd w:val="clear" w:color="auto" w:fill="E5F6FC"/>
          </w:tcPr>
          <w:p w14:paraId="58D1C908" w14:textId="77777777" w:rsidR="008800C6" w:rsidRPr="00333E76" w:rsidRDefault="008800C6" w:rsidP="008150FD">
            <w:pPr>
              <w:pStyle w:val="TableTextRight"/>
              <w:rPr>
                <w:sz w:val="16"/>
                <w:szCs w:val="16"/>
              </w:rPr>
            </w:pPr>
            <w:r w:rsidRPr="00333E76">
              <w:rPr>
                <w:sz w:val="16"/>
                <w:szCs w:val="16"/>
              </w:rPr>
              <w:t>22,500,000</w:t>
            </w:r>
          </w:p>
        </w:tc>
        <w:tc>
          <w:tcPr>
            <w:tcW w:w="1296" w:type="dxa"/>
            <w:shd w:val="clear" w:color="auto" w:fill="E5F6FC"/>
          </w:tcPr>
          <w:p w14:paraId="58D1C909" w14:textId="77777777" w:rsidR="008800C6" w:rsidRPr="00333E76" w:rsidRDefault="008800C6" w:rsidP="008150FD">
            <w:pPr>
              <w:pStyle w:val="TableTextRight"/>
              <w:rPr>
                <w:sz w:val="16"/>
                <w:szCs w:val="16"/>
              </w:rPr>
            </w:pPr>
            <w:r w:rsidRPr="00333E76">
              <w:rPr>
                <w:sz w:val="16"/>
                <w:szCs w:val="16"/>
              </w:rPr>
              <w:t>1,000,000</w:t>
            </w:r>
          </w:p>
        </w:tc>
        <w:tc>
          <w:tcPr>
            <w:tcW w:w="1296" w:type="dxa"/>
            <w:shd w:val="clear" w:color="auto" w:fill="E5F6FC"/>
          </w:tcPr>
          <w:p w14:paraId="58D1C90A" w14:textId="77777777" w:rsidR="008800C6" w:rsidRPr="00333E76" w:rsidRDefault="008800C6" w:rsidP="008150FD">
            <w:pPr>
              <w:pStyle w:val="TableTextRight"/>
              <w:rPr>
                <w:sz w:val="16"/>
                <w:szCs w:val="16"/>
              </w:rPr>
            </w:pPr>
            <w:r w:rsidRPr="00333E76">
              <w:rPr>
                <w:sz w:val="16"/>
                <w:szCs w:val="16"/>
              </w:rPr>
              <w:t>(12,500,000)</w:t>
            </w:r>
          </w:p>
        </w:tc>
        <w:tc>
          <w:tcPr>
            <w:tcW w:w="1276" w:type="dxa"/>
            <w:shd w:val="clear" w:color="auto" w:fill="E5F6FC"/>
          </w:tcPr>
          <w:p w14:paraId="58D1C90B" w14:textId="77777777" w:rsidR="008800C6" w:rsidRPr="00333E76" w:rsidRDefault="008800C6" w:rsidP="008150FD">
            <w:pPr>
              <w:pStyle w:val="TableTextRight"/>
              <w:rPr>
                <w:sz w:val="16"/>
                <w:szCs w:val="16"/>
              </w:rPr>
            </w:pPr>
            <w:r w:rsidRPr="00333E76">
              <w:rPr>
                <w:sz w:val="16"/>
                <w:szCs w:val="16"/>
              </w:rPr>
              <w:t>1,100,000</w:t>
            </w:r>
          </w:p>
        </w:tc>
        <w:tc>
          <w:tcPr>
            <w:tcW w:w="1559" w:type="dxa"/>
            <w:shd w:val="clear" w:color="auto" w:fill="E5F6FC"/>
          </w:tcPr>
          <w:p w14:paraId="58D1C90C" w14:textId="77777777" w:rsidR="008800C6" w:rsidRPr="00333E76" w:rsidRDefault="008800C6" w:rsidP="008150FD">
            <w:pPr>
              <w:pStyle w:val="TableTextRight"/>
              <w:rPr>
                <w:sz w:val="16"/>
                <w:szCs w:val="16"/>
              </w:rPr>
            </w:pPr>
            <w:r w:rsidRPr="00333E76">
              <w:rPr>
                <w:sz w:val="16"/>
                <w:szCs w:val="16"/>
              </w:rPr>
              <w:t>(1,100,000)</w:t>
            </w:r>
          </w:p>
        </w:tc>
        <w:tc>
          <w:tcPr>
            <w:tcW w:w="1560" w:type="dxa"/>
            <w:shd w:val="clear" w:color="auto" w:fill="E5F6FC"/>
          </w:tcPr>
          <w:p w14:paraId="58D1C90D" w14:textId="77777777" w:rsidR="008800C6" w:rsidRPr="00333E76" w:rsidRDefault="008800C6" w:rsidP="008150FD">
            <w:pPr>
              <w:pStyle w:val="TableTextRight"/>
              <w:rPr>
                <w:sz w:val="16"/>
                <w:szCs w:val="16"/>
              </w:rPr>
            </w:pPr>
            <w:r w:rsidRPr="00333E76">
              <w:rPr>
                <w:sz w:val="16"/>
                <w:szCs w:val="16"/>
              </w:rPr>
              <w:t>-</w:t>
            </w:r>
          </w:p>
        </w:tc>
      </w:tr>
      <w:tr w:rsidR="00C6201E" w:rsidRPr="00333E76" w14:paraId="58D1C91A" w14:textId="77777777" w:rsidTr="00333E76">
        <w:trPr>
          <w:cantSplit/>
          <w:trHeight w:val="20"/>
        </w:trPr>
        <w:tc>
          <w:tcPr>
            <w:tcW w:w="2943" w:type="dxa"/>
            <w:shd w:val="clear" w:color="auto" w:fill="E5F6FC"/>
          </w:tcPr>
          <w:p w14:paraId="58D1C90F" w14:textId="77777777" w:rsidR="008800C6" w:rsidRPr="00333E76" w:rsidRDefault="008800C6" w:rsidP="00177DC1">
            <w:pPr>
              <w:pStyle w:val="TableTextBold"/>
              <w:rPr>
                <w:sz w:val="16"/>
                <w:szCs w:val="16"/>
              </w:rPr>
            </w:pPr>
            <w:r w:rsidRPr="00333E76">
              <w:rPr>
                <w:sz w:val="16"/>
                <w:szCs w:val="16"/>
              </w:rPr>
              <w:t xml:space="preserve">Total </w:t>
            </w:r>
            <w:r w:rsidR="009F76FB" w:rsidRPr="00333E76">
              <w:rPr>
                <w:sz w:val="16"/>
                <w:szCs w:val="16"/>
              </w:rPr>
              <w:t>Consumer Affairs Victoria r</w:t>
            </w:r>
            <w:r w:rsidRPr="00333E76">
              <w:rPr>
                <w:sz w:val="16"/>
                <w:szCs w:val="16"/>
              </w:rPr>
              <w:t>eve</w:t>
            </w:r>
            <w:r w:rsidR="00177DC1" w:rsidRPr="00333E76">
              <w:rPr>
                <w:sz w:val="16"/>
                <w:szCs w:val="16"/>
              </w:rPr>
              <w:t>nue</w:t>
            </w:r>
          </w:p>
        </w:tc>
        <w:tc>
          <w:tcPr>
            <w:tcW w:w="1296" w:type="dxa"/>
            <w:shd w:val="clear" w:color="auto" w:fill="E5F6FC"/>
          </w:tcPr>
          <w:p w14:paraId="58D1C910" w14:textId="77777777" w:rsidR="008800C6" w:rsidRPr="00333E76" w:rsidRDefault="008800C6" w:rsidP="00177DC1">
            <w:pPr>
              <w:pStyle w:val="TableTextBoldRight"/>
              <w:rPr>
                <w:sz w:val="16"/>
                <w:szCs w:val="16"/>
              </w:rPr>
            </w:pPr>
            <w:r w:rsidRPr="00333E76">
              <w:rPr>
                <w:sz w:val="16"/>
                <w:szCs w:val="16"/>
              </w:rPr>
              <w:t>255,778</w:t>
            </w:r>
          </w:p>
        </w:tc>
        <w:tc>
          <w:tcPr>
            <w:tcW w:w="1296" w:type="dxa"/>
            <w:shd w:val="clear" w:color="auto" w:fill="E5F6FC"/>
          </w:tcPr>
          <w:p w14:paraId="58D1C911" w14:textId="77777777" w:rsidR="008800C6" w:rsidRPr="00333E76" w:rsidRDefault="008800C6" w:rsidP="00177DC1">
            <w:pPr>
              <w:pStyle w:val="TableTextBoldRight"/>
              <w:rPr>
                <w:sz w:val="16"/>
                <w:szCs w:val="16"/>
              </w:rPr>
            </w:pPr>
            <w:r w:rsidRPr="00333E76">
              <w:rPr>
                <w:sz w:val="16"/>
                <w:szCs w:val="16"/>
              </w:rPr>
              <w:t>12,831,346</w:t>
            </w:r>
          </w:p>
        </w:tc>
        <w:tc>
          <w:tcPr>
            <w:tcW w:w="1296" w:type="dxa"/>
            <w:shd w:val="clear" w:color="auto" w:fill="E5F6FC"/>
          </w:tcPr>
          <w:p w14:paraId="58D1C912" w14:textId="77777777" w:rsidR="008800C6" w:rsidRPr="00333E76" w:rsidRDefault="008800C6" w:rsidP="00177DC1">
            <w:pPr>
              <w:pStyle w:val="TableTextBoldRight"/>
              <w:rPr>
                <w:sz w:val="16"/>
                <w:szCs w:val="16"/>
              </w:rPr>
            </w:pPr>
            <w:r w:rsidRPr="00333E76">
              <w:rPr>
                <w:sz w:val="16"/>
                <w:szCs w:val="16"/>
              </w:rPr>
              <w:t>3,702,079</w:t>
            </w:r>
          </w:p>
        </w:tc>
        <w:tc>
          <w:tcPr>
            <w:tcW w:w="1296" w:type="dxa"/>
            <w:shd w:val="clear" w:color="auto" w:fill="E5F6FC"/>
          </w:tcPr>
          <w:p w14:paraId="58D1C913" w14:textId="77777777" w:rsidR="008800C6" w:rsidRPr="00333E76" w:rsidRDefault="008800C6" w:rsidP="00177DC1">
            <w:pPr>
              <w:pStyle w:val="TableTextBoldRight"/>
              <w:rPr>
                <w:sz w:val="16"/>
                <w:szCs w:val="16"/>
              </w:rPr>
            </w:pPr>
            <w:r w:rsidRPr="00333E76">
              <w:rPr>
                <w:sz w:val="16"/>
                <w:szCs w:val="16"/>
              </w:rPr>
              <w:t>11,001,429</w:t>
            </w:r>
          </w:p>
        </w:tc>
        <w:tc>
          <w:tcPr>
            <w:tcW w:w="1296" w:type="dxa"/>
            <w:shd w:val="clear" w:color="auto" w:fill="E5F6FC"/>
          </w:tcPr>
          <w:p w14:paraId="58D1C914" w14:textId="77777777" w:rsidR="008800C6" w:rsidRPr="00333E76" w:rsidRDefault="008800C6" w:rsidP="00177DC1">
            <w:pPr>
              <w:pStyle w:val="TableTextBoldRight"/>
              <w:rPr>
                <w:sz w:val="16"/>
                <w:szCs w:val="16"/>
              </w:rPr>
            </w:pPr>
            <w:r w:rsidRPr="00333E76">
              <w:rPr>
                <w:sz w:val="16"/>
                <w:szCs w:val="16"/>
              </w:rPr>
              <w:t>26,694,485</w:t>
            </w:r>
          </w:p>
        </w:tc>
        <w:tc>
          <w:tcPr>
            <w:tcW w:w="1296" w:type="dxa"/>
            <w:shd w:val="clear" w:color="auto" w:fill="E5F6FC"/>
          </w:tcPr>
          <w:p w14:paraId="58D1C915" w14:textId="77777777" w:rsidR="008800C6" w:rsidRPr="00333E76" w:rsidRDefault="008800C6" w:rsidP="00177DC1">
            <w:pPr>
              <w:pStyle w:val="TableTextBoldRight"/>
              <w:rPr>
                <w:sz w:val="16"/>
                <w:szCs w:val="16"/>
              </w:rPr>
            </w:pPr>
            <w:r w:rsidRPr="00333E76">
              <w:rPr>
                <w:sz w:val="16"/>
                <w:szCs w:val="16"/>
              </w:rPr>
              <w:t xml:space="preserve">1,907,741 </w:t>
            </w:r>
          </w:p>
        </w:tc>
        <w:tc>
          <w:tcPr>
            <w:tcW w:w="1296" w:type="dxa"/>
            <w:shd w:val="clear" w:color="auto" w:fill="E5F6FC"/>
          </w:tcPr>
          <w:p w14:paraId="58D1C916" w14:textId="77777777" w:rsidR="008800C6" w:rsidRPr="00333E76" w:rsidRDefault="008800C6" w:rsidP="00177DC1">
            <w:pPr>
              <w:pStyle w:val="TableTextBoldRight"/>
              <w:rPr>
                <w:sz w:val="16"/>
                <w:szCs w:val="16"/>
              </w:rPr>
            </w:pPr>
            <w:r w:rsidRPr="00333E76">
              <w:rPr>
                <w:sz w:val="16"/>
                <w:szCs w:val="16"/>
              </w:rPr>
              <w:t xml:space="preserve">40,092,387 </w:t>
            </w:r>
          </w:p>
        </w:tc>
        <w:tc>
          <w:tcPr>
            <w:tcW w:w="1276" w:type="dxa"/>
            <w:shd w:val="clear" w:color="auto" w:fill="E5F6FC"/>
          </w:tcPr>
          <w:p w14:paraId="58D1C917" w14:textId="77777777" w:rsidR="008800C6" w:rsidRPr="00333E76" w:rsidRDefault="008800C6" w:rsidP="00177DC1">
            <w:pPr>
              <w:pStyle w:val="TableTextBoldRight"/>
              <w:rPr>
                <w:sz w:val="16"/>
                <w:szCs w:val="16"/>
              </w:rPr>
            </w:pPr>
            <w:r w:rsidRPr="00333E76">
              <w:rPr>
                <w:sz w:val="16"/>
                <w:szCs w:val="16"/>
              </w:rPr>
              <w:t>96,485,245</w:t>
            </w:r>
          </w:p>
        </w:tc>
        <w:tc>
          <w:tcPr>
            <w:tcW w:w="1559" w:type="dxa"/>
            <w:shd w:val="clear" w:color="auto" w:fill="E5F6FC"/>
          </w:tcPr>
          <w:p w14:paraId="58D1C918" w14:textId="77777777" w:rsidR="008800C6" w:rsidRPr="00333E76" w:rsidRDefault="008800C6" w:rsidP="00177DC1">
            <w:pPr>
              <w:pStyle w:val="TableTextBoldRight"/>
              <w:rPr>
                <w:sz w:val="16"/>
                <w:szCs w:val="16"/>
              </w:rPr>
            </w:pPr>
            <w:r w:rsidRPr="00333E76">
              <w:rPr>
                <w:sz w:val="16"/>
                <w:szCs w:val="16"/>
              </w:rPr>
              <w:t xml:space="preserve">34,558,723 </w:t>
            </w:r>
          </w:p>
        </w:tc>
        <w:tc>
          <w:tcPr>
            <w:tcW w:w="1560" w:type="dxa"/>
            <w:shd w:val="clear" w:color="auto" w:fill="E5F6FC"/>
          </w:tcPr>
          <w:p w14:paraId="58D1C919" w14:textId="77777777" w:rsidR="008800C6" w:rsidRPr="00333E76" w:rsidRDefault="008800C6" w:rsidP="00177DC1">
            <w:pPr>
              <w:pStyle w:val="TableTextBoldRight"/>
              <w:rPr>
                <w:sz w:val="16"/>
                <w:szCs w:val="16"/>
              </w:rPr>
            </w:pPr>
            <w:r w:rsidRPr="00333E76">
              <w:rPr>
                <w:sz w:val="16"/>
                <w:szCs w:val="16"/>
              </w:rPr>
              <w:t>131,043,968</w:t>
            </w:r>
          </w:p>
        </w:tc>
      </w:tr>
      <w:tr w:rsidR="008800C6" w:rsidRPr="00333E76" w14:paraId="58D1C91C" w14:textId="77777777" w:rsidTr="00C6201E">
        <w:trPr>
          <w:cantSplit/>
          <w:trHeight w:val="20"/>
        </w:trPr>
        <w:tc>
          <w:tcPr>
            <w:tcW w:w="16410" w:type="dxa"/>
            <w:gridSpan w:val="11"/>
            <w:shd w:val="clear" w:color="auto" w:fill="C7ECF8"/>
          </w:tcPr>
          <w:p w14:paraId="58D1C91B" w14:textId="77777777" w:rsidR="008800C6" w:rsidRPr="00333E76" w:rsidRDefault="008800C6" w:rsidP="00177DC1">
            <w:pPr>
              <w:pStyle w:val="TableTextBold"/>
              <w:rPr>
                <w:sz w:val="16"/>
                <w:szCs w:val="16"/>
              </w:rPr>
            </w:pPr>
            <w:r w:rsidRPr="00333E76">
              <w:rPr>
                <w:sz w:val="16"/>
                <w:szCs w:val="16"/>
              </w:rPr>
              <w:t xml:space="preserve">Consumer Affairs Victoria expenditure </w:t>
            </w:r>
          </w:p>
        </w:tc>
      </w:tr>
      <w:tr w:rsidR="00C6201E" w:rsidRPr="00333E76" w14:paraId="58D1C928" w14:textId="77777777" w:rsidTr="00333E76">
        <w:trPr>
          <w:cantSplit/>
          <w:trHeight w:val="20"/>
        </w:trPr>
        <w:tc>
          <w:tcPr>
            <w:tcW w:w="2943" w:type="dxa"/>
            <w:shd w:val="clear" w:color="auto" w:fill="E5F6FC"/>
          </w:tcPr>
          <w:p w14:paraId="58D1C91D" w14:textId="77777777" w:rsidR="008800C6" w:rsidRPr="00333E76" w:rsidRDefault="00091597" w:rsidP="008150FD">
            <w:pPr>
              <w:pStyle w:val="TableText"/>
              <w:rPr>
                <w:sz w:val="16"/>
                <w:szCs w:val="16"/>
              </w:rPr>
            </w:pPr>
            <w:r w:rsidRPr="00333E76">
              <w:rPr>
                <w:sz w:val="16"/>
                <w:szCs w:val="16"/>
              </w:rPr>
              <w:t>Audit services</w:t>
            </w:r>
          </w:p>
        </w:tc>
        <w:tc>
          <w:tcPr>
            <w:tcW w:w="1296" w:type="dxa"/>
            <w:shd w:val="clear" w:color="auto" w:fill="E5F6FC"/>
          </w:tcPr>
          <w:p w14:paraId="58D1C91E" w14:textId="77777777" w:rsidR="008800C6" w:rsidRPr="00333E76" w:rsidRDefault="008800C6" w:rsidP="008150FD">
            <w:pPr>
              <w:pStyle w:val="TableTextRight"/>
              <w:rPr>
                <w:sz w:val="16"/>
                <w:szCs w:val="16"/>
              </w:rPr>
            </w:pPr>
          </w:p>
        </w:tc>
        <w:tc>
          <w:tcPr>
            <w:tcW w:w="1296" w:type="dxa"/>
            <w:shd w:val="clear" w:color="auto" w:fill="E5F6FC"/>
          </w:tcPr>
          <w:p w14:paraId="58D1C91F" w14:textId="77777777" w:rsidR="008800C6" w:rsidRPr="00333E76" w:rsidRDefault="008800C6" w:rsidP="008150FD">
            <w:pPr>
              <w:pStyle w:val="TableTextRight"/>
              <w:rPr>
                <w:sz w:val="16"/>
                <w:szCs w:val="16"/>
              </w:rPr>
            </w:pPr>
          </w:p>
        </w:tc>
        <w:tc>
          <w:tcPr>
            <w:tcW w:w="1296" w:type="dxa"/>
            <w:shd w:val="clear" w:color="auto" w:fill="E5F6FC"/>
          </w:tcPr>
          <w:p w14:paraId="58D1C920" w14:textId="77777777" w:rsidR="008800C6" w:rsidRPr="00333E76" w:rsidRDefault="008800C6" w:rsidP="008150FD">
            <w:pPr>
              <w:pStyle w:val="TableTextRight"/>
              <w:rPr>
                <w:sz w:val="16"/>
                <w:szCs w:val="16"/>
              </w:rPr>
            </w:pPr>
          </w:p>
        </w:tc>
        <w:tc>
          <w:tcPr>
            <w:tcW w:w="1296" w:type="dxa"/>
            <w:shd w:val="clear" w:color="auto" w:fill="E5F6FC"/>
          </w:tcPr>
          <w:p w14:paraId="58D1C921" w14:textId="77777777" w:rsidR="008800C6" w:rsidRPr="00333E76" w:rsidRDefault="008800C6" w:rsidP="008150FD">
            <w:pPr>
              <w:pStyle w:val="TableTextRight"/>
              <w:rPr>
                <w:sz w:val="16"/>
                <w:szCs w:val="16"/>
              </w:rPr>
            </w:pPr>
            <w:r w:rsidRPr="00333E76">
              <w:rPr>
                <w:sz w:val="16"/>
                <w:szCs w:val="16"/>
              </w:rPr>
              <w:t>9,000</w:t>
            </w:r>
          </w:p>
        </w:tc>
        <w:tc>
          <w:tcPr>
            <w:tcW w:w="1296" w:type="dxa"/>
            <w:shd w:val="clear" w:color="auto" w:fill="E5F6FC"/>
          </w:tcPr>
          <w:p w14:paraId="58D1C922" w14:textId="77777777" w:rsidR="008800C6" w:rsidRPr="00333E76" w:rsidRDefault="008800C6" w:rsidP="008150FD">
            <w:pPr>
              <w:pStyle w:val="TableTextRight"/>
              <w:rPr>
                <w:sz w:val="16"/>
                <w:szCs w:val="16"/>
              </w:rPr>
            </w:pPr>
          </w:p>
        </w:tc>
        <w:tc>
          <w:tcPr>
            <w:tcW w:w="1296" w:type="dxa"/>
            <w:shd w:val="clear" w:color="auto" w:fill="E5F6FC"/>
          </w:tcPr>
          <w:p w14:paraId="58D1C923" w14:textId="77777777" w:rsidR="008800C6" w:rsidRPr="00333E76" w:rsidRDefault="008800C6" w:rsidP="008150FD">
            <w:pPr>
              <w:pStyle w:val="TableTextRight"/>
              <w:rPr>
                <w:sz w:val="16"/>
                <w:szCs w:val="16"/>
              </w:rPr>
            </w:pPr>
          </w:p>
        </w:tc>
        <w:tc>
          <w:tcPr>
            <w:tcW w:w="1296" w:type="dxa"/>
            <w:shd w:val="clear" w:color="auto" w:fill="E5F6FC"/>
          </w:tcPr>
          <w:p w14:paraId="58D1C924" w14:textId="77777777" w:rsidR="008800C6" w:rsidRPr="00333E76" w:rsidRDefault="008800C6" w:rsidP="008150FD">
            <w:pPr>
              <w:pStyle w:val="TableTextRight"/>
              <w:rPr>
                <w:sz w:val="16"/>
                <w:szCs w:val="16"/>
              </w:rPr>
            </w:pPr>
          </w:p>
        </w:tc>
        <w:tc>
          <w:tcPr>
            <w:tcW w:w="1276" w:type="dxa"/>
            <w:shd w:val="clear" w:color="auto" w:fill="E5F6FC"/>
          </w:tcPr>
          <w:p w14:paraId="58D1C925" w14:textId="77777777" w:rsidR="008800C6" w:rsidRPr="00333E76" w:rsidRDefault="008800C6" w:rsidP="008150FD">
            <w:pPr>
              <w:pStyle w:val="TableTextRight"/>
              <w:rPr>
                <w:sz w:val="16"/>
                <w:szCs w:val="16"/>
              </w:rPr>
            </w:pPr>
            <w:r w:rsidRPr="00333E76">
              <w:rPr>
                <w:sz w:val="16"/>
                <w:szCs w:val="16"/>
              </w:rPr>
              <w:t>9,000</w:t>
            </w:r>
          </w:p>
        </w:tc>
        <w:tc>
          <w:tcPr>
            <w:tcW w:w="1559" w:type="dxa"/>
            <w:shd w:val="clear" w:color="auto" w:fill="E5F6FC"/>
          </w:tcPr>
          <w:p w14:paraId="58D1C926" w14:textId="77777777" w:rsidR="008800C6" w:rsidRPr="00333E76" w:rsidRDefault="008800C6" w:rsidP="008150FD">
            <w:pPr>
              <w:pStyle w:val="TableTextRight"/>
              <w:rPr>
                <w:sz w:val="16"/>
                <w:szCs w:val="16"/>
              </w:rPr>
            </w:pPr>
          </w:p>
        </w:tc>
        <w:tc>
          <w:tcPr>
            <w:tcW w:w="1560" w:type="dxa"/>
            <w:shd w:val="clear" w:color="auto" w:fill="E5F6FC"/>
          </w:tcPr>
          <w:p w14:paraId="58D1C927" w14:textId="77777777" w:rsidR="008800C6" w:rsidRPr="00333E76" w:rsidRDefault="008800C6" w:rsidP="008150FD">
            <w:pPr>
              <w:pStyle w:val="TableTextRight"/>
              <w:rPr>
                <w:sz w:val="16"/>
                <w:szCs w:val="16"/>
              </w:rPr>
            </w:pPr>
            <w:r w:rsidRPr="00333E76">
              <w:rPr>
                <w:sz w:val="16"/>
                <w:szCs w:val="16"/>
              </w:rPr>
              <w:t>9,000</w:t>
            </w:r>
          </w:p>
        </w:tc>
      </w:tr>
      <w:tr w:rsidR="00C6201E" w:rsidRPr="00333E76" w14:paraId="58D1C934" w14:textId="77777777" w:rsidTr="00333E76">
        <w:trPr>
          <w:cantSplit/>
          <w:trHeight w:val="20"/>
        </w:trPr>
        <w:tc>
          <w:tcPr>
            <w:tcW w:w="2943" w:type="dxa"/>
            <w:shd w:val="clear" w:color="auto" w:fill="E5F6FC"/>
          </w:tcPr>
          <w:p w14:paraId="58D1C929" w14:textId="77777777" w:rsidR="008800C6" w:rsidRPr="00333E76" w:rsidRDefault="008800C6" w:rsidP="008150FD">
            <w:pPr>
              <w:pStyle w:val="TableText"/>
              <w:rPr>
                <w:sz w:val="16"/>
                <w:szCs w:val="16"/>
              </w:rPr>
            </w:pPr>
            <w:r w:rsidRPr="00333E76">
              <w:rPr>
                <w:sz w:val="16"/>
                <w:szCs w:val="16"/>
              </w:rPr>
              <w:t>Claims on consumer guarantee funds</w:t>
            </w:r>
          </w:p>
        </w:tc>
        <w:tc>
          <w:tcPr>
            <w:tcW w:w="1296" w:type="dxa"/>
            <w:shd w:val="clear" w:color="auto" w:fill="E5F6FC"/>
          </w:tcPr>
          <w:p w14:paraId="58D1C92A" w14:textId="77777777" w:rsidR="008800C6" w:rsidRPr="00333E76" w:rsidRDefault="008800C6" w:rsidP="008150FD">
            <w:pPr>
              <w:pStyle w:val="TableTextRight"/>
              <w:rPr>
                <w:sz w:val="16"/>
                <w:szCs w:val="16"/>
              </w:rPr>
            </w:pPr>
          </w:p>
        </w:tc>
        <w:tc>
          <w:tcPr>
            <w:tcW w:w="1296" w:type="dxa"/>
            <w:shd w:val="clear" w:color="auto" w:fill="E5F6FC"/>
          </w:tcPr>
          <w:p w14:paraId="58D1C92B" w14:textId="77777777" w:rsidR="008800C6" w:rsidRPr="00333E76" w:rsidRDefault="008800C6" w:rsidP="008150FD">
            <w:pPr>
              <w:pStyle w:val="TableTextRight"/>
              <w:rPr>
                <w:sz w:val="16"/>
                <w:szCs w:val="16"/>
              </w:rPr>
            </w:pPr>
          </w:p>
        </w:tc>
        <w:tc>
          <w:tcPr>
            <w:tcW w:w="1296" w:type="dxa"/>
            <w:shd w:val="clear" w:color="auto" w:fill="E5F6FC"/>
          </w:tcPr>
          <w:p w14:paraId="58D1C92C" w14:textId="77777777" w:rsidR="008800C6" w:rsidRPr="00333E76" w:rsidRDefault="008800C6" w:rsidP="008150FD">
            <w:pPr>
              <w:pStyle w:val="TableTextRight"/>
              <w:rPr>
                <w:sz w:val="16"/>
                <w:szCs w:val="16"/>
              </w:rPr>
            </w:pPr>
            <w:r w:rsidRPr="00333E76">
              <w:rPr>
                <w:sz w:val="16"/>
                <w:szCs w:val="16"/>
              </w:rPr>
              <w:t>408,917</w:t>
            </w:r>
          </w:p>
        </w:tc>
        <w:tc>
          <w:tcPr>
            <w:tcW w:w="1296" w:type="dxa"/>
            <w:shd w:val="clear" w:color="auto" w:fill="E5F6FC"/>
          </w:tcPr>
          <w:p w14:paraId="58D1C92D" w14:textId="77777777" w:rsidR="008800C6" w:rsidRPr="00333E76" w:rsidRDefault="008800C6" w:rsidP="008150FD">
            <w:pPr>
              <w:pStyle w:val="TableTextRight"/>
              <w:rPr>
                <w:sz w:val="16"/>
                <w:szCs w:val="16"/>
              </w:rPr>
            </w:pPr>
          </w:p>
        </w:tc>
        <w:tc>
          <w:tcPr>
            <w:tcW w:w="1296" w:type="dxa"/>
            <w:shd w:val="clear" w:color="auto" w:fill="E5F6FC"/>
          </w:tcPr>
          <w:p w14:paraId="58D1C92E" w14:textId="77777777" w:rsidR="008800C6" w:rsidRPr="00333E76" w:rsidRDefault="008800C6" w:rsidP="008150FD">
            <w:pPr>
              <w:pStyle w:val="TableTextRight"/>
              <w:rPr>
                <w:sz w:val="16"/>
                <w:szCs w:val="16"/>
              </w:rPr>
            </w:pPr>
          </w:p>
        </w:tc>
        <w:tc>
          <w:tcPr>
            <w:tcW w:w="1296" w:type="dxa"/>
            <w:shd w:val="clear" w:color="auto" w:fill="E5F6FC"/>
          </w:tcPr>
          <w:p w14:paraId="58D1C92F" w14:textId="77777777" w:rsidR="008800C6" w:rsidRPr="00333E76" w:rsidRDefault="008800C6" w:rsidP="008150FD">
            <w:pPr>
              <w:pStyle w:val="TableTextRight"/>
              <w:rPr>
                <w:sz w:val="16"/>
                <w:szCs w:val="16"/>
              </w:rPr>
            </w:pPr>
          </w:p>
        </w:tc>
        <w:tc>
          <w:tcPr>
            <w:tcW w:w="1296" w:type="dxa"/>
            <w:shd w:val="clear" w:color="auto" w:fill="E5F6FC"/>
          </w:tcPr>
          <w:p w14:paraId="58D1C930" w14:textId="77777777" w:rsidR="008800C6" w:rsidRPr="00333E76" w:rsidRDefault="008800C6" w:rsidP="008150FD">
            <w:pPr>
              <w:pStyle w:val="TableTextRight"/>
              <w:rPr>
                <w:sz w:val="16"/>
                <w:szCs w:val="16"/>
              </w:rPr>
            </w:pPr>
            <w:r w:rsidRPr="00333E76">
              <w:rPr>
                <w:sz w:val="16"/>
                <w:szCs w:val="16"/>
              </w:rPr>
              <w:t>559,871</w:t>
            </w:r>
          </w:p>
        </w:tc>
        <w:tc>
          <w:tcPr>
            <w:tcW w:w="1276" w:type="dxa"/>
            <w:shd w:val="clear" w:color="auto" w:fill="E5F6FC"/>
          </w:tcPr>
          <w:p w14:paraId="58D1C931" w14:textId="77777777" w:rsidR="008800C6" w:rsidRPr="00333E76" w:rsidRDefault="008800C6" w:rsidP="008150FD">
            <w:pPr>
              <w:pStyle w:val="TableTextRight"/>
              <w:rPr>
                <w:sz w:val="16"/>
                <w:szCs w:val="16"/>
              </w:rPr>
            </w:pPr>
            <w:r w:rsidRPr="00333E76">
              <w:rPr>
                <w:sz w:val="16"/>
                <w:szCs w:val="16"/>
              </w:rPr>
              <w:t>968,788</w:t>
            </w:r>
          </w:p>
        </w:tc>
        <w:tc>
          <w:tcPr>
            <w:tcW w:w="1559" w:type="dxa"/>
            <w:shd w:val="clear" w:color="auto" w:fill="E5F6FC"/>
          </w:tcPr>
          <w:p w14:paraId="58D1C932" w14:textId="77777777" w:rsidR="008800C6" w:rsidRPr="00333E76" w:rsidRDefault="008800C6" w:rsidP="008150FD">
            <w:pPr>
              <w:pStyle w:val="TableTextRight"/>
              <w:rPr>
                <w:sz w:val="16"/>
                <w:szCs w:val="16"/>
              </w:rPr>
            </w:pPr>
          </w:p>
        </w:tc>
        <w:tc>
          <w:tcPr>
            <w:tcW w:w="1560" w:type="dxa"/>
            <w:shd w:val="clear" w:color="auto" w:fill="E5F6FC"/>
          </w:tcPr>
          <w:p w14:paraId="58D1C933" w14:textId="77777777" w:rsidR="008800C6" w:rsidRPr="00333E76" w:rsidRDefault="008800C6" w:rsidP="008150FD">
            <w:pPr>
              <w:pStyle w:val="TableTextRight"/>
              <w:rPr>
                <w:sz w:val="16"/>
                <w:szCs w:val="16"/>
              </w:rPr>
            </w:pPr>
            <w:r w:rsidRPr="00333E76">
              <w:rPr>
                <w:sz w:val="16"/>
                <w:szCs w:val="16"/>
              </w:rPr>
              <w:t>968,788</w:t>
            </w:r>
          </w:p>
        </w:tc>
      </w:tr>
      <w:tr w:rsidR="00C6201E" w:rsidRPr="00333E76" w14:paraId="58D1C940" w14:textId="77777777" w:rsidTr="00333E76">
        <w:trPr>
          <w:cantSplit/>
          <w:trHeight w:val="20"/>
        </w:trPr>
        <w:tc>
          <w:tcPr>
            <w:tcW w:w="2943" w:type="dxa"/>
            <w:shd w:val="clear" w:color="auto" w:fill="E5F6FC"/>
          </w:tcPr>
          <w:p w14:paraId="58D1C935" w14:textId="77777777" w:rsidR="008800C6" w:rsidRPr="00333E76" w:rsidRDefault="008800C6" w:rsidP="008150FD">
            <w:pPr>
              <w:pStyle w:val="TableText"/>
              <w:rPr>
                <w:sz w:val="16"/>
                <w:szCs w:val="16"/>
              </w:rPr>
            </w:pPr>
            <w:r w:rsidRPr="00333E76">
              <w:rPr>
                <w:sz w:val="16"/>
                <w:szCs w:val="16"/>
              </w:rPr>
              <w:t xml:space="preserve">Consumer Utilities Advocacy </w:t>
            </w:r>
            <w:r w:rsidR="00091597" w:rsidRPr="00333E76">
              <w:rPr>
                <w:sz w:val="16"/>
                <w:szCs w:val="16"/>
              </w:rPr>
              <w:t>Centre</w:t>
            </w:r>
          </w:p>
        </w:tc>
        <w:tc>
          <w:tcPr>
            <w:tcW w:w="1296" w:type="dxa"/>
            <w:shd w:val="clear" w:color="auto" w:fill="E5F6FC"/>
          </w:tcPr>
          <w:p w14:paraId="58D1C936" w14:textId="77777777" w:rsidR="008800C6" w:rsidRPr="00333E76" w:rsidRDefault="008800C6" w:rsidP="008150FD">
            <w:pPr>
              <w:pStyle w:val="TableTextRight"/>
              <w:rPr>
                <w:sz w:val="16"/>
                <w:szCs w:val="16"/>
              </w:rPr>
            </w:pPr>
          </w:p>
        </w:tc>
        <w:tc>
          <w:tcPr>
            <w:tcW w:w="1296" w:type="dxa"/>
            <w:shd w:val="clear" w:color="auto" w:fill="E5F6FC"/>
          </w:tcPr>
          <w:p w14:paraId="58D1C937" w14:textId="77777777" w:rsidR="008800C6" w:rsidRPr="00333E76" w:rsidRDefault="008800C6" w:rsidP="008150FD">
            <w:pPr>
              <w:pStyle w:val="TableTextRight"/>
              <w:rPr>
                <w:sz w:val="16"/>
                <w:szCs w:val="16"/>
              </w:rPr>
            </w:pPr>
          </w:p>
        </w:tc>
        <w:tc>
          <w:tcPr>
            <w:tcW w:w="1296" w:type="dxa"/>
            <w:shd w:val="clear" w:color="auto" w:fill="E5F6FC"/>
          </w:tcPr>
          <w:p w14:paraId="58D1C938" w14:textId="77777777" w:rsidR="008800C6" w:rsidRPr="00333E76" w:rsidRDefault="008800C6" w:rsidP="008150FD">
            <w:pPr>
              <w:pStyle w:val="TableTextRight"/>
              <w:rPr>
                <w:sz w:val="16"/>
                <w:szCs w:val="16"/>
              </w:rPr>
            </w:pPr>
          </w:p>
        </w:tc>
        <w:tc>
          <w:tcPr>
            <w:tcW w:w="1296" w:type="dxa"/>
            <w:shd w:val="clear" w:color="auto" w:fill="E5F6FC"/>
          </w:tcPr>
          <w:p w14:paraId="58D1C939" w14:textId="77777777" w:rsidR="008800C6" w:rsidRPr="00333E76" w:rsidRDefault="008800C6" w:rsidP="008150FD">
            <w:pPr>
              <w:pStyle w:val="TableTextRight"/>
              <w:rPr>
                <w:sz w:val="16"/>
                <w:szCs w:val="16"/>
              </w:rPr>
            </w:pPr>
          </w:p>
        </w:tc>
        <w:tc>
          <w:tcPr>
            <w:tcW w:w="1296" w:type="dxa"/>
            <w:shd w:val="clear" w:color="auto" w:fill="E5F6FC"/>
          </w:tcPr>
          <w:p w14:paraId="58D1C93A" w14:textId="77777777" w:rsidR="008800C6" w:rsidRPr="00333E76" w:rsidRDefault="008800C6" w:rsidP="008150FD">
            <w:pPr>
              <w:pStyle w:val="TableTextRight"/>
              <w:rPr>
                <w:sz w:val="16"/>
                <w:szCs w:val="16"/>
              </w:rPr>
            </w:pPr>
          </w:p>
        </w:tc>
        <w:tc>
          <w:tcPr>
            <w:tcW w:w="1296" w:type="dxa"/>
            <w:shd w:val="clear" w:color="auto" w:fill="E5F6FC"/>
          </w:tcPr>
          <w:p w14:paraId="58D1C93B" w14:textId="77777777" w:rsidR="008800C6" w:rsidRPr="00333E76" w:rsidRDefault="008800C6" w:rsidP="008150FD">
            <w:pPr>
              <w:pStyle w:val="TableTextRight"/>
              <w:rPr>
                <w:sz w:val="16"/>
                <w:szCs w:val="16"/>
              </w:rPr>
            </w:pPr>
          </w:p>
        </w:tc>
        <w:tc>
          <w:tcPr>
            <w:tcW w:w="1296" w:type="dxa"/>
            <w:shd w:val="clear" w:color="auto" w:fill="E5F6FC"/>
          </w:tcPr>
          <w:p w14:paraId="58D1C93C" w14:textId="77777777" w:rsidR="008800C6" w:rsidRPr="00333E76" w:rsidRDefault="008800C6" w:rsidP="008150FD">
            <w:pPr>
              <w:pStyle w:val="TableTextRight"/>
              <w:rPr>
                <w:sz w:val="16"/>
                <w:szCs w:val="16"/>
              </w:rPr>
            </w:pPr>
          </w:p>
        </w:tc>
        <w:tc>
          <w:tcPr>
            <w:tcW w:w="1276" w:type="dxa"/>
            <w:shd w:val="clear" w:color="auto" w:fill="E5F6FC"/>
          </w:tcPr>
          <w:p w14:paraId="58D1C93D" w14:textId="77777777" w:rsidR="008800C6" w:rsidRPr="00333E76" w:rsidRDefault="008800C6" w:rsidP="008150FD">
            <w:pPr>
              <w:pStyle w:val="TableTextRight"/>
              <w:rPr>
                <w:sz w:val="16"/>
                <w:szCs w:val="16"/>
              </w:rPr>
            </w:pPr>
          </w:p>
        </w:tc>
        <w:tc>
          <w:tcPr>
            <w:tcW w:w="1559" w:type="dxa"/>
            <w:shd w:val="clear" w:color="auto" w:fill="E5F6FC"/>
          </w:tcPr>
          <w:p w14:paraId="58D1C93E" w14:textId="77777777" w:rsidR="008800C6" w:rsidRPr="00333E76" w:rsidRDefault="008800C6" w:rsidP="008150FD">
            <w:pPr>
              <w:pStyle w:val="TableTextRight"/>
              <w:rPr>
                <w:sz w:val="16"/>
                <w:szCs w:val="16"/>
              </w:rPr>
            </w:pPr>
            <w:r w:rsidRPr="00333E76">
              <w:rPr>
                <w:sz w:val="16"/>
                <w:szCs w:val="16"/>
              </w:rPr>
              <w:t>580,000</w:t>
            </w:r>
          </w:p>
        </w:tc>
        <w:tc>
          <w:tcPr>
            <w:tcW w:w="1560" w:type="dxa"/>
            <w:shd w:val="clear" w:color="auto" w:fill="E5F6FC"/>
          </w:tcPr>
          <w:p w14:paraId="58D1C93F" w14:textId="77777777" w:rsidR="008800C6" w:rsidRPr="00333E76" w:rsidRDefault="008800C6" w:rsidP="008150FD">
            <w:pPr>
              <w:pStyle w:val="TableTextRight"/>
              <w:rPr>
                <w:sz w:val="16"/>
                <w:szCs w:val="16"/>
              </w:rPr>
            </w:pPr>
            <w:r w:rsidRPr="00333E76">
              <w:rPr>
                <w:sz w:val="16"/>
                <w:szCs w:val="16"/>
              </w:rPr>
              <w:t>580,000</w:t>
            </w:r>
          </w:p>
        </w:tc>
      </w:tr>
      <w:tr w:rsidR="00C6201E" w:rsidRPr="00333E76" w14:paraId="58D1C94C" w14:textId="77777777" w:rsidTr="00333E76">
        <w:trPr>
          <w:cantSplit/>
          <w:trHeight w:val="20"/>
        </w:trPr>
        <w:tc>
          <w:tcPr>
            <w:tcW w:w="2943" w:type="dxa"/>
            <w:shd w:val="clear" w:color="auto" w:fill="E5F6FC"/>
          </w:tcPr>
          <w:p w14:paraId="58D1C941" w14:textId="77777777" w:rsidR="008800C6" w:rsidRPr="00333E76" w:rsidRDefault="008800C6" w:rsidP="008150FD">
            <w:pPr>
              <w:pStyle w:val="TableText"/>
              <w:rPr>
                <w:sz w:val="16"/>
                <w:szCs w:val="16"/>
              </w:rPr>
            </w:pPr>
            <w:r w:rsidRPr="00333E76">
              <w:rPr>
                <w:sz w:val="16"/>
                <w:szCs w:val="16"/>
              </w:rPr>
              <w:t>Contractors, consul</w:t>
            </w:r>
            <w:r w:rsidR="00653983" w:rsidRPr="00333E76">
              <w:rPr>
                <w:sz w:val="16"/>
                <w:szCs w:val="16"/>
              </w:rPr>
              <w:t>tants and professional services</w:t>
            </w:r>
          </w:p>
        </w:tc>
        <w:tc>
          <w:tcPr>
            <w:tcW w:w="1296" w:type="dxa"/>
            <w:shd w:val="clear" w:color="auto" w:fill="E5F6FC"/>
          </w:tcPr>
          <w:p w14:paraId="58D1C942" w14:textId="77777777" w:rsidR="008800C6" w:rsidRPr="00333E76" w:rsidRDefault="008800C6" w:rsidP="008150FD">
            <w:pPr>
              <w:pStyle w:val="TableTextRight"/>
              <w:rPr>
                <w:sz w:val="16"/>
                <w:szCs w:val="16"/>
              </w:rPr>
            </w:pPr>
          </w:p>
        </w:tc>
        <w:tc>
          <w:tcPr>
            <w:tcW w:w="1296" w:type="dxa"/>
            <w:shd w:val="clear" w:color="auto" w:fill="E5F6FC"/>
          </w:tcPr>
          <w:p w14:paraId="58D1C943" w14:textId="77777777" w:rsidR="008800C6" w:rsidRPr="00333E76" w:rsidRDefault="008800C6" w:rsidP="008150FD">
            <w:pPr>
              <w:pStyle w:val="TableTextRight"/>
              <w:rPr>
                <w:sz w:val="16"/>
                <w:szCs w:val="16"/>
              </w:rPr>
            </w:pPr>
            <w:r w:rsidRPr="00333E76">
              <w:rPr>
                <w:sz w:val="16"/>
                <w:szCs w:val="16"/>
              </w:rPr>
              <w:t>367,034</w:t>
            </w:r>
          </w:p>
        </w:tc>
        <w:tc>
          <w:tcPr>
            <w:tcW w:w="1296" w:type="dxa"/>
            <w:shd w:val="clear" w:color="auto" w:fill="E5F6FC"/>
          </w:tcPr>
          <w:p w14:paraId="58D1C944" w14:textId="77777777" w:rsidR="008800C6" w:rsidRPr="00333E76" w:rsidRDefault="008800C6" w:rsidP="008150FD">
            <w:pPr>
              <w:pStyle w:val="TableTextRight"/>
              <w:rPr>
                <w:sz w:val="16"/>
                <w:szCs w:val="16"/>
              </w:rPr>
            </w:pPr>
            <w:r w:rsidRPr="00333E76">
              <w:rPr>
                <w:sz w:val="16"/>
                <w:szCs w:val="16"/>
              </w:rPr>
              <w:t>88,523</w:t>
            </w:r>
          </w:p>
        </w:tc>
        <w:tc>
          <w:tcPr>
            <w:tcW w:w="1296" w:type="dxa"/>
            <w:shd w:val="clear" w:color="auto" w:fill="E5F6FC"/>
          </w:tcPr>
          <w:p w14:paraId="58D1C945" w14:textId="77777777" w:rsidR="008800C6" w:rsidRPr="00333E76" w:rsidRDefault="008800C6" w:rsidP="008150FD">
            <w:pPr>
              <w:pStyle w:val="TableTextRight"/>
              <w:rPr>
                <w:sz w:val="16"/>
                <w:szCs w:val="16"/>
              </w:rPr>
            </w:pPr>
            <w:r w:rsidRPr="00333E76">
              <w:rPr>
                <w:sz w:val="16"/>
                <w:szCs w:val="16"/>
              </w:rPr>
              <w:t>532,503</w:t>
            </w:r>
          </w:p>
        </w:tc>
        <w:tc>
          <w:tcPr>
            <w:tcW w:w="1296" w:type="dxa"/>
            <w:shd w:val="clear" w:color="auto" w:fill="E5F6FC"/>
          </w:tcPr>
          <w:p w14:paraId="58D1C946" w14:textId="77777777" w:rsidR="008800C6" w:rsidRPr="00333E76" w:rsidRDefault="008800C6" w:rsidP="008150FD">
            <w:pPr>
              <w:pStyle w:val="TableTextRight"/>
              <w:rPr>
                <w:sz w:val="16"/>
                <w:szCs w:val="16"/>
              </w:rPr>
            </w:pPr>
            <w:r w:rsidRPr="00333E76">
              <w:rPr>
                <w:sz w:val="16"/>
                <w:szCs w:val="16"/>
              </w:rPr>
              <w:t>583,642</w:t>
            </w:r>
          </w:p>
        </w:tc>
        <w:tc>
          <w:tcPr>
            <w:tcW w:w="1296" w:type="dxa"/>
            <w:shd w:val="clear" w:color="auto" w:fill="E5F6FC"/>
          </w:tcPr>
          <w:p w14:paraId="58D1C947" w14:textId="77777777" w:rsidR="008800C6" w:rsidRPr="00333E76" w:rsidRDefault="008800C6" w:rsidP="008150FD">
            <w:pPr>
              <w:pStyle w:val="TableTextRight"/>
              <w:rPr>
                <w:sz w:val="16"/>
                <w:szCs w:val="16"/>
              </w:rPr>
            </w:pPr>
            <w:r w:rsidRPr="00333E76">
              <w:rPr>
                <w:sz w:val="16"/>
                <w:szCs w:val="16"/>
              </w:rPr>
              <w:t>166,992</w:t>
            </w:r>
          </w:p>
        </w:tc>
        <w:tc>
          <w:tcPr>
            <w:tcW w:w="1296" w:type="dxa"/>
            <w:shd w:val="clear" w:color="auto" w:fill="E5F6FC"/>
          </w:tcPr>
          <w:p w14:paraId="58D1C948" w14:textId="77777777" w:rsidR="008800C6" w:rsidRPr="00333E76" w:rsidRDefault="008800C6" w:rsidP="008150FD">
            <w:pPr>
              <w:pStyle w:val="TableTextRight"/>
              <w:rPr>
                <w:sz w:val="16"/>
                <w:szCs w:val="16"/>
              </w:rPr>
            </w:pPr>
            <w:r w:rsidRPr="00333E76">
              <w:rPr>
                <w:sz w:val="16"/>
                <w:szCs w:val="16"/>
              </w:rPr>
              <w:t>2,054,436</w:t>
            </w:r>
          </w:p>
        </w:tc>
        <w:tc>
          <w:tcPr>
            <w:tcW w:w="1276" w:type="dxa"/>
            <w:shd w:val="clear" w:color="auto" w:fill="E5F6FC"/>
          </w:tcPr>
          <w:p w14:paraId="58D1C949" w14:textId="77777777" w:rsidR="008800C6" w:rsidRPr="00333E76" w:rsidRDefault="008800C6" w:rsidP="008150FD">
            <w:pPr>
              <w:pStyle w:val="TableTextRight"/>
              <w:rPr>
                <w:sz w:val="16"/>
                <w:szCs w:val="16"/>
              </w:rPr>
            </w:pPr>
            <w:r w:rsidRPr="00333E76">
              <w:rPr>
                <w:sz w:val="16"/>
                <w:szCs w:val="16"/>
              </w:rPr>
              <w:t>3,793,130</w:t>
            </w:r>
          </w:p>
        </w:tc>
        <w:tc>
          <w:tcPr>
            <w:tcW w:w="1559" w:type="dxa"/>
            <w:shd w:val="clear" w:color="auto" w:fill="E5F6FC"/>
          </w:tcPr>
          <w:p w14:paraId="58D1C94A" w14:textId="77777777" w:rsidR="008800C6" w:rsidRPr="00333E76" w:rsidRDefault="008800C6" w:rsidP="008150FD">
            <w:pPr>
              <w:pStyle w:val="TableTextRight"/>
              <w:rPr>
                <w:sz w:val="16"/>
                <w:szCs w:val="16"/>
              </w:rPr>
            </w:pPr>
            <w:r w:rsidRPr="00333E76">
              <w:rPr>
                <w:sz w:val="16"/>
                <w:szCs w:val="16"/>
              </w:rPr>
              <w:t>1,180,995</w:t>
            </w:r>
          </w:p>
        </w:tc>
        <w:tc>
          <w:tcPr>
            <w:tcW w:w="1560" w:type="dxa"/>
            <w:shd w:val="clear" w:color="auto" w:fill="E5F6FC"/>
          </w:tcPr>
          <w:p w14:paraId="58D1C94B" w14:textId="77777777" w:rsidR="008800C6" w:rsidRPr="00333E76" w:rsidRDefault="008800C6" w:rsidP="008150FD">
            <w:pPr>
              <w:pStyle w:val="TableTextRight"/>
              <w:rPr>
                <w:sz w:val="16"/>
                <w:szCs w:val="16"/>
              </w:rPr>
            </w:pPr>
            <w:r w:rsidRPr="00333E76">
              <w:rPr>
                <w:sz w:val="16"/>
                <w:szCs w:val="16"/>
              </w:rPr>
              <w:t>4,974,125</w:t>
            </w:r>
          </w:p>
        </w:tc>
      </w:tr>
      <w:tr w:rsidR="00C6201E" w:rsidRPr="00333E76" w14:paraId="58D1C958" w14:textId="77777777" w:rsidTr="00333E76">
        <w:trPr>
          <w:cantSplit/>
          <w:trHeight w:val="20"/>
        </w:trPr>
        <w:tc>
          <w:tcPr>
            <w:tcW w:w="2943" w:type="dxa"/>
            <w:shd w:val="clear" w:color="auto" w:fill="E5F6FC"/>
          </w:tcPr>
          <w:p w14:paraId="58D1C94D" w14:textId="77777777" w:rsidR="008800C6" w:rsidRPr="00333E76" w:rsidRDefault="008800C6" w:rsidP="008150FD">
            <w:pPr>
              <w:pStyle w:val="TableText"/>
              <w:rPr>
                <w:sz w:val="16"/>
                <w:szCs w:val="16"/>
              </w:rPr>
            </w:pPr>
            <w:r w:rsidRPr="00333E76">
              <w:rPr>
                <w:sz w:val="16"/>
                <w:szCs w:val="16"/>
              </w:rPr>
              <w:lastRenderedPageBreak/>
              <w:t>Departmental governance and support costs</w:t>
            </w:r>
          </w:p>
        </w:tc>
        <w:tc>
          <w:tcPr>
            <w:tcW w:w="1296" w:type="dxa"/>
            <w:shd w:val="clear" w:color="auto" w:fill="E5F6FC"/>
          </w:tcPr>
          <w:p w14:paraId="58D1C94E" w14:textId="77777777" w:rsidR="008800C6" w:rsidRPr="00333E76" w:rsidRDefault="008800C6" w:rsidP="008150FD">
            <w:pPr>
              <w:pStyle w:val="TableTextRight"/>
              <w:rPr>
                <w:sz w:val="16"/>
                <w:szCs w:val="16"/>
              </w:rPr>
            </w:pPr>
          </w:p>
        </w:tc>
        <w:tc>
          <w:tcPr>
            <w:tcW w:w="1296" w:type="dxa"/>
            <w:shd w:val="clear" w:color="auto" w:fill="E5F6FC"/>
          </w:tcPr>
          <w:p w14:paraId="58D1C94F" w14:textId="77777777" w:rsidR="008800C6" w:rsidRPr="00333E76" w:rsidRDefault="008800C6" w:rsidP="008150FD">
            <w:pPr>
              <w:pStyle w:val="TableTextRight"/>
              <w:rPr>
                <w:sz w:val="16"/>
                <w:szCs w:val="16"/>
              </w:rPr>
            </w:pPr>
          </w:p>
        </w:tc>
        <w:tc>
          <w:tcPr>
            <w:tcW w:w="1296" w:type="dxa"/>
            <w:shd w:val="clear" w:color="auto" w:fill="E5F6FC"/>
          </w:tcPr>
          <w:p w14:paraId="58D1C950" w14:textId="77777777" w:rsidR="008800C6" w:rsidRPr="00333E76" w:rsidRDefault="008800C6" w:rsidP="008150FD">
            <w:pPr>
              <w:pStyle w:val="TableTextRight"/>
              <w:rPr>
                <w:sz w:val="16"/>
                <w:szCs w:val="16"/>
              </w:rPr>
            </w:pPr>
          </w:p>
        </w:tc>
        <w:tc>
          <w:tcPr>
            <w:tcW w:w="1296" w:type="dxa"/>
            <w:shd w:val="clear" w:color="auto" w:fill="E5F6FC"/>
          </w:tcPr>
          <w:p w14:paraId="58D1C951" w14:textId="77777777" w:rsidR="008800C6" w:rsidRPr="00333E76" w:rsidRDefault="008800C6" w:rsidP="008150FD">
            <w:pPr>
              <w:pStyle w:val="TableTextRight"/>
              <w:rPr>
                <w:sz w:val="16"/>
                <w:szCs w:val="16"/>
              </w:rPr>
            </w:pPr>
          </w:p>
        </w:tc>
        <w:tc>
          <w:tcPr>
            <w:tcW w:w="1296" w:type="dxa"/>
            <w:shd w:val="clear" w:color="auto" w:fill="E5F6FC"/>
          </w:tcPr>
          <w:p w14:paraId="58D1C952" w14:textId="77777777" w:rsidR="008800C6" w:rsidRPr="00333E76" w:rsidRDefault="008800C6" w:rsidP="008150FD">
            <w:pPr>
              <w:pStyle w:val="TableTextRight"/>
              <w:rPr>
                <w:sz w:val="16"/>
                <w:szCs w:val="16"/>
              </w:rPr>
            </w:pPr>
          </w:p>
        </w:tc>
        <w:tc>
          <w:tcPr>
            <w:tcW w:w="1296" w:type="dxa"/>
            <w:shd w:val="clear" w:color="auto" w:fill="E5F6FC"/>
          </w:tcPr>
          <w:p w14:paraId="58D1C953" w14:textId="77777777" w:rsidR="008800C6" w:rsidRPr="00333E76" w:rsidRDefault="008800C6" w:rsidP="008150FD">
            <w:pPr>
              <w:pStyle w:val="TableTextRight"/>
              <w:rPr>
                <w:sz w:val="16"/>
                <w:szCs w:val="16"/>
              </w:rPr>
            </w:pPr>
          </w:p>
        </w:tc>
        <w:tc>
          <w:tcPr>
            <w:tcW w:w="1296" w:type="dxa"/>
            <w:shd w:val="clear" w:color="auto" w:fill="E5F6FC"/>
          </w:tcPr>
          <w:p w14:paraId="58D1C954" w14:textId="77777777" w:rsidR="008800C6" w:rsidRPr="00333E76" w:rsidRDefault="008800C6" w:rsidP="008150FD">
            <w:pPr>
              <w:pStyle w:val="TableTextRight"/>
              <w:rPr>
                <w:sz w:val="16"/>
                <w:szCs w:val="16"/>
              </w:rPr>
            </w:pPr>
          </w:p>
        </w:tc>
        <w:tc>
          <w:tcPr>
            <w:tcW w:w="1276" w:type="dxa"/>
            <w:shd w:val="clear" w:color="auto" w:fill="E5F6FC"/>
          </w:tcPr>
          <w:p w14:paraId="58D1C955" w14:textId="77777777" w:rsidR="008800C6" w:rsidRPr="00333E76" w:rsidRDefault="008800C6" w:rsidP="008150FD">
            <w:pPr>
              <w:pStyle w:val="TableTextRight"/>
              <w:rPr>
                <w:sz w:val="16"/>
                <w:szCs w:val="16"/>
              </w:rPr>
            </w:pPr>
          </w:p>
        </w:tc>
        <w:tc>
          <w:tcPr>
            <w:tcW w:w="1559" w:type="dxa"/>
            <w:shd w:val="clear" w:color="auto" w:fill="E5F6FC"/>
          </w:tcPr>
          <w:p w14:paraId="58D1C956" w14:textId="77777777" w:rsidR="008800C6" w:rsidRPr="00333E76" w:rsidRDefault="008800C6" w:rsidP="008150FD">
            <w:pPr>
              <w:pStyle w:val="TableTextRight"/>
              <w:rPr>
                <w:sz w:val="16"/>
                <w:szCs w:val="16"/>
              </w:rPr>
            </w:pPr>
            <w:r w:rsidRPr="00333E76">
              <w:rPr>
                <w:sz w:val="16"/>
                <w:szCs w:val="16"/>
              </w:rPr>
              <w:t>4,814,979</w:t>
            </w:r>
          </w:p>
        </w:tc>
        <w:tc>
          <w:tcPr>
            <w:tcW w:w="1560" w:type="dxa"/>
            <w:shd w:val="clear" w:color="auto" w:fill="E5F6FC"/>
          </w:tcPr>
          <w:p w14:paraId="58D1C957" w14:textId="77777777" w:rsidR="008800C6" w:rsidRPr="00333E76" w:rsidRDefault="008800C6" w:rsidP="008150FD">
            <w:pPr>
              <w:pStyle w:val="TableTextRight"/>
              <w:rPr>
                <w:sz w:val="16"/>
                <w:szCs w:val="16"/>
              </w:rPr>
            </w:pPr>
            <w:r w:rsidRPr="00333E76">
              <w:rPr>
                <w:sz w:val="16"/>
                <w:szCs w:val="16"/>
              </w:rPr>
              <w:t>4,814,979</w:t>
            </w:r>
          </w:p>
        </w:tc>
      </w:tr>
      <w:tr w:rsidR="00C6201E" w:rsidRPr="00333E76" w14:paraId="58D1C964" w14:textId="77777777" w:rsidTr="00333E76">
        <w:trPr>
          <w:cantSplit/>
          <w:trHeight w:val="20"/>
        </w:trPr>
        <w:tc>
          <w:tcPr>
            <w:tcW w:w="2943" w:type="dxa"/>
            <w:shd w:val="clear" w:color="auto" w:fill="E5F6FC"/>
          </w:tcPr>
          <w:p w14:paraId="58D1C959" w14:textId="77777777" w:rsidR="008800C6" w:rsidRPr="00333E76" w:rsidRDefault="008800C6" w:rsidP="008150FD">
            <w:pPr>
              <w:pStyle w:val="TableText"/>
              <w:rPr>
                <w:sz w:val="16"/>
                <w:szCs w:val="16"/>
              </w:rPr>
            </w:pPr>
            <w:r w:rsidRPr="00333E76">
              <w:rPr>
                <w:sz w:val="16"/>
                <w:szCs w:val="16"/>
              </w:rPr>
              <w:t xml:space="preserve">Employee related costs </w:t>
            </w:r>
          </w:p>
        </w:tc>
        <w:tc>
          <w:tcPr>
            <w:tcW w:w="1296" w:type="dxa"/>
            <w:shd w:val="clear" w:color="auto" w:fill="E5F6FC"/>
          </w:tcPr>
          <w:p w14:paraId="58D1C95A" w14:textId="77777777" w:rsidR="008800C6" w:rsidRPr="00333E76" w:rsidRDefault="008800C6" w:rsidP="008150FD">
            <w:pPr>
              <w:pStyle w:val="TableTextRight"/>
              <w:rPr>
                <w:sz w:val="16"/>
                <w:szCs w:val="16"/>
              </w:rPr>
            </w:pPr>
          </w:p>
        </w:tc>
        <w:tc>
          <w:tcPr>
            <w:tcW w:w="1296" w:type="dxa"/>
            <w:shd w:val="clear" w:color="auto" w:fill="E5F6FC"/>
          </w:tcPr>
          <w:p w14:paraId="58D1C95B" w14:textId="77777777" w:rsidR="008800C6" w:rsidRPr="00333E76" w:rsidRDefault="008800C6" w:rsidP="008150FD">
            <w:pPr>
              <w:pStyle w:val="TableTextRight"/>
              <w:rPr>
                <w:sz w:val="16"/>
                <w:szCs w:val="16"/>
              </w:rPr>
            </w:pPr>
            <w:r w:rsidRPr="00333E76">
              <w:rPr>
                <w:sz w:val="16"/>
                <w:szCs w:val="16"/>
              </w:rPr>
              <w:t>4,387,811</w:t>
            </w:r>
          </w:p>
        </w:tc>
        <w:tc>
          <w:tcPr>
            <w:tcW w:w="1296" w:type="dxa"/>
            <w:shd w:val="clear" w:color="auto" w:fill="E5F6FC"/>
          </w:tcPr>
          <w:p w14:paraId="58D1C95C" w14:textId="77777777" w:rsidR="008800C6" w:rsidRPr="00333E76" w:rsidRDefault="008800C6" w:rsidP="008150FD">
            <w:pPr>
              <w:pStyle w:val="TableTextRight"/>
              <w:rPr>
                <w:sz w:val="16"/>
                <w:szCs w:val="16"/>
              </w:rPr>
            </w:pPr>
            <w:r w:rsidRPr="00333E76">
              <w:rPr>
                <w:sz w:val="16"/>
                <w:szCs w:val="16"/>
              </w:rPr>
              <w:t>1,495,859</w:t>
            </w:r>
          </w:p>
        </w:tc>
        <w:tc>
          <w:tcPr>
            <w:tcW w:w="1296" w:type="dxa"/>
            <w:shd w:val="clear" w:color="auto" w:fill="E5F6FC"/>
          </w:tcPr>
          <w:p w14:paraId="58D1C95D" w14:textId="77777777" w:rsidR="008800C6" w:rsidRPr="00333E76" w:rsidRDefault="008800C6" w:rsidP="008150FD">
            <w:pPr>
              <w:pStyle w:val="TableTextRight"/>
              <w:rPr>
                <w:sz w:val="16"/>
                <w:szCs w:val="16"/>
              </w:rPr>
            </w:pPr>
            <w:r w:rsidRPr="00333E76">
              <w:rPr>
                <w:sz w:val="16"/>
                <w:szCs w:val="16"/>
              </w:rPr>
              <w:t>1,800,154</w:t>
            </w:r>
          </w:p>
        </w:tc>
        <w:tc>
          <w:tcPr>
            <w:tcW w:w="1296" w:type="dxa"/>
            <w:shd w:val="clear" w:color="auto" w:fill="E5F6FC"/>
          </w:tcPr>
          <w:p w14:paraId="58D1C95E" w14:textId="77777777" w:rsidR="008800C6" w:rsidRPr="00333E76" w:rsidRDefault="008800C6" w:rsidP="008150FD">
            <w:pPr>
              <w:pStyle w:val="TableTextRight"/>
              <w:rPr>
                <w:sz w:val="16"/>
                <w:szCs w:val="16"/>
              </w:rPr>
            </w:pPr>
            <w:r w:rsidRPr="00333E76">
              <w:rPr>
                <w:sz w:val="16"/>
                <w:szCs w:val="16"/>
              </w:rPr>
              <w:t>10,164,110</w:t>
            </w:r>
          </w:p>
        </w:tc>
        <w:tc>
          <w:tcPr>
            <w:tcW w:w="1296" w:type="dxa"/>
            <w:shd w:val="clear" w:color="auto" w:fill="E5F6FC"/>
          </w:tcPr>
          <w:p w14:paraId="58D1C95F" w14:textId="77777777" w:rsidR="008800C6" w:rsidRPr="00333E76" w:rsidRDefault="008800C6" w:rsidP="008150FD">
            <w:pPr>
              <w:pStyle w:val="TableTextRight"/>
              <w:rPr>
                <w:sz w:val="16"/>
                <w:szCs w:val="16"/>
              </w:rPr>
            </w:pPr>
            <w:r w:rsidRPr="00333E76">
              <w:rPr>
                <w:sz w:val="16"/>
                <w:szCs w:val="16"/>
              </w:rPr>
              <w:t>1,058,660</w:t>
            </w:r>
          </w:p>
        </w:tc>
        <w:tc>
          <w:tcPr>
            <w:tcW w:w="1296" w:type="dxa"/>
            <w:shd w:val="clear" w:color="auto" w:fill="E5F6FC"/>
          </w:tcPr>
          <w:p w14:paraId="58D1C960" w14:textId="77777777" w:rsidR="008800C6" w:rsidRPr="00333E76" w:rsidRDefault="008800C6" w:rsidP="008150FD">
            <w:pPr>
              <w:pStyle w:val="TableTextRight"/>
              <w:rPr>
                <w:sz w:val="16"/>
                <w:szCs w:val="16"/>
              </w:rPr>
            </w:pPr>
            <w:r w:rsidRPr="00333E76">
              <w:rPr>
                <w:sz w:val="16"/>
                <w:szCs w:val="16"/>
              </w:rPr>
              <w:t>9,065,971</w:t>
            </w:r>
          </w:p>
        </w:tc>
        <w:tc>
          <w:tcPr>
            <w:tcW w:w="1276" w:type="dxa"/>
            <w:shd w:val="clear" w:color="auto" w:fill="E5F6FC"/>
          </w:tcPr>
          <w:p w14:paraId="58D1C961" w14:textId="77777777" w:rsidR="008800C6" w:rsidRPr="00333E76" w:rsidRDefault="008800C6" w:rsidP="008150FD">
            <w:pPr>
              <w:pStyle w:val="TableTextRight"/>
              <w:rPr>
                <w:sz w:val="16"/>
                <w:szCs w:val="16"/>
              </w:rPr>
            </w:pPr>
            <w:r w:rsidRPr="00333E76">
              <w:rPr>
                <w:sz w:val="16"/>
                <w:szCs w:val="16"/>
              </w:rPr>
              <w:t>27,972,565</w:t>
            </w:r>
          </w:p>
        </w:tc>
        <w:tc>
          <w:tcPr>
            <w:tcW w:w="1559" w:type="dxa"/>
            <w:shd w:val="clear" w:color="auto" w:fill="E5F6FC"/>
          </w:tcPr>
          <w:p w14:paraId="58D1C962" w14:textId="77777777" w:rsidR="008800C6" w:rsidRPr="00333E76" w:rsidRDefault="008800C6" w:rsidP="008150FD">
            <w:pPr>
              <w:pStyle w:val="TableTextRight"/>
              <w:rPr>
                <w:sz w:val="16"/>
                <w:szCs w:val="16"/>
              </w:rPr>
            </w:pPr>
            <w:r w:rsidRPr="00333E76">
              <w:rPr>
                <w:sz w:val="16"/>
                <w:szCs w:val="16"/>
              </w:rPr>
              <w:t>9,403,861</w:t>
            </w:r>
          </w:p>
        </w:tc>
        <w:tc>
          <w:tcPr>
            <w:tcW w:w="1560" w:type="dxa"/>
            <w:shd w:val="clear" w:color="auto" w:fill="E5F6FC"/>
          </w:tcPr>
          <w:p w14:paraId="58D1C963" w14:textId="77777777" w:rsidR="008800C6" w:rsidRPr="00333E76" w:rsidRDefault="008800C6" w:rsidP="008150FD">
            <w:pPr>
              <w:pStyle w:val="TableTextRight"/>
              <w:rPr>
                <w:sz w:val="16"/>
                <w:szCs w:val="16"/>
              </w:rPr>
            </w:pPr>
            <w:r w:rsidRPr="00333E76">
              <w:rPr>
                <w:sz w:val="16"/>
                <w:szCs w:val="16"/>
              </w:rPr>
              <w:t>37,376,426</w:t>
            </w:r>
          </w:p>
        </w:tc>
      </w:tr>
      <w:tr w:rsidR="00C6201E" w:rsidRPr="00333E76" w14:paraId="58D1C970" w14:textId="77777777" w:rsidTr="00333E76">
        <w:trPr>
          <w:cantSplit/>
          <w:trHeight w:val="20"/>
        </w:trPr>
        <w:tc>
          <w:tcPr>
            <w:tcW w:w="2943" w:type="dxa"/>
            <w:shd w:val="clear" w:color="auto" w:fill="E5F6FC"/>
          </w:tcPr>
          <w:p w14:paraId="58D1C965" w14:textId="77777777" w:rsidR="008800C6" w:rsidRPr="00333E76" w:rsidRDefault="00091597" w:rsidP="008150FD">
            <w:pPr>
              <w:pStyle w:val="TableText"/>
              <w:rPr>
                <w:sz w:val="16"/>
                <w:szCs w:val="16"/>
              </w:rPr>
            </w:pPr>
            <w:r w:rsidRPr="00333E76">
              <w:rPr>
                <w:sz w:val="16"/>
                <w:szCs w:val="16"/>
              </w:rPr>
              <w:t>Grants paid</w:t>
            </w:r>
          </w:p>
        </w:tc>
        <w:tc>
          <w:tcPr>
            <w:tcW w:w="1296" w:type="dxa"/>
            <w:shd w:val="clear" w:color="auto" w:fill="E5F6FC"/>
          </w:tcPr>
          <w:p w14:paraId="58D1C966" w14:textId="77777777" w:rsidR="008800C6" w:rsidRPr="00333E76" w:rsidRDefault="008800C6" w:rsidP="008150FD">
            <w:pPr>
              <w:pStyle w:val="TableTextRight"/>
              <w:rPr>
                <w:sz w:val="16"/>
                <w:szCs w:val="16"/>
              </w:rPr>
            </w:pPr>
          </w:p>
        </w:tc>
        <w:tc>
          <w:tcPr>
            <w:tcW w:w="1296" w:type="dxa"/>
            <w:shd w:val="clear" w:color="auto" w:fill="E5F6FC"/>
          </w:tcPr>
          <w:p w14:paraId="58D1C967" w14:textId="77777777" w:rsidR="008800C6" w:rsidRPr="00333E76" w:rsidRDefault="008800C6" w:rsidP="008150FD">
            <w:pPr>
              <w:pStyle w:val="TableTextRight"/>
              <w:rPr>
                <w:sz w:val="16"/>
                <w:szCs w:val="16"/>
              </w:rPr>
            </w:pPr>
            <w:r w:rsidRPr="00333E76">
              <w:rPr>
                <w:sz w:val="16"/>
                <w:szCs w:val="16"/>
              </w:rPr>
              <w:t>3,472,197</w:t>
            </w:r>
          </w:p>
        </w:tc>
        <w:tc>
          <w:tcPr>
            <w:tcW w:w="1296" w:type="dxa"/>
            <w:shd w:val="clear" w:color="auto" w:fill="E5F6FC"/>
          </w:tcPr>
          <w:p w14:paraId="58D1C968" w14:textId="77777777" w:rsidR="008800C6" w:rsidRPr="00333E76" w:rsidRDefault="008800C6" w:rsidP="008150FD">
            <w:pPr>
              <w:pStyle w:val="TableTextRight"/>
              <w:rPr>
                <w:sz w:val="16"/>
                <w:szCs w:val="16"/>
              </w:rPr>
            </w:pPr>
          </w:p>
        </w:tc>
        <w:tc>
          <w:tcPr>
            <w:tcW w:w="1296" w:type="dxa"/>
            <w:shd w:val="clear" w:color="auto" w:fill="E5F6FC"/>
          </w:tcPr>
          <w:p w14:paraId="58D1C969" w14:textId="77777777" w:rsidR="008800C6" w:rsidRPr="00333E76" w:rsidRDefault="008800C6" w:rsidP="008150FD">
            <w:pPr>
              <w:pStyle w:val="TableTextRight"/>
              <w:rPr>
                <w:sz w:val="16"/>
                <w:szCs w:val="16"/>
              </w:rPr>
            </w:pPr>
          </w:p>
        </w:tc>
        <w:tc>
          <w:tcPr>
            <w:tcW w:w="1296" w:type="dxa"/>
            <w:shd w:val="clear" w:color="auto" w:fill="E5F6FC"/>
          </w:tcPr>
          <w:p w14:paraId="58D1C96A" w14:textId="77777777" w:rsidR="008800C6" w:rsidRPr="00333E76" w:rsidRDefault="008800C6" w:rsidP="008150FD">
            <w:pPr>
              <w:pStyle w:val="TableTextRight"/>
              <w:rPr>
                <w:sz w:val="16"/>
                <w:szCs w:val="16"/>
              </w:rPr>
            </w:pPr>
            <w:r w:rsidRPr="00333E76">
              <w:rPr>
                <w:sz w:val="16"/>
                <w:szCs w:val="16"/>
              </w:rPr>
              <w:t>15,301,247</w:t>
            </w:r>
          </w:p>
        </w:tc>
        <w:tc>
          <w:tcPr>
            <w:tcW w:w="1296" w:type="dxa"/>
            <w:shd w:val="clear" w:color="auto" w:fill="E5F6FC"/>
          </w:tcPr>
          <w:p w14:paraId="58D1C96B" w14:textId="77777777" w:rsidR="008800C6" w:rsidRPr="00333E76" w:rsidRDefault="008800C6" w:rsidP="008150FD">
            <w:pPr>
              <w:pStyle w:val="TableTextRight"/>
              <w:rPr>
                <w:sz w:val="16"/>
                <w:szCs w:val="16"/>
              </w:rPr>
            </w:pPr>
            <w:r w:rsidRPr="00333E76">
              <w:rPr>
                <w:sz w:val="16"/>
                <w:szCs w:val="16"/>
              </w:rPr>
              <w:t>12,800</w:t>
            </w:r>
          </w:p>
        </w:tc>
        <w:tc>
          <w:tcPr>
            <w:tcW w:w="1296" w:type="dxa"/>
            <w:shd w:val="clear" w:color="auto" w:fill="E5F6FC"/>
          </w:tcPr>
          <w:p w14:paraId="58D1C96C" w14:textId="77777777" w:rsidR="008800C6" w:rsidRPr="00333E76" w:rsidRDefault="008800C6" w:rsidP="008150FD">
            <w:pPr>
              <w:pStyle w:val="TableTextRight"/>
              <w:rPr>
                <w:sz w:val="16"/>
                <w:szCs w:val="16"/>
              </w:rPr>
            </w:pPr>
            <w:r w:rsidRPr="00333E76">
              <w:rPr>
                <w:sz w:val="16"/>
                <w:szCs w:val="16"/>
              </w:rPr>
              <w:t>19,055,861</w:t>
            </w:r>
          </w:p>
        </w:tc>
        <w:tc>
          <w:tcPr>
            <w:tcW w:w="1276" w:type="dxa"/>
            <w:shd w:val="clear" w:color="auto" w:fill="E5F6FC"/>
          </w:tcPr>
          <w:p w14:paraId="58D1C96D" w14:textId="77777777" w:rsidR="008800C6" w:rsidRPr="00333E76" w:rsidRDefault="008800C6" w:rsidP="008150FD">
            <w:pPr>
              <w:pStyle w:val="TableTextRight"/>
              <w:rPr>
                <w:sz w:val="16"/>
                <w:szCs w:val="16"/>
              </w:rPr>
            </w:pPr>
            <w:r w:rsidRPr="00333E76">
              <w:rPr>
                <w:sz w:val="16"/>
                <w:szCs w:val="16"/>
              </w:rPr>
              <w:t>37,842,105</w:t>
            </w:r>
          </w:p>
        </w:tc>
        <w:tc>
          <w:tcPr>
            <w:tcW w:w="1559" w:type="dxa"/>
            <w:shd w:val="clear" w:color="auto" w:fill="E5F6FC"/>
          </w:tcPr>
          <w:p w14:paraId="58D1C96E" w14:textId="77777777" w:rsidR="008800C6" w:rsidRPr="00333E76" w:rsidRDefault="008800C6" w:rsidP="008150FD">
            <w:pPr>
              <w:pStyle w:val="TableTextRight"/>
              <w:rPr>
                <w:sz w:val="16"/>
                <w:szCs w:val="16"/>
              </w:rPr>
            </w:pPr>
            <w:r w:rsidRPr="00333E76">
              <w:rPr>
                <w:sz w:val="16"/>
                <w:szCs w:val="16"/>
              </w:rPr>
              <w:t>931,806</w:t>
            </w:r>
          </w:p>
        </w:tc>
        <w:tc>
          <w:tcPr>
            <w:tcW w:w="1560" w:type="dxa"/>
            <w:shd w:val="clear" w:color="auto" w:fill="E5F6FC"/>
          </w:tcPr>
          <w:p w14:paraId="58D1C96F" w14:textId="77777777" w:rsidR="008800C6" w:rsidRPr="00333E76" w:rsidRDefault="008800C6" w:rsidP="008150FD">
            <w:pPr>
              <w:pStyle w:val="TableTextRight"/>
              <w:rPr>
                <w:sz w:val="16"/>
                <w:szCs w:val="16"/>
              </w:rPr>
            </w:pPr>
            <w:r w:rsidRPr="00333E76">
              <w:rPr>
                <w:sz w:val="16"/>
                <w:szCs w:val="16"/>
              </w:rPr>
              <w:t>38,773,911</w:t>
            </w:r>
          </w:p>
        </w:tc>
      </w:tr>
      <w:tr w:rsidR="00C6201E" w:rsidRPr="00333E76" w14:paraId="58D1C97C" w14:textId="77777777" w:rsidTr="00333E76">
        <w:trPr>
          <w:cantSplit/>
          <w:trHeight w:val="20"/>
        </w:trPr>
        <w:tc>
          <w:tcPr>
            <w:tcW w:w="2943" w:type="dxa"/>
            <w:shd w:val="clear" w:color="auto" w:fill="E5F6FC"/>
          </w:tcPr>
          <w:p w14:paraId="58D1C971" w14:textId="77777777" w:rsidR="008800C6" w:rsidRPr="00333E76" w:rsidRDefault="00653983" w:rsidP="008150FD">
            <w:pPr>
              <w:pStyle w:val="TableText"/>
              <w:rPr>
                <w:sz w:val="16"/>
                <w:szCs w:val="16"/>
              </w:rPr>
            </w:pPr>
            <w:r w:rsidRPr="00333E76">
              <w:rPr>
                <w:sz w:val="16"/>
                <w:szCs w:val="16"/>
              </w:rPr>
              <w:t>Information technology</w:t>
            </w:r>
          </w:p>
        </w:tc>
        <w:tc>
          <w:tcPr>
            <w:tcW w:w="1296" w:type="dxa"/>
            <w:shd w:val="clear" w:color="auto" w:fill="E5F6FC"/>
          </w:tcPr>
          <w:p w14:paraId="58D1C972" w14:textId="77777777" w:rsidR="008800C6" w:rsidRPr="00333E76" w:rsidRDefault="008800C6" w:rsidP="008150FD">
            <w:pPr>
              <w:pStyle w:val="TableTextRight"/>
              <w:rPr>
                <w:sz w:val="16"/>
                <w:szCs w:val="16"/>
              </w:rPr>
            </w:pPr>
          </w:p>
        </w:tc>
        <w:tc>
          <w:tcPr>
            <w:tcW w:w="1296" w:type="dxa"/>
            <w:shd w:val="clear" w:color="auto" w:fill="E5F6FC"/>
          </w:tcPr>
          <w:p w14:paraId="58D1C973" w14:textId="77777777" w:rsidR="008800C6" w:rsidRPr="00333E76" w:rsidRDefault="008800C6" w:rsidP="008150FD">
            <w:pPr>
              <w:pStyle w:val="TableTextRight"/>
              <w:rPr>
                <w:sz w:val="16"/>
                <w:szCs w:val="16"/>
              </w:rPr>
            </w:pPr>
            <w:r w:rsidRPr="00333E76">
              <w:rPr>
                <w:sz w:val="16"/>
                <w:szCs w:val="16"/>
              </w:rPr>
              <w:t>134,147</w:t>
            </w:r>
          </w:p>
        </w:tc>
        <w:tc>
          <w:tcPr>
            <w:tcW w:w="1296" w:type="dxa"/>
            <w:shd w:val="clear" w:color="auto" w:fill="E5F6FC"/>
          </w:tcPr>
          <w:p w14:paraId="58D1C974" w14:textId="77777777" w:rsidR="008800C6" w:rsidRPr="00333E76" w:rsidRDefault="008800C6" w:rsidP="008150FD">
            <w:pPr>
              <w:pStyle w:val="TableTextRight"/>
              <w:rPr>
                <w:sz w:val="16"/>
                <w:szCs w:val="16"/>
              </w:rPr>
            </w:pPr>
            <w:r w:rsidRPr="00333E76">
              <w:rPr>
                <w:sz w:val="16"/>
                <w:szCs w:val="16"/>
              </w:rPr>
              <w:t>40,429</w:t>
            </w:r>
          </w:p>
        </w:tc>
        <w:tc>
          <w:tcPr>
            <w:tcW w:w="1296" w:type="dxa"/>
            <w:shd w:val="clear" w:color="auto" w:fill="E5F6FC"/>
          </w:tcPr>
          <w:p w14:paraId="58D1C975" w14:textId="77777777" w:rsidR="008800C6" w:rsidRPr="00333E76" w:rsidRDefault="008800C6" w:rsidP="008150FD">
            <w:pPr>
              <w:pStyle w:val="TableTextRight"/>
              <w:rPr>
                <w:sz w:val="16"/>
                <w:szCs w:val="16"/>
              </w:rPr>
            </w:pPr>
            <w:r w:rsidRPr="00333E76">
              <w:rPr>
                <w:sz w:val="16"/>
                <w:szCs w:val="16"/>
              </w:rPr>
              <w:t>59,669</w:t>
            </w:r>
          </w:p>
        </w:tc>
        <w:tc>
          <w:tcPr>
            <w:tcW w:w="1296" w:type="dxa"/>
            <w:shd w:val="clear" w:color="auto" w:fill="E5F6FC"/>
          </w:tcPr>
          <w:p w14:paraId="58D1C976" w14:textId="77777777" w:rsidR="008800C6" w:rsidRPr="00333E76" w:rsidRDefault="008800C6" w:rsidP="008150FD">
            <w:pPr>
              <w:pStyle w:val="TableTextRight"/>
              <w:rPr>
                <w:sz w:val="16"/>
                <w:szCs w:val="16"/>
              </w:rPr>
            </w:pPr>
            <w:r w:rsidRPr="00333E76">
              <w:rPr>
                <w:sz w:val="16"/>
                <w:szCs w:val="16"/>
              </w:rPr>
              <w:t>360,145</w:t>
            </w:r>
          </w:p>
        </w:tc>
        <w:tc>
          <w:tcPr>
            <w:tcW w:w="1296" w:type="dxa"/>
            <w:shd w:val="clear" w:color="auto" w:fill="E5F6FC"/>
          </w:tcPr>
          <w:p w14:paraId="58D1C977" w14:textId="77777777" w:rsidR="008800C6" w:rsidRPr="00333E76" w:rsidRDefault="008800C6" w:rsidP="008150FD">
            <w:pPr>
              <w:pStyle w:val="TableTextRight"/>
              <w:rPr>
                <w:sz w:val="16"/>
                <w:szCs w:val="16"/>
              </w:rPr>
            </w:pPr>
            <w:r w:rsidRPr="00333E76">
              <w:rPr>
                <w:sz w:val="16"/>
                <w:szCs w:val="16"/>
              </w:rPr>
              <w:t>29,859</w:t>
            </w:r>
          </w:p>
        </w:tc>
        <w:tc>
          <w:tcPr>
            <w:tcW w:w="1296" w:type="dxa"/>
            <w:shd w:val="clear" w:color="auto" w:fill="E5F6FC"/>
          </w:tcPr>
          <w:p w14:paraId="58D1C978" w14:textId="77777777" w:rsidR="008800C6" w:rsidRPr="00333E76" w:rsidRDefault="008800C6" w:rsidP="008150FD">
            <w:pPr>
              <w:pStyle w:val="TableTextRight"/>
              <w:rPr>
                <w:sz w:val="16"/>
                <w:szCs w:val="16"/>
              </w:rPr>
            </w:pPr>
            <w:r w:rsidRPr="00333E76">
              <w:rPr>
                <w:sz w:val="16"/>
                <w:szCs w:val="16"/>
              </w:rPr>
              <w:t>246,953</w:t>
            </w:r>
          </w:p>
        </w:tc>
        <w:tc>
          <w:tcPr>
            <w:tcW w:w="1276" w:type="dxa"/>
            <w:shd w:val="clear" w:color="auto" w:fill="E5F6FC"/>
          </w:tcPr>
          <w:p w14:paraId="58D1C979" w14:textId="77777777" w:rsidR="008800C6" w:rsidRPr="00333E76" w:rsidRDefault="008800C6" w:rsidP="008150FD">
            <w:pPr>
              <w:pStyle w:val="TableTextRight"/>
              <w:rPr>
                <w:sz w:val="16"/>
                <w:szCs w:val="16"/>
              </w:rPr>
            </w:pPr>
            <w:r w:rsidRPr="00333E76">
              <w:rPr>
                <w:sz w:val="16"/>
                <w:szCs w:val="16"/>
              </w:rPr>
              <w:t>871,202</w:t>
            </w:r>
          </w:p>
        </w:tc>
        <w:tc>
          <w:tcPr>
            <w:tcW w:w="1559" w:type="dxa"/>
            <w:shd w:val="clear" w:color="auto" w:fill="E5F6FC"/>
          </w:tcPr>
          <w:p w14:paraId="58D1C97A" w14:textId="77777777" w:rsidR="008800C6" w:rsidRPr="00333E76" w:rsidRDefault="008800C6" w:rsidP="008150FD">
            <w:pPr>
              <w:pStyle w:val="TableTextRight"/>
              <w:rPr>
                <w:sz w:val="16"/>
                <w:szCs w:val="16"/>
              </w:rPr>
            </w:pPr>
            <w:r w:rsidRPr="00333E76">
              <w:rPr>
                <w:sz w:val="16"/>
                <w:szCs w:val="16"/>
              </w:rPr>
              <w:t>1,155,723</w:t>
            </w:r>
          </w:p>
        </w:tc>
        <w:tc>
          <w:tcPr>
            <w:tcW w:w="1560" w:type="dxa"/>
            <w:shd w:val="clear" w:color="auto" w:fill="E5F6FC"/>
          </w:tcPr>
          <w:p w14:paraId="58D1C97B" w14:textId="77777777" w:rsidR="008800C6" w:rsidRPr="00333E76" w:rsidRDefault="008800C6" w:rsidP="008150FD">
            <w:pPr>
              <w:pStyle w:val="TableTextRight"/>
              <w:rPr>
                <w:sz w:val="16"/>
                <w:szCs w:val="16"/>
              </w:rPr>
            </w:pPr>
            <w:r w:rsidRPr="00333E76">
              <w:rPr>
                <w:sz w:val="16"/>
                <w:szCs w:val="16"/>
              </w:rPr>
              <w:t>2,026,925</w:t>
            </w:r>
          </w:p>
        </w:tc>
      </w:tr>
      <w:tr w:rsidR="00C6201E" w:rsidRPr="00333E76" w14:paraId="58D1C988" w14:textId="77777777" w:rsidTr="00333E76">
        <w:trPr>
          <w:cantSplit/>
          <w:trHeight w:val="20"/>
        </w:trPr>
        <w:tc>
          <w:tcPr>
            <w:tcW w:w="2943" w:type="dxa"/>
            <w:shd w:val="clear" w:color="auto" w:fill="E5F6FC"/>
          </w:tcPr>
          <w:p w14:paraId="58D1C97D" w14:textId="77777777" w:rsidR="008800C6" w:rsidRPr="00333E76" w:rsidRDefault="00653983" w:rsidP="008150FD">
            <w:pPr>
              <w:pStyle w:val="TableText"/>
              <w:rPr>
                <w:sz w:val="16"/>
                <w:szCs w:val="16"/>
              </w:rPr>
            </w:pPr>
            <w:r w:rsidRPr="00333E76">
              <w:rPr>
                <w:sz w:val="16"/>
                <w:szCs w:val="16"/>
              </w:rPr>
              <w:t>Occupancy costs</w:t>
            </w:r>
          </w:p>
        </w:tc>
        <w:tc>
          <w:tcPr>
            <w:tcW w:w="1296" w:type="dxa"/>
            <w:shd w:val="clear" w:color="auto" w:fill="E5F6FC"/>
          </w:tcPr>
          <w:p w14:paraId="58D1C97E" w14:textId="77777777" w:rsidR="008800C6" w:rsidRPr="00333E76" w:rsidRDefault="008800C6" w:rsidP="008150FD">
            <w:pPr>
              <w:pStyle w:val="TableTextRight"/>
              <w:rPr>
                <w:sz w:val="16"/>
                <w:szCs w:val="16"/>
              </w:rPr>
            </w:pPr>
          </w:p>
        </w:tc>
        <w:tc>
          <w:tcPr>
            <w:tcW w:w="1296" w:type="dxa"/>
            <w:shd w:val="clear" w:color="auto" w:fill="E5F6FC"/>
          </w:tcPr>
          <w:p w14:paraId="58D1C97F" w14:textId="77777777" w:rsidR="008800C6" w:rsidRPr="00333E76" w:rsidRDefault="008800C6" w:rsidP="008150FD">
            <w:pPr>
              <w:pStyle w:val="TableTextRight"/>
              <w:rPr>
                <w:sz w:val="16"/>
                <w:szCs w:val="16"/>
              </w:rPr>
            </w:pPr>
            <w:r w:rsidRPr="00333E76">
              <w:rPr>
                <w:sz w:val="16"/>
                <w:szCs w:val="16"/>
              </w:rPr>
              <w:t>234,674</w:t>
            </w:r>
          </w:p>
        </w:tc>
        <w:tc>
          <w:tcPr>
            <w:tcW w:w="1296" w:type="dxa"/>
            <w:shd w:val="clear" w:color="auto" w:fill="E5F6FC"/>
          </w:tcPr>
          <w:p w14:paraId="58D1C980" w14:textId="77777777" w:rsidR="008800C6" w:rsidRPr="00333E76" w:rsidRDefault="008800C6" w:rsidP="008150FD">
            <w:pPr>
              <w:pStyle w:val="TableTextRight"/>
              <w:rPr>
                <w:sz w:val="16"/>
                <w:szCs w:val="16"/>
              </w:rPr>
            </w:pPr>
            <w:r w:rsidRPr="00333E76">
              <w:rPr>
                <w:sz w:val="16"/>
                <w:szCs w:val="16"/>
              </w:rPr>
              <w:t>85,044</w:t>
            </w:r>
          </w:p>
        </w:tc>
        <w:tc>
          <w:tcPr>
            <w:tcW w:w="1296" w:type="dxa"/>
            <w:shd w:val="clear" w:color="auto" w:fill="E5F6FC"/>
          </w:tcPr>
          <w:p w14:paraId="58D1C981" w14:textId="77777777" w:rsidR="008800C6" w:rsidRPr="00333E76" w:rsidRDefault="008800C6" w:rsidP="008150FD">
            <w:pPr>
              <w:pStyle w:val="TableTextRight"/>
              <w:rPr>
                <w:sz w:val="16"/>
                <w:szCs w:val="16"/>
              </w:rPr>
            </w:pPr>
            <w:r w:rsidRPr="00333E76">
              <w:rPr>
                <w:sz w:val="16"/>
                <w:szCs w:val="16"/>
              </w:rPr>
              <w:t>97,895</w:t>
            </w:r>
          </w:p>
        </w:tc>
        <w:tc>
          <w:tcPr>
            <w:tcW w:w="1296" w:type="dxa"/>
            <w:shd w:val="clear" w:color="auto" w:fill="E5F6FC"/>
          </w:tcPr>
          <w:p w14:paraId="58D1C982" w14:textId="77777777" w:rsidR="008800C6" w:rsidRPr="00333E76" w:rsidRDefault="008800C6" w:rsidP="008150FD">
            <w:pPr>
              <w:pStyle w:val="TableTextRight"/>
              <w:rPr>
                <w:sz w:val="16"/>
                <w:szCs w:val="16"/>
              </w:rPr>
            </w:pPr>
            <w:r w:rsidRPr="00333E76">
              <w:rPr>
                <w:sz w:val="16"/>
                <w:szCs w:val="16"/>
              </w:rPr>
              <w:t>283,133</w:t>
            </w:r>
          </w:p>
        </w:tc>
        <w:tc>
          <w:tcPr>
            <w:tcW w:w="1296" w:type="dxa"/>
            <w:shd w:val="clear" w:color="auto" w:fill="E5F6FC"/>
          </w:tcPr>
          <w:p w14:paraId="58D1C983" w14:textId="77777777" w:rsidR="008800C6" w:rsidRPr="00333E76" w:rsidRDefault="008800C6" w:rsidP="008150FD">
            <w:pPr>
              <w:pStyle w:val="TableTextRight"/>
              <w:rPr>
                <w:sz w:val="16"/>
                <w:szCs w:val="16"/>
              </w:rPr>
            </w:pPr>
            <w:r w:rsidRPr="00333E76">
              <w:rPr>
                <w:sz w:val="16"/>
                <w:szCs w:val="16"/>
              </w:rPr>
              <w:t>31,148</w:t>
            </w:r>
          </w:p>
        </w:tc>
        <w:tc>
          <w:tcPr>
            <w:tcW w:w="1296" w:type="dxa"/>
            <w:shd w:val="clear" w:color="auto" w:fill="E5F6FC"/>
          </w:tcPr>
          <w:p w14:paraId="58D1C984" w14:textId="77777777" w:rsidR="008800C6" w:rsidRPr="00333E76" w:rsidRDefault="008800C6" w:rsidP="008150FD">
            <w:pPr>
              <w:pStyle w:val="TableTextRight"/>
              <w:rPr>
                <w:sz w:val="16"/>
                <w:szCs w:val="16"/>
              </w:rPr>
            </w:pPr>
            <w:r w:rsidRPr="00333E76">
              <w:rPr>
                <w:sz w:val="16"/>
                <w:szCs w:val="16"/>
              </w:rPr>
              <w:t>263,439</w:t>
            </w:r>
          </w:p>
        </w:tc>
        <w:tc>
          <w:tcPr>
            <w:tcW w:w="1276" w:type="dxa"/>
            <w:shd w:val="clear" w:color="auto" w:fill="E5F6FC"/>
          </w:tcPr>
          <w:p w14:paraId="58D1C985" w14:textId="77777777" w:rsidR="008800C6" w:rsidRPr="00333E76" w:rsidRDefault="008800C6" w:rsidP="008150FD">
            <w:pPr>
              <w:pStyle w:val="TableTextRight"/>
              <w:rPr>
                <w:sz w:val="16"/>
                <w:szCs w:val="16"/>
              </w:rPr>
            </w:pPr>
            <w:r w:rsidRPr="00333E76">
              <w:rPr>
                <w:sz w:val="16"/>
                <w:szCs w:val="16"/>
              </w:rPr>
              <w:t>995,333</w:t>
            </w:r>
          </w:p>
        </w:tc>
        <w:tc>
          <w:tcPr>
            <w:tcW w:w="1559" w:type="dxa"/>
            <w:shd w:val="clear" w:color="auto" w:fill="E5F6FC"/>
          </w:tcPr>
          <w:p w14:paraId="58D1C986" w14:textId="77777777" w:rsidR="008800C6" w:rsidRPr="00333E76" w:rsidRDefault="008800C6" w:rsidP="008150FD">
            <w:pPr>
              <w:pStyle w:val="TableTextRight"/>
              <w:rPr>
                <w:sz w:val="16"/>
                <w:szCs w:val="16"/>
              </w:rPr>
            </w:pPr>
            <w:r w:rsidRPr="00333E76">
              <w:rPr>
                <w:sz w:val="16"/>
                <w:szCs w:val="16"/>
              </w:rPr>
              <w:t>3,211,142</w:t>
            </w:r>
          </w:p>
        </w:tc>
        <w:tc>
          <w:tcPr>
            <w:tcW w:w="1560" w:type="dxa"/>
            <w:shd w:val="clear" w:color="auto" w:fill="E5F6FC"/>
          </w:tcPr>
          <w:p w14:paraId="58D1C987" w14:textId="77777777" w:rsidR="008800C6" w:rsidRPr="00333E76" w:rsidRDefault="008800C6" w:rsidP="008150FD">
            <w:pPr>
              <w:pStyle w:val="TableTextRight"/>
              <w:rPr>
                <w:sz w:val="16"/>
                <w:szCs w:val="16"/>
              </w:rPr>
            </w:pPr>
            <w:r w:rsidRPr="00333E76">
              <w:rPr>
                <w:sz w:val="16"/>
                <w:szCs w:val="16"/>
              </w:rPr>
              <w:t>4,206,475</w:t>
            </w:r>
          </w:p>
        </w:tc>
      </w:tr>
      <w:tr w:rsidR="00C6201E" w:rsidRPr="00333E76" w14:paraId="58D1C994" w14:textId="77777777" w:rsidTr="00333E76">
        <w:trPr>
          <w:cantSplit/>
          <w:trHeight w:val="20"/>
        </w:trPr>
        <w:tc>
          <w:tcPr>
            <w:tcW w:w="2943" w:type="dxa"/>
            <w:shd w:val="clear" w:color="auto" w:fill="E5F6FC"/>
          </w:tcPr>
          <w:p w14:paraId="58D1C989" w14:textId="77777777" w:rsidR="008800C6" w:rsidRPr="00333E76" w:rsidRDefault="00091597" w:rsidP="008150FD">
            <w:pPr>
              <w:pStyle w:val="TableText"/>
              <w:rPr>
                <w:sz w:val="16"/>
                <w:szCs w:val="16"/>
              </w:rPr>
            </w:pPr>
            <w:r w:rsidRPr="00333E76">
              <w:rPr>
                <w:sz w:val="16"/>
                <w:szCs w:val="16"/>
              </w:rPr>
              <w:t>Other operating costs</w:t>
            </w:r>
          </w:p>
        </w:tc>
        <w:tc>
          <w:tcPr>
            <w:tcW w:w="1296" w:type="dxa"/>
            <w:shd w:val="clear" w:color="auto" w:fill="E5F6FC"/>
          </w:tcPr>
          <w:p w14:paraId="58D1C98A" w14:textId="77777777" w:rsidR="008800C6" w:rsidRPr="00333E76" w:rsidRDefault="008800C6" w:rsidP="008150FD">
            <w:pPr>
              <w:pStyle w:val="TableTextRight"/>
              <w:rPr>
                <w:sz w:val="16"/>
                <w:szCs w:val="16"/>
              </w:rPr>
            </w:pPr>
          </w:p>
        </w:tc>
        <w:tc>
          <w:tcPr>
            <w:tcW w:w="1296" w:type="dxa"/>
            <w:shd w:val="clear" w:color="auto" w:fill="E5F6FC"/>
          </w:tcPr>
          <w:p w14:paraId="58D1C98B" w14:textId="77777777" w:rsidR="008800C6" w:rsidRPr="00333E76" w:rsidRDefault="008800C6" w:rsidP="008150FD">
            <w:pPr>
              <w:pStyle w:val="TableTextRight"/>
              <w:rPr>
                <w:sz w:val="16"/>
                <w:szCs w:val="16"/>
              </w:rPr>
            </w:pPr>
            <w:r w:rsidRPr="00333E76">
              <w:rPr>
                <w:sz w:val="16"/>
                <w:szCs w:val="16"/>
              </w:rPr>
              <w:t>1,019,242</w:t>
            </w:r>
          </w:p>
        </w:tc>
        <w:tc>
          <w:tcPr>
            <w:tcW w:w="1296" w:type="dxa"/>
            <w:shd w:val="clear" w:color="auto" w:fill="E5F6FC"/>
          </w:tcPr>
          <w:p w14:paraId="58D1C98C" w14:textId="77777777" w:rsidR="008800C6" w:rsidRPr="00333E76" w:rsidRDefault="008800C6" w:rsidP="008150FD">
            <w:pPr>
              <w:pStyle w:val="TableTextRight"/>
              <w:rPr>
                <w:sz w:val="16"/>
                <w:szCs w:val="16"/>
              </w:rPr>
            </w:pPr>
            <w:r w:rsidRPr="00333E76">
              <w:rPr>
                <w:sz w:val="16"/>
                <w:szCs w:val="16"/>
              </w:rPr>
              <w:t>416,435</w:t>
            </w:r>
          </w:p>
        </w:tc>
        <w:tc>
          <w:tcPr>
            <w:tcW w:w="1296" w:type="dxa"/>
            <w:shd w:val="clear" w:color="auto" w:fill="E5F6FC"/>
          </w:tcPr>
          <w:p w14:paraId="58D1C98D" w14:textId="77777777" w:rsidR="008800C6" w:rsidRPr="00333E76" w:rsidRDefault="008800C6" w:rsidP="008150FD">
            <w:pPr>
              <w:pStyle w:val="TableTextRight"/>
              <w:rPr>
                <w:sz w:val="16"/>
                <w:szCs w:val="16"/>
              </w:rPr>
            </w:pPr>
            <w:r w:rsidRPr="00333E76">
              <w:rPr>
                <w:sz w:val="16"/>
                <w:szCs w:val="16"/>
              </w:rPr>
              <w:t>784,874</w:t>
            </w:r>
          </w:p>
        </w:tc>
        <w:tc>
          <w:tcPr>
            <w:tcW w:w="1296" w:type="dxa"/>
            <w:shd w:val="clear" w:color="auto" w:fill="E5F6FC"/>
          </w:tcPr>
          <w:p w14:paraId="58D1C98E" w14:textId="77777777" w:rsidR="008800C6" w:rsidRPr="00333E76" w:rsidRDefault="008800C6" w:rsidP="008150FD">
            <w:pPr>
              <w:pStyle w:val="TableTextRight"/>
              <w:rPr>
                <w:sz w:val="16"/>
                <w:szCs w:val="16"/>
              </w:rPr>
            </w:pPr>
            <w:r w:rsidRPr="00333E76">
              <w:rPr>
                <w:sz w:val="16"/>
                <w:szCs w:val="16"/>
              </w:rPr>
              <w:t>1,933,782</w:t>
            </w:r>
          </w:p>
        </w:tc>
        <w:tc>
          <w:tcPr>
            <w:tcW w:w="1296" w:type="dxa"/>
            <w:shd w:val="clear" w:color="auto" w:fill="E5F6FC"/>
          </w:tcPr>
          <w:p w14:paraId="58D1C98F" w14:textId="77777777" w:rsidR="008800C6" w:rsidRPr="00333E76" w:rsidRDefault="008800C6" w:rsidP="008150FD">
            <w:pPr>
              <w:pStyle w:val="TableTextRight"/>
              <w:rPr>
                <w:sz w:val="16"/>
                <w:szCs w:val="16"/>
              </w:rPr>
            </w:pPr>
            <w:r w:rsidRPr="00333E76">
              <w:rPr>
                <w:sz w:val="16"/>
                <w:szCs w:val="16"/>
              </w:rPr>
              <w:t>225,575</w:t>
            </w:r>
          </w:p>
        </w:tc>
        <w:tc>
          <w:tcPr>
            <w:tcW w:w="1296" w:type="dxa"/>
            <w:shd w:val="clear" w:color="auto" w:fill="E5F6FC"/>
          </w:tcPr>
          <w:p w14:paraId="58D1C990" w14:textId="77777777" w:rsidR="008800C6" w:rsidRPr="00333E76" w:rsidRDefault="008800C6" w:rsidP="008150FD">
            <w:pPr>
              <w:pStyle w:val="TableTextRight"/>
              <w:rPr>
                <w:sz w:val="16"/>
                <w:szCs w:val="16"/>
              </w:rPr>
            </w:pPr>
            <w:r w:rsidRPr="00333E76">
              <w:rPr>
                <w:sz w:val="16"/>
                <w:szCs w:val="16"/>
              </w:rPr>
              <w:t>1,460,914</w:t>
            </w:r>
          </w:p>
        </w:tc>
        <w:tc>
          <w:tcPr>
            <w:tcW w:w="1276" w:type="dxa"/>
            <w:shd w:val="clear" w:color="auto" w:fill="E5F6FC"/>
          </w:tcPr>
          <w:p w14:paraId="58D1C991" w14:textId="77777777" w:rsidR="008800C6" w:rsidRPr="00333E76" w:rsidRDefault="008800C6" w:rsidP="008150FD">
            <w:pPr>
              <w:pStyle w:val="TableTextRight"/>
              <w:rPr>
                <w:sz w:val="16"/>
                <w:szCs w:val="16"/>
              </w:rPr>
            </w:pPr>
            <w:r w:rsidRPr="00333E76">
              <w:rPr>
                <w:sz w:val="16"/>
                <w:szCs w:val="16"/>
              </w:rPr>
              <w:t>5,840,822</w:t>
            </w:r>
          </w:p>
        </w:tc>
        <w:tc>
          <w:tcPr>
            <w:tcW w:w="1559" w:type="dxa"/>
            <w:shd w:val="clear" w:color="auto" w:fill="E5F6FC"/>
          </w:tcPr>
          <w:p w14:paraId="58D1C992" w14:textId="77777777" w:rsidR="008800C6" w:rsidRPr="00333E76" w:rsidRDefault="008800C6" w:rsidP="008150FD">
            <w:pPr>
              <w:pStyle w:val="TableTextRight"/>
              <w:rPr>
                <w:sz w:val="16"/>
                <w:szCs w:val="16"/>
              </w:rPr>
            </w:pPr>
            <w:r w:rsidRPr="00333E76">
              <w:rPr>
                <w:sz w:val="16"/>
                <w:szCs w:val="16"/>
              </w:rPr>
              <w:t>2,486,106</w:t>
            </w:r>
          </w:p>
        </w:tc>
        <w:tc>
          <w:tcPr>
            <w:tcW w:w="1560" w:type="dxa"/>
            <w:shd w:val="clear" w:color="auto" w:fill="E5F6FC"/>
          </w:tcPr>
          <w:p w14:paraId="58D1C993" w14:textId="77777777" w:rsidR="008800C6" w:rsidRPr="00333E76" w:rsidRDefault="008800C6" w:rsidP="008150FD">
            <w:pPr>
              <w:pStyle w:val="TableTextRight"/>
              <w:rPr>
                <w:sz w:val="16"/>
                <w:szCs w:val="16"/>
              </w:rPr>
            </w:pPr>
            <w:r w:rsidRPr="00333E76">
              <w:rPr>
                <w:sz w:val="16"/>
                <w:szCs w:val="16"/>
              </w:rPr>
              <w:t>8,326,928</w:t>
            </w:r>
          </w:p>
        </w:tc>
      </w:tr>
      <w:tr w:rsidR="00C6201E" w:rsidRPr="00333E76" w14:paraId="58D1C9A0" w14:textId="77777777" w:rsidTr="00333E76">
        <w:trPr>
          <w:cantSplit/>
          <w:trHeight w:val="20"/>
        </w:trPr>
        <w:tc>
          <w:tcPr>
            <w:tcW w:w="2943" w:type="dxa"/>
            <w:shd w:val="clear" w:color="auto" w:fill="E5F6FC"/>
          </w:tcPr>
          <w:p w14:paraId="58D1C995" w14:textId="77777777" w:rsidR="008800C6" w:rsidRPr="00333E76" w:rsidRDefault="008800C6" w:rsidP="008150FD">
            <w:pPr>
              <w:pStyle w:val="TableText"/>
              <w:rPr>
                <w:sz w:val="16"/>
                <w:szCs w:val="16"/>
              </w:rPr>
            </w:pPr>
            <w:r w:rsidRPr="00333E76">
              <w:rPr>
                <w:sz w:val="16"/>
                <w:szCs w:val="16"/>
              </w:rPr>
              <w:t>Outsourced contracted costs</w:t>
            </w:r>
          </w:p>
        </w:tc>
        <w:tc>
          <w:tcPr>
            <w:tcW w:w="1296" w:type="dxa"/>
            <w:shd w:val="clear" w:color="auto" w:fill="E5F6FC"/>
          </w:tcPr>
          <w:p w14:paraId="58D1C996" w14:textId="77777777" w:rsidR="008800C6" w:rsidRPr="00333E76" w:rsidRDefault="008800C6" w:rsidP="008150FD">
            <w:pPr>
              <w:pStyle w:val="TableTextRight"/>
              <w:rPr>
                <w:sz w:val="16"/>
                <w:szCs w:val="16"/>
              </w:rPr>
            </w:pPr>
          </w:p>
        </w:tc>
        <w:tc>
          <w:tcPr>
            <w:tcW w:w="1296" w:type="dxa"/>
            <w:shd w:val="clear" w:color="auto" w:fill="E5F6FC"/>
          </w:tcPr>
          <w:p w14:paraId="58D1C997" w14:textId="77777777" w:rsidR="008800C6" w:rsidRPr="00333E76" w:rsidRDefault="008800C6" w:rsidP="008150FD">
            <w:pPr>
              <w:pStyle w:val="TableTextRight"/>
              <w:rPr>
                <w:sz w:val="16"/>
                <w:szCs w:val="16"/>
              </w:rPr>
            </w:pPr>
          </w:p>
        </w:tc>
        <w:tc>
          <w:tcPr>
            <w:tcW w:w="1296" w:type="dxa"/>
            <w:shd w:val="clear" w:color="auto" w:fill="E5F6FC"/>
          </w:tcPr>
          <w:p w14:paraId="58D1C998" w14:textId="77777777" w:rsidR="008800C6" w:rsidRPr="00333E76" w:rsidRDefault="008800C6" w:rsidP="008150FD">
            <w:pPr>
              <w:pStyle w:val="TableTextRight"/>
              <w:rPr>
                <w:sz w:val="16"/>
                <w:szCs w:val="16"/>
              </w:rPr>
            </w:pPr>
          </w:p>
        </w:tc>
        <w:tc>
          <w:tcPr>
            <w:tcW w:w="1296" w:type="dxa"/>
            <w:shd w:val="clear" w:color="auto" w:fill="E5F6FC"/>
          </w:tcPr>
          <w:p w14:paraId="58D1C999" w14:textId="77777777" w:rsidR="008800C6" w:rsidRPr="00333E76" w:rsidRDefault="008800C6" w:rsidP="008150FD">
            <w:pPr>
              <w:pStyle w:val="TableTextRight"/>
              <w:rPr>
                <w:sz w:val="16"/>
                <w:szCs w:val="16"/>
              </w:rPr>
            </w:pPr>
            <w:r w:rsidRPr="00333E76">
              <w:rPr>
                <w:sz w:val="16"/>
                <w:szCs w:val="16"/>
              </w:rPr>
              <w:t>5,666,522</w:t>
            </w:r>
          </w:p>
        </w:tc>
        <w:tc>
          <w:tcPr>
            <w:tcW w:w="1296" w:type="dxa"/>
            <w:shd w:val="clear" w:color="auto" w:fill="E5F6FC"/>
          </w:tcPr>
          <w:p w14:paraId="58D1C99A" w14:textId="77777777" w:rsidR="008800C6" w:rsidRPr="00333E76" w:rsidRDefault="008800C6" w:rsidP="008150FD">
            <w:pPr>
              <w:pStyle w:val="TableTextRight"/>
              <w:rPr>
                <w:sz w:val="16"/>
                <w:szCs w:val="16"/>
              </w:rPr>
            </w:pPr>
          </w:p>
        </w:tc>
        <w:tc>
          <w:tcPr>
            <w:tcW w:w="1296" w:type="dxa"/>
            <w:shd w:val="clear" w:color="auto" w:fill="E5F6FC"/>
          </w:tcPr>
          <w:p w14:paraId="58D1C99B" w14:textId="77777777" w:rsidR="008800C6" w:rsidRPr="00333E76" w:rsidRDefault="008800C6" w:rsidP="008150FD">
            <w:pPr>
              <w:pStyle w:val="TableTextRight"/>
              <w:rPr>
                <w:sz w:val="16"/>
                <w:szCs w:val="16"/>
              </w:rPr>
            </w:pPr>
          </w:p>
        </w:tc>
        <w:tc>
          <w:tcPr>
            <w:tcW w:w="1296" w:type="dxa"/>
            <w:shd w:val="clear" w:color="auto" w:fill="E5F6FC"/>
          </w:tcPr>
          <w:p w14:paraId="58D1C99C" w14:textId="77777777" w:rsidR="008800C6" w:rsidRPr="00333E76" w:rsidRDefault="008800C6" w:rsidP="008150FD">
            <w:pPr>
              <w:pStyle w:val="TableTextRight"/>
              <w:rPr>
                <w:sz w:val="16"/>
                <w:szCs w:val="16"/>
              </w:rPr>
            </w:pPr>
          </w:p>
        </w:tc>
        <w:tc>
          <w:tcPr>
            <w:tcW w:w="1276" w:type="dxa"/>
            <w:shd w:val="clear" w:color="auto" w:fill="E5F6FC"/>
          </w:tcPr>
          <w:p w14:paraId="58D1C99D" w14:textId="77777777" w:rsidR="008800C6" w:rsidRPr="00333E76" w:rsidRDefault="008800C6" w:rsidP="008150FD">
            <w:pPr>
              <w:pStyle w:val="TableTextRight"/>
              <w:rPr>
                <w:sz w:val="16"/>
                <w:szCs w:val="16"/>
              </w:rPr>
            </w:pPr>
            <w:r w:rsidRPr="00333E76">
              <w:rPr>
                <w:sz w:val="16"/>
                <w:szCs w:val="16"/>
              </w:rPr>
              <w:t>5,666,522</w:t>
            </w:r>
          </w:p>
        </w:tc>
        <w:tc>
          <w:tcPr>
            <w:tcW w:w="1559" w:type="dxa"/>
            <w:shd w:val="clear" w:color="auto" w:fill="E5F6FC"/>
          </w:tcPr>
          <w:p w14:paraId="58D1C99E" w14:textId="77777777" w:rsidR="008800C6" w:rsidRPr="00333E76" w:rsidRDefault="008800C6" w:rsidP="008150FD">
            <w:pPr>
              <w:pStyle w:val="TableTextRight"/>
              <w:rPr>
                <w:sz w:val="16"/>
                <w:szCs w:val="16"/>
              </w:rPr>
            </w:pPr>
            <w:r w:rsidRPr="00333E76">
              <w:rPr>
                <w:sz w:val="16"/>
                <w:szCs w:val="16"/>
              </w:rPr>
              <w:t>7,533,487</w:t>
            </w:r>
          </w:p>
        </w:tc>
        <w:tc>
          <w:tcPr>
            <w:tcW w:w="1560" w:type="dxa"/>
            <w:shd w:val="clear" w:color="auto" w:fill="E5F6FC"/>
          </w:tcPr>
          <w:p w14:paraId="58D1C99F" w14:textId="77777777" w:rsidR="008800C6" w:rsidRPr="00333E76" w:rsidRDefault="008800C6" w:rsidP="008150FD">
            <w:pPr>
              <w:pStyle w:val="TableTextRight"/>
              <w:rPr>
                <w:sz w:val="16"/>
                <w:szCs w:val="16"/>
              </w:rPr>
            </w:pPr>
            <w:r w:rsidRPr="00333E76">
              <w:rPr>
                <w:sz w:val="16"/>
                <w:szCs w:val="16"/>
              </w:rPr>
              <w:t>13,200,009</w:t>
            </w:r>
          </w:p>
        </w:tc>
      </w:tr>
      <w:tr w:rsidR="00C6201E" w:rsidRPr="00333E76" w14:paraId="58D1C9AC" w14:textId="77777777" w:rsidTr="00333E76">
        <w:trPr>
          <w:cantSplit/>
          <w:trHeight w:val="20"/>
        </w:trPr>
        <w:tc>
          <w:tcPr>
            <w:tcW w:w="2943" w:type="dxa"/>
            <w:shd w:val="clear" w:color="auto" w:fill="E5F6FC"/>
          </w:tcPr>
          <w:p w14:paraId="58D1C9A1" w14:textId="77777777" w:rsidR="008800C6" w:rsidRPr="00333E76" w:rsidRDefault="008800C6" w:rsidP="00177DC1">
            <w:pPr>
              <w:pStyle w:val="TableTextBold"/>
              <w:rPr>
                <w:sz w:val="16"/>
                <w:szCs w:val="16"/>
              </w:rPr>
            </w:pPr>
            <w:r w:rsidRPr="00333E76">
              <w:rPr>
                <w:sz w:val="16"/>
                <w:szCs w:val="16"/>
              </w:rPr>
              <w:t xml:space="preserve">Total </w:t>
            </w:r>
            <w:r w:rsidR="009F76FB" w:rsidRPr="00333E76">
              <w:rPr>
                <w:sz w:val="16"/>
                <w:szCs w:val="16"/>
              </w:rPr>
              <w:t>Consumer Affairs Victoria e</w:t>
            </w:r>
            <w:r w:rsidR="00653983" w:rsidRPr="00333E76">
              <w:rPr>
                <w:sz w:val="16"/>
                <w:szCs w:val="16"/>
              </w:rPr>
              <w:t>xpenditure</w:t>
            </w:r>
          </w:p>
        </w:tc>
        <w:tc>
          <w:tcPr>
            <w:tcW w:w="1296" w:type="dxa"/>
            <w:shd w:val="clear" w:color="auto" w:fill="E5F6FC"/>
          </w:tcPr>
          <w:p w14:paraId="58D1C9A2" w14:textId="77777777" w:rsidR="008800C6" w:rsidRPr="00333E76" w:rsidRDefault="008800C6" w:rsidP="00177DC1">
            <w:pPr>
              <w:pStyle w:val="TableTextBoldRight"/>
              <w:rPr>
                <w:sz w:val="16"/>
                <w:szCs w:val="16"/>
              </w:rPr>
            </w:pPr>
            <w:r w:rsidRPr="00333E76">
              <w:rPr>
                <w:sz w:val="16"/>
                <w:szCs w:val="16"/>
              </w:rPr>
              <w:t>-</w:t>
            </w:r>
          </w:p>
        </w:tc>
        <w:tc>
          <w:tcPr>
            <w:tcW w:w="1296" w:type="dxa"/>
            <w:shd w:val="clear" w:color="auto" w:fill="E5F6FC"/>
          </w:tcPr>
          <w:p w14:paraId="58D1C9A3" w14:textId="77777777" w:rsidR="008800C6" w:rsidRPr="00333E76" w:rsidRDefault="008800C6" w:rsidP="00177DC1">
            <w:pPr>
              <w:pStyle w:val="TableTextBoldRight"/>
              <w:rPr>
                <w:sz w:val="16"/>
                <w:szCs w:val="16"/>
              </w:rPr>
            </w:pPr>
            <w:r w:rsidRPr="00333E76">
              <w:rPr>
                <w:sz w:val="16"/>
                <w:szCs w:val="16"/>
              </w:rPr>
              <w:t>9,615,105</w:t>
            </w:r>
          </w:p>
        </w:tc>
        <w:tc>
          <w:tcPr>
            <w:tcW w:w="1296" w:type="dxa"/>
            <w:shd w:val="clear" w:color="auto" w:fill="E5F6FC"/>
          </w:tcPr>
          <w:p w14:paraId="58D1C9A4" w14:textId="77777777" w:rsidR="008800C6" w:rsidRPr="00333E76" w:rsidRDefault="008800C6" w:rsidP="00177DC1">
            <w:pPr>
              <w:pStyle w:val="TableTextBoldRight"/>
              <w:rPr>
                <w:sz w:val="16"/>
                <w:szCs w:val="16"/>
              </w:rPr>
            </w:pPr>
            <w:r w:rsidRPr="00333E76">
              <w:rPr>
                <w:sz w:val="16"/>
                <w:szCs w:val="16"/>
              </w:rPr>
              <w:t>2,535,207</w:t>
            </w:r>
          </w:p>
        </w:tc>
        <w:tc>
          <w:tcPr>
            <w:tcW w:w="1296" w:type="dxa"/>
            <w:shd w:val="clear" w:color="auto" w:fill="E5F6FC"/>
          </w:tcPr>
          <w:p w14:paraId="58D1C9A5" w14:textId="77777777" w:rsidR="008800C6" w:rsidRPr="00333E76" w:rsidRDefault="008800C6" w:rsidP="00177DC1">
            <w:pPr>
              <w:pStyle w:val="TableTextBoldRight"/>
              <w:rPr>
                <w:sz w:val="16"/>
                <w:szCs w:val="16"/>
              </w:rPr>
            </w:pPr>
            <w:r w:rsidRPr="00333E76">
              <w:rPr>
                <w:sz w:val="16"/>
                <w:szCs w:val="16"/>
              </w:rPr>
              <w:t>8,950,617</w:t>
            </w:r>
          </w:p>
        </w:tc>
        <w:tc>
          <w:tcPr>
            <w:tcW w:w="1296" w:type="dxa"/>
            <w:shd w:val="clear" w:color="auto" w:fill="E5F6FC"/>
          </w:tcPr>
          <w:p w14:paraId="58D1C9A6" w14:textId="77777777" w:rsidR="008800C6" w:rsidRPr="00333E76" w:rsidRDefault="008800C6" w:rsidP="00177DC1">
            <w:pPr>
              <w:pStyle w:val="TableTextBoldRight"/>
              <w:rPr>
                <w:sz w:val="16"/>
                <w:szCs w:val="16"/>
              </w:rPr>
            </w:pPr>
            <w:r w:rsidRPr="00333E76">
              <w:rPr>
                <w:sz w:val="16"/>
                <w:szCs w:val="16"/>
              </w:rPr>
              <w:t>28,626,059</w:t>
            </w:r>
          </w:p>
        </w:tc>
        <w:tc>
          <w:tcPr>
            <w:tcW w:w="1296" w:type="dxa"/>
            <w:shd w:val="clear" w:color="auto" w:fill="E5F6FC"/>
          </w:tcPr>
          <w:p w14:paraId="58D1C9A7" w14:textId="77777777" w:rsidR="008800C6" w:rsidRPr="00333E76" w:rsidRDefault="008800C6" w:rsidP="00177DC1">
            <w:pPr>
              <w:pStyle w:val="TableTextBoldRight"/>
              <w:rPr>
                <w:sz w:val="16"/>
                <w:szCs w:val="16"/>
              </w:rPr>
            </w:pPr>
            <w:r w:rsidRPr="00333E76">
              <w:rPr>
                <w:sz w:val="16"/>
                <w:szCs w:val="16"/>
              </w:rPr>
              <w:t xml:space="preserve">1,525,034 </w:t>
            </w:r>
          </w:p>
        </w:tc>
        <w:tc>
          <w:tcPr>
            <w:tcW w:w="1296" w:type="dxa"/>
            <w:shd w:val="clear" w:color="auto" w:fill="E5F6FC"/>
          </w:tcPr>
          <w:p w14:paraId="58D1C9A8" w14:textId="77777777" w:rsidR="008800C6" w:rsidRPr="00333E76" w:rsidRDefault="008800C6" w:rsidP="00177DC1">
            <w:pPr>
              <w:pStyle w:val="TableTextBoldRight"/>
              <w:rPr>
                <w:sz w:val="16"/>
                <w:szCs w:val="16"/>
              </w:rPr>
            </w:pPr>
            <w:r w:rsidRPr="00333E76">
              <w:rPr>
                <w:sz w:val="16"/>
                <w:szCs w:val="16"/>
              </w:rPr>
              <w:t xml:space="preserve"> 32,707,445</w:t>
            </w:r>
          </w:p>
        </w:tc>
        <w:tc>
          <w:tcPr>
            <w:tcW w:w="1276" w:type="dxa"/>
            <w:shd w:val="clear" w:color="auto" w:fill="E5F6FC"/>
          </w:tcPr>
          <w:p w14:paraId="58D1C9A9" w14:textId="77777777" w:rsidR="008800C6" w:rsidRPr="00333E76" w:rsidRDefault="008800C6" w:rsidP="00177DC1">
            <w:pPr>
              <w:pStyle w:val="TableTextBoldRight"/>
              <w:rPr>
                <w:sz w:val="16"/>
                <w:szCs w:val="16"/>
              </w:rPr>
            </w:pPr>
            <w:r w:rsidRPr="00333E76">
              <w:rPr>
                <w:sz w:val="16"/>
                <w:szCs w:val="16"/>
              </w:rPr>
              <w:t>83,959,467</w:t>
            </w:r>
          </w:p>
        </w:tc>
        <w:tc>
          <w:tcPr>
            <w:tcW w:w="1559" w:type="dxa"/>
            <w:shd w:val="clear" w:color="auto" w:fill="E5F6FC"/>
          </w:tcPr>
          <w:p w14:paraId="58D1C9AA" w14:textId="77777777" w:rsidR="008800C6" w:rsidRPr="00333E76" w:rsidRDefault="008800C6" w:rsidP="00177DC1">
            <w:pPr>
              <w:pStyle w:val="TableTextBoldRight"/>
              <w:rPr>
                <w:sz w:val="16"/>
                <w:szCs w:val="16"/>
              </w:rPr>
            </w:pPr>
            <w:r w:rsidRPr="00333E76">
              <w:rPr>
                <w:sz w:val="16"/>
                <w:szCs w:val="16"/>
              </w:rPr>
              <w:t xml:space="preserve">31,298,099 </w:t>
            </w:r>
          </w:p>
        </w:tc>
        <w:tc>
          <w:tcPr>
            <w:tcW w:w="1560" w:type="dxa"/>
            <w:shd w:val="clear" w:color="auto" w:fill="E5F6FC"/>
          </w:tcPr>
          <w:p w14:paraId="58D1C9AB" w14:textId="77777777" w:rsidR="008800C6" w:rsidRPr="00333E76" w:rsidRDefault="00653983" w:rsidP="00177DC1">
            <w:pPr>
              <w:pStyle w:val="TableTextBoldRight"/>
              <w:rPr>
                <w:sz w:val="16"/>
                <w:szCs w:val="16"/>
              </w:rPr>
            </w:pPr>
            <w:r w:rsidRPr="00333E76">
              <w:rPr>
                <w:sz w:val="16"/>
                <w:szCs w:val="16"/>
              </w:rPr>
              <w:t>115,257,566</w:t>
            </w:r>
            <w:r w:rsidRPr="00333E76">
              <w:rPr>
                <w:rStyle w:val="FootnoteReference"/>
                <w:sz w:val="16"/>
                <w:szCs w:val="16"/>
              </w:rPr>
              <w:footnoteReference w:id="17"/>
            </w:r>
          </w:p>
        </w:tc>
      </w:tr>
      <w:tr w:rsidR="008800C6" w:rsidRPr="00333E76" w14:paraId="58D1C9AE" w14:textId="77777777" w:rsidTr="00C6201E">
        <w:trPr>
          <w:cantSplit/>
          <w:trHeight w:val="20"/>
        </w:trPr>
        <w:tc>
          <w:tcPr>
            <w:tcW w:w="16410" w:type="dxa"/>
            <w:gridSpan w:val="11"/>
            <w:shd w:val="clear" w:color="auto" w:fill="E5F6FC"/>
          </w:tcPr>
          <w:p w14:paraId="58D1C9AD" w14:textId="77777777" w:rsidR="008800C6" w:rsidRPr="00333E76" w:rsidRDefault="008800C6" w:rsidP="008150FD">
            <w:pPr>
              <w:pStyle w:val="TableText"/>
              <w:rPr>
                <w:sz w:val="16"/>
                <w:szCs w:val="16"/>
              </w:rPr>
            </w:pPr>
            <w:r w:rsidRPr="00333E76">
              <w:rPr>
                <w:sz w:val="16"/>
                <w:szCs w:val="16"/>
              </w:rPr>
              <w:t>Trust funds</w:t>
            </w:r>
          </w:p>
        </w:tc>
      </w:tr>
      <w:tr w:rsidR="00C6201E" w:rsidRPr="00333E76" w14:paraId="58D1C9B9" w14:textId="77777777" w:rsidTr="00333E76">
        <w:trPr>
          <w:cantSplit/>
          <w:trHeight w:val="20"/>
        </w:trPr>
        <w:tc>
          <w:tcPr>
            <w:tcW w:w="2943" w:type="dxa"/>
            <w:shd w:val="clear" w:color="auto" w:fill="E5F6FC"/>
          </w:tcPr>
          <w:p w14:paraId="58D1C9AF" w14:textId="77777777" w:rsidR="008800C6" w:rsidRPr="00333E76" w:rsidRDefault="008800C6" w:rsidP="00177DC1">
            <w:pPr>
              <w:pStyle w:val="TableTextBold"/>
              <w:rPr>
                <w:sz w:val="16"/>
                <w:szCs w:val="16"/>
                <w:highlight w:val="yellow"/>
              </w:rPr>
            </w:pPr>
            <w:r w:rsidRPr="00333E76">
              <w:rPr>
                <w:sz w:val="16"/>
                <w:szCs w:val="16"/>
              </w:rPr>
              <w:t xml:space="preserve">Trust Funds, opening equity </w:t>
            </w:r>
            <w:r w:rsidR="00177DC1" w:rsidRPr="00333E76">
              <w:rPr>
                <w:sz w:val="16"/>
                <w:szCs w:val="16"/>
              </w:rPr>
              <w:t>1 </w:t>
            </w:r>
            <w:r w:rsidRPr="00333E76">
              <w:rPr>
                <w:sz w:val="16"/>
                <w:szCs w:val="16"/>
              </w:rPr>
              <w:t>July 2015</w:t>
            </w:r>
          </w:p>
        </w:tc>
        <w:tc>
          <w:tcPr>
            <w:tcW w:w="1296" w:type="dxa"/>
            <w:shd w:val="clear" w:color="auto" w:fill="E5F6FC"/>
          </w:tcPr>
          <w:p w14:paraId="58D1C9B0" w14:textId="77777777" w:rsidR="008800C6" w:rsidRPr="00333E76" w:rsidRDefault="008800C6" w:rsidP="00177DC1">
            <w:pPr>
              <w:pStyle w:val="TableTextBoldRight"/>
              <w:rPr>
                <w:sz w:val="16"/>
                <w:szCs w:val="16"/>
              </w:rPr>
            </w:pPr>
            <w:r w:rsidRPr="00333E76">
              <w:rPr>
                <w:sz w:val="16"/>
                <w:szCs w:val="16"/>
              </w:rPr>
              <w:t>1,134,738</w:t>
            </w:r>
          </w:p>
        </w:tc>
        <w:tc>
          <w:tcPr>
            <w:tcW w:w="1296" w:type="dxa"/>
            <w:shd w:val="clear" w:color="auto" w:fill="E5F6FC"/>
          </w:tcPr>
          <w:p w14:paraId="58D1C9B1" w14:textId="77777777" w:rsidR="008800C6" w:rsidRPr="00333E76" w:rsidRDefault="008800C6" w:rsidP="00177DC1">
            <w:pPr>
              <w:pStyle w:val="TableTextBoldRight"/>
              <w:rPr>
                <w:sz w:val="16"/>
                <w:szCs w:val="16"/>
              </w:rPr>
            </w:pPr>
            <w:r w:rsidRPr="00333E76">
              <w:rPr>
                <w:sz w:val="16"/>
                <w:szCs w:val="16"/>
              </w:rPr>
              <w:t>19,606,295</w:t>
            </w:r>
          </w:p>
        </w:tc>
        <w:tc>
          <w:tcPr>
            <w:tcW w:w="1296" w:type="dxa"/>
            <w:shd w:val="clear" w:color="auto" w:fill="E5F6FC"/>
          </w:tcPr>
          <w:p w14:paraId="58D1C9B2" w14:textId="77777777" w:rsidR="008800C6" w:rsidRPr="00333E76" w:rsidRDefault="008800C6" w:rsidP="00177DC1">
            <w:pPr>
              <w:pStyle w:val="TableTextBoldRight"/>
              <w:rPr>
                <w:sz w:val="16"/>
                <w:szCs w:val="16"/>
              </w:rPr>
            </w:pPr>
            <w:r w:rsidRPr="00333E76">
              <w:rPr>
                <w:sz w:val="16"/>
                <w:szCs w:val="16"/>
              </w:rPr>
              <w:t>1,762,868</w:t>
            </w:r>
          </w:p>
        </w:tc>
        <w:tc>
          <w:tcPr>
            <w:tcW w:w="1296" w:type="dxa"/>
            <w:shd w:val="clear" w:color="auto" w:fill="E5F6FC"/>
          </w:tcPr>
          <w:p w14:paraId="58D1C9B3" w14:textId="77777777" w:rsidR="008800C6" w:rsidRPr="00333E76" w:rsidRDefault="008800C6" w:rsidP="00177DC1">
            <w:pPr>
              <w:pStyle w:val="TableTextBoldRight"/>
              <w:rPr>
                <w:sz w:val="16"/>
                <w:szCs w:val="16"/>
              </w:rPr>
            </w:pPr>
            <w:r w:rsidRPr="00333E76">
              <w:rPr>
                <w:sz w:val="16"/>
                <w:szCs w:val="16"/>
              </w:rPr>
              <w:t>7,519,329</w:t>
            </w:r>
          </w:p>
        </w:tc>
        <w:tc>
          <w:tcPr>
            <w:tcW w:w="1296" w:type="dxa"/>
            <w:shd w:val="clear" w:color="auto" w:fill="E5F6FC"/>
          </w:tcPr>
          <w:p w14:paraId="58D1C9B4" w14:textId="77777777" w:rsidR="008800C6" w:rsidRPr="00333E76" w:rsidRDefault="008800C6" w:rsidP="00177DC1">
            <w:pPr>
              <w:pStyle w:val="TableTextBoldRight"/>
              <w:rPr>
                <w:sz w:val="16"/>
                <w:szCs w:val="16"/>
              </w:rPr>
            </w:pPr>
            <w:r w:rsidRPr="00333E76">
              <w:rPr>
                <w:sz w:val="16"/>
                <w:szCs w:val="16"/>
              </w:rPr>
              <w:t>38,780,595</w:t>
            </w:r>
          </w:p>
        </w:tc>
        <w:tc>
          <w:tcPr>
            <w:tcW w:w="1296" w:type="dxa"/>
            <w:shd w:val="clear" w:color="auto" w:fill="E5F6FC"/>
          </w:tcPr>
          <w:p w14:paraId="58D1C9B5" w14:textId="77777777" w:rsidR="008800C6" w:rsidRPr="00333E76" w:rsidRDefault="008800C6" w:rsidP="00177DC1">
            <w:pPr>
              <w:pStyle w:val="TableTextBoldRight"/>
              <w:rPr>
                <w:sz w:val="16"/>
                <w:szCs w:val="16"/>
              </w:rPr>
            </w:pPr>
            <w:r w:rsidRPr="00333E76">
              <w:rPr>
                <w:sz w:val="16"/>
                <w:szCs w:val="16"/>
              </w:rPr>
              <w:t>621,877</w:t>
            </w:r>
          </w:p>
        </w:tc>
        <w:tc>
          <w:tcPr>
            <w:tcW w:w="1296" w:type="dxa"/>
            <w:shd w:val="clear" w:color="auto" w:fill="E5F6FC"/>
          </w:tcPr>
          <w:p w14:paraId="58D1C9B6" w14:textId="77777777" w:rsidR="008800C6" w:rsidRPr="00333E76" w:rsidRDefault="008800C6" w:rsidP="00177DC1">
            <w:pPr>
              <w:pStyle w:val="TableTextBoldRight"/>
              <w:rPr>
                <w:sz w:val="16"/>
                <w:szCs w:val="16"/>
              </w:rPr>
            </w:pPr>
            <w:r w:rsidRPr="00333E76">
              <w:rPr>
                <w:sz w:val="16"/>
                <w:szCs w:val="16"/>
              </w:rPr>
              <w:t>415,072,177</w:t>
            </w:r>
          </w:p>
        </w:tc>
        <w:tc>
          <w:tcPr>
            <w:tcW w:w="1276" w:type="dxa"/>
            <w:shd w:val="clear" w:color="auto" w:fill="E5F6FC"/>
          </w:tcPr>
          <w:p w14:paraId="58D1C9B7" w14:textId="77777777" w:rsidR="008800C6" w:rsidRPr="00333E76" w:rsidRDefault="008800C6" w:rsidP="00177DC1">
            <w:pPr>
              <w:pStyle w:val="TableTextBoldRight"/>
              <w:rPr>
                <w:sz w:val="16"/>
                <w:szCs w:val="16"/>
              </w:rPr>
            </w:pPr>
            <w:r w:rsidRPr="00333E76">
              <w:rPr>
                <w:sz w:val="16"/>
                <w:szCs w:val="16"/>
              </w:rPr>
              <w:t>484,497,879</w:t>
            </w:r>
          </w:p>
        </w:tc>
        <w:tc>
          <w:tcPr>
            <w:tcW w:w="3119" w:type="dxa"/>
            <w:gridSpan w:val="2"/>
            <w:vMerge w:val="restart"/>
            <w:shd w:val="clear" w:color="auto" w:fill="E5F6FC"/>
          </w:tcPr>
          <w:p w14:paraId="58D1C9B8" w14:textId="77777777" w:rsidR="008800C6" w:rsidRPr="00333E76" w:rsidRDefault="008800C6" w:rsidP="008150FD">
            <w:pPr>
              <w:pStyle w:val="TableTextRight"/>
              <w:rPr>
                <w:sz w:val="16"/>
                <w:szCs w:val="16"/>
              </w:rPr>
            </w:pPr>
          </w:p>
        </w:tc>
      </w:tr>
      <w:tr w:rsidR="00C6201E" w:rsidRPr="00333E76" w14:paraId="58D1C9C4" w14:textId="77777777" w:rsidTr="00333E76">
        <w:trPr>
          <w:cantSplit/>
          <w:trHeight w:val="20"/>
        </w:trPr>
        <w:tc>
          <w:tcPr>
            <w:tcW w:w="2943" w:type="dxa"/>
            <w:shd w:val="clear" w:color="auto" w:fill="E5F6FC"/>
          </w:tcPr>
          <w:p w14:paraId="58D1C9BA" w14:textId="77777777" w:rsidR="008800C6" w:rsidRPr="00333E76" w:rsidRDefault="008800C6" w:rsidP="008150FD">
            <w:pPr>
              <w:pStyle w:val="TableText"/>
              <w:rPr>
                <w:sz w:val="16"/>
                <w:szCs w:val="16"/>
                <w:highlight w:val="yellow"/>
              </w:rPr>
            </w:pPr>
            <w:r w:rsidRPr="00333E76">
              <w:rPr>
                <w:sz w:val="16"/>
                <w:szCs w:val="16"/>
              </w:rPr>
              <w:t>Current year operating surplus /(deficit)</w:t>
            </w:r>
          </w:p>
        </w:tc>
        <w:tc>
          <w:tcPr>
            <w:tcW w:w="1296" w:type="dxa"/>
            <w:shd w:val="clear" w:color="auto" w:fill="E5F6FC"/>
          </w:tcPr>
          <w:p w14:paraId="58D1C9BB" w14:textId="77777777" w:rsidR="008800C6" w:rsidRPr="00333E76" w:rsidRDefault="008800C6" w:rsidP="008150FD">
            <w:pPr>
              <w:pStyle w:val="TableTextRight"/>
              <w:rPr>
                <w:sz w:val="16"/>
                <w:szCs w:val="16"/>
              </w:rPr>
            </w:pPr>
            <w:r w:rsidRPr="00333E76">
              <w:rPr>
                <w:sz w:val="16"/>
                <w:szCs w:val="16"/>
              </w:rPr>
              <w:t>255,778</w:t>
            </w:r>
          </w:p>
        </w:tc>
        <w:tc>
          <w:tcPr>
            <w:tcW w:w="1296" w:type="dxa"/>
            <w:shd w:val="clear" w:color="auto" w:fill="E5F6FC"/>
          </w:tcPr>
          <w:p w14:paraId="58D1C9BC" w14:textId="77777777" w:rsidR="008800C6" w:rsidRPr="00333E76" w:rsidRDefault="008800C6" w:rsidP="008150FD">
            <w:pPr>
              <w:pStyle w:val="TableTextRight"/>
              <w:rPr>
                <w:sz w:val="16"/>
                <w:szCs w:val="16"/>
                <w:highlight w:val="yellow"/>
              </w:rPr>
            </w:pPr>
            <w:r w:rsidRPr="00333E76">
              <w:rPr>
                <w:sz w:val="16"/>
                <w:szCs w:val="16"/>
              </w:rPr>
              <w:t>3,216,241</w:t>
            </w:r>
          </w:p>
        </w:tc>
        <w:tc>
          <w:tcPr>
            <w:tcW w:w="1296" w:type="dxa"/>
            <w:shd w:val="clear" w:color="auto" w:fill="E5F6FC"/>
          </w:tcPr>
          <w:p w14:paraId="58D1C9BD" w14:textId="77777777" w:rsidR="008800C6" w:rsidRPr="00333E76" w:rsidRDefault="008800C6" w:rsidP="008150FD">
            <w:pPr>
              <w:pStyle w:val="TableTextRight"/>
              <w:rPr>
                <w:sz w:val="16"/>
                <w:szCs w:val="16"/>
              </w:rPr>
            </w:pPr>
            <w:r w:rsidRPr="00333E76">
              <w:rPr>
                <w:sz w:val="16"/>
                <w:szCs w:val="16"/>
              </w:rPr>
              <w:t>1,166,872</w:t>
            </w:r>
          </w:p>
        </w:tc>
        <w:tc>
          <w:tcPr>
            <w:tcW w:w="1296" w:type="dxa"/>
            <w:shd w:val="clear" w:color="auto" w:fill="E5F6FC"/>
          </w:tcPr>
          <w:p w14:paraId="58D1C9BE" w14:textId="77777777" w:rsidR="008800C6" w:rsidRPr="00333E76" w:rsidRDefault="008800C6" w:rsidP="008150FD">
            <w:pPr>
              <w:pStyle w:val="TableTextRight"/>
              <w:rPr>
                <w:sz w:val="16"/>
                <w:szCs w:val="16"/>
              </w:rPr>
            </w:pPr>
            <w:r w:rsidRPr="00333E76">
              <w:rPr>
                <w:sz w:val="16"/>
                <w:szCs w:val="16"/>
              </w:rPr>
              <w:t>2,050,812</w:t>
            </w:r>
          </w:p>
        </w:tc>
        <w:tc>
          <w:tcPr>
            <w:tcW w:w="1296" w:type="dxa"/>
            <w:shd w:val="clear" w:color="auto" w:fill="E5F6FC"/>
          </w:tcPr>
          <w:p w14:paraId="58D1C9BF" w14:textId="77777777" w:rsidR="008800C6" w:rsidRPr="00333E76" w:rsidRDefault="008800C6" w:rsidP="008150FD">
            <w:pPr>
              <w:pStyle w:val="TableTextRight"/>
              <w:rPr>
                <w:sz w:val="16"/>
                <w:szCs w:val="16"/>
                <w:highlight w:val="yellow"/>
              </w:rPr>
            </w:pPr>
            <w:r w:rsidRPr="00333E76">
              <w:rPr>
                <w:sz w:val="16"/>
                <w:szCs w:val="16"/>
              </w:rPr>
              <w:t>(1,931,574)</w:t>
            </w:r>
          </w:p>
        </w:tc>
        <w:tc>
          <w:tcPr>
            <w:tcW w:w="1296" w:type="dxa"/>
            <w:shd w:val="clear" w:color="auto" w:fill="E5F6FC"/>
          </w:tcPr>
          <w:p w14:paraId="58D1C9C0" w14:textId="77777777" w:rsidR="008800C6" w:rsidRPr="00333E76" w:rsidRDefault="008800C6" w:rsidP="008150FD">
            <w:pPr>
              <w:pStyle w:val="TableTextRight"/>
              <w:rPr>
                <w:sz w:val="16"/>
                <w:szCs w:val="16"/>
              </w:rPr>
            </w:pPr>
            <w:r w:rsidRPr="00333E76">
              <w:rPr>
                <w:sz w:val="16"/>
                <w:szCs w:val="16"/>
              </w:rPr>
              <w:t>382,707</w:t>
            </w:r>
          </w:p>
        </w:tc>
        <w:tc>
          <w:tcPr>
            <w:tcW w:w="1296" w:type="dxa"/>
            <w:shd w:val="clear" w:color="auto" w:fill="E5F6FC"/>
          </w:tcPr>
          <w:p w14:paraId="58D1C9C1" w14:textId="77777777" w:rsidR="008800C6" w:rsidRPr="00333E76" w:rsidRDefault="008800C6" w:rsidP="008150FD">
            <w:pPr>
              <w:pStyle w:val="TableTextRight"/>
              <w:rPr>
                <w:sz w:val="16"/>
                <w:szCs w:val="16"/>
                <w:highlight w:val="yellow"/>
              </w:rPr>
            </w:pPr>
            <w:r w:rsidRPr="00333E76">
              <w:rPr>
                <w:sz w:val="16"/>
                <w:szCs w:val="16"/>
              </w:rPr>
              <w:t>7,384,942</w:t>
            </w:r>
          </w:p>
        </w:tc>
        <w:tc>
          <w:tcPr>
            <w:tcW w:w="1276" w:type="dxa"/>
            <w:shd w:val="clear" w:color="auto" w:fill="E5F6FC"/>
          </w:tcPr>
          <w:p w14:paraId="58D1C9C2" w14:textId="77777777" w:rsidR="008800C6" w:rsidRPr="00333E76" w:rsidRDefault="008800C6" w:rsidP="008150FD">
            <w:pPr>
              <w:pStyle w:val="TableTextRight"/>
              <w:rPr>
                <w:sz w:val="16"/>
                <w:szCs w:val="16"/>
                <w:highlight w:val="yellow"/>
              </w:rPr>
            </w:pPr>
            <w:r w:rsidRPr="00333E76">
              <w:rPr>
                <w:sz w:val="16"/>
                <w:szCs w:val="16"/>
              </w:rPr>
              <w:t>12,525,778</w:t>
            </w:r>
          </w:p>
        </w:tc>
        <w:tc>
          <w:tcPr>
            <w:tcW w:w="3119" w:type="dxa"/>
            <w:gridSpan w:val="2"/>
            <w:vMerge/>
            <w:shd w:val="clear" w:color="auto" w:fill="E5F6FC"/>
          </w:tcPr>
          <w:p w14:paraId="58D1C9C3" w14:textId="77777777" w:rsidR="008800C6" w:rsidRPr="00333E76" w:rsidRDefault="008800C6" w:rsidP="008150FD">
            <w:pPr>
              <w:pStyle w:val="TableTextRight"/>
              <w:rPr>
                <w:sz w:val="16"/>
                <w:szCs w:val="16"/>
              </w:rPr>
            </w:pPr>
          </w:p>
        </w:tc>
      </w:tr>
      <w:tr w:rsidR="00C6201E" w:rsidRPr="00333E76" w14:paraId="58D1C9CF" w14:textId="77777777" w:rsidTr="00333E76">
        <w:trPr>
          <w:cantSplit/>
          <w:trHeight w:val="20"/>
        </w:trPr>
        <w:tc>
          <w:tcPr>
            <w:tcW w:w="2943" w:type="dxa"/>
            <w:shd w:val="clear" w:color="auto" w:fill="E5F6FC"/>
          </w:tcPr>
          <w:p w14:paraId="58D1C9C5" w14:textId="77777777" w:rsidR="008800C6" w:rsidRPr="00333E76" w:rsidRDefault="00653983" w:rsidP="00177DC1">
            <w:pPr>
              <w:pStyle w:val="TableTextBold"/>
              <w:rPr>
                <w:sz w:val="16"/>
                <w:szCs w:val="16"/>
                <w:highlight w:val="yellow"/>
              </w:rPr>
            </w:pPr>
            <w:r w:rsidRPr="00333E76">
              <w:rPr>
                <w:sz w:val="16"/>
                <w:szCs w:val="16"/>
              </w:rPr>
              <w:t>Trust Funds, closing equity 30 </w:t>
            </w:r>
            <w:r w:rsidR="008800C6" w:rsidRPr="00333E76">
              <w:rPr>
                <w:sz w:val="16"/>
                <w:szCs w:val="16"/>
              </w:rPr>
              <w:t>June 2016</w:t>
            </w:r>
          </w:p>
        </w:tc>
        <w:tc>
          <w:tcPr>
            <w:tcW w:w="1296" w:type="dxa"/>
            <w:shd w:val="clear" w:color="auto" w:fill="E5F6FC"/>
          </w:tcPr>
          <w:p w14:paraId="58D1C9C6" w14:textId="77777777" w:rsidR="008800C6" w:rsidRPr="00333E76" w:rsidRDefault="008800C6" w:rsidP="00177DC1">
            <w:pPr>
              <w:pStyle w:val="TableTextBoldRight"/>
              <w:rPr>
                <w:sz w:val="16"/>
                <w:szCs w:val="16"/>
              </w:rPr>
            </w:pPr>
            <w:r w:rsidRPr="00333E76">
              <w:rPr>
                <w:sz w:val="16"/>
                <w:szCs w:val="16"/>
              </w:rPr>
              <w:t>1,390,516</w:t>
            </w:r>
          </w:p>
        </w:tc>
        <w:tc>
          <w:tcPr>
            <w:tcW w:w="1296" w:type="dxa"/>
            <w:shd w:val="clear" w:color="auto" w:fill="E5F6FC"/>
          </w:tcPr>
          <w:p w14:paraId="58D1C9C7" w14:textId="77777777" w:rsidR="008800C6" w:rsidRPr="00333E76" w:rsidRDefault="008800C6" w:rsidP="00177DC1">
            <w:pPr>
              <w:pStyle w:val="TableTextBoldRight"/>
              <w:rPr>
                <w:sz w:val="16"/>
                <w:szCs w:val="16"/>
              </w:rPr>
            </w:pPr>
            <w:r w:rsidRPr="00333E76">
              <w:rPr>
                <w:sz w:val="16"/>
                <w:szCs w:val="16"/>
              </w:rPr>
              <w:t>22,822,536</w:t>
            </w:r>
          </w:p>
        </w:tc>
        <w:tc>
          <w:tcPr>
            <w:tcW w:w="1296" w:type="dxa"/>
            <w:shd w:val="clear" w:color="auto" w:fill="E5F6FC"/>
          </w:tcPr>
          <w:p w14:paraId="58D1C9C8" w14:textId="77777777" w:rsidR="008800C6" w:rsidRPr="00333E76" w:rsidRDefault="008800C6" w:rsidP="00177DC1">
            <w:pPr>
              <w:pStyle w:val="TableTextBoldRight"/>
              <w:rPr>
                <w:sz w:val="16"/>
                <w:szCs w:val="16"/>
              </w:rPr>
            </w:pPr>
            <w:r w:rsidRPr="00333E76">
              <w:rPr>
                <w:sz w:val="16"/>
                <w:szCs w:val="16"/>
              </w:rPr>
              <w:t>2,929,740</w:t>
            </w:r>
          </w:p>
        </w:tc>
        <w:tc>
          <w:tcPr>
            <w:tcW w:w="1296" w:type="dxa"/>
            <w:shd w:val="clear" w:color="auto" w:fill="E5F6FC"/>
          </w:tcPr>
          <w:p w14:paraId="58D1C9C9" w14:textId="77777777" w:rsidR="008800C6" w:rsidRPr="00333E76" w:rsidRDefault="008800C6" w:rsidP="00177DC1">
            <w:pPr>
              <w:pStyle w:val="TableTextBoldRight"/>
              <w:rPr>
                <w:sz w:val="16"/>
                <w:szCs w:val="16"/>
              </w:rPr>
            </w:pPr>
            <w:r w:rsidRPr="00333E76">
              <w:rPr>
                <w:sz w:val="16"/>
                <w:szCs w:val="16"/>
              </w:rPr>
              <w:t>9,570,141</w:t>
            </w:r>
          </w:p>
        </w:tc>
        <w:tc>
          <w:tcPr>
            <w:tcW w:w="1296" w:type="dxa"/>
            <w:shd w:val="clear" w:color="auto" w:fill="E5F6FC"/>
          </w:tcPr>
          <w:p w14:paraId="58D1C9CA" w14:textId="77777777" w:rsidR="008800C6" w:rsidRPr="00333E76" w:rsidRDefault="008800C6" w:rsidP="00177DC1">
            <w:pPr>
              <w:pStyle w:val="TableTextBoldRight"/>
              <w:rPr>
                <w:sz w:val="16"/>
                <w:szCs w:val="16"/>
              </w:rPr>
            </w:pPr>
            <w:r w:rsidRPr="00333E76">
              <w:rPr>
                <w:sz w:val="16"/>
                <w:szCs w:val="16"/>
              </w:rPr>
              <w:t>36,849,021</w:t>
            </w:r>
          </w:p>
        </w:tc>
        <w:tc>
          <w:tcPr>
            <w:tcW w:w="1296" w:type="dxa"/>
            <w:shd w:val="clear" w:color="auto" w:fill="E5F6FC"/>
          </w:tcPr>
          <w:p w14:paraId="58D1C9CB" w14:textId="77777777" w:rsidR="008800C6" w:rsidRPr="00333E76" w:rsidRDefault="008800C6" w:rsidP="00177DC1">
            <w:pPr>
              <w:pStyle w:val="TableTextBoldRight"/>
              <w:rPr>
                <w:sz w:val="16"/>
                <w:szCs w:val="16"/>
              </w:rPr>
            </w:pPr>
            <w:r w:rsidRPr="00333E76">
              <w:rPr>
                <w:sz w:val="16"/>
                <w:szCs w:val="16"/>
              </w:rPr>
              <w:t>1,004,584</w:t>
            </w:r>
          </w:p>
        </w:tc>
        <w:tc>
          <w:tcPr>
            <w:tcW w:w="1296" w:type="dxa"/>
            <w:shd w:val="clear" w:color="auto" w:fill="E5F6FC"/>
          </w:tcPr>
          <w:p w14:paraId="58D1C9CC" w14:textId="77777777" w:rsidR="008800C6" w:rsidRPr="00333E76" w:rsidRDefault="008800C6" w:rsidP="00177DC1">
            <w:pPr>
              <w:pStyle w:val="TableTextBoldRight"/>
              <w:rPr>
                <w:sz w:val="16"/>
                <w:szCs w:val="16"/>
              </w:rPr>
            </w:pPr>
            <w:r w:rsidRPr="00333E76">
              <w:rPr>
                <w:sz w:val="16"/>
                <w:szCs w:val="16"/>
              </w:rPr>
              <w:t>422,457,119</w:t>
            </w:r>
          </w:p>
        </w:tc>
        <w:tc>
          <w:tcPr>
            <w:tcW w:w="1276" w:type="dxa"/>
            <w:shd w:val="clear" w:color="auto" w:fill="E5F6FC"/>
          </w:tcPr>
          <w:p w14:paraId="58D1C9CD" w14:textId="77777777" w:rsidR="008800C6" w:rsidRPr="00333E76" w:rsidRDefault="008800C6" w:rsidP="00177DC1">
            <w:pPr>
              <w:pStyle w:val="TableTextBoldRight"/>
              <w:rPr>
                <w:sz w:val="16"/>
                <w:szCs w:val="16"/>
              </w:rPr>
            </w:pPr>
            <w:r w:rsidRPr="00333E76">
              <w:rPr>
                <w:sz w:val="16"/>
                <w:szCs w:val="16"/>
              </w:rPr>
              <w:t>497,023,657</w:t>
            </w:r>
          </w:p>
        </w:tc>
        <w:tc>
          <w:tcPr>
            <w:tcW w:w="3119" w:type="dxa"/>
            <w:gridSpan w:val="2"/>
            <w:vMerge/>
            <w:shd w:val="clear" w:color="auto" w:fill="E5F6FC"/>
          </w:tcPr>
          <w:p w14:paraId="58D1C9CE" w14:textId="77777777" w:rsidR="008800C6" w:rsidRPr="00333E76" w:rsidRDefault="008800C6" w:rsidP="008150FD">
            <w:pPr>
              <w:pStyle w:val="TableTextRight"/>
              <w:rPr>
                <w:sz w:val="16"/>
                <w:szCs w:val="16"/>
              </w:rPr>
            </w:pPr>
          </w:p>
        </w:tc>
      </w:tr>
    </w:tbl>
    <w:p w14:paraId="58D1C9D0" w14:textId="77777777" w:rsidR="00AA5C2C" w:rsidRPr="0058055D" w:rsidRDefault="00AA5C2C" w:rsidP="0058055D">
      <w:pPr>
        <w:pStyle w:val="BodyText"/>
      </w:pPr>
    </w:p>
    <w:p w14:paraId="58D1C9D1" w14:textId="77777777" w:rsidR="00BF4C8D" w:rsidRPr="0058055D" w:rsidRDefault="00BF4C8D" w:rsidP="0058055D">
      <w:pPr>
        <w:pStyle w:val="BodyText"/>
        <w:sectPr w:rsidR="00BF4C8D" w:rsidRPr="0058055D" w:rsidSect="00091597">
          <w:footerReference w:type="default" r:id="rId21"/>
          <w:footnotePr>
            <w:numRestart w:val="eachPage"/>
          </w:footnotePr>
          <w:pgSz w:w="16838" w:h="11906" w:orient="landscape" w:code="9"/>
          <w:pgMar w:top="567" w:right="567" w:bottom="851" w:left="567" w:header="340" w:footer="340" w:gutter="0"/>
          <w:cols w:space="708"/>
          <w:docGrid w:linePitch="360"/>
        </w:sectPr>
      </w:pPr>
      <w:bookmarkStart w:id="79" w:name="_Ref457552856"/>
      <w:bookmarkStart w:id="80" w:name="_Ref457552696"/>
      <w:bookmarkStart w:id="81" w:name="_Toc457494730"/>
      <w:bookmarkStart w:id="82" w:name="_Toc457495001"/>
    </w:p>
    <w:p w14:paraId="58D1C9D2" w14:textId="77777777" w:rsidR="006E113C" w:rsidRDefault="006E113C" w:rsidP="00FE3D90">
      <w:pPr>
        <w:pStyle w:val="Heading2"/>
      </w:pPr>
      <w:bookmarkStart w:id="83" w:name="_Toc464830771"/>
      <w:r>
        <w:lastRenderedPageBreak/>
        <w:t>Appendi</w:t>
      </w:r>
      <w:bookmarkEnd w:id="79"/>
      <w:r w:rsidR="00D06633">
        <w:t>x</w:t>
      </w:r>
      <w:bookmarkEnd w:id="83"/>
    </w:p>
    <w:p w14:paraId="58D1C9D3" w14:textId="77777777" w:rsidR="00AB72A6" w:rsidRDefault="00AB72A6" w:rsidP="00201270">
      <w:pPr>
        <w:pStyle w:val="Heading3"/>
      </w:pPr>
      <w:bookmarkStart w:id="84" w:name="_Toc464830772"/>
      <w:r>
        <w:t>Legislation administered by Consumer Affairs Victoria</w:t>
      </w:r>
      <w:bookmarkEnd w:id="80"/>
      <w:bookmarkEnd w:id="84"/>
    </w:p>
    <w:p w14:paraId="58D1C9D4" w14:textId="77777777" w:rsidR="00AB72A6" w:rsidRPr="00F7724B" w:rsidRDefault="00AB72A6" w:rsidP="00EA58F3">
      <w:pPr>
        <w:pStyle w:val="BodyText"/>
      </w:pPr>
      <w:r>
        <w:t xml:space="preserve">We administer </w:t>
      </w:r>
      <w:r w:rsidR="00E21774">
        <w:t>30</w:t>
      </w:r>
      <w:r>
        <w:t xml:space="preserve"> Acts of the Victorian Parliament. These are listed below (as </w:t>
      </w:r>
      <w:r w:rsidRPr="00F7724B">
        <w:t>at 30 June 2016</w:t>
      </w:r>
      <w:r>
        <w:t>)</w:t>
      </w:r>
      <w:r w:rsidRPr="00F7724B">
        <w:t>:</w:t>
      </w:r>
    </w:p>
    <w:p w14:paraId="58D1C9D5" w14:textId="77777777" w:rsidR="00AB72A6" w:rsidRPr="00EA58F3" w:rsidRDefault="00AB72A6" w:rsidP="005003AA">
      <w:pPr>
        <w:pStyle w:val="BodyTextSmallSpaceItalic"/>
      </w:pPr>
      <w:r w:rsidRPr="00EA58F3">
        <w:t>Associations Incorporation Reform Act 2012</w:t>
      </w:r>
    </w:p>
    <w:p w14:paraId="58D1C9D6" w14:textId="77777777" w:rsidR="00AB72A6" w:rsidRPr="00EA58F3" w:rsidRDefault="00AB72A6" w:rsidP="005003AA">
      <w:pPr>
        <w:pStyle w:val="BodyTextSmallSpaceItalic"/>
      </w:pPr>
      <w:r w:rsidRPr="00EA58F3">
        <w:t>Australian Consumer Law and Fair Trading Act 2012</w:t>
      </w:r>
    </w:p>
    <w:p w14:paraId="58D1C9D7" w14:textId="77777777" w:rsidR="00AB72A6" w:rsidRPr="00EA58F3" w:rsidRDefault="00AB72A6" w:rsidP="005003AA">
      <w:pPr>
        <w:pStyle w:val="BodyTextSmallSpaceItalic"/>
      </w:pPr>
      <w:r w:rsidRPr="00EA58F3">
        <w:t>Business Licencing Authority Act 1998</w:t>
      </w:r>
    </w:p>
    <w:p w14:paraId="58D1C9D8" w14:textId="77777777" w:rsidR="00AB72A6" w:rsidRPr="00EA58F3" w:rsidRDefault="00AB72A6" w:rsidP="005003AA">
      <w:pPr>
        <w:pStyle w:val="BodyTextSmallSpaceItalic"/>
      </w:pPr>
      <w:r w:rsidRPr="00EA58F3">
        <w:t>Business Names (Commonwealth Powers) Act 2011</w:t>
      </w:r>
    </w:p>
    <w:p w14:paraId="58D1C9D9" w14:textId="77777777" w:rsidR="00AB72A6" w:rsidRPr="00EA58F3" w:rsidRDefault="00AB72A6" w:rsidP="005003AA">
      <w:pPr>
        <w:pStyle w:val="BodyTextSmallSpaceItalic"/>
      </w:pPr>
      <w:r w:rsidRPr="00EA58F3">
        <w:t>Chattel Securities Act 1987</w:t>
      </w:r>
    </w:p>
    <w:p w14:paraId="58D1C9DA" w14:textId="77777777" w:rsidR="00AB72A6" w:rsidRPr="00EA58F3" w:rsidRDefault="00AB72A6" w:rsidP="005003AA">
      <w:pPr>
        <w:pStyle w:val="BodyTextSmallSpaceItalic"/>
      </w:pPr>
      <w:r w:rsidRPr="00EA58F3">
        <w:t>Company Titles (Home Units) Act 2013</w:t>
      </w:r>
    </w:p>
    <w:p w14:paraId="58D1C9DB" w14:textId="77777777" w:rsidR="00AB72A6" w:rsidRPr="00EA58F3" w:rsidRDefault="00AB72A6" w:rsidP="005003AA">
      <w:pPr>
        <w:pStyle w:val="BodyTextSmallSpaceItalic"/>
      </w:pPr>
      <w:r w:rsidRPr="00EA58F3">
        <w:t>Consumer Credit (Victoria) Act 1995</w:t>
      </w:r>
    </w:p>
    <w:p w14:paraId="58D1C9DC" w14:textId="77777777" w:rsidR="00AB72A6" w:rsidRPr="00EA58F3" w:rsidRDefault="00AB72A6" w:rsidP="005003AA">
      <w:pPr>
        <w:pStyle w:val="BodyTextSmallSpaceItalic"/>
      </w:pPr>
      <w:r w:rsidRPr="00EA58F3">
        <w:t>Conveyancers Act 2006</w:t>
      </w:r>
    </w:p>
    <w:p w14:paraId="58D1C9DD" w14:textId="77777777" w:rsidR="00AB72A6" w:rsidRPr="00EA58F3" w:rsidRDefault="00AB72A6" w:rsidP="005003AA">
      <w:pPr>
        <w:pStyle w:val="BodyTextSmallSpaceItalic"/>
      </w:pPr>
      <w:r w:rsidRPr="00EA58F3">
        <w:t>Co-operatives National Law Application Act 2013</w:t>
      </w:r>
    </w:p>
    <w:p w14:paraId="58D1C9DE" w14:textId="77777777" w:rsidR="00AB72A6" w:rsidRPr="00EA58F3" w:rsidRDefault="00AB72A6" w:rsidP="005003AA">
      <w:pPr>
        <w:pStyle w:val="BodyTextSmallSpaceItalic"/>
      </w:pPr>
      <w:r w:rsidRPr="00EA58F3">
        <w:t>Credit Act 1984</w:t>
      </w:r>
    </w:p>
    <w:p w14:paraId="58D1C9DF" w14:textId="77777777" w:rsidR="00AB72A6" w:rsidRPr="00EA58F3" w:rsidRDefault="00AB72A6" w:rsidP="005003AA">
      <w:pPr>
        <w:pStyle w:val="BodyTextSmallSpaceItalic"/>
      </w:pPr>
      <w:r w:rsidRPr="00EA58F3">
        <w:t>Credit (Administration) Act 1984</w:t>
      </w:r>
    </w:p>
    <w:p w14:paraId="58D1C9E0" w14:textId="77777777" w:rsidR="00AB72A6" w:rsidRPr="00EA58F3" w:rsidRDefault="00AB72A6" w:rsidP="005003AA">
      <w:pPr>
        <w:pStyle w:val="BodyTextSmallSpaceItalic"/>
      </w:pPr>
      <w:r w:rsidRPr="00EA58F3">
        <w:t>Credit (Commonwealth Powers) Act 2010</w:t>
      </w:r>
    </w:p>
    <w:p w14:paraId="58D1C9E1" w14:textId="77777777" w:rsidR="00AB72A6" w:rsidRPr="00F7724B" w:rsidRDefault="00AB72A6" w:rsidP="005003AA">
      <w:pPr>
        <w:pStyle w:val="BodyTextSmallSpace"/>
      </w:pPr>
      <w:r w:rsidRPr="00EA58F3">
        <w:rPr>
          <w:rStyle w:val="Emphasis"/>
        </w:rPr>
        <w:t>Domestic Building Contracts Act 1995</w:t>
      </w:r>
      <w:r w:rsidRPr="00F7724B">
        <w:t xml:space="preserve"> – except Part 5 (administered by the Attorney General)</w:t>
      </w:r>
    </w:p>
    <w:p w14:paraId="58D1C9E2" w14:textId="77777777" w:rsidR="00AB72A6" w:rsidRPr="00AB72A6" w:rsidRDefault="00AB72A6" w:rsidP="005003AA">
      <w:pPr>
        <w:pStyle w:val="BodyTextSmallSpaceItalic"/>
      </w:pPr>
      <w:r w:rsidRPr="00AB72A6">
        <w:t>Estate Agents Act 1980</w:t>
      </w:r>
    </w:p>
    <w:p w14:paraId="58D1C9E3" w14:textId="77777777" w:rsidR="00AB72A6" w:rsidRPr="00AB72A6" w:rsidRDefault="00AB72A6" w:rsidP="005003AA">
      <w:pPr>
        <w:pStyle w:val="BodyTextSmallSpaceItalic"/>
      </w:pPr>
      <w:r w:rsidRPr="00AB72A6">
        <w:t>Fundraising Act 1998</w:t>
      </w:r>
    </w:p>
    <w:p w14:paraId="58D1C9E4" w14:textId="77777777" w:rsidR="00AB72A6" w:rsidRPr="00AB72A6" w:rsidRDefault="00AB72A6" w:rsidP="005003AA">
      <w:pPr>
        <w:pStyle w:val="BodyTextSmallSpaceItalic"/>
      </w:pPr>
      <w:r w:rsidRPr="00AB72A6">
        <w:t>Funerals Act 2006</w:t>
      </w:r>
    </w:p>
    <w:p w14:paraId="58D1C9E5" w14:textId="77777777" w:rsidR="00AB72A6" w:rsidRPr="00AB72A6" w:rsidRDefault="00AB72A6" w:rsidP="005003AA">
      <w:pPr>
        <w:pStyle w:val="BodyTextSmallSpaceItalic"/>
      </w:pPr>
      <w:r w:rsidRPr="00AB72A6">
        <w:t>Goods Act 1958</w:t>
      </w:r>
    </w:p>
    <w:p w14:paraId="58D1C9E6" w14:textId="77777777" w:rsidR="00AB72A6" w:rsidRPr="00AB72A6" w:rsidRDefault="00AB72A6" w:rsidP="005003AA">
      <w:pPr>
        <w:pStyle w:val="BodyTextSmallSpaceItalic"/>
      </w:pPr>
      <w:r w:rsidRPr="00AB72A6">
        <w:t>Motor Car Traders Act 1986</w:t>
      </w:r>
    </w:p>
    <w:p w14:paraId="58D1C9E7" w14:textId="77777777" w:rsidR="00AB72A6" w:rsidRPr="00AB72A6" w:rsidRDefault="00AB72A6" w:rsidP="005003AA">
      <w:pPr>
        <w:pStyle w:val="BodyTextSmallSpaceItalic"/>
      </w:pPr>
      <w:r w:rsidRPr="00AB72A6">
        <w:t>Owners Corporations Act 2006</w:t>
      </w:r>
    </w:p>
    <w:p w14:paraId="58D1C9E8" w14:textId="77777777" w:rsidR="00AB72A6" w:rsidRPr="00AB72A6" w:rsidRDefault="00AB72A6" w:rsidP="005003AA">
      <w:pPr>
        <w:pStyle w:val="BodyTextSmallSpaceItalic"/>
      </w:pPr>
      <w:r w:rsidRPr="00AB72A6">
        <w:t>Partnership Act 1958</w:t>
      </w:r>
    </w:p>
    <w:p w14:paraId="58D1C9E9" w14:textId="77777777" w:rsidR="00AB72A6" w:rsidRPr="00F7724B" w:rsidRDefault="00AB72A6" w:rsidP="005003AA">
      <w:pPr>
        <w:pStyle w:val="BodyTextSmallSpace"/>
      </w:pPr>
      <w:r w:rsidRPr="00EA58F3">
        <w:rPr>
          <w:rStyle w:val="Emphasis"/>
        </w:rPr>
        <w:t>Residential Tenancies Act 1997</w:t>
      </w:r>
      <w:r w:rsidR="00676BE9">
        <w:t xml:space="preserve"> </w:t>
      </w:r>
      <w:r w:rsidR="00676BE9" w:rsidRPr="0072626D">
        <w:t>(RTA)</w:t>
      </w:r>
      <w:r w:rsidRPr="00F7724B">
        <w:t>:</w:t>
      </w:r>
    </w:p>
    <w:p w14:paraId="58D1C9EA" w14:textId="77777777" w:rsidR="00AB72A6" w:rsidRPr="00F7724B" w:rsidRDefault="00AB72A6" w:rsidP="005003AA">
      <w:pPr>
        <w:pStyle w:val="ListBullet"/>
        <w:spacing w:after="0"/>
      </w:pPr>
      <w:r w:rsidRPr="00F7724B">
        <w:t>Sections 23A-25, 27, 32-33, 45-48, 74-77, 82, 90, 91, 91A 102, 102A, 103, 104(1), 104(4), 104(5), 104(6), 105(2), 105(2A), 105(3), 124, 128, 130-134, 141-142B, 142D-212, 213AA-215, 230, 232-234, 241, 277, 289A, 291-327, 329-333, 335-339, 341, 343-366, 373-376, 385, 388, 388A, 390, 390A, 395-398, 399A-439M, 480, 486-499, 501-504, 505A-510C and 511.</w:t>
      </w:r>
    </w:p>
    <w:p w14:paraId="58D1C9EB" w14:textId="77777777" w:rsidR="00AB72A6" w:rsidRPr="00F7724B" w:rsidRDefault="00AB72A6" w:rsidP="005003AA">
      <w:pPr>
        <w:pStyle w:val="ListBullet"/>
        <w:spacing w:after="0"/>
      </w:pPr>
      <w:r w:rsidRPr="00F7724B">
        <w:t xml:space="preserve">Section 66(1) </w:t>
      </w:r>
      <w:r>
        <w:t>(</w:t>
      </w:r>
      <w:r w:rsidRPr="00F7724B">
        <w:t>jointly administered with Minister for Housing, Disability and Ageing)</w:t>
      </w:r>
    </w:p>
    <w:p w14:paraId="58D1C9EC" w14:textId="77777777" w:rsidR="00AB72A6" w:rsidRPr="00F7724B" w:rsidRDefault="00AB72A6" w:rsidP="005003AA">
      <w:pPr>
        <w:pStyle w:val="ListBullet"/>
        <w:spacing w:after="0"/>
      </w:pPr>
      <w:r w:rsidRPr="00F7724B">
        <w:t>The RTA is otherwise administered by the Attorney General, Minister for Housing, Disability and Ageing and the Minister for Planning.</w:t>
      </w:r>
    </w:p>
    <w:p w14:paraId="58D1C9ED" w14:textId="77777777" w:rsidR="00AB72A6" w:rsidRPr="00AB72A6" w:rsidRDefault="00AB72A6" w:rsidP="005003AA">
      <w:pPr>
        <w:pStyle w:val="BodyTextSmallSpaceItalic"/>
      </w:pPr>
      <w:r w:rsidRPr="00AB72A6">
        <w:t>Retirement Villages Act 1986</w:t>
      </w:r>
    </w:p>
    <w:p w14:paraId="58D1C9EE" w14:textId="77777777" w:rsidR="00AB72A6" w:rsidRPr="00F7724B" w:rsidRDefault="00AB72A6" w:rsidP="005003AA">
      <w:pPr>
        <w:pStyle w:val="BodyTextSmallSpace"/>
      </w:pPr>
      <w:r w:rsidRPr="00372D46">
        <w:rPr>
          <w:rStyle w:val="Emphasis"/>
        </w:rPr>
        <w:t>Rooming House Operators Act 2016</w:t>
      </w:r>
      <w:r w:rsidR="00372D46">
        <w:t xml:space="preserve"> (not yet commenced)</w:t>
      </w:r>
    </w:p>
    <w:p w14:paraId="58D1C9EF" w14:textId="77777777" w:rsidR="00AB72A6" w:rsidRPr="00AB72A6" w:rsidRDefault="00AB72A6" w:rsidP="005003AA">
      <w:pPr>
        <w:pStyle w:val="BodyTextSmallSpaceItalic"/>
      </w:pPr>
      <w:r w:rsidRPr="00AB72A6">
        <w:t>Sale of Land Act 1962</w:t>
      </w:r>
    </w:p>
    <w:p w14:paraId="58D1C9F0" w14:textId="77777777" w:rsidR="00AB72A6" w:rsidRPr="00AB72A6" w:rsidRDefault="00AB72A6" w:rsidP="005003AA">
      <w:pPr>
        <w:pStyle w:val="BodyTextSmallSpaceItalic"/>
      </w:pPr>
      <w:r w:rsidRPr="00AB72A6">
        <w:t>Second-Hand Dealers and Pawnbrokers Act 1989</w:t>
      </w:r>
    </w:p>
    <w:p w14:paraId="58D1C9F1" w14:textId="77777777" w:rsidR="00AB72A6" w:rsidRPr="00AB72A6" w:rsidRDefault="00AB72A6" w:rsidP="005003AA">
      <w:pPr>
        <w:pStyle w:val="BodyTextSmallSpaceItalic"/>
      </w:pPr>
      <w:r w:rsidRPr="00AB72A6">
        <w:t>Sex Work Act 1994</w:t>
      </w:r>
    </w:p>
    <w:p w14:paraId="58D1C9F2" w14:textId="77777777" w:rsidR="00AB72A6" w:rsidRPr="00F7724B" w:rsidRDefault="00AB72A6" w:rsidP="005003AA">
      <w:pPr>
        <w:pStyle w:val="BodyTextSmallSpaceItalic"/>
      </w:pPr>
      <w:r w:rsidRPr="00AB72A6">
        <w:t>Subdivision Act 1988</w:t>
      </w:r>
      <w:r w:rsidRPr="00F7724B">
        <w:t>:</w:t>
      </w:r>
    </w:p>
    <w:p w14:paraId="58D1C9F3" w14:textId="77777777" w:rsidR="00AB72A6" w:rsidRPr="00F7724B" w:rsidRDefault="00AB72A6" w:rsidP="005003AA">
      <w:pPr>
        <w:pStyle w:val="ListBullet"/>
        <w:spacing w:after="0"/>
      </w:pPr>
      <w:r w:rsidRPr="00F7724B">
        <w:t>Part 5</w:t>
      </w:r>
    </w:p>
    <w:p w14:paraId="58D1C9F4" w14:textId="77777777" w:rsidR="00AB72A6" w:rsidRPr="00F7724B" w:rsidRDefault="00AB72A6" w:rsidP="005003AA">
      <w:pPr>
        <w:pStyle w:val="ListBullet"/>
        <w:spacing w:after="0"/>
      </w:pPr>
      <w:r w:rsidRPr="00F7724B">
        <w:t>Section 43 (insofar as it relates to part 5)</w:t>
      </w:r>
    </w:p>
    <w:p w14:paraId="58D1C9F5" w14:textId="77777777" w:rsidR="00AB72A6" w:rsidRPr="00F7724B" w:rsidRDefault="00AB72A6" w:rsidP="005003AA">
      <w:pPr>
        <w:pStyle w:val="ListBullet"/>
        <w:spacing w:after="0"/>
      </w:pPr>
      <w:r w:rsidRPr="00F7724B">
        <w:t>The Act is otherwise administered by the Minister for Planning.</w:t>
      </w:r>
    </w:p>
    <w:p w14:paraId="58D1C9F6" w14:textId="77777777" w:rsidR="00AB72A6" w:rsidRPr="00AB72A6" w:rsidRDefault="00AB72A6" w:rsidP="005003AA">
      <w:pPr>
        <w:pStyle w:val="BodyTextSmallSpaceItalic"/>
      </w:pPr>
      <w:r w:rsidRPr="00AB72A6">
        <w:t>Travel Agents Repeal Act 2014</w:t>
      </w:r>
    </w:p>
    <w:p w14:paraId="58D1C9F7" w14:textId="77777777" w:rsidR="00AB72A6" w:rsidRPr="00F7724B" w:rsidRDefault="00AB72A6" w:rsidP="005003AA">
      <w:pPr>
        <w:pStyle w:val="BodyTextSmallSpaceItalic"/>
      </w:pPr>
      <w:r w:rsidRPr="00AB72A6">
        <w:t>Veterans Act 2005</w:t>
      </w:r>
      <w:r w:rsidRPr="00F7724B">
        <w:t>:</w:t>
      </w:r>
    </w:p>
    <w:p w14:paraId="58D1C9F8" w14:textId="77777777" w:rsidR="00AB72A6" w:rsidRPr="00F7724B" w:rsidRDefault="00AB72A6" w:rsidP="005003AA">
      <w:pPr>
        <w:pStyle w:val="ListBullet"/>
        <w:spacing w:after="0"/>
      </w:pPr>
      <w:r w:rsidRPr="00F7724B">
        <w:t>Part 4 (the Act is otherwise administered by the Minister for Veterans)</w:t>
      </w:r>
    </w:p>
    <w:p w14:paraId="58D1C9F9" w14:textId="77777777" w:rsidR="00AB72A6" w:rsidRPr="00AB72A6" w:rsidRDefault="00AB72A6" w:rsidP="00372D46">
      <w:pPr>
        <w:pStyle w:val="BodyTextSmallSpaceItalic"/>
      </w:pPr>
      <w:r w:rsidRPr="00AB72A6">
        <w:t>Warehousemen’s Liens Act 1958</w:t>
      </w:r>
    </w:p>
    <w:p w14:paraId="58D1C9FA" w14:textId="77777777" w:rsidR="0068108F" w:rsidRPr="00D90A2F" w:rsidRDefault="0068108F" w:rsidP="005003AA">
      <w:pPr>
        <w:pStyle w:val="Heading2"/>
      </w:pPr>
      <w:bookmarkStart w:id="85" w:name="_Toc431737244"/>
      <w:bookmarkStart w:id="86" w:name="_Toc432081471"/>
      <w:bookmarkStart w:id="87" w:name="_Toc464830773"/>
      <w:bookmarkEnd w:id="81"/>
      <w:bookmarkEnd w:id="82"/>
      <w:r w:rsidRPr="00D90A2F">
        <w:lastRenderedPageBreak/>
        <w:t>Consumer Affairs Victoria</w:t>
      </w:r>
      <w:bookmarkEnd w:id="85"/>
      <w:bookmarkEnd w:id="86"/>
      <w:bookmarkEnd w:id="87"/>
    </w:p>
    <w:p w14:paraId="58D1C9FB" w14:textId="77777777" w:rsidR="0068108F" w:rsidRDefault="0068108F" w:rsidP="005003AA">
      <w:pPr>
        <w:pStyle w:val="BodyText"/>
      </w:pPr>
      <w:hyperlink r:id="rId22" w:history="1">
        <w:r w:rsidRPr="004746BC">
          <w:rPr>
            <w:rStyle w:val="Hyperlink"/>
          </w:rPr>
          <w:t>Consumer Affairs Victoria website</w:t>
        </w:r>
      </w:hyperlink>
      <w:r>
        <w:t xml:space="preserve"> &lt;consumer.vic.gov.au&gt;</w:t>
      </w:r>
    </w:p>
    <w:p w14:paraId="58D1C9FC" w14:textId="77777777" w:rsidR="0068108F" w:rsidRPr="0098392C" w:rsidRDefault="0068108F" w:rsidP="005003AA">
      <w:pPr>
        <w:pStyle w:val="BodyText"/>
      </w:pPr>
      <w:hyperlink r:id="rId23" w:history="1">
        <w:r>
          <w:rPr>
            <w:rStyle w:val="Hyperlink"/>
            <w:lang w:val="en-GB"/>
          </w:rPr>
          <w:t>Facebook page of Consumer Affairs Victoria</w:t>
        </w:r>
      </w:hyperlink>
      <w:r>
        <w:rPr>
          <w:lang w:val="en-GB"/>
        </w:rPr>
        <w:t xml:space="preserve"> &lt;</w:t>
      </w:r>
      <w:r w:rsidRPr="000C3AB6">
        <w:rPr>
          <w:lang w:val="en-GB"/>
        </w:rPr>
        <w:t>facebook.com/ConsumerAffairsVictoria</w:t>
      </w:r>
      <w:r>
        <w:rPr>
          <w:lang w:val="en-GB"/>
        </w:rPr>
        <w:t>&gt;</w:t>
      </w:r>
    </w:p>
    <w:p w14:paraId="58D1C9FD" w14:textId="77777777" w:rsidR="0068108F" w:rsidRDefault="0068108F" w:rsidP="005003AA">
      <w:pPr>
        <w:pStyle w:val="BodyText"/>
        <w:rPr>
          <w:lang w:val="en-GB"/>
        </w:rPr>
      </w:pPr>
      <w:hyperlink r:id="rId24" w:history="1">
        <w:r>
          <w:rPr>
            <w:rStyle w:val="Hyperlink"/>
            <w:lang w:val="en-GB"/>
          </w:rPr>
          <w:t>Twitter page of Consumer Affairs Victoria</w:t>
        </w:r>
      </w:hyperlink>
      <w:r>
        <w:rPr>
          <w:lang w:val="en-GB"/>
        </w:rPr>
        <w:t xml:space="preserve"> &lt;</w:t>
      </w:r>
      <w:r w:rsidRPr="000C3AB6">
        <w:rPr>
          <w:lang w:val="en-GB"/>
        </w:rPr>
        <w:t xml:space="preserve"> twitter.com/consumervic</w:t>
      </w:r>
      <w:r>
        <w:rPr>
          <w:lang w:val="en-GB"/>
        </w:rPr>
        <w:t>&gt;</w:t>
      </w:r>
    </w:p>
    <w:p w14:paraId="58D1C9FE" w14:textId="77777777" w:rsidR="0068108F" w:rsidRDefault="0068108F" w:rsidP="005003AA">
      <w:pPr>
        <w:pStyle w:val="BodyText"/>
        <w:rPr>
          <w:lang w:val="en-GB"/>
        </w:rPr>
      </w:pPr>
      <w:hyperlink r:id="rId25" w:history="1">
        <w:r>
          <w:rPr>
            <w:rStyle w:val="Hyperlink"/>
            <w:lang w:val="en-GB"/>
          </w:rPr>
          <w:t>YouTube page of Consumer Affairs Victoria</w:t>
        </w:r>
      </w:hyperlink>
      <w:r>
        <w:rPr>
          <w:lang w:val="en-GB"/>
        </w:rPr>
        <w:t xml:space="preserve"> &lt;</w:t>
      </w:r>
      <w:r w:rsidRPr="000C3AB6">
        <w:rPr>
          <w:lang w:val="en-GB"/>
        </w:rPr>
        <w:t>youtube.com/consumervic</w:t>
      </w:r>
      <w:r>
        <w:rPr>
          <w:lang w:val="en-GB"/>
        </w:rPr>
        <w:t>&gt;</w:t>
      </w:r>
    </w:p>
    <w:p w14:paraId="58D1C9FF" w14:textId="77777777" w:rsidR="00A83F96" w:rsidRPr="004211EB" w:rsidRDefault="004211EB" w:rsidP="005003AA">
      <w:pPr>
        <w:pStyle w:val="BodyText"/>
      </w:pPr>
      <w:r w:rsidRPr="004211EB">
        <w:t>Consumer Affairs Victoria acknowledges the Aboriginal and Torres Strait Islander people as the Traditional Custodians of the land. The department also acknowledges and pays respect to their Elders, past and present.</w:t>
      </w:r>
    </w:p>
    <w:p w14:paraId="58D1CA00" w14:textId="77777777" w:rsidR="004211EB" w:rsidRDefault="004211EB" w:rsidP="005003AA">
      <w:pPr>
        <w:pStyle w:val="BodyText"/>
      </w:pPr>
      <w:r>
        <w:t>Authorised and published by the Victorian Government, 1 Treasury Place, Melbourne.</w:t>
      </w:r>
    </w:p>
    <w:p w14:paraId="58D1CA01" w14:textId="77777777" w:rsidR="004211EB" w:rsidRDefault="004211EB" w:rsidP="005003AA">
      <w:pPr>
        <w:pStyle w:val="BodyText"/>
      </w:pPr>
      <w:r>
        <w:t>October 2016</w:t>
      </w:r>
    </w:p>
    <w:p w14:paraId="58D1CA02" w14:textId="77777777" w:rsidR="004211EB" w:rsidRDefault="004211EB" w:rsidP="005003AA">
      <w:pPr>
        <w:pStyle w:val="BodyText"/>
      </w:pPr>
      <w:r>
        <w:t>ISBN: 978 1 921079 71 9</w:t>
      </w:r>
    </w:p>
    <w:p w14:paraId="58D1CA03" w14:textId="77777777" w:rsidR="004211EB" w:rsidRDefault="004211EB" w:rsidP="005003AA">
      <w:pPr>
        <w:pStyle w:val="BodyText"/>
      </w:pPr>
      <w:r>
        <w:t>Unless indicated otherwise, this work is made available under the terms of the Creative Commons Attribution 3.0 Australia licence.</w:t>
      </w:r>
    </w:p>
    <w:p w14:paraId="58D1CA04" w14:textId="77777777" w:rsidR="00995B04" w:rsidRDefault="004211EB" w:rsidP="005003AA">
      <w:pPr>
        <w:pStyle w:val="BodyText"/>
      </w:pPr>
      <w:r>
        <w:t>To view a copy of this licence, visit</w:t>
      </w:r>
      <w:r w:rsidR="00995B04">
        <w:t xml:space="preserve"> the</w:t>
      </w:r>
      <w:r>
        <w:t xml:space="preserve"> </w:t>
      </w:r>
      <w:hyperlink r:id="rId26" w:history="1">
        <w:r w:rsidR="0068108F" w:rsidRPr="00DF0983">
          <w:rPr>
            <w:rStyle w:val="Hyperlink"/>
          </w:rPr>
          <w:t>Creative Commons Australia website</w:t>
        </w:r>
      </w:hyperlink>
      <w:r w:rsidR="00995B04">
        <w:t xml:space="preserve"> &lt;</w:t>
      </w:r>
      <w:r w:rsidR="00995B04" w:rsidRPr="00995B04">
        <w:t>creativecommons.org/licenses/by/3.0/au</w:t>
      </w:r>
      <w:r w:rsidR="00995B04">
        <w:t>&gt;.</w:t>
      </w:r>
    </w:p>
    <w:p w14:paraId="58D1CA05" w14:textId="77777777" w:rsidR="004211EB" w:rsidRDefault="004211EB" w:rsidP="005003AA">
      <w:pPr>
        <w:pStyle w:val="BodyText"/>
      </w:pPr>
      <w:r>
        <w:t>It is a condition of this Creative Commons Attribution 3.0 Licence that you give credit to the original author, who is the State of Victoria.</w:t>
      </w:r>
    </w:p>
    <w:p w14:paraId="58D1CA06" w14:textId="77777777" w:rsidR="004211EB" w:rsidRPr="004211EB" w:rsidRDefault="004211EB" w:rsidP="00201270">
      <w:pPr>
        <w:pStyle w:val="Heading3"/>
      </w:pPr>
      <w:bookmarkStart w:id="88" w:name="_Toc464830774"/>
      <w:r w:rsidRPr="004211EB">
        <w:t>Accessibility</w:t>
      </w:r>
      <w:bookmarkEnd w:id="88"/>
    </w:p>
    <w:p w14:paraId="58D1CA07" w14:textId="77777777" w:rsidR="00C90E80" w:rsidRPr="009B2409" w:rsidRDefault="004211EB" w:rsidP="005003AA">
      <w:pPr>
        <w:pStyle w:val="BodyText"/>
      </w:pPr>
      <w:r>
        <w:t xml:space="preserve">If you would like to receive this publication in an accessible format, please visit </w:t>
      </w:r>
      <w:r w:rsidR="005003AA">
        <w:t xml:space="preserve">the </w:t>
      </w:r>
      <w:hyperlink r:id="rId27" w:history="1">
        <w:r w:rsidR="005003AA" w:rsidRPr="004746BC">
          <w:rPr>
            <w:rStyle w:val="Hyperlink"/>
          </w:rPr>
          <w:t>Consumer Affairs Victoria website</w:t>
        </w:r>
      </w:hyperlink>
      <w:r w:rsidR="005003AA">
        <w:t xml:space="preserve"> &lt;consumer.vic.gov.au&gt;</w:t>
      </w:r>
      <w:r>
        <w:t xml:space="preserve"> or call 1300 55 81 81.</w:t>
      </w:r>
    </w:p>
    <w:sectPr w:rsidR="00C90E80" w:rsidRPr="009B2409" w:rsidSect="00783BEE">
      <w:footerReference w:type="default" r:id="rId28"/>
      <w:footnotePr>
        <w:numRestart w:val="eachPage"/>
      </w:footnotePr>
      <w:pgSz w:w="11906" w:h="16838" w:code="9"/>
      <w:pgMar w:top="1418" w:right="1418" w:bottom="1134" w:left="1418"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1CA10" w14:textId="77777777" w:rsidR="001661F3" w:rsidRDefault="001661F3" w:rsidP="00C71F11">
      <w:pPr>
        <w:spacing w:after="0" w:line="240" w:lineRule="auto"/>
      </w:pPr>
      <w:r>
        <w:separator/>
      </w:r>
    </w:p>
  </w:endnote>
  <w:endnote w:type="continuationSeparator" w:id="0">
    <w:p w14:paraId="58D1CA11" w14:textId="77777777" w:rsidR="001661F3" w:rsidRDefault="001661F3" w:rsidP="00C71F11">
      <w:pPr>
        <w:spacing w:after="0" w:line="240" w:lineRule="auto"/>
      </w:pPr>
      <w:r>
        <w:continuationSeparator/>
      </w:r>
    </w:p>
  </w:endnote>
  <w:endnote w:type="continuationNotice" w:id="1">
    <w:p w14:paraId="58D1CA12" w14:textId="77777777" w:rsidR="001661F3" w:rsidRDefault="001661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VIC Light">
    <w:panose1 w:val="00000400000000000000"/>
    <w:charset w:val="00"/>
    <w:family w:val="modern"/>
    <w:notTrueType/>
    <w:pitch w:val="variable"/>
    <w:sig w:usb0="00000007" w:usb1="00000000" w:usb2="00000000" w:usb3="00000000" w:csb0="000000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78A7" w14:textId="77777777" w:rsidR="009624F5" w:rsidRDefault="009624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1CA13" w14:textId="77777777" w:rsidR="00EE29E7" w:rsidRPr="00783BEE" w:rsidRDefault="00EE29E7" w:rsidP="00783BEE">
    <w:pPr>
      <w:pStyle w:val="Footer"/>
    </w:pPr>
    <w:r w:rsidRPr="00783BEE">
      <w:t>Consumer Affairs Victoria: Annual Report 2015-16</w:t>
    </w:r>
    <w:r>
      <w:tab/>
    </w:r>
    <w:r w:rsidRPr="00783BEE">
      <w:fldChar w:fldCharType="begin"/>
    </w:r>
    <w:r w:rsidRPr="00783BEE">
      <w:instrText xml:space="preserve"> PAGE   \* MERGEFORMAT </w:instrText>
    </w:r>
    <w:r w:rsidRPr="00783BEE">
      <w:fldChar w:fldCharType="separate"/>
    </w:r>
    <w:r w:rsidR="006D367B">
      <w:rPr>
        <w:noProof/>
      </w:rPr>
      <w:t>32</w:t>
    </w:r>
    <w:r w:rsidRPr="00783BE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567A3" w14:textId="77777777" w:rsidR="009624F5" w:rsidRDefault="009624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1CA14" w14:textId="77777777" w:rsidR="00EE29E7" w:rsidRPr="00783BEE" w:rsidRDefault="00EE29E7" w:rsidP="009F76FB">
    <w:pPr>
      <w:pStyle w:val="FooterLandscape"/>
    </w:pPr>
    <w:r w:rsidRPr="00783BEE">
      <w:t>Consumer Affairs Victoria: Annual Report 2015-16</w:t>
    </w:r>
    <w:r>
      <w:tab/>
    </w:r>
    <w:r w:rsidRPr="00783BEE">
      <w:fldChar w:fldCharType="begin"/>
    </w:r>
    <w:r w:rsidRPr="00783BEE">
      <w:instrText xml:space="preserve"> PAGE   \* MERGEFORMAT </w:instrText>
    </w:r>
    <w:r w:rsidRPr="00783BEE">
      <w:fldChar w:fldCharType="separate"/>
    </w:r>
    <w:r w:rsidR="006D367B">
      <w:rPr>
        <w:noProof/>
      </w:rPr>
      <w:t>34</w:t>
    </w:r>
    <w:r w:rsidRPr="00783BEE">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1CA15" w14:textId="77777777" w:rsidR="00EE29E7" w:rsidRPr="00783BEE" w:rsidRDefault="00EE29E7" w:rsidP="00783BEE">
    <w:pPr>
      <w:pStyle w:val="Footer"/>
    </w:pPr>
    <w:r w:rsidRPr="00783BEE">
      <w:t>Consumer Affairs Victoria: Annual Report 2015-16</w:t>
    </w:r>
    <w:r>
      <w:tab/>
    </w:r>
    <w:r w:rsidRPr="00783BEE">
      <w:fldChar w:fldCharType="begin"/>
    </w:r>
    <w:r w:rsidRPr="00783BEE">
      <w:instrText xml:space="preserve"> PAGE   \* MERGEFORMAT </w:instrText>
    </w:r>
    <w:r w:rsidRPr="00783BEE">
      <w:fldChar w:fldCharType="separate"/>
    </w:r>
    <w:r w:rsidR="006D367B">
      <w:rPr>
        <w:noProof/>
      </w:rPr>
      <w:t>35</w:t>
    </w:r>
    <w:r w:rsidRPr="00783BE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1CA0D" w14:textId="77777777" w:rsidR="001661F3" w:rsidRDefault="001661F3" w:rsidP="00C71F11">
      <w:pPr>
        <w:spacing w:after="0" w:line="240" w:lineRule="auto"/>
      </w:pPr>
      <w:r>
        <w:separator/>
      </w:r>
    </w:p>
  </w:footnote>
  <w:footnote w:type="continuationSeparator" w:id="0">
    <w:p w14:paraId="58D1CA0E" w14:textId="77777777" w:rsidR="001661F3" w:rsidRDefault="001661F3" w:rsidP="00C71F11">
      <w:pPr>
        <w:spacing w:after="0" w:line="240" w:lineRule="auto"/>
      </w:pPr>
      <w:r>
        <w:continuationSeparator/>
      </w:r>
    </w:p>
  </w:footnote>
  <w:footnote w:type="continuationNotice" w:id="1">
    <w:p w14:paraId="58D1CA0F" w14:textId="77777777" w:rsidR="001661F3" w:rsidRDefault="001661F3">
      <w:pPr>
        <w:spacing w:after="0" w:line="240" w:lineRule="auto"/>
      </w:pPr>
    </w:p>
  </w:footnote>
  <w:footnote w:id="2">
    <w:p w14:paraId="58D1CA16" w14:textId="77777777" w:rsidR="003D521F" w:rsidRPr="00F91196" w:rsidRDefault="003D521F" w:rsidP="00384747">
      <w:pPr>
        <w:pStyle w:val="FootnoteText"/>
      </w:pPr>
      <w:r w:rsidRPr="00F91196">
        <w:rPr>
          <w:rStyle w:val="FootnoteReference"/>
          <w:vertAlign w:val="baseline"/>
        </w:rPr>
        <w:footnoteRef/>
      </w:r>
      <w:r w:rsidR="00384747" w:rsidRPr="00F91196">
        <w:tab/>
        <w:t>Compliance activities were lower than in previous years due to a shift from compliance assistance visits to inspections, which are more time intensive</w:t>
      </w:r>
    </w:p>
  </w:footnote>
  <w:footnote w:id="3">
    <w:p w14:paraId="58D1CA17" w14:textId="77777777" w:rsidR="00384747" w:rsidRPr="00F91196" w:rsidRDefault="00384747" w:rsidP="00384747">
      <w:pPr>
        <w:pStyle w:val="FootnoteText"/>
      </w:pPr>
      <w:r w:rsidRPr="00F91196">
        <w:rPr>
          <w:rStyle w:val="FootnoteReference"/>
          <w:vertAlign w:val="baseline"/>
        </w:rPr>
        <w:footnoteRef/>
      </w:r>
      <w:r w:rsidRPr="00F91196">
        <w:tab/>
        <w:t>The actual is above the target due to an increase in online transactions made via myCAV. New system capabilities, including updating details and the introduction of the role of delegate, will result in more transactions being processed and completed online</w:t>
      </w:r>
    </w:p>
  </w:footnote>
  <w:footnote w:id="4">
    <w:p w14:paraId="58D1CA18" w14:textId="77777777" w:rsidR="00F91196" w:rsidRPr="00F91196" w:rsidRDefault="00F91196" w:rsidP="00F91196">
      <w:pPr>
        <w:pStyle w:val="FootnoteText"/>
      </w:pPr>
      <w:r w:rsidRPr="00F91196">
        <w:rPr>
          <w:rStyle w:val="FootnoteReference"/>
          <w:vertAlign w:val="baseline"/>
        </w:rPr>
        <w:footnoteRef/>
      </w:r>
      <w:r w:rsidRPr="00F91196">
        <w:tab/>
        <w:t>Quality measure changed in 2015-16 from ‘customer satisfaction with services provided’, this new measure includes estate agents, rooming house operators and residential park owners compliance with their obligations under relevant consumer laws</w:t>
      </w:r>
    </w:p>
  </w:footnote>
  <w:footnote w:id="5">
    <w:p w14:paraId="58D1CA19" w14:textId="77777777" w:rsidR="00F91196" w:rsidRPr="00F91196" w:rsidRDefault="00F91196" w:rsidP="00F91196">
      <w:pPr>
        <w:pStyle w:val="FootnoteText"/>
      </w:pPr>
      <w:r w:rsidRPr="00F91196">
        <w:rPr>
          <w:rStyle w:val="FootnoteReference"/>
          <w:vertAlign w:val="baseline"/>
        </w:rPr>
        <w:footnoteRef/>
      </w:r>
      <w:r w:rsidRPr="00F91196">
        <w:tab/>
        <w:t>Wording changed in 2015-6 from ‘services provided within agreed time frames’</w:t>
      </w:r>
    </w:p>
  </w:footnote>
  <w:footnote w:id="6">
    <w:p w14:paraId="58D1CA1A" w14:textId="77777777" w:rsidR="00F91196" w:rsidRPr="00F91196" w:rsidRDefault="00F91196" w:rsidP="00F91196">
      <w:pPr>
        <w:pStyle w:val="FootnoteText"/>
      </w:pPr>
      <w:r w:rsidRPr="00F91196">
        <w:rPr>
          <w:rStyle w:val="FootnoteReference"/>
          <w:vertAlign w:val="baseline"/>
        </w:rPr>
        <w:footnoteRef/>
      </w:r>
      <w:r w:rsidRPr="00F91196">
        <w:tab/>
        <w:t>The actual is above the target due to a continual increase in the number of applications processed online via myCAV, which has significantly improved the timeliness of transactions processed</w:t>
      </w:r>
    </w:p>
  </w:footnote>
  <w:footnote w:id="7">
    <w:p w14:paraId="58D1CA1B" w14:textId="77777777" w:rsidR="00F91196" w:rsidRDefault="00F91196" w:rsidP="00F91196">
      <w:pPr>
        <w:pStyle w:val="FootnoteText"/>
      </w:pPr>
      <w:r w:rsidRPr="00F91196">
        <w:rPr>
          <w:rStyle w:val="FootnoteReference"/>
          <w:vertAlign w:val="baseline"/>
        </w:rPr>
        <w:footnoteRef/>
      </w:r>
      <w:r w:rsidRPr="00F91196">
        <w:tab/>
        <w:t>The 2015-16 expected outcome is lower than the 2015-16 target due to the estimated carryover of funding from 2015-16 into 2016-17.</w:t>
      </w:r>
    </w:p>
  </w:footnote>
  <w:footnote w:id="8">
    <w:p w14:paraId="58D1CA1C" w14:textId="77777777" w:rsidR="00F04442" w:rsidRPr="00F04442" w:rsidRDefault="00F04442" w:rsidP="00F04442">
      <w:pPr>
        <w:pStyle w:val="FootnoteText"/>
      </w:pPr>
      <w:r w:rsidRPr="00F04442">
        <w:rPr>
          <w:rStyle w:val="FootnoteReference"/>
          <w:vertAlign w:val="baseline"/>
        </w:rPr>
        <w:footnoteRef/>
      </w:r>
      <w:r w:rsidRPr="00F04442">
        <w:tab/>
        <w:t>Data in Table 1 varies between years based on our regulatory risk priorities, government policy, the nature of our compliance program and the cyclical nature of our integrated compliance approach.</w:t>
      </w:r>
    </w:p>
  </w:footnote>
  <w:footnote w:id="9">
    <w:p w14:paraId="58D1CA1D" w14:textId="77777777" w:rsidR="00F04442" w:rsidRPr="00F04442" w:rsidRDefault="00F04442">
      <w:pPr>
        <w:pStyle w:val="FootnoteText"/>
      </w:pPr>
      <w:r w:rsidRPr="00F04442">
        <w:rPr>
          <w:rStyle w:val="FootnoteReference"/>
          <w:vertAlign w:val="baseline"/>
        </w:rPr>
        <w:footnoteRef/>
      </w:r>
      <w:r w:rsidRPr="00F04442">
        <w:tab/>
        <w:t>Investigations were lower in 2014-15 and 2015-16 due to revised procedures aimed at capturing evidence and information (for example, use of statutory notices).</w:t>
      </w:r>
    </w:p>
  </w:footnote>
  <w:footnote w:id="10">
    <w:p w14:paraId="58D1CA1E" w14:textId="77777777" w:rsidR="00F04442" w:rsidRPr="00F04442" w:rsidRDefault="00F04442">
      <w:pPr>
        <w:pStyle w:val="FootnoteText"/>
      </w:pPr>
      <w:r w:rsidRPr="00F04442">
        <w:rPr>
          <w:rStyle w:val="FootnoteReference"/>
          <w:vertAlign w:val="baseline"/>
        </w:rPr>
        <w:footnoteRef/>
      </w:r>
      <w:r w:rsidRPr="00F04442">
        <w:tab/>
        <w:t>Only includes criminal matters.</w:t>
      </w:r>
    </w:p>
  </w:footnote>
  <w:footnote w:id="11">
    <w:p w14:paraId="58D1CA1F" w14:textId="77777777" w:rsidR="00F04442" w:rsidRDefault="00F04442" w:rsidP="00F04442">
      <w:pPr>
        <w:pStyle w:val="FootnoteText"/>
      </w:pPr>
      <w:r w:rsidRPr="00F04442">
        <w:rPr>
          <w:rStyle w:val="FootnoteReference"/>
          <w:vertAlign w:val="baseline"/>
        </w:rPr>
        <w:footnoteRef/>
      </w:r>
      <w:r w:rsidRPr="00F04442">
        <w:tab/>
        <w:t xml:space="preserve">Increase in transactions in 2015-16 is due to an increase in online transactions made </w:t>
      </w:r>
      <w:r>
        <w:t>with the introduction of myCAV.</w:t>
      </w:r>
    </w:p>
  </w:footnote>
  <w:footnote w:id="12">
    <w:p w14:paraId="58D1CA20" w14:textId="77777777" w:rsidR="002B6738" w:rsidRDefault="002B6738">
      <w:pPr>
        <w:pStyle w:val="FootnoteText"/>
      </w:pPr>
      <w:r>
        <w:rPr>
          <w:rStyle w:val="FootnoteReference"/>
        </w:rPr>
        <w:footnoteRef/>
      </w:r>
      <w:r>
        <w:t xml:space="preserve"> 1 </w:t>
      </w:r>
      <w:r>
        <w:rPr>
          <w:rFonts w:cs="VIC Light"/>
          <w:color w:val="000000"/>
          <w:sz w:val="13"/>
          <w:szCs w:val="13"/>
        </w:rPr>
        <w:t>The Ongoing court matters as at 30 June 2016 table was amended in February 2018 to correct transcription errors, and differs from the version tabled in the Victorian Parliament on 26 October 2016.</w:t>
      </w:r>
    </w:p>
  </w:footnote>
  <w:footnote w:id="13">
    <w:p w14:paraId="58D1CA21" w14:textId="77777777" w:rsidR="00974789" w:rsidRPr="00974789" w:rsidRDefault="00974789" w:rsidP="00974789">
      <w:pPr>
        <w:pStyle w:val="FootnoteText"/>
      </w:pPr>
      <w:r w:rsidRPr="00974789">
        <w:rPr>
          <w:rStyle w:val="FootnoteReference"/>
          <w:vertAlign w:val="baseline"/>
        </w:rPr>
        <w:footnoteRef/>
      </w:r>
      <w:r w:rsidRPr="00974789">
        <w:tab/>
        <w:t>The decreasing trend in disputes finalised demonstrates our shift from resolving disputes to providing information and advice to empower consumers to assert their rights and resolve their own disputes.</w:t>
      </w:r>
    </w:p>
  </w:footnote>
  <w:footnote w:id="14">
    <w:p w14:paraId="58D1CA22" w14:textId="77777777" w:rsidR="00974789" w:rsidRDefault="00974789" w:rsidP="00974789">
      <w:pPr>
        <w:pStyle w:val="FootnoteText"/>
      </w:pPr>
      <w:r w:rsidRPr="00974789">
        <w:rPr>
          <w:rStyle w:val="FootnoteReference"/>
          <w:vertAlign w:val="baseline"/>
        </w:rPr>
        <w:footnoteRef/>
      </w:r>
      <w:r w:rsidRPr="00974789">
        <w:tab/>
        <w:t>YouTube views in 2015-16 were largely organic views and not generated through paid promotion as was the case in previous years where YouTube videos were promoted as a key part of campaigns such as ‘Stevie’s Scam School.’</w:t>
      </w:r>
    </w:p>
  </w:footnote>
  <w:footnote w:id="15">
    <w:p w14:paraId="58D1CA23" w14:textId="77777777" w:rsidR="00AF7BEB" w:rsidRDefault="006D367B">
      <w:pPr>
        <w:pStyle w:val="FootnoteText"/>
      </w:pPr>
      <w:r>
        <w:t>1</w:t>
      </w:r>
      <w:r>
        <w:rPr>
          <w:rStyle w:val="FootnoteReference"/>
        </w:rPr>
        <w:tab/>
      </w:r>
      <w:r w:rsidR="00AF7BEB">
        <w:t>The Financial information 2015-16 table was amended in June 2017 to correct transcription errors, and differs from the version tabled in the Victorian Parliament on 27 October 2016.</w:t>
      </w:r>
    </w:p>
  </w:footnote>
  <w:footnote w:id="16">
    <w:p w14:paraId="58D1CA24" w14:textId="77777777" w:rsidR="00653983" w:rsidRPr="00653983" w:rsidRDefault="00653983" w:rsidP="00653983">
      <w:pPr>
        <w:pStyle w:val="FootnoteText"/>
      </w:pPr>
      <w:r w:rsidRPr="00653983">
        <w:rPr>
          <w:rStyle w:val="FootnoteReference"/>
          <w:vertAlign w:val="baseline"/>
        </w:rPr>
        <w:footnoteRef/>
      </w:r>
      <w:r w:rsidRPr="00653983">
        <w:tab/>
        <w:t>Domestic Building Dispute Levy and Registration Fees</w:t>
      </w:r>
    </w:p>
  </w:footnote>
  <w:footnote w:id="17">
    <w:p w14:paraId="58D1CA25" w14:textId="77777777" w:rsidR="00653983" w:rsidRDefault="00653983" w:rsidP="00653983">
      <w:pPr>
        <w:pStyle w:val="FootnoteText"/>
      </w:pPr>
      <w:r w:rsidRPr="00EA58F3">
        <w:rPr>
          <w:rStyle w:val="FootnoteReference"/>
          <w:vertAlign w:val="baseline"/>
        </w:rPr>
        <w:footnoteRef/>
      </w:r>
      <w:r w:rsidRPr="00EA58F3">
        <w:tab/>
        <w:t>CAV Total Outp</w:t>
      </w:r>
      <w:r w:rsidR="004D0490">
        <w:t>ut for 2015-16 was $115,257,566</w:t>
      </w:r>
      <w:r w:rsidRPr="00653983">
        <w:t xml:space="preserve"> (the CAV 2014-15 Output was $119,278,404)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8B20E406"/>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0FB0143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B74D7E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91A3892"/>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916393"/>
    <w:multiLevelType w:val="multilevel"/>
    <w:tmpl w:val="8B9C5D6A"/>
    <w:styleLink w:val="CAVListStyleBullets"/>
    <w:lvl w:ilvl="0">
      <w:start w:val="1"/>
      <w:numFmt w:val="bullet"/>
      <w:lvlText w:val="•"/>
      <w:lvlJc w:val="left"/>
      <w:pPr>
        <w:ind w:left="284" w:hanging="284"/>
      </w:pPr>
      <w:rPr>
        <w:rFonts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054270D4"/>
    <w:multiLevelType w:val="hybridMultilevel"/>
    <w:tmpl w:val="818EB01C"/>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6" w15:restartNumberingAfterBreak="0">
    <w:nsid w:val="09065395"/>
    <w:multiLevelType w:val="hybridMultilevel"/>
    <w:tmpl w:val="8348D644"/>
    <w:lvl w:ilvl="0" w:tplc="0C090001">
      <w:start w:val="1"/>
      <w:numFmt w:val="bullet"/>
      <w:lvlText w:val=""/>
      <w:lvlJc w:val="left"/>
      <w:pPr>
        <w:ind w:left="360" w:hanging="360"/>
      </w:pPr>
      <w:rPr>
        <w:rFonts w:ascii="Symbol" w:hAnsi="Symbol" w:hint="default"/>
      </w:rPr>
    </w:lvl>
    <w:lvl w:ilvl="1" w:tplc="0C09000F">
      <w:start w:val="1"/>
      <w:numFmt w:val="decimal"/>
      <w:lvlText w:val="%2."/>
      <w:lvlJc w:val="left"/>
      <w:pPr>
        <w:ind w:left="1080" w:hanging="360"/>
      </w:pPr>
      <w:rPr>
        <w:rFonts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C106B55"/>
    <w:multiLevelType w:val="hybridMultilevel"/>
    <w:tmpl w:val="B2641E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F445F47"/>
    <w:multiLevelType w:val="hybridMultilevel"/>
    <w:tmpl w:val="F880F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15A6114"/>
    <w:multiLevelType w:val="hybridMultilevel"/>
    <w:tmpl w:val="AE403FA6"/>
    <w:lvl w:ilvl="0" w:tplc="8F74EDB4">
      <w:start w:val="1"/>
      <w:numFmt w:val="bullet"/>
      <w:lvlText w:val=""/>
      <w:lvlJc w:val="left"/>
      <w:pPr>
        <w:tabs>
          <w:tab w:val="num" w:pos="851"/>
        </w:tabs>
        <w:ind w:left="851" w:hanging="284"/>
      </w:pPr>
      <w:rPr>
        <w:rFonts w:ascii="Symbol" w:hAnsi="Symbol" w:hint="default"/>
        <w:b w:val="0"/>
        <w:i w:val="0"/>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8A74DF"/>
    <w:multiLevelType w:val="hybridMultilevel"/>
    <w:tmpl w:val="D6A06B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7EE46CD"/>
    <w:multiLevelType w:val="hybridMultilevel"/>
    <w:tmpl w:val="5F7CA888"/>
    <w:lvl w:ilvl="0" w:tplc="F8765A4A">
      <w:numFmt w:val="bullet"/>
      <w:lvlText w:val="-"/>
      <w:lvlJc w:val="left"/>
      <w:pPr>
        <w:ind w:left="720" w:hanging="360"/>
      </w:pPr>
      <w:rPr>
        <w:rFonts w:ascii="Calibri" w:eastAsia="Calibr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AF73B3E"/>
    <w:multiLevelType w:val="hybridMultilevel"/>
    <w:tmpl w:val="FDE49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0495426"/>
    <w:multiLevelType w:val="hybridMultilevel"/>
    <w:tmpl w:val="1BB8D972"/>
    <w:lvl w:ilvl="0" w:tplc="0C090001">
      <w:start w:val="1"/>
      <w:numFmt w:val="bullet"/>
      <w:lvlText w:val=""/>
      <w:lvlJc w:val="left"/>
      <w:pPr>
        <w:ind w:left="1514" w:hanging="360"/>
      </w:pPr>
      <w:rPr>
        <w:rFonts w:ascii="Symbol" w:hAnsi="Symbo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14" w15:restartNumberingAfterBreak="0">
    <w:nsid w:val="22F30DF7"/>
    <w:multiLevelType w:val="hybridMultilevel"/>
    <w:tmpl w:val="F732B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9B947FC"/>
    <w:multiLevelType w:val="multilevel"/>
    <w:tmpl w:val="A888F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B3190C"/>
    <w:multiLevelType w:val="hybridMultilevel"/>
    <w:tmpl w:val="DF880314"/>
    <w:lvl w:ilvl="0" w:tplc="0C090001">
      <w:start w:val="1"/>
      <w:numFmt w:val="bullet"/>
      <w:lvlText w:val=""/>
      <w:lvlJc w:val="left"/>
      <w:pPr>
        <w:ind w:left="363" w:hanging="360"/>
      </w:pPr>
      <w:rPr>
        <w:rFonts w:ascii="Symbol" w:hAnsi="Symbol" w:hint="default"/>
      </w:rPr>
    </w:lvl>
    <w:lvl w:ilvl="1" w:tplc="0C090003">
      <w:start w:val="1"/>
      <w:numFmt w:val="bullet"/>
      <w:lvlText w:val="o"/>
      <w:lvlJc w:val="left"/>
      <w:pPr>
        <w:ind w:left="1083" w:hanging="360"/>
      </w:pPr>
      <w:rPr>
        <w:rFonts w:ascii="Courier New" w:hAnsi="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17" w15:restartNumberingAfterBreak="0">
    <w:nsid w:val="32D70CCF"/>
    <w:multiLevelType w:val="hybridMultilevel"/>
    <w:tmpl w:val="4EAEF642"/>
    <w:lvl w:ilvl="0" w:tplc="14E4BDA0">
      <w:start w:val="1"/>
      <w:numFmt w:val="decimal"/>
      <w:lvlText w:val="%1."/>
      <w:lvlJc w:val="left"/>
      <w:pPr>
        <w:ind w:left="397" w:hanging="397"/>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42E13FF"/>
    <w:multiLevelType w:val="hybridMultilevel"/>
    <w:tmpl w:val="3EC216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C92785C"/>
    <w:multiLevelType w:val="multilevel"/>
    <w:tmpl w:val="8B967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437DD1"/>
    <w:multiLevelType w:val="hybridMultilevel"/>
    <w:tmpl w:val="134A7F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ECE1F1A"/>
    <w:multiLevelType w:val="hybridMultilevel"/>
    <w:tmpl w:val="183E646A"/>
    <w:lvl w:ilvl="0" w:tplc="BC3CCCD8">
      <w:start w:val="1"/>
      <w:numFmt w:val="bullet"/>
      <w:lvlText w:val=""/>
      <w:lvlJc w:val="left"/>
      <w:pPr>
        <w:tabs>
          <w:tab w:val="num" w:pos="360"/>
        </w:tabs>
        <w:ind w:left="227" w:hanging="227"/>
      </w:pPr>
      <w:rPr>
        <w:rFonts w:ascii="Wingdings" w:hAnsi="Wingdings" w:hint="default"/>
        <w:sz w:val="22"/>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AC733A"/>
    <w:multiLevelType w:val="hybridMultilevel"/>
    <w:tmpl w:val="B5D680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184191D"/>
    <w:multiLevelType w:val="hybridMultilevel"/>
    <w:tmpl w:val="46720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194059E"/>
    <w:multiLevelType w:val="hybridMultilevel"/>
    <w:tmpl w:val="784449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83E28E2"/>
    <w:multiLevelType w:val="hybridMultilevel"/>
    <w:tmpl w:val="9574F4EE"/>
    <w:lvl w:ilvl="0" w:tplc="7548AAB0">
      <w:numFmt w:val="bullet"/>
      <w:lvlText w:val="•"/>
      <w:lvlJc w:val="left"/>
      <w:pPr>
        <w:ind w:left="1080" w:hanging="720"/>
      </w:pPr>
      <w:rPr>
        <w:rFonts w:ascii="Calibri" w:eastAsia="Calibr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60014BF"/>
    <w:multiLevelType w:val="hybridMultilevel"/>
    <w:tmpl w:val="4C305D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A012922"/>
    <w:multiLevelType w:val="hybridMultilevel"/>
    <w:tmpl w:val="54B4D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02A6CF6"/>
    <w:multiLevelType w:val="hybridMultilevel"/>
    <w:tmpl w:val="B6D453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3FC02C0"/>
    <w:multiLevelType w:val="hybridMultilevel"/>
    <w:tmpl w:val="5058D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6D13DC4"/>
    <w:multiLevelType w:val="hybridMultilevel"/>
    <w:tmpl w:val="AC7A3DA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75721954">
    <w:abstractNumId w:val="22"/>
  </w:num>
  <w:num w:numId="2" w16cid:durableId="914318436">
    <w:abstractNumId w:val="6"/>
  </w:num>
  <w:num w:numId="3" w16cid:durableId="1088888047">
    <w:abstractNumId w:val="16"/>
  </w:num>
  <w:num w:numId="4" w16cid:durableId="905847005">
    <w:abstractNumId w:val="17"/>
  </w:num>
  <w:num w:numId="5" w16cid:durableId="327484542">
    <w:abstractNumId w:val="12"/>
  </w:num>
  <w:num w:numId="6" w16cid:durableId="1726830492">
    <w:abstractNumId w:val="13"/>
  </w:num>
  <w:num w:numId="7" w16cid:durableId="252738308">
    <w:abstractNumId w:val="4"/>
  </w:num>
  <w:num w:numId="8" w16cid:durableId="1503162834">
    <w:abstractNumId w:val="18"/>
  </w:num>
  <w:num w:numId="9" w16cid:durableId="377554372">
    <w:abstractNumId w:val="19"/>
  </w:num>
  <w:num w:numId="10" w16cid:durableId="1555045123">
    <w:abstractNumId w:val="14"/>
  </w:num>
  <w:num w:numId="11" w16cid:durableId="937980549">
    <w:abstractNumId w:val="5"/>
  </w:num>
  <w:num w:numId="12" w16cid:durableId="1342047250">
    <w:abstractNumId w:val="21"/>
  </w:num>
  <w:num w:numId="13" w16cid:durableId="1101804227">
    <w:abstractNumId w:val="23"/>
  </w:num>
  <w:num w:numId="14" w16cid:durableId="1658530854">
    <w:abstractNumId w:val="15"/>
  </w:num>
  <w:num w:numId="15" w16cid:durableId="1770855374">
    <w:abstractNumId w:val="20"/>
  </w:num>
  <w:num w:numId="16" w16cid:durableId="338042576">
    <w:abstractNumId w:val="11"/>
  </w:num>
  <w:num w:numId="17" w16cid:durableId="1881353989">
    <w:abstractNumId w:val="7"/>
  </w:num>
  <w:num w:numId="18" w16cid:durableId="1264726215">
    <w:abstractNumId w:val="9"/>
  </w:num>
  <w:num w:numId="19" w16cid:durableId="1526402520">
    <w:abstractNumId w:val="30"/>
  </w:num>
  <w:num w:numId="20" w16cid:durableId="1801217796">
    <w:abstractNumId w:val="24"/>
  </w:num>
  <w:num w:numId="21" w16cid:durableId="601955938">
    <w:abstractNumId w:val="26"/>
  </w:num>
  <w:num w:numId="22" w16cid:durableId="555506735">
    <w:abstractNumId w:val="27"/>
  </w:num>
  <w:num w:numId="23" w16cid:durableId="864447314">
    <w:abstractNumId w:val="25"/>
  </w:num>
  <w:num w:numId="24" w16cid:durableId="1199245585">
    <w:abstractNumId w:val="10"/>
  </w:num>
  <w:num w:numId="25" w16cid:durableId="1290746388">
    <w:abstractNumId w:val="28"/>
  </w:num>
  <w:num w:numId="26" w16cid:durableId="1912038166">
    <w:abstractNumId w:val="29"/>
  </w:num>
  <w:num w:numId="27" w16cid:durableId="1844733693">
    <w:abstractNumId w:val="8"/>
  </w:num>
  <w:num w:numId="28" w16cid:durableId="1855996731">
    <w:abstractNumId w:val="3"/>
  </w:num>
  <w:num w:numId="29" w16cid:durableId="1930847222">
    <w:abstractNumId w:val="1"/>
  </w:num>
  <w:num w:numId="30" w16cid:durableId="2021153412">
    <w:abstractNumId w:val="2"/>
  </w:num>
  <w:num w:numId="31" w16cid:durableId="1229920684">
    <w:abstractNumId w:val="0"/>
  </w:num>
  <w:num w:numId="32" w16cid:durableId="1864901859">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doNotTrackMoves/>
  <w:defaultTabStop w:val="720"/>
  <w:characterSpacingControl w:val="doNotCompress"/>
  <w:footnotePr>
    <w:numRestart w:val="eachPage"/>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90E80"/>
    <w:rsid w:val="000067F2"/>
    <w:rsid w:val="000113E0"/>
    <w:rsid w:val="00021DA6"/>
    <w:rsid w:val="00030169"/>
    <w:rsid w:val="00031B1C"/>
    <w:rsid w:val="00040AF8"/>
    <w:rsid w:val="00041B76"/>
    <w:rsid w:val="00042358"/>
    <w:rsid w:val="00045784"/>
    <w:rsid w:val="00052AFF"/>
    <w:rsid w:val="00056D7F"/>
    <w:rsid w:val="00062049"/>
    <w:rsid w:val="00064594"/>
    <w:rsid w:val="0006613F"/>
    <w:rsid w:val="00077DCC"/>
    <w:rsid w:val="00080476"/>
    <w:rsid w:val="00084F8C"/>
    <w:rsid w:val="00086AF2"/>
    <w:rsid w:val="00091597"/>
    <w:rsid w:val="000A4BC7"/>
    <w:rsid w:val="000A4D4B"/>
    <w:rsid w:val="000A74E4"/>
    <w:rsid w:val="000A7D79"/>
    <w:rsid w:val="000B7932"/>
    <w:rsid w:val="000C2B36"/>
    <w:rsid w:val="000C5AA2"/>
    <w:rsid w:val="000D0E83"/>
    <w:rsid w:val="000D42DF"/>
    <w:rsid w:val="000D4FAE"/>
    <w:rsid w:val="000E344B"/>
    <w:rsid w:val="000F5315"/>
    <w:rsid w:val="0010370A"/>
    <w:rsid w:val="00107B62"/>
    <w:rsid w:val="00110D4C"/>
    <w:rsid w:val="00112400"/>
    <w:rsid w:val="00120E5A"/>
    <w:rsid w:val="00122EB0"/>
    <w:rsid w:val="00134625"/>
    <w:rsid w:val="00134A2A"/>
    <w:rsid w:val="001369DC"/>
    <w:rsid w:val="0014204E"/>
    <w:rsid w:val="0014272B"/>
    <w:rsid w:val="00142DE7"/>
    <w:rsid w:val="00143662"/>
    <w:rsid w:val="0014701D"/>
    <w:rsid w:val="001510E8"/>
    <w:rsid w:val="00151EF4"/>
    <w:rsid w:val="001556C0"/>
    <w:rsid w:val="00155B9A"/>
    <w:rsid w:val="00156617"/>
    <w:rsid w:val="00160E40"/>
    <w:rsid w:val="001661F3"/>
    <w:rsid w:val="00171D5F"/>
    <w:rsid w:val="00177DC1"/>
    <w:rsid w:val="001809C5"/>
    <w:rsid w:val="00181631"/>
    <w:rsid w:val="00197807"/>
    <w:rsid w:val="001A1A0A"/>
    <w:rsid w:val="001B12D8"/>
    <w:rsid w:val="001B2499"/>
    <w:rsid w:val="001C0A36"/>
    <w:rsid w:val="001C410E"/>
    <w:rsid w:val="001C50E6"/>
    <w:rsid w:val="001C56C0"/>
    <w:rsid w:val="001D144A"/>
    <w:rsid w:val="001E5B35"/>
    <w:rsid w:val="00201270"/>
    <w:rsid w:val="00201342"/>
    <w:rsid w:val="00217576"/>
    <w:rsid w:val="00226FBE"/>
    <w:rsid w:val="002334B6"/>
    <w:rsid w:val="0023482B"/>
    <w:rsid w:val="00244EF7"/>
    <w:rsid w:val="0024584B"/>
    <w:rsid w:val="00256840"/>
    <w:rsid w:val="00275C07"/>
    <w:rsid w:val="00275D03"/>
    <w:rsid w:val="0027662D"/>
    <w:rsid w:val="00281B8A"/>
    <w:rsid w:val="00295480"/>
    <w:rsid w:val="00295CF5"/>
    <w:rsid w:val="002A0546"/>
    <w:rsid w:val="002A3CA6"/>
    <w:rsid w:val="002B3B90"/>
    <w:rsid w:val="002B6738"/>
    <w:rsid w:val="002B74E5"/>
    <w:rsid w:val="002C3944"/>
    <w:rsid w:val="002C5076"/>
    <w:rsid w:val="002D7EB3"/>
    <w:rsid w:val="002E4FF0"/>
    <w:rsid w:val="002F063F"/>
    <w:rsid w:val="002F5743"/>
    <w:rsid w:val="002F6DD5"/>
    <w:rsid w:val="00312562"/>
    <w:rsid w:val="00314ABC"/>
    <w:rsid w:val="003151CE"/>
    <w:rsid w:val="00315661"/>
    <w:rsid w:val="00320BE0"/>
    <w:rsid w:val="00321A0C"/>
    <w:rsid w:val="00321B25"/>
    <w:rsid w:val="00323337"/>
    <w:rsid w:val="0032485B"/>
    <w:rsid w:val="00325C37"/>
    <w:rsid w:val="00332305"/>
    <w:rsid w:val="00332BF3"/>
    <w:rsid w:val="00333E76"/>
    <w:rsid w:val="003369A3"/>
    <w:rsid w:val="003379FA"/>
    <w:rsid w:val="00355028"/>
    <w:rsid w:val="003641AB"/>
    <w:rsid w:val="0036577F"/>
    <w:rsid w:val="00366166"/>
    <w:rsid w:val="003719B9"/>
    <w:rsid w:val="00372D46"/>
    <w:rsid w:val="00376E0E"/>
    <w:rsid w:val="003802F6"/>
    <w:rsid w:val="003833C8"/>
    <w:rsid w:val="0038367D"/>
    <w:rsid w:val="00383C48"/>
    <w:rsid w:val="00384747"/>
    <w:rsid w:val="003A2203"/>
    <w:rsid w:val="003A2F75"/>
    <w:rsid w:val="003B43FE"/>
    <w:rsid w:val="003B47C4"/>
    <w:rsid w:val="003D009B"/>
    <w:rsid w:val="003D3259"/>
    <w:rsid w:val="003D521F"/>
    <w:rsid w:val="003D666F"/>
    <w:rsid w:val="003E5E4C"/>
    <w:rsid w:val="003F183F"/>
    <w:rsid w:val="003F25B0"/>
    <w:rsid w:val="003F5D67"/>
    <w:rsid w:val="003F6265"/>
    <w:rsid w:val="00405DA7"/>
    <w:rsid w:val="00410EF4"/>
    <w:rsid w:val="00416A25"/>
    <w:rsid w:val="004211EB"/>
    <w:rsid w:val="0042297C"/>
    <w:rsid w:val="00422C46"/>
    <w:rsid w:val="00430D03"/>
    <w:rsid w:val="00431A7C"/>
    <w:rsid w:val="00433A4A"/>
    <w:rsid w:val="00435045"/>
    <w:rsid w:val="00435C2C"/>
    <w:rsid w:val="00440488"/>
    <w:rsid w:val="00444135"/>
    <w:rsid w:val="00452669"/>
    <w:rsid w:val="00452C50"/>
    <w:rsid w:val="004555A8"/>
    <w:rsid w:val="00461D0C"/>
    <w:rsid w:val="004645C0"/>
    <w:rsid w:val="00464A7E"/>
    <w:rsid w:val="004657E1"/>
    <w:rsid w:val="0047465C"/>
    <w:rsid w:val="00476A12"/>
    <w:rsid w:val="0048011B"/>
    <w:rsid w:val="004804BA"/>
    <w:rsid w:val="004840FA"/>
    <w:rsid w:val="00484D0A"/>
    <w:rsid w:val="004851FB"/>
    <w:rsid w:val="00486872"/>
    <w:rsid w:val="00486A5D"/>
    <w:rsid w:val="00496AB9"/>
    <w:rsid w:val="004A02E4"/>
    <w:rsid w:val="004B411F"/>
    <w:rsid w:val="004B59DF"/>
    <w:rsid w:val="004B6CD0"/>
    <w:rsid w:val="004C0ADA"/>
    <w:rsid w:val="004C2D08"/>
    <w:rsid w:val="004C66BC"/>
    <w:rsid w:val="004D0490"/>
    <w:rsid w:val="004D0BA4"/>
    <w:rsid w:val="004D744A"/>
    <w:rsid w:val="004E05CC"/>
    <w:rsid w:val="004E4902"/>
    <w:rsid w:val="004F0321"/>
    <w:rsid w:val="004F061C"/>
    <w:rsid w:val="005003AA"/>
    <w:rsid w:val="005038A8"/>
    <w:rsid w:val="00506885"/>
    <w:rsid w:val="00513074"/>
    <w:rsid w:val="0051734E"/>
    <w:rsid w:val="00524553"/>
    <w:rsid w:val="00524BC8"/>
    <w:rsid w:val="00526DF1"/>
    <w:rsid w:val="00535227"/>
    <w:rsid w:val="005419C2"/>
    <w:rsid w:val="00542656"/>
    <w:rsid w:val="00543432"/>
    <w:rsid w:val="00552098"/>
    <w:rsid w:val="00552326"/>
    <w:rsid w:val="005567D4"/>
    <w:rsid w:val="00556DF5"/>
    <w:rsid w:val="00570715"/>
    <w:rsid w:val="00570982"/>
    <w:rsid w:val="00573381"/>
    <w:rsid w:val="0058055D"/>
    <w:rsid w:val="00587380"/>
    <w:rsid w:val="005A6618"/>
    <w:rsid w:val="005B1D31"/>
    <w:rsid w:val="005B35AF"/>
    <w:rsid w:val="005C0C79"/>
    <w:rsid w:val="005C2B48"/>
    <w:rsid w:val="005C51B2"/>
    <w:rsid w:val="005C7DB4"/>
    <w:rsid w:val="005C7EDC"/>
    <w:rsid w:val="005D12A7"/>
    <w:rsid w:val="005D5646"/>
    <w:rsid w:val="005E393E"/>
    <w:rsid w:val="005F13E6"/>
    <w:rsid w:val="005F58AA"/>
    <w:rsid w:val="00604689"/>
    <w:rsid w:val="006136D4"/>
    <w:rsid w:val="00621D83"/>
    <w:rsid w:val="00624207"/>
    <w:rsid w:val="0062480A"/>
    <w:rsid w:val="00624CAA"/>
    <w:rsid w:val="00631074"/>
    <w:rsid w:val="00644683"/>
    <w:rsid w:val="00646284"/>
    <w:rsid w:val="00646671"/>
    <w:rsid w:val="00647A02"/>
    <w:rsid w:val="006524E8"/>
    <w:rsid w:val="00653983"/>
    <w:rsid w:val="00654592"/>
    <w:rsid w:val="0066310A"/>
    <w:rsid w:val="00671F59"/>
    <w:rsid w:val="0067302D"/>
    <w:rsid w:val="00674866"/>
    <w:rsid w:val="00676450"/>
    <w:rsid w:val="00676836"/>
    <w:rsid w:val="00676BE9"/>
    <w:rsid w:val="0068108F"/>
    <w:rsid w:val="00682042"/>
    <w:rsid w:val="006832C1"/>
    <w:rsid w:val="006960B9"/>
    <w:rsid w:val="006A44B1"/>
    <w:rsid w:val="006B0F6A"/>
    <w:rsid w:val="006D367B"/>
    <w:rsid w:val="006D76BE"/>
    <w:rsid w:val="006E113C"/>
    <w:rsid w:val="006E319E"/>
    <w:rsid w:val="006F608E"/>
    <w:rsid w:val="007174AB"/>
    <w:rsid w:val="00722D2C"/>
    <w:rsid w:val="0072626D"/>
    <w:rsid w:val="00731D68"/>
    <w:rsid w:val="00732553"/>
    <w:rsid w:val="007350A4"/>
    <w:rsid w:val="00735A3B"/>
    <w:rsid w:val="00742A5C"/>
    <w:rsid w:val="00743C19"/>
    <w:rsid w:val="00744281"/>
    <w:rsid w:val="0075750A"/>
    <w:rsid w:val="0078191F"/>
    <w:rsid w:val="00783BEE"/>
    <w:rsid w:val="00792F91"/>
    <w:rsid w:val="007935D2"/>
    <w:rsid w:val="00793BF9"/>
    <w:rsid w:val="007959A9"/>
    <w:rsid w:val="00797D7C"/>
    <w:rsid w:val="007A2137"/>
    <w:rsid w:val="007A2663"/>
    <w:rsid w:val="007A3786"/>
    <w:rsid w:val="007A49A6"/>
    <w:rsid w:val="007A5331"/>
    <w:rsid w:val="007A655A"/>
    <w:rsid w:val="007A75A8"/>
    <w:rsid w:val="007B200E"/>
    <w:rsid w:val="007B6433"/>
    <w:rsid w:val="007B6E26"/>
    <w:rsid w:val="007D188A"/>
    <w:rsid w:val="007D39F7"/>
    <w:rsid w:val="007D59ED"/>
    <w:rsid w:val="007E454A"/>
    <w:rsid w:val="007F7301"/>
    <w:rsid w:val="00804AB6"/>
    <w:rsid w:val="008150FD"/>
    <w:rsid w:val="00817D14"/>
    <w:rsid w:val="008225EF"/>
    <w:rsid w:val="00834561"/>
    <w:rsid w:val="0086119C"/>
    <w:rsid w:val="008621E5"/>
    <w:rsid w:val="008661E1"/>
    <w:rsid w:val="0087028F"/>
    <w:rsid w:val="008734EB"/>
    <w:rsid w:val="008800C6"/>
    <w:rsid w:val="00883165"/>
    <w:rsid w:val="00896A7C"/>
    <w:rsid w:val="0089767F"/>
    <w:rsid w:val="008A134C"/>
    <w:rsid w:val="008A1B58"/>
    <w:rsid w:val="008A2567"/>
    <w:rsid w:val="008A5248"/>
    <w:rsid w:val="008A75EF"/>
    <w:rsid w:val="008B141D"/>
    <w:rsid w:val="008B1747"/>
    <w:rsid w:val="008C1BE0"/>
    <w:rsid w:val="008C3AD5"/>
    <w:rsid w:val="008E44BD"/>
    <w:rsid w:val="008F2BD9"/>
    <w:rsid w:val="008F4AB1"/>
    <w:rsid w:val="00901F97"/>
    <w:rsid w:val="00902C22"/>
    <w:rsid w:val="009031C0"/>
    <w:rsid w:val="009055D9"/>
    <w:rsid w:val="0091162E"/>
    <w:rsid w:val="00911E04"/>
    <w:rsid w:val="00916163"/>
    <w:rsid w:val="00921F95"/>
    <w:rsid w:val="00922A21"/>
    <w:rsid w:val="00930316"/>
    <w:rsid w:val="0094275C"/>
    <w:rsid w:val="0094409D"/>
    <w:rsid w:val="009624F5"/>
    <w:rsid w:val="00973A16"/>
    <w:rsid w:val="00973EC1"/>
    <w:rsid w:val="00974789"/>
    <w:rsid w:val="00986E1E"/>
    <w:rsid w:val="009913D8"/>
    <w:rsid w:val="00995B04"/>
    <w:rsid w:val="0099615E"/>
    <w:rsid w:val="009A58E3"/>
    <w:rsid w:val="009A5D08"/>
    <w:rsid w:val="009A7231"/>
    <w:rsid w:val="009B2409"/>
    <w:rsid w:val="009B4066"/>
    <w:rsid w:val="009B4514"/>
    <w:rsid w:val="009B486B"/>
    <w:rsid w:val="009C1266"/>
    <w:rsid w:val="009D64E4"/>
    <w:rsid w:val="009E527F"/>
    <w:rsid w:val="009F40AB"/>
    <w:rsid w:val="009F76FB"/>
    <w:rsid w:val="009F79CB"/>
    <w:rsid w:val="00A01A33"/>
    <w:rsid w:val="00A0641C"/>
    <w:rsid w:val="00A178C0"/>
    <w:rsid w:val="00A22F65"/>
    <w:rsid w:val="00A26139"/>
    <w:rsid w:val="00A30ADD"/>
    <w:rsid w:val="00A37095"/>
    <w:rsid w:val="00A4311B"/>
    <w:rsid w:val="00A433D9"/>
    <w:rsid w:val="00A446E5"/>
    <w:rsid w:val="00A47141"/>
    <w:rsid w:val="00A509E4"/>
    <w:rsid w:val="00A560FA"/>
    <w:rsid w:val="00A60484"/>
    <w:rsid w:val="00A61C24"/>
    <w:rsid w:val="00A61DA5"/>
    <w:rsid w:val="00A61E43"/>
    <w:rsid w:val="00A6563E"/>
    <w:rsid w:val="00A660B5"/>
    <w:rsid w:val="00A66856"/>
    <w:rsid w:val="00A66F3D"/>
    <w:rsid w:val="00A73103"/>
    <w:rsid w:val="00A73820"/>
    <w:rsid w:val="00A762B1"/>
    <w:rsid w:val="00A765B2"/>
    <w:rsid w:val="00A76634"/>
    <w:rsid w:val="00A81648"/>
    <w:rsid w:val="00A82BDC"/>
    <w:rsid w:val="00A8331C"/>
    <w:rsid w:val="00A83F96"/>
    <w:rsid w:val="00A9006E"/>
    <w:rsid w:val="00A9379F"/>
    <w:rsid w:val="00A95B5B"/>
    <w:rsid w:val="00AA5C2C"/>
    <w:rsid w:val="00AB0C30"/>
    <w:rsid w:val="00AB5EBE"/>
    <w:rsid w:val="00AB604F"/>
    <w:rsid w:val="00AB72A6"/>
    <w:rsid w:val="00AC142D"/>
    <w:rsid w:val="00AC7C0D"/>
    <w:rsid w:val="00AD2B07"/>
    <w:rsid w:val="00AD49B7"/>
    <w:rsid w:val="00AF252C"/>
    <w:rsid w:val="00AF7BEB"/>
    <w:rsid w:val="00B00608"/>
    <w:rsid w:val="00B20F92"/>
    <w:rsid w:val="00B34E68"/>
    <w:rsid w:val="00B45028"/>
    <w:rsid w:val="00B4776C"/>
    <w:rsid w:val="00B47AE6"/>
    <w:rsid w:val="00B61B3E"/>
    <w:rsid w:val="00B63D30"/>
    <w:rsid w:val="00B67745"/>
    <w:rsid w:val="00B71611"/>
    <w:rsid w:val="00B74A1F"/>
    <w:rsid w:val="00B8015C"/>
    <w:rsid w:val="00B840D0"/>
    <w:rsid w:val="00B92DA9"/>
    <w:rsid w:val="00BA1C6E"/>
    <w:rsid w:val="00BA5EC4"/>
    <w:rsid w:val="00BA73CD"/>
    <w:rsid w:val="00BC0C25"/>
    <w:rsid w:val="00BC3086"/>
    <w:rsid w:val="00BC710E"/>
    <w:rsid w:val="00BE2991"/>
    <w:rsid w:val="00BE38F4"/>
    <w:rsid w:val="00BF1DDE"/>
    <w:rsid w:val="00BF2582"/>
    <w:rsid w:val="00BF4177"/>
    <w:rsid w:val="00BF4C8D"/>
    <w:rsid w:val="00C04AF5"/>
    <w:rsid w:val="00C1109D"/>
    <w:rsid w:val="00C119F0"/>
    <w:rsid w:val="00C14083"/>
    <w:rsid w:val="00C21F93"/>
    <w:rsid w:val="00C23DEB"/>
    <w:rsid w:val="00C24CCD"/>
    <w:rsid w:val="00C33158"/>
    <w:rsid w:val="00C4593F"/>
    <w:rsid w:val="00C459D9"/>
    <w:rsid w:val="00C47290"/>
    <w:rsid w:val="00C50534"/>
    <w:rsid w:val="00C55852"/>
    <w:rsid w:val="00C6201E"/>
    <w:rsid w:val="00C659AA"/>
    <w:rsid w:val="00C71F11"/>
    <w:rsid w:val="00C80444"/>
    <w:rsid w:val="00C84E51"/>
    <w:rsid w:val="00C90E80"/>
    <w:rsid w:val="00C968C2"/>
    <w:rsid w:val="00CA4CBC"/>
    <w:rsid w:val="00CA6435"/>
    <w:rsid w:val="00CB56D1"/>
    <w:rsid w:val="00CB60E1"/>
    <w:rsid w:val="00CC0AD3"/>
    <w:rsid w:val="00CC2DB9"/>
    <w:rsid w:val="00CC71B2"/>
    <w:rsid w:val="00CE0746"/>
    <w:rsid w:val="00CE2CE5"/>
    <w:rsid w:val="00CE79C3"/>
    <w:rsid w:val="00CE7A30"/>
    <w:rsid w:val="00CF0935"/>
    <w:rsid w:val="00CF1401"/>
    <w:rsid w:val="00CF4293"/>
    <w:rsid w:val="00CF543B"/>
    <w:rsid w:val="00CF66CA"/>
    <w:rsid w:val="00D0096D"/>
    <w:rsid w:val="00D06633"/>
    <w:rsid w:val="00D074DB"/>
    <w:rsid w:val="00D0795D"/>
    <w:rsid w:val="00D13EEA"/>
    <w:rsid w:val="00D172EB"/>
    <w:rsid w:val="00D2321D"/>
    <w:rsid w:val="00D30C2C"/>
    <w:rsid w:val="00D366EA"/>
    <w:rsid w:val="00D3688B"/>
    <w:rsid w:val="00D5025F"/>
    <w:rsid w:val="00D54B9E"/>
    <w:rsid w:val="00D56F91"/>
    <w:rsid w:val="00D60893"/>
    <w:rsid w:val="00D90A2F"/>
    <w:rsid w:val="00D933A2"/>
    <w:rsid w:val="00D9667B"/>
    <w:rsid w:val="00D967BB"/>
    <w:rsid w:val="00DA1B8D"/>
    <w:rsid w:val="00DA3262"/>
    <w:rsid w:val="00DA3E9A"/>
    <w:rsid w:val="00DA685F"/>
    <w:rsid w:val="00DC4139"/>
    <w:rsid w:val="00DE084A"/>
    <w:rsid w:val="00DF0BE8"/>
    <w:rsid w:val="00E0180B"/>
    <w:rsid w:val="00E0216D"/>
    <w:rsid w:val="00E20138"/>
    <w:rsid w:val="00E21774"/>
    <w:rsid w:val="00E22FCC"/>
    <w:rsid w:val="00E316E3"/>
    <w:rsid w:val="00E33D24"/>
    <w:rsid w:val="00E3430A"/>
    <w:rsid w:val="00E35F92"/>
    <w:rsid w:val="00E3666F"/>
    <w:rsid w:val="00E44B22"/>
    <w:rsid w:val="00E44BB1"/>
    <w:rsid w:val="00E56F47"/>
    <w:rsid w:val="00E64C56"/>
    <w:rsid w:val="00E72BDE"/>
    <w:rsid w:val="00E769DC"/>
    <w:rsid w:val="00E87BCB"/>
    <w:rsid w:val="00EA1DE2"/>
    <w:rsid w:val="00EA437D"/>
    <w:rsid w:val="00EA4A06"/>
    <w:rsid w:val="00EA541C"/>
    <w:rsid w:val="00EA58F3"/>
    <w:rsid w:val="00EA67A5"/>
    <w:rsid w:val="00EB1889"/>
    <w:rsid w:val="00EB465D"/>
    <w:rsid w:val="00EC5022"/>
    <w:rsid w:val="00ED345C"/>
    <w:rsid w:val="00EE29E7"/>
    <w:rsid w:val="00EE3875"/>
    <w:rsid w:val="00EF0311"/>
    <w:rsid w:val="00EF1095"/>
    <w:rsid w:val="00EF2417"/>
    <w:rsid w:val="00F001C0"/>
    <w:rsid w:val="00F04442"/>
    <w:rsid w:val="00F04806"/>
    <w:rsid w:val="00F23412"/>
    <w:rsid w:val="00F3485C"/>
    <w:rsid w:val="00F36802"/>
    <w:rsid w:val="00F4149E"/>
    <w:rsid w:val="00F420A4"/>
    <w:rsid w:val="00F421E8"/>
    <w:rsid w:val="00F55B08"/>
    <w:rsid w:val="00F55E4C"/>
    <w:rsid w:val="00F568B3"/>
    <w:rsid w:val="00F56DD5"/>
    <w:rsid w:val="00F657D2"/>
    <w:rsid w:val="00F71DC9"/>
    <w:rsid w:val="00F7724B"/>
    <w:rsid w:val="00F91196"/>
    <w:rsid w:val="00FA03AD"/>
    <w:rsid w:val="00FA1D02"/>
    <w:rsid w:val="00FA2FB5"/>
    <w:rsid w:val="00FB00B6"/>
    <w:rsid w:val="00FB38BE"/>
    <w:rsid w:val="00FB4DA0"/>
    <w:rsid w:val="00FB7AB9"/>
    <w:rsid w:val="00FC31F0"/>
    <w:rsid w:val="00FC5621"/>
    <w:rsid w:val="00FE08DA"/>
    <w:rsid w:val="00FE3D90"/>
    <w:rsid w:val="00FE7C21"/>
    <w:rsid w:val="00FF0EE1"/>
    <w:rsid w:val="00FF22A3"/>
    <w:rsid w:val="00FF30B8"/>
    <w:rsid w:val="00FF7A3C"/>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58D1C47B"/>
  <w15:chartTrackingRefBased/>
  <w15:docId w15:val="{B105B6A0-9176-41F6-97DF-5300F5F29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unhideWhenUsed="1"/>
    <w:lsdException w:name="Title" w:semiHidden="1" w:uiPriority="98" w:qFormat="1"/>
    <w:lsdException w:name="Closing" w:semiHidden="1" w:unhideWhenUsed="1"/>
    <w:lsdException w:name="Signature" w:semiHidden="1" w:unhideWhenUsed="1"/>
    <w:lsdException w:name="Default Paragraph Font" w:semiHidden="1" w:uiPriority="98"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9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semiHidden="1" w:uiPriority="98" w:qFormat="1"/>
    <w:lsdException w:name="Intense Quote" w:semiHidden="1" w:uiPriority="9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8" w:qFormat="1"/>
    <w:lsdException w:name="Intense Emphasis" w:semiHidden="1" w:uiPriority="98" w:qFormat="1"/>
    <w:lsdException w:name="Subtle Reference" w:semiHidden="1" w:uiPriority="98" w:qFormat="1"/>
    <w:lsdException w:name="Intense Reference" w:semiHidden="1" w:uiPriority="98" w:qFormat="1"/>
    <w:lsdException w:name="Book Title" w:semiHidden="1" w:uiPriority="98"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747"/>
    <w:pPr>
      <w:spacing w:after="160" w:line="259" w:lineRule="auto"/>
    </w:pPr>
    <w:rPr>
      <w:sz w:val="22"/>
      <w:szCs w:val="22"/>
      <w:lang w:eastAsia="en-US"/>
    </w:rPr>
  </w:style>
  <w:style w:type="paragraph" w:styleId="Heading1">
    <w:name w:val="heading 1"/>
    <w:basedOn w:val="Normal"/>
    <w:next w:val="Normal"/>
    <w:link w:val="Heading1Char"/>
    <w:uiPriority w:val="9"/>
    <w:qFormat/>
    <w:rsid w:val="00062049"/>
    <w:pPr>
      <w:jc w:val="center"/>
      <w:outlineLvl w:val="0"/>
    </w:pPr>
    <w:rPr>
      <w:rFonts w:ascii="Arial" w:hAnsi="Arial" w:cs="Arial"/>
      <w:sz w:val="48"/>
      <w:szCs w:val="48"/>
    </w:rPr>
  </w:style>
  <w:style w:type="paragraph" w:styleId="Heading2">
    <w:name w:val="heading 2"/>
    <w:basedOn w:val="Normal"/>
    <w:next w:val="Normal"/>
    <w:link w:val="Heading2Char"/>
    <w:uiPriority w:val="9"/>
    <w:unhideWhenUsed/>
    <w:qFormat/>
    <w:rsid w:val="00902C22"/>
    <w:pPr>
      <w:keepNext/>
      <w:keepLines/>
      <w:pageBreakBefore/>
      <w:spacing w:after="400" w:line="240" w:lineRule="auto"/>
      <w:outlineLvl w:val="1"/>
    </w:pPr>
    <w:rPr>
      <w:rFonts w:ascii="Arial" w:eastAsia="Times New Roman" w:hAnsi="Arial"/>
      <w:bCs/>
      <w:iCs/>
      <w:sz w:val="44"/>
      <w:szCs w:val="28"/>
    </w:rPr>
  </w:style>
  <w:style w:type="paragraph" w:styleId="Heading3">
    <w:name w:val="heading 3"/>
    <w:basedOn w:val="Normal"/>
    <w:next w:val="Normal"/>
    <w:link w:val="Heading3Char"/>
    <w:uiPriority w:val="9"/>
    <w:unhideWhenUsed/>
    <w:qFormat/>
    <w:rsid w:val="00201270"/>
    <w:pPr>
      <w:keepNext/>
      <w:keepLines/>
      <w:spacing w:before="300" w:after="120" w:line="240" w:lineRule="auto"/>
      <w:outlineLvl w:val="2"/>
    </w:pPr>
    <w:rPr>
      <w:rFonts w:ascii="Arial" w:eastAsia="Times New Roman" w:hAnsi="Arial"/>
      <w:b/>
      <w:bCs/>
      <w:sz w:val="28"/>
      <w:szCs w:val="28"/>
    </w:rPr>
  </w:style>
  <w:style w:type="paragraph" w:styleId="Heading4">
    <w:name w:val="heading 4"/>
    <w:basedOn w:val="Normal"/>
    <w:next w:val="Normal"/>
    <w:link w:val="Heading4Char"/>
    <w:uiPriority w:val="9"/>
    <w:unhideWhenUsed/>
    <w:qFormat/>
    <w:rsid w:val="00040AF8"/>
    <w:pPr>
      <w:keepNext/>
      <w:keepLines/>
      <w:spacing w:before="300" w:after="120" w:line="240" w:lineRule="auto"/>
      <w:outlineLvl w:val="3"/>
    </w:pPr>
    <w:rPr>
      <w:rFonts w:ascii="Arial Bold" w:eastAsia="Times New Roman" w:hAnsi="Arial Bold"/>
      <w:b/>
      <w:bCs/>
      <w:sz w:val="30"/>
      <w:szCs w:val="30"/>
    </w:rPr>
  </w:style>
  <w:style w:type="paragraph" w:styleId="Heading5">
    <w:name w:val="heading 5"/>
    <w:basedOn w:val="Normal"/>
    <w:next w:val="Normal"/>
    <w:link w:val="Heading5Char"/>
    <w:uiPriority w:val="9"/>
    <w:unhideWhenUsed/>
    <w:qFormat/>
    <w:rsid w:val="00535227"/>
    <w:pPr>
      <w:keepNext/>
      <w:keepLines/>
      <w:spacing w:before="300" w:after="120" w:line="240" w:lineRule="auto"/>
      <w:outlineLvl w:val="4"/>
    </w:pPr>
    <w:rPr>
      <w:rFonts w:ascii="Arial Bold" w:eastAsia="Times New Roman" w:hAnsi="Arial Bold"/>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62049"/>
    <w:rPr>
      <w:rFonts w:ascii="Arial" w:hAnsi="Arial" w:cs="Arial"/>
      <w:sz w:val="48"/>
      <w:szCs w:val="48"/>
      <w:lang w:eastAsia="en-US"/>
    </w:rPr>
  </w:style>
  <w:style w:type="paragraph" w:customStyle="1" w:styleId="TableText">
    <w:name w:val="Table Text"/>
    <w:basedOn w:val="Normal"/>
    <w:uiPriority w:val="11"/>
    <w:qFormat/>
    <w:rsid w:val="00A178C0"/>
    <w:pPr>
      <w:spacing w:before="80" w:after="60" w:line="240" w:lineRule="auto"/>
    </w:pPr>
    <w:rPr>
      <w:rFonts w:ascii="Arial" w:hAnsi="Arial"/>
      <w:sz w:val="18"/>
    </w:rPr>
  </w:style>
  <w:style w:type="character" w:customStyle="1" w:styleId="Heading2Char">
    <w:name w:val="Heading 2 Char"/>
    <w:link w:val="Heading2"/>
    <w:uiPriority w:val="9"/>
    <w:rsid w:val="00902C22"/>
    <w:rPr>
      <w:rFonts w:ascii="Arial" w:eastAsia="Times New Roman" w:hAnsi="Arial"/>
      <w:bCs/>
      <w:iCs/>
      <w:sz w:val="44"/>
      <w:szCs w:val="28"/>
      <w:lang w:eastAsia="en-US"/>
    </w:rPr>
  </w:style>
  <w:style w:type="character" w:customStyle="1" w:styleId="Heading3Char">
    <w:name w:val="Heading 3 Char"/>
    <w:link w:val="Heading3"/>
    <w:uiPriority w:val="9"/>
    <w:rsid w:val="00201270"/>
    <w:rPr>
      <w:rFonts w:ascii="Arial" w:eastAsia="Times New Roman" w:hAnsi="Arial"/>
      <w:b/>
      <w:bCs/>
      <w:sz w:val="28"/>
      <w:szCs w:val="28"/>
      <w:lang w:eastAsia="en-US"/>
    </w:rPr>
  </w:style>
  <w:style w:type="paragraph" w:styleId="TOC1">
    <w:name w:val="toc 1"/>
    <w:basedOn w:val="Normal"/>
    <w:next w:val="Normal"/>
    <w:autoRedefine/>
    <w:uiPriority w:val="39"/>
    <w:unhideWhenUsed/>
    <w:rsid w:val="004851FB"/>
    <w:pPr>
      <w:tabs>
        <w:tab w:val="right" w:pos="9072"/>
      </w:tabs>
      <w:spacing w:before="200" w:after="80"/>
    </w:pPr>
    <w:rPr>
      <w:rFonts w:ascii="Arial" w:hAnsi="Arial"/>
      <w:b/>
      <w:sz w:val="20"/>
    </w:rPr>
  </w:style>
  <w:style w:type="paragraph" w:styleId="TOC2">
    <w:name w:val="toc 2"/>
    <w:basedOn w:val="Normal"/>
    <w:next w:val="Normal"/>
    <w:autoRedefine/>
    <w:uiPriority w:val="39"/>
    <w:unhideWhenUsed/>
    <w:rsid w:val="004B59DF"/>
    <w:pPr>
      <w:tabs>
        <w:tab w:val="right" w:leader="dot" w:pos="9072"/>
      </w:tabs>
      <w:spacing w:before="120" w:after="120" w:line="240" w:lineRule="auto"/>
    </w:pPr>
    <w:rPr>
      <w:rFonts w:ascii="Arial" w:hAnsi="Arial"/>
      <w:noProof/>
      <w:sz w:val="20"/>
    </w:rPr>
  </w:style>
  <w:style w:type="paragraph" w:styleId="TOC3">
    <w:name w:val="toc 3"/>
    <w:basedOn w:val="Normal"/>
    <w:next w:val="Normal"/>
    <w:autoRedefine/>
    <w:uiPriority w:val="39"/>
    <w:unhideWhenUsed/>
    <w:rsid w:val="00C90E80"/>
    <w:pPr>
      <w:ind w:left="440"/>
    </w:pPr>
  </w:style>
  <w:style w:type="character" w:styleId="Hyperlink">
    <w:name w:val="Hyperlink"/>
    <w:uiPriority w:val="99"/>
    <w:unhideWhenUsed/>
    <w:rsid w:val="00C90E80"/>
    <w:rPr>
      <w:color w:val="0563C1"/>
      <w:u w:val="single"/>
    </w:rPr>
  </w:style>
  <w:style w:type="paragraph" w:styleId="BodyText">
    <w:name w:val="Body Text"/>
    <w:link w:val="BodyTextChar"/>
    <w:rsid w:val="00AC142D"/>
    <w:pPr>
      <w:spacing w:after="160" w:line="312" w:lineRule="auto"/>
    </w:pPr>
    <w:rPr>
      <w:rFonts w:ascii="Arial" w:eastAsia="Times New Roman" w:hAnsi="Arial" w:cs="Arial"/>
      <w:szCs w:val="24"/>
      <w:lang w:eastAsia="en-US"/>
    </w:rPr>
  </w:style>
  <w:style w:type="character" w:customStyle="1" w:styleId="BodyTextChar">
    <w:name w:val="Body Text Char"/>
    <w:link w:val="BodyText"/>
    <w:rsid w:val="00AC142D"/>
    <w:rPr>
      <w:rFonts w:ascii="Arial" w:eastAsia="Times New Roman" w:hAnsi="Arial" w:cs="Arial"/>
      <w:szCs w:val="24"/>
      <w:lang w:eastAsia="en-US"/>
    </w:rPr>
  </w:style>
  <w:style w:type="paragraph" w:customStyle="1" w:styleId="TableColHead">
    <w:name w:val="Table Col Head"/>
    <w:basedOn w:val="Normal"/>
    <w:uiPriority w:val="11"/>
    <w:qFormat/>
    <w:rsid w:val="00A178C0"/>
    <w:pPr>
      <w:spacing w:before="80" w:after="60" w:line="240" w:lineRule="auto"/>
    </w:pPr>
    <w:rPr>
      <w:rFonts w:ascii="Arial" w:hAnsi="Arial" w:cs="Arial"/>
      <w:b/>
      <w:color w:val="FFFFFF"/>
      <w:w w:val="110"/>
      <w:sz w:val="18"/>
      <w:szCs w:val="18"/>
    </w:rPr>
  </w:style>
  <w:style w:type="paragraph" w:customStyle="1" w:styleId="TableTextRight">
    <w:name w:val="Table Text Right"/>
    <w:basedOn w:val="TableText"/>
    <w:qFormat/>
    <w:rsid w:val="008C1BE0"/>
    <w:pPr>
      <w:jc w:val="right"/>
    </w:pPr>
  </w:style>
  <w:style w:type="table" w:styleId="TableGrid">
    <w:name w:val="Table Grid"/>
    <w:basedOn w:val="TableNormal"/>
    <w:uiPriority w:val="39"/>
    <w:rsid w:val="00CE2CE5"/>
    <w:tblPr>
      <w:tblInd w:w="108" w:type="dxa"/>
      <w:tblBorders>
        <w:top w:val="single" w:sz="4" w:space="0" w:color="0072CE"/>
        <w:left w:val="single" w:sz="4" w:space="0" w:color="0072CE"/>
        <w:bottom w:val="single" w:sz="4" w:space="0" w:color="0072CE"/>
        <w:right w:val="single" w:sz="4" w:space="0" w:color="0072CE"/>
        <w:insideH w:val="single" w:sz="4" w:space="0" w:color="0072CE"/>
        <w:insideV w:val="single" w:sz="4" w:space="0" w:color="0072CE"/>
      </w:tblBorders>
    </w:tblPr>
    <w:tcPr>
      <w:shd w:val="clear" w:color="auto" w:fill="E5F6FC"/>
    </w:tcPr>
    <w:tblStylePr w:type="firstRow">
      <w:tblPr/>
      <w:tcPr>
        <w:tcBorders>
          <w:insideV w:val="single" w:sz="4" w:space="0" w:color="FFFFFF"/>
        </w:tcBorders>
        <w:shd w:val="clear" w:color="auto" w:fill="0072CE"/>
        <w:vAlign w:val="bottom"/>
      </w:tcPr>
    </w:tblStylePr>
  </w:style>
  <w:style w:type="paragraph" w:styleId="Header">
    <w:name w:val="header"/>
    <w:basedOn w:val="Normal"/>
    <w:link w:val="HeaderChar"/>
    <w:uiPriority w:val="99"/>
    <w:unhideWhenUsed/>
    <w:rsid w:val="00C71F11"/>
    <w:pPr>
      <w:tabs>
        <w:tab w:val="center" w:pos="4513"/>
        <w:tab w:val="right" w:pos="9026"/>
      </w:tabs>
    </w:pPr>
  </w:style>
  <w:style w:type="character" w:customStyle="1" w:styleId="HeaderChar">
    <w:name w:val="Header Char"/>
    <w:link w:val="Header"/>
    <w:uiPriority w:val="99"/>
    <w:rsid w:val="00C71F11"/>
    <w:rPr>
      <w:sz w:val="22"/>
      <w:szCs w:val="22"/>
      <w:lang w:eastAsia="en-US"/>
    </w:rPr>
  </w:style>
  <w:style w:type="paragraph" w:styleId="Footer">
    <w:name w:val="footer"/>
    <w:basedOn w:val="Normal"/>
    <w:link w:val="FooterChar"/>
    <w:uiPriority w:val="99"/>
    <w:unhideWhenUsed/>
    <w:rsid w:val="00783BEE"/>
    <w:pPr>
      <w:tabs>
        <w:tab w:val="right" w:pos="9072"/>
      </w:tabs>
      <w:spacing w:after="0" w:line="240" w:lineRule="auto"/>
    </w:pPr>
    <w:rPr>
      <w:rFonts w:ascii="Arial" w:hAnsi="Arial"/>
      <w:sz w:val="18"/>
    </w:rPr>
  </w:style>
  <w:style w:type="character" w:customStyle="1" w:styleId="FooterChar">
    <w:name w:val="Footer Char"/>
    <w:link w:val="Footer"/>
    <w:uiPriority w:val="99"/>
    <w:rsid w:val="00783BEE"/>
    <w:rPr>
      <w:rFonts w:ascii="Arial" w:hAnsi="Arial"/>
      <w:sz w:val="18"/>
      <w:szCs w:val="22"/>
      <w:lang w:eastAsia="en-US"/>
    </w:rPr>
  </w:style>
  <w:style w:type="paragraph" w:styleId="Caption">
    <w:name w:val="caption"/>
    <w:basedOn w:val="Normal"/>
    <w:next w:val="Normal"/>
    <w:uiPriority w:val="35"/>
    <w:unhideWhenUsed/>
    <w:qFormat/>
    <w:rsid w:val="001E5B35"/>
    <w:pPr>
      <w:spacing w:before="300" w:after="120" w:line="240" w:lineRule="auto"/>
    </w:pPr>
    <w:rPr>
      <w:rFonts w:ascii="Arial" w:hAnsi="Arial" w:cs="Arial"/>
      <w:b/>
      <w:bCs/>
      <w:sz w:val="20"/>
      <w:szCs w:val="20"/>
    </w:rPr>
  </w:style>
  <w:style w:type="paragraph" w:styleId="TOC4">
    <w:name w:val="toc 4"/>
    <w:basedOn w:val="Normal"/>
    <w:next w:val="Normal"/>
    <w:autoRedefine/>
    <w:uiPriority w:val="39"/>
    <w:semiHidden/>
    <w:rsid w:val="004F0321"/>
    <w:pPr>
      <w:spacing w:after="100"/>
      <w:ind w:left="660"/>
    </w:pPr>
    <w:rPr>
      <w:rFonts w:eastAsia="Times New Roman"/>
      <w:lang w:eastAsia="en-AU"/>
    </w:rPr>
  </w:style>
  <w:style w:type="paragraph" w:styleId="TOC5">
    <w:name w:val="toc 5"/>
    <w:basedOn w:val="Normal"/>
    <w:next w:val="Normal"/>
    <w:autoRedefine/>
    <w:uiPriority w:val="39"/>
    <w:semiHidden/>
    <w:rsid w:val="004F0321"/>
    <w:pPr>
      <w:spacing w:after="100"/>
      <w:ind w:left="880"/>
    </w:pPr>
    <w:rPr>
      <w:rFonts w:eastAsia="Times New Roman"/>
      <w:lang w:eastAsia="en-AU"/>
    </w:rPr>
  </w:style>
  <w:style w:type="paragraph" w:styleId="TOC6">
    <w:name w:val="toc 6"/>
    <w:basedOn w:val="Normal"/>
    <w:next w:val="Normal"/>
    <w:autoRedefine/>
    <w:uiPriority w:val="39"/>
    <w:semiHidden/>
    <w:rsid w:val="004F0321"/>
    <w:pPr>
      <w:spacing w:after="100"/>
      <w:ind w:left="1100"/>
    </w:pPr>
    <w:rPr>
      <w:rFonts w:eastAsia="Times New Roman"/>
      <w:lang w:eastAsia="en-AU"/>
    </w:rPr>
  </w:style>
  <w:style w:type="paragraph" w:styleId="TOC7">
    <w:name w:val="toc 7"/>
    <w:basedOn w:val="Normal"/>
    <w:next w:val="Normal"/>
    <w:autoRedefine/>
    <w:uiPriority w:val="39"/>
    <w:semiHidden/>
    <w:rsid w:val="004F0321"/>
    <w:pPr>
      <w:spacing w:after="100"/>
      <w:ind w:left="1320"/>
    </w:pPr>
    <w:rPr>
      <w:rFonts w:eastAsia="Times New Roman"/>
      <w:lang w:eastAsia="en-AU"/>
    </w:rPr>
  </w:style>
  <w:style w:type="paragraph" w:styleId="TOC8">
    <w:name w:val="toc 8"/>
    <w:basedOn w:val="Normal"/>
    <w:next w:val="Normal"/>
    <w:autoRedefine/>
    <w:uiPriority w:val="39"/>
    <w:semiHidden/>
    <w:rsid w:val="004F0321"/>
    <w:pPr>
      <w:spacing w:after="100"/>
      <w:ind w:left="1540"/>
    </w:pPr>
    <w:rPr>
      <w:rFonts w:eastAsia="Times New Roman"/>
      <w:lang w:eastAsia="en-AU"/>
    </w:rPr>
  </w:style>
  <w:style w:type="paragraph" w:styleId="TOC9">
    <w:name w:val="toc 9"/>
    <w:basedOn w:val="Normal"/>
    <w:next w:val="Normal"/>
    <w:autoRedefine/>
    <w:uiPriority w:val="39"/>
    <w:semiHidden/>
    <w:rsid w:val="004F0321"/>
    <w:pPr>
      <w:spacing w:after="100"/>
      <w:ind w:left="1760"/>
    </w:pPr>
    <w:rPr>
      <w:rFonts w:eastAsia="Times New Roman"/>
      <w:lang w:eastAsia="en-AU"/>
    </w:rPr>
  </w:style>
  <w:style w:type="paragraph" w:styleId="NoSpacing">
    <w:name w:val="No Spacing"/>
    <w:uiPriority w:val="98"/>
    <w:semiHidden/>
    <w:qFormat/>
    <w:rsid w:val="004F0321"/>
    <w:rPr>
      <w:sz w:val="22"/>
      <w:szCs w:val="22"/>
      <w:lang w:eastAsia="en-US"/>
    </w:rPr>
  </w:style>
  <w:style w:type="paragraph" w:styleId="NormalWeb">
    <w:name w:val="Normal (Web)"/>
    <w:basedOn w:val="Normal"/>
    <w:uiPriority w:val="99"/>
    <w:semiHidden/>
    <w:rsid w:val="00B74A1F"/>
    <w:rPr>
      <w:rFonts w:ascii="Times New Roman" w:hAnsi="Times New Roman"/>
      <w:sz w:val="24"/>
      <w:szCs w:val="24"/>
    </w:rPr>
  </w:style>
  <w:style w:type="paragraph" w:styleId="ListParagraph">
    <w:name w:val="List Paragraph"/>
    <w:basedOn w:val="Normal"/>
    <w:uiPriority w:val="99"/>
    <w:semiHidden/>
    <w:qFormat/>
    <w:rsid w:val="00A26139"/>
    <w:pPr>
      <w:spacing w:after="200" w:line="276" w:lineRule="auto"/>
      <w:ind w:left="720"/>
      <w:contextualSpacing/>
    </w:pPr>
  </w:style>
  <w:style w:type="paragraph" w:customStyle="1" w:styleId="TableColHeadRight">
    <w:name w:val="Table Col Head Right"/>
    <w:basedOn w:val="TableColHead"/>
    <w:qFormat/>
    <w:rsid w:val="008C1BE0"/>
    <w:pPr>
      <w:jc w:val="right"/>
    </w:pPr>
  </w:style>
  <w:style w:type="paragraph" w:customStyle="1" w:styleId="TableTextBold">
    <w:name w:val="Table Text Bold"/>
    <w:basedOn w:val="TableText"/>
    <w:qFormat/>
    <w:rsid w:val="00CE2CE5"/>
    <w:rPr>
      <w:b/>
    </w:rPr>
  </w:style>
  <w:style w:type="paragraph" w:customStyle="1" w:styleId="TableTextBoldRight">
    <w:name w:val="Table Text Bold Right"/>
    <w:basedOn w:val="TableTextRight"/>
    <w:qFormat/>
    <w:rsid w:val="00621D83"/>
    <w:rPr>
      <w:b/>
    </w:rPr>
  </w:style>
  <w:style w:type="numbering" w:customStyle="1" w:styleId="CAVListStyleBullets">
    <w:name w:val="CAV List Style: Bullets"/>
    <w:uiPriority w:val="99"/>
    <w:rsid w:val="00C659AA"/>
    <w:pPr>
      <w:numPr>
        <w:numId w:val="7"/>
      </w:numPr>
    </w:pPr>
  </w:style>
  <w:style w:type="paragraph" w:styleId="BlockText">
    <w:name w:val="Block Text"/>
    <w:basedOn w:val="Normal"/>
    <w:semiHidden/>
    <w:rsid w:val="00C04AF5"/>
    <w:pPr>
      <w:spacing w:before="240" w:after="120" w:line="240" w:lineRule="auto"/>
      <w:ind w:left="1440" w:right="1440"/>
    </w:pPr>
    <w:rPr>
      <w:rFonts w:ascii="Arial" w:hAnsi="Arial" w:cs="Arial"/>
      <w:color w:val="FF0000"/>
      <w:u w:val="single"/>
      <w:lang w:eastAsia="en-AU"/>
    </w:rPr>
  </w:style>
  <w:style w:type="paragraph" w:customStyle="1" w:styleId="FooterLandscape">
    <w:name w:val="Footer Landscape"/>
    <w:basedOn w:val="Footer"/>
    <w:qFormat/>
    <w:rsid w:val="009F76FB"/>
    <w:pPr>
      <w:tabs>
        <w:tab w:val="clear" w:pos="9072"/>
        <w:tab w:val="right" w:pos="15706"/>
      </w:tabs>
    </w:pPr>
  </w:style>
  <w:style w:type="paragraph" w:styleId="FootnoteText">
    <w:name w:val="footnote text"/>
    <w:basedOn w:val="Normal"/>
    <w:link w:val="FootnoteTextChar"/>
    <w:uiPriority w:val="99"/>
    <w:rsid w:val="00F91196"/>
    <w:pPr>
      <w:spacing w:before="60" w:after="60" w:line="264" w:lineRule="auto"/>
      <w:ind w:left="340" w:hanging="340"/>
    </w:pPr>
    <w:rPr>
      <w:rFonts w:ascii="Arial" w:hAnsi="Arial" w:cs="Arial"/>
      <w:sz w:val="16"/>
      <w:szCs w:val="16"/>
    </w:rPr>
  </w:style>
  <w:style w:type="character" w:styleId="Emphasis">
    <w:name w:val="Emphasis"/>
    <w:uiPriority w:val="3"/>
    <w:qFormat/>
    <w:rsid w:val="00422C46"/>
    <w:rPr>
      <w:i/>
      <w:iCs/>
    </w:rPr>
  </w:style>
  <w:style w:type="character" w:styleId="Strong">
    <w:name w:val="Strong"/>
    <w:uiPriority w:val="22"/>
    <w:qFormat/>
    <w:rsid w:val="008A5248"/>
    <w:rPr>
      <w:b/>
      <w:bCs/>
    </w:rPr>
  </w:style>
  <w:style w:type="character" w:styleId="CommentReference">
    <w:name w:val="annotation reference"/>
    <w:uiPriority w:val="99"/>
    <w:semiHidden/>
    <w:unhideWhenUsed/>
    <w:rsid w:val="00E44B22"/>
    <w:rPr>
      <w:sz w:val="16"/>
      <w:szCs w:val="16"/>
    </w:rPr>
  </w:style>
  <w:style w:type="paragraph" w:styleId="CommentText">
    <w:name w:val="annotation text"/>
    <w:basedOn w:val="Normal"/>
    <w:link w:val="CommentTextChar"/>
    <w:uiPriority w:val="99"/>
    <w:semiHidden/>
    <w:unhideWhenUsed/>
    <w:rsid w:val="00E44B22"/>
    <w:rPr>
      <w:sz w:val="20"/>
      <w:szCs w:val="20"/>
    </w:rPr>
  </w:style>
  <w:style w:type="character" w:customStyle="1" w:styleId="CommentTextChar">
    <w:name w:val="Comment Text Char"/>
    <w:link w:val="CommentText"/>
    <w:uiPriority w:val="99"/>
    <w:semiHidden/>
    <w:rsid w:val="00E44B22"/>
    <w:rPr>
      <w:lang w:eastAsia="en-US"/>
    </w:rPr>
  </w:style>
  <w:style w:type="paragraph" w:styleId="CommentSubject">
    <w:name w:val="annotation subject"/>
    <w:basedOn w:val="CommentText"/>
    <w:next w:val="CommentText"/>
    <w:link w:val="CommentSubjectChar"/>
    <w:uiPriority w:val="99"/>
    <w:semiHidden/>
    <w:unhideWhenUsed/>
    <w:rsid w:val="00E44B22"/>
    <w:rPr>
      <w:b/>
      <w:bCs/>
    </w:rPr>
  </w:style>
  <w:style w:type="character" w:customStyle="1" w:styleId="CommentSubjectChar">
    <w:name w:val="Comment Subject Char"/>
    <w:link w:val="CommentSubject"/>
    <w:uiPriority w:val="99"/>
    <w:semiHidden/>
    <w:rsid w:val="00E44B22"/>
    <w:rPr>
      <w:b/>
      <w:bCs/>
      <w:lang w:eastAsia="en-US"/>
    </w:rPr>
  </w:style>
  <w:style w:type="paragraph" w:styleId="BalloonText">
    <w:name w:val="Balloon Text"/>
    <w:basedOn w:val="Normal"/>
    <w:link w:val="BalloonTextChar"/>
    <w:uiPriority w:val="99"/>
    <w:semiHidden/>
    <w:unhideWhenUsed/>
    <w:rsid w:val="00E44B2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44B22"/>
    <w:rPr>
      <w:rFonts w:ascii="Segoe UI" w:hAnsi="Segoe UI" w:cs="Segoe UI"/>
      <w:sz w:val="18"/>
      <w:szCs w:val="18"/>
      <w:lang w:eastAsia="en-US"/>
    </w:rPr>
  </w:style>
  <w:style w:type="character" w:customStyle="1" w:styleId="Heading4Char">
    <w:name w:val="Heading 4 Char"/>
    <w:link w:val="Heading4"/>
    <w:uiPriority w:val="9"/>
    <w:rsid w:val="00040AF8"/>
    <w:rPr>
      <w:rFonts w:ascii="Arial Bold" w:eastAsia="Times New Roman" w:hAnsi="Arial Bold"/>
      <w:b/>
      <w:bCs/>
      <w:sz w:val="30"/>
      <w:szCs w:val="30"/>
      <w:lang w:eastAsia="en-US"/>
    </w:rPr>
  </w:style>
  <w:style w:type="paragraph" w:styleId="Revision">
    <w:name w:val="Revision"/>
    <w:hidden/>
    <w:uiPriority w:val="99"/>
    <w:semiHidden/>
    <w:rsid w:val="00A73820"/>
    <w:rPr>
      <w:sz w:val="22"/>
      <w:szCs w:val="22"/>
      <w:lang w:eastAsia="en-US"/>
    </w:rPr>
  </w:style>
  <w:style w:type="character" w:customStyle="1" w:styleId="FootnoteTextChar">
    <w:name w:val="Footnote Text Char"/>
    <w:link w:val="FootnoteText"/>
    <w:uiPriority w:val="99"/>
    <w:rsid w:val="00F91196"/>
    <w:rPr>
      <w:rFonts w:ascii="Arial" w:hAnsi="Arial" w:cs="Arial"/>
      <w:sz w:val="16"/>
      <w:szCs w:val="16"/>
      <w:lang w:eastAsia="en-US"/>
    </w:rPr>
  </w:style>
  <w:style w:type="character" w:styleId="FootnoteReference">
    <w:name w:val="footnote reference"/>
    <w:uiPriority w:val="99"/>
    <w:rsid w:val="003D521F"/>
    <w:rPr>
      <w:vertAlign w:val="superscript"/>
    </w:rPr>
  </w:style>
  <w:style w:type="paragraph" w:customStyle="1" w:styleId="TableFootnote">
    <w:name w:val="Table Footnote"/>
    <w:basedOn w:val="TableText"/>
    <w:qFormat/>
    <w:rsid w:val="00973A16"/>
    <w:rPr>
      <w:sz w:val="16"/>
      <w:szCs w:val="16"/>
      <w:lang w:eastAsia="en-AU"/>
    </w:rPr>
  </w:style>
  <w:style w:type="paragraph" w:customStyle="1" w:styleId="BodyTextSmallSpace">
    <w:name w:val="Body Text Small Space"/>
    <w:basedOn w:val="BodyText"/>
    <w:qFormat/>
    <w:rsid w:val="005003AA"/>
    <w:pPr>
      <w:spacing w:after="0"/>
    </w:pPr>
  </w:style>
  <w:style w:type="paragraph" w:styleId="TableofFigures">
    <w:name w:val="table of figures"/>
    <w:basedOn w:val="Normal"/>
    <w:next w:val="Normal"/>
    <w:uiPriority w:val="99"/>
    <w:semiHidden/>
    <w:unhideWhenUsed/>
    <w:rsid w:val="00624207"/>
  </w:style>
  <w:style w:type="character" w:styleId="FollowedHyperlink">
    <w:name w:val="FollowedHyperlink"/>
    <w:uiPriority w:val="99"/>
    <w:semiHidden/>
    <w:unhideWhenUsed/>
    <w:rsid w:val="004F061C"/>
    <w:rPr>
      <w:color w:val="954F72"/>
      <w:u w:val="single"/>
    </w:rPr>
  </w:style>
  <w:style w:type="paragraph" w:customStyle="1" w:styleId="BodyTextSmallSpaceItalic">
    <w:name w:val="Body Text Small Space Italic"/>
    <w:basedOn w:val="BodyTextSmallSpace"/>
    <w:qFormat/>
    <w:rsid w:val="00EA58F3"/>
    <w:rPr>
      <w:i/>
    </w:rPr>
  </w:style>
  <w:style w:type="paragraph" w:styleId="ListBullet">
    <w:name w:val="List Bullet"/>
    <w:basedOn w:val="Normal"/>
    <w:uiPriority w:val="99"/>
    <w:rsid w:val="00631074"/>
    <w:pPr>
      <w:numPr>
        <w:numId w:val="28"/>
      </w:numPr>
      <w:spacing w:line="312" w:lineRule="auto"/>
      <w:ind w:left="357" w:hanging="357"/>
      <w:contextualSpacing/>
    </w:pPr>
    <w:rPr>
      <w:rFonts w:ascii="Arial" w:hAnsi="Arial"/>
      <w:sz w:val="20"/>
    </w:rPr>
  </w:style>
  <w:style w:type="character" w:customStyle="1" w:styleId="Heading5Char">
    <w:name w:val="Heading 5 Char"/>
    <w:link w:val="Heading5"/>
    <w:uiPriority w:val="9"/>
    <w:rsid w:val="00535227"/>
    <w:rPr>
      <w:rFonts w:ascii="Arial Bold" w:eastAsia="Times New Roman" w:hAnsi="Arial Bold" w:cs="Times New Roman"/>
      <w:b/>
      <w:bCs/>
      <w:iCs/>
      <w:sz w:val="22"/>
      <w:szCs w:val="26"/>
      <w:lang w:eastAsia="en-US"/>
    </w:rPr>
  </w:style>
  <w:style w:type="character" w:customStyle="1" w:styleId="Heading3largerchar">
    <w:name w:val="Heading 3 larger char"/>
    <w:uiPriority w:val="1"/>
    <w:qFormat/>
    <w:rsid w:val="008A134C"/>
    <w:rPr>
      <w:b/>
      <w:sz w:val="36"/>
    </w:rPr>
  </w:style>
  <w:style w:type="paragraph" w:styleId="ListNumber">
    <w:name w:val="List Number"/>
    <w:basedOn w:val="Normal"/>
    <w:uiPriority w:val="99"/>
    <w:rsid w:val="00896A7C"/>
    <w:pPr>
      <w:numPr>
        <w:numId w:val="30"/>
      </w:numPr>
      <w:spacing w:line="312" w:lineRule="auto"/>
      <w:ind w:left="357" w:hanging="357"/>
      <w:contextualSpacing/>
    </w:pPr>
    <w:rPr>
      <w:rFonts w:ascii="Arial" w:hAnsi="Arial"/>
      <w:sz w:val="20"/>
    </w:rPr>
  </w:style>
  <w:style w:type="paragraph" w:customStyle="1" w:styleId="TOCHeading1">
    <w:name w:val="TOC Heading1"/>
    <w:basedOn w:val="Heading2"/>
    <w:qFormat/>
    <w:rsid w:val="00FF30B8"/>
  </w:style>
  <w:style w:type="paragraph" w:customStyle="1" w:styleId="PhotoCaption">
    <w:name w:val="Photo Caption"/>
    <w:qFormat/>
    <w:rsid w:val="008661E1"/>
    <w:pPr>
      <w:spacing w:before="80" w:after="300"/>
    </w:pPr>
    <w:rPr>
      <w:rFonts w:ascii="Arial" w:hAnsi="Arial" w:cs="Arial"/>
      <w:b/>
      <w:bCs/>
      <w:sz w:val="18"/>
      <w:lang w:eastAsia="en-US"/>
    </w:rPr>
  </w:style>
  <w:style w:type="paragraph" w:styleId="EndnoteText">
    <w:name w:val="endnote text"/>
    <w:basedOn w:val="Normal"/>
    <w:link w:val="EndnoteTextChar"/>
    <w:uiPriority w:val="99"/>
    <w:semiHidden/>
    <w:unhideWhenUsed/>
    <w:rsid w:val="00AF7BEB"/>
    <w:rPr>
      <w:sz w:val="20"/>
      <w:szCs w:val="20"/>
    </w:rPr>
  </w:style>
  <w:style w:type="character" w:customStyle="1" w:styleId="EndnoteTextChar">
    <w:name w:val="Endnote Text Char"/>
    <w:link w:val="EndnoteText"/>
    <w:uiPriority w:val="99"/>
    <w:semiHidden/>
    <w:rsid w:val="00AF7BEB"/>
    <w:rPr>
      <w:lang w:eastAsia="en-US"/>
    </w:rPr>
  </w:style>
  <w:style w:type="character" w:styleId="EndnoteReference">
    <w:name w:val="endnote reference"/>
    <w:uiPriority w:val="99"/>
    <w:semiHidden/>
    <w:unhideWhenUsed/>
    <w:rsid w:val="00AF7B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09724">
      <w:bodyDiv w:val="1"/>
      <w:marLeft w:val="0"/>
      <w:marRight w:val="0"/>
      <w:marTop w:val="0"/>
      <w:marBottom w:val="0"/>
      <w:divBdr>
        <w:top w:val="none" w:sz="0" w:space="0" w:color="auto"/>
        <w:left w:val="none" w:sz="0" w:space="0" w:color="auto"/>
        <w:bottom w:val="none" w:sz="0" w:space="0" w:color="auto"/>
        <w:right w:val="none" w:sz="0" w:space="0" w:color="auto"/>
      </w:divBdr>
    </w:div>
    <w:div w:id="67700473">
      <w:bodyDiv w:val="1"/>
      <w:marLeft w:val="0"/>
      <w:marRight w:val="0"/>
      <w:marTop w:val="0"/>
      <w:marBottom w:val="0"/>
      <w:divBdr>
        <w:top w:val="none" w:sz="0" w:space="0" w:color="auto"/>
        <w:left w:val="none" w:sz="0" w:space="0" w:color="auto"/>
        <w:bottom w:val="none" w:sz="0" w:space="0" w:color="auto"/>
        <w:right w:val="none" w:sz="0" w:space="0" w:color="auto"/>
      </w:divBdr>
    </w:div>
    <w:div w:id="78991551">
      <w:bodyDiv w:val="1"/>
      <w:marLeft w:val="0"/>
      <w:marRight w:val="0"/>
      <w:marTop w:val="0"/>
      <w:marBottom w:val="0"/>
      <w:divBdr>
        <w:top w:val="none" w:sz="0" w:space="0" w:color="auto"/>
        <w:left w:val="none" w:sz="0" w:space="0" w:color="auto"/>
        <w:bottom w:val="none" w:sz="0" w:space="0" w:color="auto"/>
        <w:right w:val="none" w:sz="0" w:space="0" w:color="auto"/>
      </w:divBdr>
    </w:div>
    <w:div w:id="94137366">
      <w:bodyDiv w:val="1"/>
      <w:marLeft w:val="0"/>
      <w:marRight w:val="0"/>
      <w:marTop w:val="0"/>
      <w:marBottom w:val="0"/>
      <w:divBdr>
        <w:top w:val="none" w:sz="0" w:space="0" w:color="auto"/>
        <w:left w:val="none" w:sz="0" w:space="0" w:color="auto"/>
        <w:bottom w:val="none" w:sz="0" w:space="0" w:color="auto"/>
        <w:right w:val="none" w:sz="0" w:space="0" w:color="auto"/>
      </w:divBdr>
    </w:div>
    <w:div w:id="119108128">
      <w:bodyDiv w:val="1"/>
      <w:marLeft w:val="0"/>
      <w:marRight w:val="0"/>
      <w:marTop w:val="0"/>
      <w:marBottom w:val="0"/>
      <w:divBdr>
        <w:top w:val="none" w:sz="0" w:space="0" w:color="auto"/>
        <w:left w:val="none" w:sz="0" w:space="0" w:color="auto"/>
        <w:bottom w:val="none" w:sz="0" w:space="0" w:color="auto"/>
        <w:right w:val="none" w:sz="0" w:space="0" w:color="auto"/>
      </w:divBdr>
    </w:div>
    <w:div w:id="177160737">
      <w:bodyDiv w:val="1"/>
      <w:marLeft w:val="0"/>
      <w:marRight w:val="0"/>
      <w:marTop w:val="0"/>
      <w:marBottom w:val="0"/>
      <w:divBdr>
        <w:top w:val="none" w:sz="0" w:space="0" w:color="auto"/>
        <w:left w:val="none" w:sz="0" w:space="0" w:color="auto"/>
        <w:bottom w:val="none" w:sz="0" w:space="0" w:color="auto"/>
        <w:right w:val="none" w:sz="0" w:space="0" w:color="auto"/>
      </w:divBdr>
    </w:div>
    <w:div w:id="179854712">
      <w:bodyDiv w:val="1"/>
      <w:marLeft w:val="0"/>
      <w:marRight w:val="0"/>
      <w:marTop w:val="0"/>
      <w:marBottom w:val="0"/>
      <w:divBdr>
        <w:top w:val="none" w:sz="0" w:space="0" w:color="auto"/>
        <w:left w:val="none" w:sz="0" w:space="0" w:color="auto"/>
        <w:bottom w:val="none" w:sz="0" w:space="0" w:color="auto"/>
        <w:right w:val="none" w:sz="0" w:space="0" w:color="auto"/>
      </w:divBdr>
    </w:div>
    <w:div w:id="246889497">
      <w:bodyDiv w:val="1"/>
      <w:marLeft w:val="0"/>
      <w:marRight w:val="0"/>
      <w:marTop w:val="0"/>
      <w:marBottom w:val="0"/>
      <w:divBdr>
        <w:top w:val="none" w:sz="0" w:space="0" w:color="auto"/>
        <w:left w:val="none" w:sz="0" w:space="0" w:color="auto"/>
        <w:bottom w:val="none" w:sz="0" w:space="0" w:color="auto"/>
        <w:right w:val="none" w:sz="0" w:space="0" w:color="auto"/>
      </w:divBdr>
    </w:div>
    <w:div w:id="248735409">
      <w:bodyDiv w:val="1"/>
      <w:marLeft w:val="0"/>
      <w:marRight w:val="0"/>
      <w:marTop w:val="0"/>
      <w:marBottom w:val="0"/>
      <w:divBdr>
        <w:top w:val="none" w:sz="0" w:space="0" w:color="auto"/>
        <w:left w:val="none" w:sz="0" w:space="0" w:color="auto"/>
        <w:bottom w:val="none" w:sz="0" w:space="0" w:color="auto"/>
        <w:right w:val="none" w:sz="0" w:space="0" w:color="auto"/>
      </w:divBdr>
    </w:div>
    <w:div w:id="269624268">
      <w:bodyDiv w:val="1"/>
      <w:marLeft w:val="0"/>
      <w:marRight w:val="0"/>
      <w:marTop w:val="0"/>
      <w:marBottom w:val="0"/>
      <w:divBdr>
        <w:top w:val="none" w:sz="0" w:space="0" w:color="auto"/>
        <w:left w:val="none" w:sz="0" w:space="0" w:color="auto"/>
        <w:bottom w:val="none" w:sz="0" w:space="0" w:color="auto"/>
        <w:right w:val="none" w:sz="0" w:space="0" w:color="auto"/>
      </w:divBdr>
    </w:div>
    <w:div w:id="306325682">
      <w:bodyDiv w:val="1"/>
      <w:marLeft w:val="0"/>
      <w:marRight w:val="0"/>
      <w:marTop w:val="0"/>
      <w:marBottom w:val="0"/>
      <w:divBdr>
        <w:top w:val="none" w:sz="0" w:space="0" w:color="auto"/>
        <w:left w:val="none" w:sz="0" w:space="0" w:color="auto"/>
        <w:bottom w:val="none" w:sz="0" w:space="0" w:color="auto"/>
        <w:right w:val="none" w:sz="0" w:space="0" w:color="auto"/>
      </w:divBdr>
    </w:div>
    <w:div w:id="324090989">
      <w:bodyDiv w:val="1"/>
      <w:marLeft w:val="0"/>
      <w:marRight w:val="0"/>
      <w:marTop w:val="0"/>
      <w:marBottom w:val="0"/>
      <w:divBdr>
        <w:top w:val="none" w:sz="0" w:space="0" w:color="auto"/>
        <w:left w:val="none" w:sz="0" w:space="0" w:color="auto"/>
        <w:bottom w:val="none" w:sz="0" w:space="0" w:color="auto"/>
        <w:right w:val="none" w:sz="0" w:space="0" w:color="auto"/>
      </w:divBdr>
    </w:div>
    <w:div w:id="447622962">
      <w:bodyDiv w:val="1"/>
      <w:marLeft w:val="0"/>
      <w:marRight w:val="0"/>
      <w:marTop w:val="0"/>
      <w:marBottom w:val="0"/>
      <w:divBdr>
        <w:top w:val="none" w:sz="0" w:space="0" w:color="auto"/>
        <w:left w:val="none" w:sz="0" w:space="0" w:color="auto"/>
        <w:bottom w:val="none" w:sz="0" w:space="0" w:color="auto"/>
        <w:right w:val="none" w:sz="0" w:space="0" w:color="auto"/>
      </w:divBdr>
    </w:div>
    <w:div w:id="602615279">
      <w:bodyDiv w:val="1"/>
      <w:marLeft w:val="0"/>
      <w:marRight w:val="0"/>
      <w:marTop w:val="0"/>
      <w:marBottom w:val="0"/>
      <w:divBdr>
        <w:top w:val="none" w:sz="0" w:space="0" w:color="auto"/>
        <w:left w:val="none" w:sz="0" w:space="0" w:color="auto"/>
        <w:bottom w:val="none" w:sz="0" w:space="0" w:color="auto"/>
        <w:right w:val="none" w:sz="0" w:space="0" w:color="auto"/>
      </w:divBdr>
    </w:div>
    <w:div w:id="604195287">
      <w:bodyDiv w:val="1"/>
      <w:marLeft w:val="0"/>
      <w:marRight w:val="0"/>
      <w:marTop w:val="0"/>
      <w:marBottom w:val="0"/>
      <w:divBdr>
        <w:top w:val="none" w:sz="0" w:space="0" w:color="auto"/>
        <w:left w:val="none" w:sz="0" w:space="0" w:color="auto"/>
        <w:bottom w:val="none" w:sz="0" w:space="0" w:color="auto"/>
        <w:right w:val="none" w:sz="0" w:space="0" w:color="auto"/>
      </w:divBdr>
    </w:div>
    <w:div w:id="615451468">
      <w:bodyDiv w:val="1"/>
      <w:marLeft w:val="0"/>
      <w:marRight w:val="0"/>
      <w:marTop w:val="0"/>
      <w:marBottom w:val="0"/>
      <w:divBdr>
        <w:top w:val="none" w:sz="0" w:space="0" w:color="auto"/>
        <w:left w:val="none" w:sz="0" w:space="0" w:color="auto"/>
        <w:bottom w:val="none" w:sz="0" w:space="0" w:color="auto"/>
        <w:right w:val="none" w:sz="0" w:space="0" w:color="auto"/>
      </w:divBdr>
    </w:div>
    <w:div w:id="687145850">
      <w:bodyDiv w:val="1"/>
      <w:marLeft w:val="0"/>
      <w:marRight w:val="0"/>
      <w:marTop w:val="0"/>
      <w:marBottom w:val="0"/>
      <w:divBdr>
        <w:top w:val="none" w:sz="0" w:space="0" w:color="auto"/>
        <w:left w:val="none" w:sz="0" w:space="0" w:color="auto"/>
        <w:bottom w:val="none" w:sz="0" w:space="0" w:color="auto"/>
        <w:right w:val="none" w:sz="0" w:space="0" w:color="auto"/>
      </w:divBdr>
    </w:div>
    <w:div w:id="719675233">
      <w:bodyDiv w:val="1"/>
      <w:marLeft w:val="0"/>
      <w:marRight w:val="0"/>
      <w:marTop w:val="0"/>
      <w:marBottom w:val="0"/>
      <w:divBdr>
        <w:top w:val="none" w:sz="0" w:space="0" w:color="auto"/>
        <w:left w:val="none" w:sz="0" w:space="0" w:color="auto"/>
        <w:bottom w:val="none" w:sz="0" w:space="0" w:color="auto"/>
        <w:right w:val="none" w:sz="0" w:space="0" w:color="auto"/>
      </w:divBdr>
    </w:div>
    <w:div w:id="756513019">
      <w:bodyDiv w:val="1"/>
      <w:marLeft w:val="0"/>
      <w:marRight w:val="0"/>
      <w:marTop w:val="0"/>
      <w:marBottom w:val="0"/>
      <w:divBdr>
        <w:top w:val="none" w:sz="0" w:space="0" w:color="auto"/>
        <w:left w:val="none" w:sz="0" w:space="0" w:color="auto"/>
        <w:bottom w:val="none" w:sz="0" w:space="0" w:color="auto"/>
        <w:right w:val="none" w:sz="0" w:space="0" w:color="auto"/>
      </w:divBdr>
    </w:div>
    <w:div w:id="1287397041">
      <w:bodyDiv w:val="1"/>
      <w:marLeft w:val="0"/>
      <w:marRight w:val="0"/>
      <w:marTop w:val="0"/>
      <w:marBottom w:val="0"/>
      <w:divBdr>
        <w:top w:val="none" w:sz="0" w:space="0" w:color="auto"/>
        <w:left w:val="none" w:sz="0" w:space="0" w:color="auto"/>
        <w:bottom w:val="none" w:sz="0" w:space="0" w:color="auto"/>
        <w:right w:val="none" w:sz="0" w:space="0" w:color="auto"/>
      </w:divBdr>
    </w:div>
    <w:div w:id="1322276776">
      <w:bodyDiv w:val="1"/>
      <w:marLeft w:val="0"/>
      <w:marRight w:val="0"/>
      <w:marTop w:val="0"/>
      <w:marBottom w:val="0"/>
      <w:divBdr>
        <w:top w:val="none" w:sz="0" w:space="0" w:color="auto"/>
        <w:left w:val="none" w:sz="0" w:space="0" w:color="auto"/>
        <w:bottom w:val="none" w:sz="0" w:space="0" w:color="auto"/>
        <w:right w:val="none" w:sz="0" w:space="0" w:color="auto"/>
      </w:divBdr>
    </w:div>
    <w:div w:id="1328286301">
      <w:bodyDiv w:val="1"/>
      <w:marLeft w:val="0"/>
      <w:marRight w:val="0"/>
      <w:marTop w:val="0"/>
      <w:marBottom w:val="0"/>
      <w:divBdr>
        <w:top w:val="none" w:sz="0" w:space="0" w:color="auto"/>
        <w:left w:val="none" w:sz="0" w:space="0" w:color="auto"/>
        <w:bottom w:val="none" w:sz="0" w:space="0" w:color="auto"/>
        <w:right w:val="none" w:sz="0" w:space="0" w:color="auto"/>
      </w:divBdr>
    </w:div>
    <w:div w:id="1437676124">
      <w:bodyDiv w:val="1"/>
      <w:marLeft w:val="0"/>
      <w:marRight w:val="0"/>
      <w:marTop w:val="0"/>
      <w:marBottom w:val="0"/>
      <w:divBdr>
        <w:top w:val="none" w:sz="0" w:space="0" w:color="auto"/>
        <w:left w:val="none" w:sz="0" w:space="0" w:color="auto"/>
        <w:bottom w:val="none" w:sz="0" w:space="0" w:color="auto"/>
        <w:right w:val="none" w:sz="0" w:space="0" w:color="auto"/>
      </w:divBdr>
    </w:div>
    <w:div w:id="1467624668">
      <w:bodyDiv w:val="1"/>
      <w:marLeft w:val="0"/>
      <w:marRight w:val="0"/>
      <w:marTop w:val="0"/>
      <w:marBottom w:val="0"/>
      <w:divBdr>
        <w:top w:val="none" w:sz="0" w:space="0" w:color="auto"/>
        <w:left w:val="none" w:sz="0" w:space="0" w:color="auto"/>
        <w:bottom w:val="none" w:sz="0" w:space="0" w:color="auto"/>
        <w:right w:val="none" w:sz="0" w:space="0" w:color="auto"/>
      </w:divBdr>
    </w:div>
    <w:div w:id="1484932626">
      <w:bodyDiv w:val="1"/>
      <w:marLeft w:val="0"/>
      <w:marRight w:val="0"/>
      <w:marTop w:val="0"/>
      <w:marBottom w:val="0"/>
      <w:divBdr>
        <w:top w:val="none" w:sz="0" w:space="0" w:color="auto"/>
        <w:left w:val="none" w:sz="0" w:space="0" w:color="auto"/>
        <w:bottom w:val="none" w:sz="0" w:space="0" w:color="auto"/>
        <w:right w:val="none" w:sz="0" w:space="0" w:color="auto"/>
      </w:divBdr>
      <w:divsChild>
        <w:div w:id="1172337714">
          <w:marLeft w:val="0"/>
          <w:marRight w:val="0"/>
          <w:marTop w:val="0"/>
          <w:marBottom w:val="0"/>
          <w:divBdr>
            <w:top w:val="none" w:sz="0" w:space="0" w:color="auto"/>
            <w:left w:val="none" w:sz="0" w:space="0" w:color="auto"/>
            <w:bottom w:val="none" w:sz="0" w:space="0" w:color="auto"/>
            <w:right w:val="none" w:sz="0" w:space="0" w:color="auto"/>
          </w:divBdr>
        </w:div>
      </w:divsChild>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13640862">
      <w:bodyDiv w:val="1"/>
      <w:marLeft w:val="0"/>
      <w:marRight w:val="0"/>
      <w:marTop w:val="0"/>
      <w:marBottom w:val="0"/>
      <w:divBdr>
        <w:top w:val="none" w:sz="0" w:space="0" w:color="auto"/>
        <w:left w:val="none" w:sz="0" w:space="0" w:color="auto"/>
        <w:bottom w:val="none" w:sz="0" w:space="0" w:color="auto"/>
        <w:right w:val="none" w:sz="0" w:space="0" w:color="auto"/>
      </w:divBdr>
    </w:div>
    <w:div w:id="1525553732">
      <w:bodyDiv w:val="1"/>
      <w:marLeft w:val="0"/>
      <w:marRight w:val="0"/>
      <w:marTop w:val="0"/>
      <w:marBottom w:val="0"/>
      <w:divBdr>
        <w:top w:val="none" w:sz="0" w:space="0" w:color="auto"/>
        <w:left w:val="none" w:sz="0" w:space="0" w:color="auto"/>
        <w:bottom w:val="none" w:sz="0" w:space="0" w:color="auto"/>
        <w:right w:val="none" w:sz="0" w:space="0" w:color="auto"/>
      </w:divBdr>
      <w:divsChild>
        <w:div w:id="372467232">
          <w:marLeft w:val="274"/>
          <w:marRight w:val="0"/>
          <w:marTop w:val="86"/>
          <w:marBottom w:val="0"/>
          <w:divBdr>
            <w:top w:val="none" w:sz="0" w:space="0" w:color="auto"/>
            <w:left w:val="none" w:sz="0" w:space="0" w:color="auto"/>
            <w:bottom w:val="none" w:sz="0" w:space="0" w:color="auto"/>
            <w:right w:val="none" w:sz="0" w:space="0" w:color="auto"/>
          </w:divBdr>
        </w:div>
        <w:div w:id="1300647180">
          <w:marLeft w:val="274"/>
          <w:marRight w:val="0"/>
          <w:marTop w:val="86"/>
          <w:marBottom w:val="0"/>
          <w:divBdr>
            <w:top w:val="none" w:sz="0" w:space="0" w:color="auto"/>
            <w:left w:val="none" w:sz="0" w:space="0" w:color="auto"/>
            <w:bottom w:val="none" w:sz="0" w:space="0" w:color="auto"/>
            <w:right w:val="none" w:sz="0" w:space="0" w:color="auto"/>
          </w:divBdr>
        </w:div>
        <w:div w:id="1693341467">
          <w:marLeft w:val="274"/>
          <w:marRight w:val="0"/>
          <w:marTop w:val="86"/>
          <w:marBottom w:val="0"/>
          <w:divBdr>
            <w:top w:val="none" w:sz="0" w:space="0" w:color="auto"/>
            <w:left w:val="none" w:sz="0" w:space="0" w:color="auto"/>
            <w:bottom w:val="none" w:sz="0" w:space="0" w:color="auto"/>
            <w:right w:val="none" w:sz="0" w:space="0" w:color="auto"/>
          </w:divBdr>
        </w:div>
      </w:divsChild>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806922394">
      <w:bodyDiv w:val="1"/>
      <w:marLeft w:val="0"/>
      <w:marRight w:val="0"/>
      <w:marTop w:val="0"/>
      <w:marBottom w:val="0"/>
      <w:divBdr>
        <w:top w:val="none" w:sz="0" w:space="0" w:color="auto"/>
        <w:left w:val="none" w:sz="0" w:space="0" w:color="auto"/>
        <w:bottom w:val="none" w:sz="0" w:space="0" w:color="auto"/>
        <w:right w:val="none" w:sz="0" w:space="0" w:color="auto"/>
      </w:divBdr>
    </w:div>
    <w:div w:id="1813980390">
      <w:bodyDiv w:val="1"/>
      <w:marLeft w:val="0"/>
      <w:marRight w:val="0"/>
      <w:marTop w:val="0"/>
      <w:marBottom w:val="0"/>
      <w:divBdr>
        <w:top w:val="none" w:sz="0" w:space="0" w:color="auto"/>
        <w:left w:val="none" w:sz="0" w:space="0" w:color="auto"/>
        <w:bottom w:val="none" w:sz="0" w:space="0" w:color="auto"/>
        <w:right w:val="none" w:sz="0" w:space="0" w:color="auto"/>
      </w:divBdr>
    </w:div>
    <w:div w:id="1816216685">
      <w:bodyDiv w:val="1"/>
      <w:marLeft w:val="0"/>
      <w:marRight w:val="0"/>
      <w:marTop w:val="0"/>
      <w:marBottom w:val="0"/>
      <w:divBdr>
        <w:top w:val="none" w:sz="0" w:space="0" w:color="auto"/>
        <w:left w:val="none" w:sz="0" w:space="0" w:color="auto"/>
        <w:bottom w:val="none" w:sz="0" w:space="0" w:color="auto"/>
        <w:right w:val="none" w:sz="0" w:space="0" w:color="auto"/>
      </w:divBdr>
    </w:div>
    <w:div w:id="1874076455">
      <w:bodyDiv w:val="1"/>
      <w:marLeft w:val="0"/>
      <w:marRight w:val="0"/>
      <w:marTop w:val="0"/>
      <w:marBottom w:val="0"/>
      <w:divBdr>
        <w:top w:val="none" w:sz="0" w:space="0" w:color="auto"/>
        <w:left w:val="none" w:sz="0" w:space="0" w:color="auto"/>
        <w:bottom w:val="none" w:sz="0" w:space="0" w:color="auto"/>
        <w:right w:val="none" w:sz="0" w:space="0" w:color="auto"/>
      </w:divBdr>
    </w:div>
    <w:div w:id="1911038311">
      <w:bodyDiv w:val="1"/>
      <w:marLeft w:val="0"/>
      <w:marRight w:val="0"/>
      <w:marTop w:val="0"/>
      <w:marBottom w:val="0"/>
      <w:divBdr>
        <w:top w:val="none" w:sz="0" w:space="0" w:color="auto"/>
        <w:left w:val="none" w:sz="0" w:space="0" w:color="auto"/>
        <w:bottom w:val="none" w:sz="0" w:space="0" w:color="auto"/>
        <w:right w:val="none" w:sz="0" w:space="0" w:color="auto"/>
      </w:divBdr>
    </w:div>
    <w:div w:id="1934164282">
      <w:bodyDiv w:val="1"/>
      <w:marLeft w:val="0"/>
      <w:marRight w:val="0"/>
      <w:marTop w:val="0"/>
      <w:marBottom w:val="0"/>
      <w:divBdr>
        <w:top w:val="none" w:sz="0" w:space="0" w:color="auto"/>
        <w:left w:val="none" w:sz="0" w:space="0" w:color="auto"/>
        <w:bottom w:val="none" w:sz="0" w:space="0" w:color="auto"/>
        <w:right w:val="none" w:sz="0" w:space="0" w:color="auto"/>
      </w:divBdr>
    </w:div>
    <w:div w:id="1949459399">
      <w:bodyDiv w:val="1"/>
      <w:marLeft w:val="0"/>
      <w:marRight w:val="0"/>
      <w:marTop w:val="0"/>
      <w:marBottom w:val="0"/>
      <w:divBdr>
        <w:top w:val="none" w:sz="0" w:space="0" w:color="auto"/>
        <w:left w:val="none" w:sz="0" w:space="0" w:color="auto"/>
        <w:bottom w:val="none" w:sz="0" w:space="0" w:color="auto"/>
        <w:right w:val="none" w:sz="0" w:space="0" w:color="auto"/>
      </w:divBdr>
    </w:div>
    <w:div w:id="2026129576">
      <w:bodyDiv w:val="1"/>
      <w:marLeft w:val="0"/>
      <w:marRight w:val="0"/>
      <w:marTop w:val="0"/>
      <w:marBottom w:val="0"/>
      <w:divBdr>
        <w:top w:val="none" w:sz="0" w:space="0" w:color="auto"/>
        <w:left w:val="none" w:sz="0" w:space="0" w:color="auto"/>
        <w:bottom w:val="none" w:sz="0" w:space="0" w:color="auto"/>
        <w:right w:val="none" w:sz="0" w:space="0" w:color="auto"/>
      </w:divBdr>
    </w:div>
    <w:div w:id="2066440490">
      <w:bodyDiv w:val="1"/>
      <w:marLeft w:val="0"/>
      <w:marRight w:val="0"/>
      <w:marTop w:val="0"/>
      <w:marBottom w:val="0"/>
      <w:divBdr>
        <w:top w:val="none" w:sz="0" w:space="0" w:color="auto"/>
        <w:left w:val="none" w:sz="0" w:space="0" w:color="auto"/>
        <w:bottom w:val="none" w:sz="0" w:space="0" w:color="auto"/>
        <w:right w:val="none" w:sz="0" w:space="0" w:color="auto"/>
      </w:divBdr>
    </w:div>
    <w:div w:id="2089302896">
      <w:bodyDiv w:val="1"/>
      <w:marLeft w:val="0"/>
      <w:marRight w:val="0"/>
      <w:marTop w:val="0"/>
      <w:marBottom w:val="0"/>
      <w:divBdr>
        <w:top w:val="none" w:sz="0" w:space="0" w:color="auto"/>
        <w:left w:val="none" w:sz="0" w:space="0" w:color="auto"/>
        <w:bottom w:val="none" w:sz="0" w:space="0" w:color="auto"/>
        <w:right w:val="none" w:sz="0" w:space="0" w:color="auto"/>
      </w:divBdr>
    </w:div>
    <w:div w:id="212808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sumer.vic.gov.au/annualreport" TargetMode="External"/><Relationship Id="rId18" Type="http://schemas.openxmlformats.org/officeDocument/2006/relationships/footer" Target="footer1.xml"/><Relationship Id="rId26" Type="http://schemas.openxmlformats.org/officeDocument/2006/relationships/hyperlink" Target="http://creativecommons.org/licenses/by/3.0/au" TargetMode="Externa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consumer.vic.gov.au/about-us/statement-of-expectations-2014-16" TargetMode="External"/><Relationship Id="rId25" Type="http://schemas.openxmlformats.org/officeDocument/2006/relationships/hyperlink" Target="http://www.youtube.com/consumervic" TargetMode="External"/><Relationship Id="rId2" Type="http://schemas.openxmlformats.org/officeDocument/2006/relationships/customXml" Target="../customXml/item2.xml"/><Relationship Id="rId16" Type="http://schemas.openxmlformats.org/officeDocument/2006/relationships/hyperlink" Target="http://fairersaferhousing.vic.gov.au" TargetMode="Externa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twitter.com/consumervic" TargetMode="External"/><Relationship Id="rId5" Type="http://schemas.openxmlformats.org/officeDocument/2006/relationships/settings" Target="settings.xml"/><Relationship Id="rId15" Type="http://schemas.openxmlformats.org/officeDocument/2006/relationships/hyperlink" Target="http://scamwatch.gov.au" TargetMode="External"/><Relationship Id="rId23" Type="http://schemas.openxmlformats.org/officeDocument/2006/relationships/hyperlink" Target="https://www.facebook.com/ConsumerAffairsVictoria" TargetMode="External"/><Relationship Id="rId28" Type="http://schemas.openxmlformats.org/officeDocument/2006/relationships/footer" Target="footer5.xm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vicmensshed.org/" TargetMode="External"/><Relationship Id="rId22" Type="http://schemas.openxmlformats.org/officeDocument/2006/relationships/hyperlink" Target="http://www.consumer.vic.gov.au" TargetMode="External"/><Relationship Id="rId27" Type="http://schemas.openxmlformats.org/officeDocument/2006/relationships/hyperlink" Target="http://www.consumer.vic.gov.au"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8C64E-63DF-4063-96B6-1395A6DB262A}">
  <ds:schemaRefs>
    <ds:schemaRef ds:uri="http://schemas.openxmlformats.org/officeDocument/2006/bibliography"/>
  </ds:schemaRefs>
</ds:datastoreItem>
</file>

<file path=customXml/itemProps2.xml><?xml version="1.0" encoding="utf-8"?>
<ds:datastoreItem xmlns:ds="http://schemas.openxmlformats.org/officeDocument/2006/customXml" ds:itemID="{92A745FC-894D-4EF2-A8D6-21427FDF2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10889</Words>
  <Characters>50746</Characters>
  <Application>Microsoft Office Word</Application>
  <DocSecurity>0</DocSecurity>
  <Lines>1127</Lines>
  <Paragraphs>581</Paragraphs>
  <ScaleCrop>false</ScaleCrop>
  <HeadingPairs>
    <vt:vector size="2" baseType="variant">
      <vt:variant>
        <vt:lpstr>Title</vt:lpstr>
      </vt:variant>
      <vt:variant>
        <vt:i4>1</vt:i4>
      </vt:variant>
    </vt:vector>
  </HeadingPairs>
  <TitlesOfParts>
    <vt:vector size="1" baseType="lpstr">
      <vt:lpstr>Consumer Affairs Victoria Annual Report 2015-16</vt:lpstr>
    </vt:vector>
  </TitlesOfParts>
  <Company>Victorian Department of Justice and Regulation</Company>
  <LinksUpToDate>false</LinksUpToDate>
  <CharactersWithSpaces>61054</CharactersWithSpaces>
  <SharedDoc>false</SharedDoc>
  <HLinks>
    <vt:vector size="186" baseType="variant">
      <vt:variant>
        <vt:i4>7012406</vt:i4>
      </vt:variant>
      <vt:variant>
        <vt:i4>189</vt:i4>
      </vt:variant>
      <vt:variant>
        <vt:i4>0</vt:i4>
      </vt:variant>
      <vt:variant>
        <vt:i4>5</vt:i4>
      </vt:variant>
      <vt:variant>
        <vt:lpwstr>http://www.consumer.vic.gov.au/</vt:lpwstr>
      </vt:variant>
      <vt:variant>
        <vt:lpwstr/>
      </vt:variant>
      <vt:variant>
        <vt:i4>327753</vt:i4>
      </vt:variant>
      <vt:variant>
        <vt:i4>186</vt:i4>
      </vt:variant>
      <vt:variant>
        <vt:i4>0</vt:i4>
      </vt:variant>
      <vt:variant>
        <vt:i4>5</vt:i4>
      </vt:variant>
      <vt:variant>
        <vt:lpwstr>http://creativecommons.org/licenses/by/3.0/au</vt:lpwstr>
      </vt:variant>
      <vt:variant>
        <vt:lpwstr/>
      </vt:variant>
      <vt:variant>
        <vt:i4>3211309</vt:i4>
      </vt:variant>
      <vt:variant>
        <vt:i4>183</vt:i4>
      </vt:variant>
      <vt:variant>
        <vt:i4>0</vt:i4>
      </vt:variant>
      <vt:variant>
        <vt:i4>5</vt:i4>
      </vt:variant>
      <vt:variant>
        <vt:lpwstr>http://www.youtube.com/consumervic</vt:lpwstr>
      </vt:variant>
      <vt:variant>
        <vt:lpwstr/>
      </vt:variant>
      <vt:variant>
        <vt:i4>7536702</vt:i4>
      </vt:variant>
      <vt:variant>
        <vt:i4>180</vt:i4>
      </vt:variant>
      <vt:variant>
        <vt:i4>0</vt:i4>
      </vt:variant>
      <vt:variant>
        <vt:i4>5</vt:i4>
      </vt:variant>
      <vt:variant>
        <vt:lpwstr>https://twitter.com/consumervic</vt:lpwstr>
      </vt:variant>
      <vt:variant>
        <vt:lpwstr/>
      </vt:variant>
      <vt:variant>
        <vt:i4>4718659</vt:i4>
      </vt:variant>
      <vt:variant>
        <vt:i4>177</vt:i4>
      </vt:variant>
      <vt:variant>
        <vt:i4>0</vt:i4>
      </vt:variant>
      <vt:variant>
        <vt:i4>5</vt:i4>
      </vt:variant>
      <vt:variant>
        <vt:lpwstr>https://www.facebook.com/ConsumerAffairsVictoria</vt:lpwstr>
      </vt:variant>
      <vt:variant>
        <vt:lpwstr/>
      </vt:variant>
      <vt:variant>
        <vt:i4>7012406</vt:i4>
      </vt:variant>
      <vt:variant>
        <vt:i4>174</vt:i4>
      </vt:variant>
      <vt:variant>
        <vt:i4>0</vt:i4>
      </vt:variant>
      <vt:variant>
        <vt:i4>5</vt:i4>
      </vt:variant>
      <vt:variant>
        <vt:lpwstr>http://www.consumer.vic.gov.au/</vt:lpwstr>
      </vt:variant>
      <vt:variant>
        <vt:lpwstr/>
      </vt:variant>
      <vt:variant>
        <vt:i4>7340108</vt:i4>
      </vt:variant>
      <vt:variant>
        <vt:i4>162</vt:i4>
      </vt:variant>
      <vt:variant>
        <vt:i4>0</vt:i4>
      </vt:variant>
      <vt:variant>
        <vt:i4>5</vt:i4>
      </vt:variant>
      <vt:variant>
        <vt:lpwstr/>
      </vt:variant>
      <vt:variant>
        <vt:lpwstr>_Registration_and_licensing</vt:lpwstr>
      </vt:variant>
      <vt:variant>
        <vt:i4>720898</vt:i4>
      </vt:variant>
      <vt:variant>
        <vt:i4>156</vt:i4>
      </vt:variant>
      <vt:variant>
        <vt:i4>0</vt:i4>
      </vt:variant>
      <vt:variant>
        <vt:i4>5</vt:i4>
      </vt:variant>
      <vt:variant>
        <vt:lpwstr>http://consumer.vic.gov.au/about-us/statement-of-expectations-2014-16</vt:lpwstr>
      </vt:variant>
      <vt:variant>
        <vt:lpwstr/>
      </vt:variant>
      <vt:variant>
        <vt:i4>589850</vt:i4>
      </vt:variant>
      <vt:variant>
        <vt:i4>147</vt:i4>
      </vt:variant>
      <vt:variant>
        <vt:i4>0</vt:i4>
      </vt:variant>
      <vt:variant>
        <vt:i4>5</vt:i4>
      </vt:variant>
      <vt:variant>
        <vt:lpwstr>http://fairersaferhousing.vic.gov.au/</vt:lpwstr>
      </vt:variant>
      <vt:variant>
        <vt:lpwstr/>
      </vt:variant>
      <vt:variant>
        <vt:i4>851999</vt:i4>
      </vt:variant>
      <vt:variant>
        <vt:i4>138</vt:i4>
      </vt:variant>
      <vt:variant>
        <vt:i4>0</vt:i4>
      </vt:variant>
      <vt:variant>
        <vt:i4>5</vt:i4>
      </vt:variant>
      <vt:variant>
        <vt:lpwstr>http://scamwatch.gov.au/</vt:lpwstr>
      </vt:variant>
      <vt:variant>
        <vt:lpwstr/>
      </vt:variant>
      <vt:variant>
        <vt:i4>2883696</vt:i4>
      </vt:variant>
      <vt:variant>
        <vt:i4>135</vt:i4>
      </vt:variant>
      <vt:variant>
        <vt:i4>0</vt:i4>
      </vt:variant>
      <vt:variant>
        <vt:i4>5</vt:i4>
      </vt:variant>
      <vt:variant>
        <vt:lpwstr>http://www.vicmensshed.org/</vt:lpwstr>
      </vt:variant>
      <vt:variant>
        <vt:lpwstr/>
      </vt:variant>
      <vt:variant>
        <vt:i4>1966132</vt:i4>
      </vt:variant>
      <vt:variant>
        <vt:i4>113</vt:i4>
      </vt:variant>
      <vt:variant>
        <vt:i4>0</vt:i4>
      </vt:variant>
      <vt:variant>
        <vt:i4>5</vt:i4>
      </vt:variant>
      <vt:variant>
        <vt:lpwstr/>
      </vt:variant>
      <vt:variant>
        <vt:lpwstr>_Toc464830774</vt:lpwstr>
      </vt:variant>
      <vt:variant>
        <vt:i4>1966132</vt:i4>
      </vt:variant>
      <vt:variant>
        <vt:i4>107</vt:i4>
      </vt:variant>
      <vt:variant>
        <vt:i4>0</vt:i4>
      </vt:variant>
      <vt:variant>
        <vt:i4>5</vt:i4>
      </vt:variant>
      <vt:variant>
        <vt:lpwstr/>
      </vt:variant>
      <vt:variant>
        <vt:lpwstr>_Toc464830773</vt:lpwstr>
      </vt:variant>
      <vt:variant>
        <vt:i4>1966132</vt:i4>
      </vt:variant>
      <vt:variant>
        <vt:i4>101</vt:i4>
      </vt:variant>
      <vt:variant>
        <vt:i4>0</vt:i4>
      </vt:variant>
      <vt:variant>
        <vt:i4>5</vt:i4>
      </vt:variant>
      <vt:variant>
        <vt:lpwstr/>
      </vt:variant>
      <vt:variant>
        <vt:lpwstr>_Toc464830772</vt:lpwstr>
      </vt:variant>
      <vt:variant>
        <vt:i4>1966132</vt:i4>
      </vt:variant>
      <vt:variant>
        <vt:i4>95</vt:i4>
      </vt:variant>
      <vt:variant>
        <vt:i4>0</vt:i4>
      </vt:variant>
      <vt:variant>
        <vt:i4>5</vt:i4>
      </vt:variant>
      <vt:variant>
        <vt:lpwstr/>
      </vt:variant>
      <vt:variant>
        <vt:lpwstr>_Toc464830771</vt:lpwstr>
      </vt:variant>
      <vt:variant>
        <vt:i4>1966132</vt:i4>
      </vt:variant>
      <vt:variant>
        <vt:i4>89</vt:i4>
      </vt:variant>
      <vt:variant>
        <vt:i4>0</vt:i4>
      </vt:variant>
      <vt:variant>
        <vt:i4>5</vt:i4>
      </vt:variant>
      <vt:variant>
        <vt:lpwstr/>
      </vt:variant>
      <vt:variant>
        <vt:lpwstr>_Toc464830770</vt:lpwstr>
      </vt:variant>
      <vt:variant>
        <vt:i4>2031668</vt:i4>
      </vt:variant>
      <vt:variant>
        <vt:i4>83</vt:i4>
      </vt:variant>
      <vt:variant>
        <vt:i4>0</vt:i4>
      </vt:variant>
      <vt:variant>
        <vt:i4>5</vt:i4>
      </vt:variant>
      <vt:variant>
        <vt:lpwstr/>
      </vt:variant>
      <vt:variant>
        <vt:lpwstr>_Toc464830769</vt:lpwstr>
      </vt:variant>
      <vt:variant>
        <vt:i4>2031668</vt:i4>
      </vt:variant>
      <vt:variant>
        <vt:i4>77</vt:i4>
      </vt:variant>
      <vt:variant>
        <vt:i4>0</vt:i4>
      </vt:variant>
      <vt:variant>
        <vt:i4>5</vt:i4>
      </vt:variant>
      <vt:variant>
        <vt:lpwstr/>
      </vt:variant>
      <vt:variant>
        <vt:lpwstr>_Toc464830768</vt:lpwstr>
      </vt:variant>
      <vt:variant>
        <vt:i4>2031668</vt:i4>
      </vt:variant>
      <vt:variant>
        <vt:i4>71</vt:i4>
      </vt:variant>
      <vt:variant>
        <vt:i4>0</vt:i4>
      </vt:variant>
      <vt:variant>
        <vt:i4>5</vt:i4>
      </vt:variant>
      <vt:variant>
        <vt:lpwstr/>
      </vt:variant>
      <vt:variant>
        <vt:lpwstr>_Toc464830767</vt:lpwstr>
      </vt:variant>
      <vt:variant>
        <vt:i4>2031668</vt:i4>
      </vt:variant>
      <vt:variant>
        <vt:i4>65</vt:i4>
      </vt:variant>
      <vt:variant>
        <vt:i4>0</vt:i4>
      </vt:variant>
      <vt:variant>
        <vt:i4>5</vt:i4>
      </vt:variant>
      <vt:variant>
        <vt:lpwstr/>
      </vt:variant>
      <vt:variant>
        <vt:lpwstr>_Toc464830766</vt:lpwstr>
      </vt:variant>
      <vt:variant>
        <vt:i4>2031668</vt:i4>
      </vt:variant>
      <vt:variant>
        <vt:i4>59</vt:i4>
      </vt:variant>
      <vt:variant>
        <vt:i4>0</vt:i4>
      </vt:variant>
      <vt:variant>
        <vt:i4>5</vt:i4>
      </vt:variant>
      <vt:variant>
        <vt:lpwstr/>
      </vt:variant>
      <vt:variant>
        <vt:lpwstr>_Toc464830765</vt:lpwstr>
      </vt:variant>
      <vt:variant>
        <vt:i4>2031668</vt:i4>
      </vt:variant>
      <vt:variant>
        <vt:i4>53</vt:i4>
      </vt:variant>
      <vt:variant>
        <vt:i4>0</vt:i4>
      </vt:variant>
      <vt:variant>
        <vt:i4>5</vt:i4>
      </vt:variant>
      <vt:variant>
        <vt:lpwstr/>
      </vt:variant>
      <vt:variant>
        <vt:lpwstr>_Toc464830764</vt:lpwstr>
      </vt:variant>
      <vt:variant>
        <vt:i4>2031668</vt:i4>
      </vt:variant>
      <vt:variant>
        <vt:i4>47</vt:i4>
      </vt:variant>
      <vt:variant>
        <vt:i4>0</vt:i4>
      </vt:variant>
      <vt:variant>
        <vt:i4>5</vt:i4>
      </vt:variant>
      <vt:variant>
        <vt:lpwstr/>
      </vt:variant>
      <vt:variant>
        <vt:lpwstr>_Toc464830763</vt:lpwstr>
      </vt:variant>
      <vt:variant>
        <vt:i4>2031668</vt:i4>
      </vt:variant>
      <vt:variant>
        <vt:i4>41</vt:i4>
      </vt:variant>
      <vt:variant>
        <vt:i4>0</vt:i4>
      </vt:variant>
      <vt:variant>
        <vt:i4>5</vt:i4>
      </vt:variant>
      <vt:variant>
        <vt:lpwstr/>
      </vt:variant>
      <vt:variant>
        <vt:lpwstr>_Toc464830762</vt:lpwstr>
      </vt:variant>
      <vt:variant>
        <vt:i4>2031668</vt:i4>
      </vt:variant>
      <vt:variant>
        <vt:i4>35</vt:i4>
      </vt:variant>
      <vt:variant>
        <vt:i4>0</vt:i4>
      </vt:variant>
      <vt:variant>
        <vt:i4>5</vt:i4>
      </vt:variant>
      <vt:variant>
        <vt:lpwstr/>
      </vt:variant>
      <vt:variant>
        <vt:lpwstr>_Toc464830761</vt:lpwstr>
      </vt:variant>
      <vt:variant>
        <vt:i4>2031668</vt:i4>
      </vt:variant>
      <vt:variant>
        <vt:i4>29</vt:i4>
      </vt:variant>
      <vt:variant>
        <vt:i4>0</vt:i4>
      </vt:variant>
      <vt:variant>
        <vt:i4>5</vt:i4>
      </vt:variant>
      <vt:variant>
        <vt:lpwstr/>
      </vt:variant>
      <vt:variant>
        <vt:lpwstr>_Toc464830760</vt:lpwstr>
      </vt:variant>
      <vt:variant>
        <vt:i4>1835060</vt:i4>
      </vt:variant>
      <vt:variant>
        <vt:i4>23</vt:i4>
      </vt:variant>
      <vt:variant>
        <vt:i4>0</vt:i4>
      </vt:variant>
      <vt:variant>
        <vt:i4>5</vt:i4>
      </vt:variant>
      <vt:variant>
        <vt:lpwstr/>
      </vt:variant>
      <vt:variant>
        <vt:lpwstr>_Toc464830759</vt:lpwstr>
      </vt:variant>
      <vt:variant>
        <vt:i4>1835060</vt:i4>
      </vt:variant>
      <vt:variant>
        <vt:i4>17</vt:i4>
      </vt:variant>
      <vt:variant>
        <vt:i4>0</vt:i4>
      </vt:variant>
      <vt:variant>
        <vt:i4>5</vt:i4>
      </vt:variant>
      <vt:variant>
        <vt:lpwstr/>
      </vt:variant>
      <vt:variant>
        <vt:lpwstr>_Toc464830758</vt:lpwstr>
      </vt:variant>
      <vt:variant>
        <vt:i4>1835060</vt:i4>
      </vt:variant>
      <vt:variant>
        <vt:i4>11</vt:i4>
      </vt:variant>
      <vt:variant>
        <vt:i4>0</vt:i4>
      </vt:variant>
      <vt:variant>
        <vt:i4>5</vt:i4>
      </vt:variant>
      <vt:variant>
        <vt:lpwstr/>
      </vt:variant>
      <vt:variant>
        <vt:lpwstr>_Toc464830757</vt:lpwstr>
      </vt:variant>
      <vt:variant>
        <vt:i4>1835060</vt:i4>
      </vt:variant>
      <vt:variant>
        <vt:i4>5</vt:i4>
      </vt:variant>
      <vt:variant>
        <vt:i4>0</vt:i4>
      </vt:variant>
      <vt:variant>
        <vt:i4>5</vt:i4>
      </vt:variant>
      <vt:variant>
        <vt:lpwstr/>
      </vt:variant>
      <vt:variant>
        <vt:lpwstr>_Toc464830756</vt:lpwstr>
      </vt:variant>
      <vt:variant>
        <vt:i4>7667812</vt:i4>
      </vt:variant>
      <vt:variant>
        <vt:i4>0</vt:i4>
      </vt:variant>
      <vt:variant>
        <vt:i4>0</vt:i4>
      </vt:variant>
      <vt:variant>
        <vt:i4>5</vt:i4>
      </vt:variant>
      <vt:variant>
        <vt:lpwstr>http://www.consumer.vic.gov.au/annualreport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 Affairs Victoria Annual Report 2015-16</dc:title>
  <dc:subject/>
  <dc:creator>Consumer Affairs Victoria</dc:creator>
  <cp:keywords/>
  <dc:description/>
  <cp:lastModifiedBy>David M Darragh (DGS)</cp:lastModifiedBy>
  <cp:revision>2</cp:revision>
  <cp:lastPrinted>2016-10-21T05:30:00Z</cp:lastPrinted>
  <dcterms:created xsi:type="dcterms:W3CDTF">2026-04-21T04:15:00Z</dcterms:created>
  <dcterms:modified xsi:type="dcterms:W3CDTF">2026-04-21T04:15:00Z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RIMID">
    <vt:lpwstr/>
  </property>
  <property fmtid="{D5CDD505-2E9C-101B-9397-08002B2CF9AE}" pid="4" name="MSIP_Label_7158ebbd-6c5e-441f-bfc9-4eb8c11e3978_Enabled">
    <vt:lpwstr>true</vt:lpwstr>
  </property>
  <property fmtid="{D5CDD505-2E9C-101B-9397-08002B2CF9AE}" pid="5" name="MSIP_Label_7158ebbd-6c5e-441f-bfc9-4eb8c11e3978_SetDate">
    <vt:lpwstr>2026-04-21T04:15:12Z</vt:lpwstr>
  </property>
  <property fmtid="{D5CDD505-2E9C-101B-9397-08002B2CF9AE}" pid="6" name="MSIP_Label_7158ebbd-6c5e-441f-bfc9-4eb8c11e3978_Method">
    <vt:lpwstr>Privileged</vt:lpwstr>
  </property>
  <property fmtid="{D5CDD505-2E9C-101B-9397-08002B2CF9AE}" pid="7" name="MSIP_Label_7158ebbd-6c5e-441f-bfc9-4eb8c11e3978_Name">
    <vt:lpwstr>7158ebbd-6c5e-441f-bfc9-4eb8c11e3978</vt:lpwstr>
  </property>
  <property fmtid="{D5CDD505-2E9C-101B-9397-08002B2CF9AE}" pid="8" name="MSIP_Label_7158ebbd-6c5e-441f-bfc9-4eb8c11e3978_SiteId">
    <vt:lpwstr>722ea0be-3e1c-4b11-ad6f-9401d6856e24</vt:lpwstr>
  </property>
  <property fmtid="{D5CDD505-2E9C-101B-9397-08002B2CF9AE}" pid="9" name="MSIP_Label_7158ebbd-6c5e-441f-bfc9-4eb8c11e3978_ActionId">
    <vt:lpwstr>f73c8c94-ff36-4f20-a1b7-208b4a4e470b</vt:lpwstr>
  </property>
  <property fmtid="{D5CDD505-2E9C-101B-9397-08002B2CF9AE}" pid="10" name="MSIP_Label_7158ebbd-6c5e-441f-bfc9-4eb8c11e3978_ContentBits">
    <vt:lpwstr>2</vt:lpwstr>
  </property>
  <property fmtid="{D5CDD505-2E9C-101B-9397-08002B2CF9AE}" pid="11" name="MSIP_Label_7158ebbd-6c5e-441f-bfc9-4eb8c11e3978_Tag">
    <vt:lpwstr>10, 0, 1, 1</vt:lpwstr>
  </property>
</Properties>
</file>