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4FA1" w14:textId="16E3F2B4" w:rsidR="00C90E80" w:rsidRPr="00934136" w:rsidRDefault="00C90E80" w:rsidP="00B71C68">
      <w:pPr>
        <w:pStyle w:val="Title"/>
      </w:pPr>
      <w:r w:rsidRPr="00934136">
        <w:t>Annual</w:t>
      </w:r>
      <w:r w:rsidR="00B556A3" w:rsidRPr="00934136">
        <w:t xml:space="preserve"> </w:t>
      </w:r>
      <w:r w:rsidRPr="00934136">
        <w:t>Report</w:t>
      </w:r>
      <w:r w:rsidR="00B556A3" w:rsidRPr="00934136">
        <w:t xml:space="preserve"> </w:t>
      </w:r>
      <w:r w:rsidRPr="00934136">
        <w:t>20</w:t>
      </w:r>
      <w:r w:rsidR="00DE3B0D" w:rsidRPr="00934136">
        <w:t>2</w:t>
      </w:r>
      <w:r w:rsidR="00BC3AA7">
        <w:t>4</w:t>
      </w:r>
      <w:r w:rsidR="00A66C4F" w:rsidRPr="00934136">
        <w:t>–2</w:t>
      </w:r>
      <w:r w:rsidR="00BC3AA7">
        <w:t>5</w:t>
      </w:r>
    </w:p>
    <w:p w14:paraId="1564C41C" w14:textId="77777777" w:rsidR="00062049" w:rsidRPr="00934136" w:rsidRDefault="002D316F" w:rsidP="00FF30B8">
      <w:pPr>
        <w:pStyle w:val="BodyText"/>
        <w:jc w:val="right"/>
      </w:pPr>
      <w:r w:rsidRPr="00934136">
        <w:rPr>
          <w:noProof/>
          <w:lang w:eastAsia="en-AU"/>
        </w:rPr>
        <w:drawing>
          <wp:inline distT="0" distB="0" distL="0" distR="0" wp14:anchorId="0DE8F0AD" wp14:editId="425B020E">
            <wp:extent cx="1889157" cy="525145"/>
            <wp:effectExtent l="0" t="0" r="0" b="8255"/>
            <wp:docPr id="1" name="Picture 1" descr="Consumer Affairs Victor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sumer Affairs Victori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89157" cy="525145"/>
                    </a:xfrm>
                    <a:prstGeom prst="rect">
                      <a:avLst/>
                    </a:prstGeom>
                    <a:noFill/>
                    <a:ln>
                      <a:noFill/>
                    </a:ln>
                  </pic:spPr>
                </pic:pic>
              </a:graphicData>
            </a:graphic>
          </wp:inline>
        </w:drawing>
      </w:r>
    </w:p>
    <w:p w14:paraId="7F0B3FD9" w14:textId="77777777" w:rsidR="008E1660" w:rsidRPr="00934136" w:rsidRDefault="008E1660" w:rsidP="00B71C68">
      <w:pPr>
        <w:pStyle w:val="TOCHeading"/>
      </w:pPr>
      <w:r w:rsidRPr="00934136">
        <w:lastRenderedPageBreak/>
        <w:t>Contents</w:t>
      </w:r>
    </w:p>
    <w:p w14:paraId="56DD4326" w14:textId="1767A7C6" w:rsidR="00F019A5" w:rsidRDefault="00BB54D5">
      <w:pPr>
        <w:pStyle w:val="TOC1"/>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\h \z \t "Heading 1,1,Heading 2,2" </w:instrText>
      </w:r>
      <w:r>
        <w:rPr>
          <w:b w:val="0"/>
        </w:rPr>
        <w:fldChar w:fldCharType="separate"/>
      </w:r>
      <w:hyperlink w:anchor="_Toc212562057" w:history="1">
        <w:r w:rsidR="00F019A5" w:rsidRPr="00A522B0">
          <w:rPr>
            <w:rStyle w:val="Hyperlink"/>
            <w:noProof/>
          </w:rPr>
          <w:t>Letter to the Minister</w:t>
        </w:r>
        <w:r w:rsidR="00F019A5">
          <w:rPr>
            <w:noProof/>
            <w:webHidden/>
          </w:rPr>
          <w:tab/>
        </w:r>
        <w:r w:rsidR="00F019A5">
          <w:rPr>
            <w:noProof/>
            <w:webHidden/>
          </w:rPr>
          <w:fldChar w:fldCharType="begin"/>
        </w:r>
        <w:r w:rsidR="00F019A5">
          <w:rPr>
            <w:noProof/>
            <w:webHidden/>
          </w:rPr>
          <w:instrText xml:space="preserve"> PAGEREF _Toc212562057 \h </w:instrText>
        </w:r>
        <w:r w:rsidR="00F019A5">
          <w:rPr>
            <w:noProof/>
            <w:webHidden/>
          </w:rPr>
        </w:r>
        <w:r w:rsidR="00F019A5">
          <w:rPr>
            <w:noProof/>
            <w:webHidden/>
          </w:rPr>
          <w:fldChar w:fldCharType="separate"/>
        </w:r>
        <w:r w:rsidR="00F019A5">
          <w:rPr>
            <w:noProof/>
            <w:webHidden/>
          </w:rPr>
          <w:t>4</w:t>
        </w:r>
        <w:r w:rsidR="00F019A5">
          <w:rPr>
            <w:noProof/>
            <w:webHidden/>
          </w:rPr>
          <w:fldChar w:fldCharType="end"/>
        </w:r>
      </w:hyperlink>
    </w:p>
    <w:p w14:paraId="0165DB28" w14:textId="438A267B" w:rsidR="00F019A5" w:rsidRDefault="00F019A5">
      <w:pPr>
        <w:pStyle w:val="TOC1"/>
        <w:rPr>
          <w:rFonts w:asciiTheme="minorHAnsi" w:eastAsiaTheme="minorEastAsia" w:hAnsiTheme="minorHAnsi" w:cstheme="minorBidi"/>
          <w:b w:val="0"/>
          <w:noProof/>
          <w:kern w:val="2"/>
          <w:sz w:val="24"/>
          <w:szCs w:val="24"/>
          <w:lang w:eastAsia="en-AU"/>
          <w14:ligatures w14:val="standardContextual"/>
        </w:rPr>
      </w:pPr>
      <w:hyperlink w:anchor="_Toc212562058" w:history="1">
        <w:r w:rsidRPr="00A522B0">
          <w:rPr>
            <w:rStyle w:val="Hyperlink"/>
            <w:noProof/>
          </w:rPr>
          <w:t>Director’s foreword</w:t>
        </w:r>
        <w:r>
          <w:rPr>
            <w:noProof/>
            <w:webHidden/>
          </w:rPr>
          <w:tab/>
        </w:r>
        <w:r>
          <w:rPr>
            <w:noProof/>
            <w:webHidden/>
          </w:rPr>
          <w:fldChar w:fldCharType="begin"/>
        </w:r>
        <w:r>
          <w:rPr>
            <w:noProof/>
            <w:webHidden/>
          </w:rPr>
          <w:instrText xml:space="preserve"> PAGEREF _Toc212562058 \h </w:instrText>
        </w:r>
        <w:r>
          <w:rPr>
            <w:noProof/>
            <w:webHidden/>
          </w:rPr>
        </w:r>
        <w:r>
          <w:rPr>
            <w:noProof/>
            <w:webHidden/>
          </w:rPr>
          <w:fldChar w:fldCharType="separate"/>
        </w:r>
        <w:r>
          <w:rPr>
            <w:noProof/>
            <w:webHidden/>
          </w:rPr>
          <w:t>5</w:t>
        </w:r>
        <w:r>
          <w:rPr>
            <w:noProof/>
            <w:webHidden/>
          </w:rPr>
          <w:fldChar w:fldCharType="end"/>
        </w:r>
      </w:hyperlink>
    </w:p>
    <w:p w14:paraId="3B95328C" w14:textId="76F0C42A" w:rsidR="00F019A5" w:rsidRDefault="00F019A5">
      <w:pPr>
        <w:pStyle w:val="TOC1"/>
        <w:rPr>
          <w:rFonts w:asciiTheme="minorHAnsi" w:eastAsiaTheme="minorEastAsia" w:hAnsiTheme="minorHAnsi" w:cstheme="minorBidi"/>
          <w:b w:val="0"/>
          <w:noProof/>
          <w:kern w:val="2"/>
          <w:sz w:val="24"/>
          <w:szCs w:val="24"/>
          <w:lang w:eastAsia="en-AU"/>
          <w14:ligatures w14:val="standardContextual"/>
        </w:rPr>
      </w:pPr>
      <w:hyperlink w:anchor="_Toc212562059" w:history="1">
        <w:r w:rsidRPr="00A522B0">
          <w:rPr>
            <w:rStyle w:val="Hyperlink"/>
            <w:noProof/>
          </w:rPr>
          <w:t>About us</w:t>
        </w:r>
        <w:r>
          <w:rPr>
            <w:noProof/>
            <w:webHidden/>
          </w:rPr>
          <w:tab/>
        </w:r>
        <w:r>
          <w:rPr>
            <w:noProof/>
            <w:webHidden/>
          </w:rPr>
          <w:fldChar w:fldCharType="begin"/>
        </w:r>
        <w:r>
          <w:rPr>
            <w:noProof/>
            <w:webHidden/>
          </w:rPr>
          <w:instrText xml:space="preserve"> PAGEREF _Toc212562059 \h </w:instrText>
        </w:r>
        <w:r>
          <w:rPr>
            <w:noProof/>
            <w:webHidden/>
          </w:rPr>
        </w:r>
        <w:r>
          <w:rPr>
            <w:noProof/>
            <w:webHidden/>
          </w:rPr>
          <w:fldChar w:fldCharType="separate"/>
        </w:r>
        <w:r>
          <w:rPr>
            <w:noProof/>
            <w:webHidden/>
          </w:rPr>
          <w:t>8</w:t>
        </w:r>
        <w:r>
          <w:rPr>
            <w:noProof/>
            <w:webHidden/>
          </w:rPr>
          <w:fldChar w:fldCharType="end"/>
        </w:r>
      </w:hyperlink>
    </w:p>
    <w:p w14:paraId="65C0F45C" w14:textId="2AA24A6A" w:rsidR="00F019A5" w:rsidRDefault="00F019A5">
      <w:pPr>
        <w:pStyle w:val="TOC1"/>
        <w:rPr>
          <w:rFonts w:asciiTheme="minorHAnsi" w:eastAsiaTheme="minorEastAsia" w:hAnsiTheme="minorHAnsi" w:cstheme="minorBidi"/>
          <w:b w:val="0"/>
          <w:noProof/>
          <w:kern w:val="2"/>
          <w:sz w:val="24"/>
          <w:szCs w:val="24"/>
          <w:lang w:eastAsia="en-AU"/>
          <w14:ligatures w14:val="standardContextual"/>
        </w:rPr>
      </w:pPr>
      <w:hyperlink w:anchor="_Toc212562060" w:history="1">
        <w:r w:rsidRPr="00A522B0">
          <w:rPr>
            <w:rStyle w:val="Hyperlink"/>
            <w:noProof/>
          </w:rPr>
          <w:t>Our performance</w:t>
        </w:r>
        <w:r>
          <w:rPr>
            <w:noProof/>
            <w:webHidden/>
          </w:rPr>
          <w:tab/>
        </w:r>
        <w:r>
          <w:rPr>
            <w:noProof/>
            <w:webHidden/>
          </w:rPr>
          <w:fldChar w:fldCharType="begin"/>
        </w:r>
        <w:r>
          <w:rPr>
            <w:noProof/>
            <w:webHidden/>
          </w:rPr>
          <w:instrText xml:space="preserve"> PAGEREF _Toc212562060 \h </w:instrText>
        </w:r>
        <w:r>
          <w:rPr>
            <w:noProof/>
            <w:webHidden/>
          </w:rPr>
        </w:r>
        <w:r>
          <w:rPr>
            <w:noProof/>
            <w:webHidden/>
          </w:rPr>
          <w:fldChar w:fldCharType="separate"/>
        </w:r>
        <w:r>
          <w:rPr>
            <w:noProof/>
            <w:webHidden/>
          </w:rPr>
          <w:t>12</w:t>
        </w:r>
        <w:r>
          <w:rPr>
            <w:noProof/>
            <w:webHidden/>
          </w:rPr>
          <w:fldChar w:fldCharType="end"/>
        </w:r>
      </w:hyperlink>
    </w:p>
    <w:p w14:paraId="366B4803" w14:textId="350855F7" w:rsidR="00F019A5" w:rsidRDefault="00F019A5">
      <w:pPr>
        <w:pStyle w:val="TOC1"/>
        <w:rPr>
          <w:rFonts w:asciiTheme="minorHAnsi" w:eastAsiaTheme="minorEastAsia" w:hAnsiTheme="minorHAnsi" w:cstheme="minorBidi"/>
          <w:b w:val="0"/>
          <w:noProof/>
          <w:kern w:val="2"/>
          <w:sz w:val="24"/>
          <w:szCs w:val="24"/>
          <w:lang w:eastAsia="en-AU"/>
          <w14:ligatures w14:val="standardContextual"/>
        </w:rPr>
      </w:pPr>
      <w:hyperlink w:anchor="_Toc212562061" w:history="1">
        <w:r w:rsidRPr="00A522B0">
          <w:rPr>
            <w:rStyle w:val="Hyperlink"/>
            <w:noProof/>
          </w:rPr>
          <w:t>Our achievements</w:t>
        </w:r>
        <w:r>
          <w:rPr>
            <w:noProof/>
            <w:webHidden/>
          </w:rPr>
          <w:tab/>
        </w:r>
        <w:r>
          <w:rPr>
            <w:noProof/>
            <w:webHidden/>
          </w:rPr>
          <w:fldChar w:fldCharType="begin"/>
        </w:r>
        <w:r>
          <w:rPr>
            <w:noProof/>
            <w:webHidden/>
          </w:rPr>
          <w:instrText xml:space="preserve"> PAGEREF _Toc212562061 \h </w:instrText>
        </w:r>
        <w:r>
          <w:rPr>
            <w:noProof/>
            <w:webHidden/>
          </w:rPr>
        </w:r>
        <w:r>
          <w:rPr>
            <w:noProof/>
            <w:webHidden/>
          </w:rPr>
          <w:fldChar w:fldCharType="separate"/>
        </w:r>
        <w:r>
          <w:rPr>
            <w:noProof/>
            <w:webHidden/>
          </w:rPr>
          <w:t>14</w:t>
        </w:r>
        <w:r>
          <w:rPr>
            <w:noProof/>
            <w:webHidden/>
          </w:rPr>
          <w:fldChar w:fldCharType="end"/>
        </w:r>
      </w:hyperlink>
    </w:p>
    <w:p w14:paraId="4CB665B8" w14:textId="19650CB0"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62" w:history="1">
        <w:r w:rsidRPr="00A522B0">
          <w:rPr>
            <w:rStyle w:val="Hyperlink"/>
          </w:rPr>
          <w:t>Victorians exercise their consumer rights</w:t>
        </w:r>
        <w:r>
          <w:rPr>
            <w:webHidden/>
          </w:rPr>
          <w:tab/>
        </w:r>
        <w:r>
          <w:rPr>
            <w:webHidden/>
          </w:rPr>
          <w:fldChar w:fldCharType="begin"/>
        </w:r>
        <w:r>
          <w:rPr>
            <w:webHidden/>
          </w:rPr>
          <w:instrText xml:space="preserve"> PAGEREF _Toc212562062 \h </w:instrText>
        </w:r>
        <w:r>
          <w:rPr>
            <w:webHidden/>
          </w:rPr>
        </w:r>
        <w:r>
          <w:rPr>
            <w:webHidden/>
          </w:rPr>
          <w:fldChar w:fldCharType="separate"/>
        </w:r>
        <w:r>
          <w:rPr>
            <w:webHidden/>
          </w:rPr>
          <w:t>14</w:t>
        </w:r>
        <w:r>
          <w:rPr>
            <w:webHidden/>
          </w:rPr>
          <w:fldChar w:fldCharType="end"/>
        </w:r>
      </w:hyperlink>
    </w:p>
    <w:p w14:paraId="0C691A64" w14:textId="4350274F"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63" w:history="1">
        <w:r w:rsidRPr="00A522B0">
          <w:rPr>
            <w:rStyle w:val="Hyperlink"/>
          </w:rPr>
          <w:t>Businesses and rental providers do the right thing</w:t>
        </w:r>
        <w:r>
          <w:rPr>
            <w:webHidden/>
          </w:rPr>
          <w:tab/>
        </w:r>
        <w:r>
          <w:rPr>
            <w:webHidden/>
          </w:rPr>
          <w:fldChar w:fldCharType="begin"/>
        </w:r>
        <w:r>
          <w:rPr>
            <w:webHidden/>
          </w:rPr>
          <w:instrText xml:space="preserve"> PAGEREF _Toc212562063 \h </w:instrText>
        </w:r>
        <w:r>
          <w:rPr>
            <w:webHidden/>
          </w:rPr>
        </w:r>
        <w:r>
          <w:rPr>
            <w:webHidden/>
          </w:rPr>
          <w:fldChar w:fldCharType="separate"/>
        </w:r>
        <w:r>
          <w:rPr>
            <w:webHidden/>
          </w:rPr>
          <w:t>21</w:t>
        </w:r>
        <w:r>
          <w:rPr>
            <w:webHidden/>
          </w:rPr>
          <w:fldChar w:fldCharType="end"/>
        </w:r>
      </w:hyperlink>
    </w:p>
    <w:p w14:paraId="372619F0" w14:textId="3D7FE878"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64" w:history="1">
        <w:r w:rsidRPr="00A522B0">
          <w:rPr>
            <w:rStyle w:val="Hyperlink"/>
          </w:rPr>
          <w:t>CAV is a trusted regulator</w:t>
        </w:r>
        <w:r>
          <w:rPr>
            <w:webHidden/>
          </w:rPr>
          <w:tab/>
        </w:r>
        <w:r>
          <w:rPr>
            <w:webHidden/>
          </w:rPr>
          <w:fldChar w:fldCharType="begin"/>
        </w:r>
        <w:r>
          <w:rPr>
            <w:webHidden/>
          </w:rPr>
          <w:instrText xml:space="preserve"> PAGEREF _Toc212562064 \h </w:instrText>
        </w:r>
        <w:r>
          <w:rPr>
            <w:webHidden/>
          </w:rPr>
        </w:r>
        <w:r>
          <w:rPr>
            <w:webHidden/>
          </w:rPr>
          <w:fldChar w:fldCharType="separate"/>
        </w:r>
        <w:r>
          <w:rPr>
            <w:webHidden/>
          </w:rPr>
          <w:t>33</w:t>
        </w:r>
        <w:r>
          <w:rPr>
            <w:webHidden/>
          </w:rPr>
          <w:fldChar w:fldCharType="end"/>
        </w:r>
      </w:hyperlink>
    </w:p>
    <w:p w14:paraId="4BBDDB16" w14:textId="57118F1A" w:rsidR="00F019A5" w:rsidRDefault="00F019A5">
      <w:pPr>
        <w:pStyle w:val="TOC1"/>
        <w:rPr>
          <w:rFonts w:asciiTheme="minorHAnsi" w:eastAsiaTheme="minorEastAsia" w:hAnsiTheme="minorHAnsi" w:cstheme="minorBidi"/>
          <w:b w:val="0"/>
          <w:noProof/>
          <w:kern w:val="2"/>
          <w:sz w:val="24"/>
          <w:szCs w:val="24"/>
          <w:lang w:eastAsia="en-AU"/>
          <w14:ligatures w14:val="standardContextual"/>
        </w:rPr>
      </w:pPr>
      <w:hyperlink w:anchor="_Toc212562065" w:history="1">
        <w:r w:rsidRPr="00A522B0">
          <w:rPr>
            <w:rStyle w:val="Hyperlink"/>
            <w:noProof/>
          </w:rPr>
          <w:t>Financial information 2024–25</w:t>
        </w:r>
        <w:r>
          <w:rPr>
            <w:noProof/>
            <w:webHidden/>
          </w:rPr>
          <w:tab/>
        </w:r>
        <w:r>
          <w:rPr>
            <w:noProof/>
            <w:webHidden/>
          </w:rPr>
          <w:fldChar w:fldCharType="begin"/>
        </w:r>
        <w:r>
          <w:rPr>
            <w:noProof/>
            <w:webHidden/>
          </w:rPr>
          <w:instrText xml:space="preserve"> PAGEREF _Toc212562065 \h </w:instrText>
        </w:r>
        <w:r>
          <w:rPr>
            <w:noProof/>
            <w:webHidden/>
          </w:rPr>
        </w:r>
        <w:r>
          <w:rPr>
            <w:noProof/>
            <w:webHidden/>
          </w:rPr>
          <w:fldChar w:fldCharType="separate"/>
        </w:r>
        <w:r>
          <w:rPr>
            <w:noProof/>
            <w:webHidden/>
          </w:rPr>
          <w:t>41</w:t>
        </w:r>
        <w:r>
          <w:rPr>
            <w:noProof/>
            <w:webHidden/>
          </w:rPr>
          <w:fldChar w:fldCharType="end"/>
        </w:r>
      </w:hyperlink>
    </w:p>
    <w:p w14:paraId="4D8ABF19" w14:textId="509A8051" w:rsidR="00F019A5" w:rsidRDefault="00F019A5">
      <w:pPr>
        <w:pStyle w:val="TOC1"/>
        <w:rPr>
          <w:rFonts w:asciiTheme="minorHAnsi" w:eastAsiaTheme="minorEastAsia" w:hAnsiTheme="minorHAnsi" w:cstheme="minorBidi"/>
          <w:b w:val="0"/>
          <w:noProof/>
          <w:kern w:val="2"/>
          <w:sz w:val="24"/>
          <w:szCs w:val="24"/>
          <w:lang w:eastAsia="en-AU"/>
          <w14:ligatures w14:val="standardContextual"/>
        </w:rPr>
      </w:pPr>
      <w:hyperlink w:anchor="_Toc212562066" w:history="1">
        <w:r w:rsidRPr="00A522B0">
          <w:rPr>
            <w:rStyle w:val="Hyperlink"/>
            <w:noProof/>
          </w:rPr>
          <w:t xml:space="preserve">Acts and regulations administered by CAV: </w:t>
        </w:r>
        <w:r>
          <w:rPr>
            <w:rStyle w:val="Hyperlink"/>
            <w:noProof/>
          </w:rPr>
          <w:br/>
        </w:r>
        <w:r w:rsidRPr="00A522B0">
          <w:rPr>
            <w:rStyle w:val="Hyperlink"/>
            <w:noProof/>
          </w:rPr>
          <w:t>passed, commenced, made and revoked in 2024–25</w:t>
        </w:r>
        <w:r>
          <w:rPr>
            <w:noProof/>
            <w:webHidden/>
          </w:rPr>
          <w:tab/>
        </w:r>
        <w:r>
          <w:rPr>
            <w:noProof/>
            <w:webHidden/>
          </w:rPr>
          <w:fldChar w:fldCharType="begin"/>
        </w:r>
        <w:r>
          <w:rPr>
            <w:noProof/>
            <w:webHidden/>
          </w:rPr>
          <w:instrText xml:space="preserve"> PAGEREF _Toc212562066 \h </w:instrText>
        </w:r>
        <w:r>
          <w:rPr>
            <w:noProof/>
            <w:webHidden/>
          </w:rPr>
        </w:r>
        <w:r>
          <w:rPr>
            <w:noProof/>
            <w:webHidden/>
          </w:rPr>
          <w:fldChar w:fldCharType="separate"/>
        </w:r>
        <w:r>
          <w:rPr>
            <w:noProof/>
            <w:webHidden/>
          </w:rPr>
          <w:t>42</w:t>
        </w:r>
        <w:r>
          <w:rPr>
            <w:noProof/>
            <w:webHidden/>
          </w:rPr>
          <w:fldChar w:fldCharType="end"/>
        </w:r>
      </w:hyperlink>
    </w:p>
    <w:p w14:paraId="5ED1EF55" w14:textId="42C0C258" w:rsidR="00F019A5" w:rsidRDefault="00F019A5">
      <w:pPr>
        <w:pStyle w:val="TOC1"/>
        <w:rPr>
          <w:rFonts w:asciiTheme="minorHAnsi" w:eastAsiaTheme="minorEastAsia" w:hAnsiTheme="minorHAnsi" w:cstheme="minorBidi"/>
          <w:b w:val="0"/>
          <w:noProof/>
          <w:kern w:val="2"/>
          <w:sz w:val="24"/>
          <w:szCs w:val="24"/>
          <w:lang w:eastAsia="en-AU"/>
          <w14:ligatures w14:val="standardContextual"/>
        </w:rPr>
      </w:pPr>
      <w:hyperlink w:anchor="_Toc212562067" w:history="1">
        <w:r w:rsidRPr="00A522B0">
          <w:rPr>
            <w:rStyle w:val="Hyperlink"/>
            <w:noProof/>
          </w:rPr>
          <w:t>Legislation administered by CAV as at 30 June 2025</w:t>
        </w:r>
        <w:r>
          <w:rPr>
            <w:noProof/>
            <w:webHidden/>
          </w:rPr>
          <w:tab/>
        </w:r>
        <w:r>
          <w:rPr>
            <w:noProof/>
            <w:webHidden/>
          </w:rPr>
          <w:fldChar w:fldCharType="begin"/>
        </w:r>
        <w:r>
          <w:rPr>
            <w:noProof/>
            <w:webHidden/>
          </w:rPr>
          <w:instrText xml:space="preserve"> PAGEREF _Toc212562067 \h </w:instrText>
        </w:r>
        <w:r>
          <w:rPr>
            <w:noProof/>
            <w:webHidden/>
          </w:rPr>
        </w:r>
        <w:r>
          <w:rPr>
            <w:noProof/>
            <w:webHidden/>
          </w:rPr>
          <w:fldChar w:fldCharType="separate"/>
        </w:r>
        <w:r>
          <w:rPr>
            <w:noProof/>
            <w:webHidden/>
          </w:rPr>
          <w:t>44</w:t>
        </w:r>
        <w:r>
          <w:rPr>
            <w:noProof/>
            <w:webHidden/>
          </w:rPr>
          <w:fldChar w:fldCharType="end"/>
        </w:r>
      </w:hyperlink>
    </w:p>
    <w:p w14:paraId="1BFEDF8D" w14:textId="36D77422" w:rsidR="00856406" w:rsidRDefault="00BB54D5" w:rsidP="00856406">
      <w:pPr>
        <w:pStyle w:val="BodyText"/>
      </w:pPr>
      <w:r>
        <w:rPr>
          <w:rFonts w:eastAsia="Calibri" w:cs="Times New Roman"/>
          <w:b/>
          <w:szCs w:val="22"/>
        </w:rPr>
        <w:fldChar w:fldCharType="end"/>
      </w:r>
    </w:p>
    <w:p w14:paraId="7A843DF0" w14:textId="77777777" w:rsidR="00856406" w:rsidRDefault="00856406">
      <w:pPr>
        <w:spacing w:after="0" w:line="240" w:lineRule="auto"/>
        <w:rPr>
          <w:rFonts w:ascii="Arial" w:eastAsia="Times New Roman" w:hAnsi="Arial" w:cs="Arial"/>
          <w:sz w:val="20"/>
          <w:szCs w:val="24"/>
        </w:rPr>
      </w:pPr>
      <w:r>
        <w:br w:type="page"/>
      </w:r>
    </w:p>
    <w:p w14:paraId="5C714625" w14:textId="6EE9183C" w:rsidR="005F6712" w:rsidRDefault="005F6712" w:rsidP="005F6712">
      <w:pPr>
        <w:pStyle w:val="TOCHeading"/>
      </w:pPr>
      <w:bookmarkStart w:id="0" w:name="_Toc211518571"/>
      <w:bookmarkStart w:id="1" w:name="_Toc204243138"/>
      <w:r>
        <w:lastRenderedPageBreak/>
        <w:t xml:space="preserve">List of </w:t>
      </w:r>
      <w:r w:rsidR="00D371D1">
        <w:t>T</w:t>
      </w:r>
      <w:r>
        <w:t>ables</w:t>
      </w:r>
    </w:p>
    <w:p w14:paraId="47D5BE35" w14:textId="5FB972DF" w:rsidR="00F019A5" w:rsidRDefault="005F6712">
      <w:pPr>
        <w:pStyle w:val="TOC2"/>
        <w:rPr>
          <w:rFonts w:asciiTheme="minorHAnsi" w:eastAsiaTheme="minorEastAsia" w:hAnsiTheme="minorHAnsi" w:cstheme="minorBidi"/>
          <w:kern w:val="2"/>
          <w:sz w:val="24"/>
          <w:szCs w:val="24"/>
          <w:lang w:eastAsia="en-AU"/>
          <w14:ligatures w14:val="standardContextual"/>
        </w:rPr>
      </w:pPr>
      <w:r>
        <w:fldChar w:fldCharType="begin"/>
      </w:r>
      <w:r>
        <w:instrText xml:space="preserve"> TOC \h \z \t "Caption,2" </w:instrText>
      </w:r>
      <w:r>
        <w:fldChar w:fldCharType="separate"/>
      </w:r>
      <w:hyperlink w:anchor="_Toc212562068" w:history="1">
        <w:r w:rsidR="00F019A5" w:rsidRPr="004470BD">
          <w:rPr>
            <w:rStyle w:val="Hyperlink"/>
          </w:rPr>
          <w:t>Table 1: Department Performance Statement results</w:t>
        </w:r>
        <w:r w:rsidR="00F019A5">
          <w:rPr>
            <w:webHidden/>
          </w:rPr>
          <w:tab/>
        </w:r>
        <w:r w:rsidR="00F019A5">
          <w:rPr>
            <w:webHidden/>
          </w:rPr>
          <w:fldChar w:fldCharType="begin"/>
        </w:r>
        <w:r w:rsidR="00F019A5">
          <w:rPr>
            <w:webHidden/>
          </w:rPr>
          <w:instrText xml:space="preserve"> PAGEREF _Toc212562068 \h </w:instrText>
        </w:r>
        <w:r w:rsidR="00F019A5">
          <w:rPr>
            <w:webHidden/>
          </w:rPr>
        </w:r>
        <w:r w:rsidR="00F019A5">
          <w:rPr>
            <w:webHidden/>
          </w:rPr>
          <w:fldChar w:fldCharType="separate"/>
        </w:r>
        <w:r w:rsidR="00F019A5">
          <w:rPr>
            <w:webHidden/>
          </w:rPr>
          <w:t>13</w:t>
        </w:r>
        <w:r w:rsidR="00F019A5">
          <w:rPr>
            <w:webHidden/>
          </w:rPr>
          <w:fldChar w:fldCharType="end"/>
        </w:r>
      </w:hyperlink>
    </w:p>
    <w:p w14:paraId="6DEEC421" w14:textId="7DFD37A2"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69" w:history="1">
        <w:r w:rsidRPr="004470BD">
          <w:rPr>
            <w:rStyle w:val="Hyperlink"/>
          </w:rPr>
          <w:t>Table 2: Information, advice and assistance provided</w:t>
        </w:r>
        <w:r>
          <w:rPr>
            <w:webHidden/>
          </w:rPr>
          <w:tab/>
        </w:r>
        <w:r>
          <w:rPr>
            <w:webHidden/>
          </w:rPr>
          <w:fldChar w:fldCharType="begin"/>
        </w:r>
        <w:r>
          <w:rPr>
            <w:webHidden/>
          </w:rPr>
          <w:instrText xml:space="preserve"> PAGEREF _Toc212562069 \h </w:instrText>
        </w:r>
        <w:r>
          <w:rPr>
            <w:webHidden/>
          </w:rPr>
        </w:r>
        <w:r>
          <w:rPr>
            <w:webHidden/>
          </w:rPr>
          <w:fldChar w:fldCharType="separate"/>
        </w:r>
        <w:r>
          <w:rPr>
            <w:webHidden/>
          </w:rPr>
          <w:t>15</w:t>
        </w:r>
        <w:r>
          <w:rPr>
            <w:webHidden/>
          </w:rPr>
          <w:fldChar w:fldCharType="end"/>
        </w:r>
      </w:hyperlink>
    </w:p>
    <w:p w14:paraId="7BE70DC3" w14:textId="655872CC"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0" w:history="1">
        <w:r w:rsidRPr="004470BD">
          <w:rPr>
            <w:rStyle w:val="Hyperlink"/>
          </w:rPr>
          <w:t>Table 3: Information, advice and service delivery to renters, rental providers and agents</w:t>
        </w:r>
        <w:r>
          <w:rPr>
            <w:webHidden/>
          </w:rPr>
          <w:tab/>
        </w:r>
        <w:r>
          <w:rPr>
            <w:webHidden/>
          </w:rPr>
          <w:fldChar w:fldCharType="begin"/>
        </w:r>
        <w:r>
          <w:rPr>
            <w:webHidden/>
          </w:rPr>
          <w:instrText xml:space="preserve"> PAGEREF _Toc212562070 \h </w:instrText>
        </w:r>
        <w:r>
          <w:rPr>
            <w:webHidden/>
          </w:rPr>
        </w:r>
        <w:r>
          <w:rPr>
            <w:webHidden/>
          </w:rPr>
          <w:fldChar w:fldCharType="separate"/>
        </w:r>
        <w:r>
          <w:rPr>
            <w:webHidden/>
          </w:rPr>
          <w:t>16</w:t>
        </w:r>
        <w:r>
          <w:rPr>
            <w:webHidden/>
          </w:rPr>
          <w:fldChar w:fldCharType="end"/>
        </w:r>
      </w:hyperlink>
    </w:p>
    <w:p w14:paraId="6A07E1B5" w14:textId="5CE6E9BC"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1" w:history="1">
        <w:r w:rsidRPr="004470BD">
          <w:rPr>
            <w:rStyle w:val="Hyperlink"/>
          </w:rPr>
          <w:t>Table 4: Grants in progress 2024–25</w:t>
        </w:r>
        <w:r>
          <w:rPr>
            <w:webHidden/>
          </w:rPr>
          <w:tab/>
        </w:r>
        <w:r>
          <w:rPr>
            <w:webHidden/>
          </w:rPr>
          <w:fldChar w:fldCharType="begin"/>
        </w:r>
        <w:r>
          <w:rPr>
            <w:webHidden/>
          </w:rPr>
          <w:instrText xml:space="preserve"> PAGEREF _Toc212562071 \h </w:instrText>
        </w:r>
        <w:r>
          <w:rPr>
            <w:webHidden/>
          </w:rPr>
        </w:r>
        <w:r>
          <w:rPr>
            <w:webHidden/>
          </w:rPr>
          <w:fldChar w:fldCharType="separate"/>
        </w:r>
        <w:r>
          <w:rPr>
            <w:webHidden/>
          </w:rPr>
          <w:t>19</w:t>
        </w:r>
        <w:r>
          <w:rPr>
            <w:webHidden/>
          </w:rPr>
          <w:fldChar w:fldCharType="end"/>
        </w:r>
      </w:hyperlink>
    </w:p>
    <w:p w14:paraId="4B6ABDEF" w14:textId="54C451A4"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2" w:history="1">
        <w:r w:rsidRPr="004470BD">
          <w:rPr>
            <w:rStyle w:val="Hyperlink"/>
          </w:rPr>
          <w:t>Table 5: Registers administered by CAV</w:t>
        </w:r>
        <w:r>
          <w:rPr>
            <w:webHidden/>
          </w:rPr>
          <w:tab/>
        </w:r>
        <w:r>
          <w:rPr>
            <w:webHidden/>
          </w:rPr>
          <w:fldChar w:fldCharType="begin"/>
        </w:r>
        <w:r>
          <w:rPr>
            <w:webHidden/>
          </w:rPr>
          <w:instrText xml:space="preserve"> PAGEREF _Toc212562072 \h </w:instrText>
        </w:r>
        <w:r>
          <w:rPr>
            <w:webHidden/>
          </w:rPr>
        </w:r>
        <w:r>
          <w:rPr>
            <w:webHidden/>
          </w:rPr>
          <w:fldChar w:fldCharType="separate"/>
        </w:r>
        <w:r>
          <w:rPr>
            <w:webHidden/>
          </w:rPr>
          <w:t>22</w:t>
        </w:r>
        <w:r>
          <w:rPr>
            <w:webHidden/>
          </w:rPr>
          <w:fldChar w:fldCharType="end"/>
        </w:r>
      </w:hyperlink>
    </w:p>
    <w:p w14:paraId="59056A37" w14:textId="7471F9EB"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3" w:history="1">
        <w:r w:rsidRPr="004470BD">
          <w:rPr>
            <w:rStyle w:val="Hyperlink"/>
            <w:lang w:eastAsia="ja-JP"/>
          </w:rPr>
          <w:t>Table 6: Renting taskforce activities</w:t>
        </w:r>
        <w:r>
          <w:rPr>
            <w:webHidden/>
          </w:rPr>
          <w:tab/>
        </w:r>
        <w:r>
          <w:rPr>
            <w:webHidden/>
          </w:rPr>
          <w:fldChar w:fldCharType="begin"/>
        </w:r>
        <w:r>
          <w:rPr>
            <w:webHidden/>
          </w:rPr>
          <w:instrText xml:space="preserve"> PAGEREF _Toc212562073 \h </w:instrText>
        </w:r>
        <w:r>
          <w:rPr>
            <w:webHidden/>
          </w:rPr>
        </w:r>
        <w:r>
          <w:rPr>
            <w:webHidden/>
          </w:rPr>
          <w:fldChar w:fldCharType="separate"/>
        </w:r>
        <w:r>
          <w:rPr>
            <w:webHidden/>
          </w:rPr>
          <w:t>25</w:t>
        </w:r>
        <w:r>
          <w:rPr>
            <w:webHidden/>
          </w:rPr>
          <w:fldChar w:fldCharType="end"/>
        </w:r>
      </w:hyperlink>
    </w:p>
    <w:p w14:paraId="3FC8AB81" w14:textId="7A5F34F6"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4" w:history="1">
        <w:r w:rsidRPr="004470BD">
          <w:rPr>
            <w:rStyle w:val="Hyperlink"/>
          </w:rPr>
          <w:t>Table 7: Underquoting taskforce activities</w:t>
        </w:r>
        <w:r>
          <w:rPr>
            <w:webHidden/>
          </w:rPr>
          <w:tab/>
        </w:r>
        <w:r>
          <w:rPr>
            <w:webHidden/>
          </w:rPr>
          <w:fldChar w:fldCharType="begin"/>
        </w:r>
        <w:r>
          <w:rPr>
            <w:webHidden/>
          </w:rPr>
          <w:instrText xml:space="preserve"> PAGEREF _Toc212562074 \h </w:instrText>
        </w:r>
        <w:r>
          <w:rPr>
            <w:webHidden/>
          </w:rPr>
        </w:r>
        <w:r>
          <w:rPr>
            <w:webHidden/>
          </w:rPr>
          <w:fldChar w:fldCharType="separate"/>
        </w:r>
        <w:r>
          <w:rPr>
            <w:webHidden/>
          </w:rPr>
          <w:t>26</w:t>
        </w:r>
        <w:r>
          <w:rPr>
            <w:webHidden/>
          </w:rPr>
          <w:fldChar w:fldCharType="end"/>
        </w:r>
      </w:hyperlink>
    </w:p>
    <w:p w14:paraId="10684071" w14:textId="0ADECA7C"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5" w:history="1">
        <w:r w:rsidRPr="004470BD">
          <w:rPr>
            <w:rStyle w:val="Hyperlink"/>
          </w:rPr>
          <w:t>Table 8: VPF claims</w:t>
        </w:r>
        <w:r>
          <w:rPr>
            <w:webHidden/>
          </w:rPr>
          <w:tab/>
        </w:r>
        <w:r>
          <w:rPr>
            <w:webHidden/>
          </w:rPr>
          <w:fldChar w:fldCharType="begin"/>
        </w:r>
        <w:r>
          <w:rPr>
            <w:webHidden/>
          </w:rPr>
          <w:instrText xml:space="preserve"> PAGEREF _Toc212562075 \h </w:instrText>
        </w:r>
        <w:r>
          <w:rPr>
            <w:webHidden/>
          </w:rPr>
        </w:r>
        <w:r>
          <w:rPr>
            <w:webHidden/>
          </w:rPr>
          <w:fldChar w:fldCharType="separate"/>
        </w:r>
        <w:r>
          <w:rPr>
            <w:webHidden/>
          </w:rPr>
          <w:t>27</w:t>
        </w:r>
        <w:r>
          <w:rPr>
            <w:webHidden/>
          </w:rPr>
          <w:fldChar w:fldCharType="end"/>
        </w:r>
      </w:hyperlink>
    </w:p>
    <w:p w14:paraId="0A7CFAF5" w14:textId="5587397A"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6" w:history="1">
        <w:r w:rsidRPr="004470BD">
          <w:rPr>
            <w:rStyle w:val="Hyperlink"/>
          </w:rPr>
          <w:t>Table 9: MCTGF claims</w:t>
        </w:r>
        <w:r>
          <w:rPr>
            <w:webHidden/>
          </w:rPr>
          <w:tab/>
        </w:r>
        <w:r>
          <w:rPr>
            <w:webHidden/>
          </w:rPr>
          <w:fldChar w:fldCharType="begin"/>
        </w:r>
        <w:r>
          <w:rPr>
            <w:webHidden/>
          </w:rPr>
          <w:instrText xml:space="preserve"> PAGEREF _Toc212562076 \h </w:instrText>
        </w:r>
        <w:r>
          <w:rPr>
            <w:webHidden/>
          </w:rPr>
        </w:r>
        <w:r>
          <w:rPr>
            <w:webHidden/>
          </w:rPr>
          <w:fldChar w:fldCharType="separate"/>
        </w:r>
        <w:r>
          <w:rPr>
            <w:webHidden/>
          </w:rPr>
          <w:t>28</w:t>
        </w:r>
        <w:r>
          <w:rPr>
            <w:webHidden/>
          </w:rPr>
          <w:fldChar w:fldCharType="end"/>
        </w:r>
      </w:hyperlink>
    </w:p>
    <w:p w14:paraId="77B43C8D" w14:textId="1B55478A"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7" w:history="1">
        <w:r w:rsidRPr="004470BD">
          <w:rPr>
            <w:rStyle w:val="Hyperlink"/>
          </w:rPr>
          <w:t>Table 10: Public warnings issued in 2024–25</w:t>
        </w:r>
        <w:r>
          <w:rPr>
            <w:webHidden/>
          </w:rPr>
          <w:tab/>
        </w:r>
        <w:r>
          <w:rPr>
            <w:webHidden/>
          </w:rPr>
          <w:fldChar w:fldCharType="begin"/>
        </w:r>
        <w:r>
          <w:rPr>
            <w:webHidden/>
          </w:rPr>
          <w:instrText xml:space="preserve"> PAGEREF _Toc212562077 \h </w:instrText>
        </w:r>
        <w:r>
          <w:rPr>
            <w:webHidden/>
          </w:rPr>
        </w:r>
        <w:r>
          <w:rPr>
            <w:webHidden/>
          </w:rPr>
          <w:fldChar w:fldCharType="separate"/>
        </w:r>
        <w:r>
          <w:rPr>
            <w:webHidden/>
          </w:rPr>
          <w:t>29</w:t>
        </w:r>
        <w:r>
          <w:rPr>
            <w:webHidden/>
          </w:rPr>
          <w:fldChar w:fldCharType="end"/>
        </w:r>
      </w:hyperlink>
    </w:p>
    <w:p w14:paraId="5883EC3A" w14:textId="4F7A494D"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8" w:history="1">
        <w:r w:rsidRPr="004470BD">
          <w:rPr>
            <w:rStyle w:val="Hyperlink"/>
          </w:rPr>
          <w:t>Table 11: Criminal prosecutions finalised</w:t>
        </w:r>
        <w:r>
          <w:rPr>
            <w:webHidden/>
          </w:rPr>
          <w:tab/>
        </w:r>
        <w:r>
          <w:rPr>
            <w:webHidden/>
          </w:rPr>
          <w:fldChar w:fldCharType="begin"/>
        </w:r>
        <w:r>
          <w:rPr>
            <w:webHidden/>
          </w:rPr>
          <w:instrText xml:space="preserve"> PAGEREF _Toc212562078 \h </w:instrText>
        </w:r>
        <w:r>
          <w:rPr>
            <w:webHidden/>
          </w:rPr>
        </w:r>
        <w:r>
          <w:rPr>
            <w:webHidden/>
          </w:rPr>
          <w:fldChar w:fldCharType="separate"/>
        </w:r>
        <w:r>
          <w:rPr>
            <w:webHidden/>
          </w:rPr>
          <w:t>30</w:t>
        </w:r>
        <w:r>
          <w:rPr>
            <w:webHidden/>
          </w:rPr>
          <w:fldChar w:fldCharType="end"/>
        </w:r>
      </w:hyperlink>
    </w:p>
    <w:p w14:paraId="580A426A" w14:textId="367A328E"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79" w:history="1">
        <w:r w:rsidRPr="004470BD">
          <w:rPr>
            <w:rStyle w:val="Hyperlink"/>
          </w:rPr>
          <w:t>Table 12: Civil proceedings finalised (including disciplinary inquiries)</w:t>
        </w:r>
        <w:r>
          <w:rPr>
            <w:webHidden/>
          </w:rPr>
          <w:tab/>
        </w:r>
        <w:r>
          <w:rPr>
            <w:webHidden/>
          </w:rPr>
          <w:fldChar w:fldCharType="begin"/>
        </w:r>
        <w:r>
          <w:rPr>
            <w:webHidden/>
          </w:rPr>
          <w:instrText xml:space="preserve"> PAGEREF _Toc212562079 \h </w:instrText>
        </w:r>
        <w:r>
          <w:rPr>
            <w:webHidden/>
          </w:rPr>
        </w:r>
        <w:r>
          <w:rPr>
            <w:webHidden/>
          </w:rPr>
          <w:fldChar w:fldCharType="separate"/>
        </w:r>
        <w:r>
          <w:rPr>
            <w:webHidden/>
          </w:rPr>
          <w:t>31</w:t>
        </w:r>
        <w:r>
          <w:rPr>
            <w:webHidden/>
          </w:rPr>
          <w:fldChar w:fldCharType="end"/>
        </w:r>
      </w:hyperlink>
    </w:p>
    <w:p w14:paraId="1CA2B214" w14:textId="529202C7"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0" w:history="1">
        <w:r w:rsidRPr="004470BD">
          <w:rPr>
            <w:rStyle w:val="Hyperlink"/>
          </w:rPr>
          <w:t>Table 13: Criminal prosecutions ongoing</w:t>
        </w:r>
        <w:r>
          <w:rPr>
            <w:webHidden/>
          </w:rPr>
          <w:tab/>
        </w:r>
        <w:r>
          <w:rPr>
            <w:webHidden/>
          </w:rPr>
          <w:fldChar w:fldCharType="begin"/>
        </w:r>
        <w:r>
          <w:rPr>
            <w:webHidden/>
          </w:rPr>
          <w:instrText xml:space="preserve"> PAGEREF _Toc212562080 \h </w:instrText>
        </w:r>
        <w:r>
          <w:rPr>
            <w:webHidden/>
          </w:rPr>
        </w:r>
        <w:r>
          <w:rPr>
            <w:webHidden/>
          </w:rPr>
          <w:fldChar w:fldCharType="separate"/>
        </w:r>
        <w:r>
          <w:rPr>
            <w:webHidden/>
          </w:rPr>
          <w:t>31</w:t>
        </w:r>
        <w:r>
          <w:rPr>
            <w:webHidden/>
          </w:rPr>
          <w:fldChar w:fldCharType="end"/>
        </w:r>
      </w:hyperlink>
    </w:p>
    <w:p w14:paraId="28966D61" w14:textId="6DB95234"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1" w:history="1">
        <w:r w:rsidRPr="004470BD">
          <w:rPr>
            <w:rStyle w:val="Hyperlink"/>
          </w:rPr>
          <w:t>Table 14: Civil proceedings ongoing (including disciplinary inquiries)</w:t>
        </w:r>
        <w:r>
          <w:rPr>
            <w:webHidden/>
          </w:rPr>
          <w:tab/>
        </w:r>
        <w:r>
          <w:rPr>
            <w:webHidden/>
          </w:rPr>
          <w:fldChar w:fldCharType="begin"/>
        </w:r>
        <w:r>
          <w:rPr>
            <w:webHidden/>
          </w:rPr>
          <w:instrText xml:space="preserve"> PAGEREF _Toc212562081 \h </w:instrText>
        </w:r>
        <w:r>
          <w:rPr>
            <w:webHidden/>
          </w:rPr>
        </w:r>
        <w:r>
          <w:rPr>
            <w:webHidden/>
          </w:rPr>
          <w:fldChar w:fldCharType="separate"/>
        </w:r>
        <w:r>
          <w:rPr>
            <w:webHidden/>
          </w:rPr>
          <w:t>32</w:t>
        </w:r>
        <w:r>
          <w:rPr>
            <w:webHidden/>
          </w:rPr>
          <w:fldChar w:fldCharType="end"/>
        </w:r>
      </w:hyperlink>
    </w:p>
    <w:p w14:paraId="2DEED9FD" w14:textId="28EEE38A"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2" w:history="1">
        <w:r w:rsidRPr="004470BD">
          <w:rPr>
            <w:rStyle w:val="Hyperlink"/>
          </w:rPr>
          <w:t>Table 15: Compliance, licensing and registration activity undertaken</w:t>
        </w:r>
        <w:r>
          <w:rPr>
            <w:webHidden/>
          </w:rPr>
          <w:tab/>
        </w:r>
        <w:r>
          <w:rPr>
            <w:webHidden/>
          </w:rPr>
          <w:fldChar w:fldCharType="begin"/>
        </w:r>
        <w:r>
          <w:rPr>
            <w:webHidden/>
          </w:rPr>
          <w:instrText xml:space="preserve"> PAGEREF _Toc212562082 \h </w:instrText>
        </w:r>
        <w:r>
          <w:rPr>
            <w:webHidden/>
          </w:rPr>
        </w:r>
        <w:r>
          <w:rPr>
            <w:webHidden/>
          </w:rPr>
          <w:fldChar w:fldCharType="separate"/>
        </w:r>
        <w:r>
          <w:rPr>
            <w:webHidden/>
          </w:rPr>
          <w:t>32</w:t>
        </w:r>
        <w:r>
          <w:rPr>
            <w:webHidden/>
          </w:rPr>
          <w:fldChar w:fldCharType="end"/>
        </w:r>
      </w:hyperlink>
    </w:p>
    <w:p w14:paraId="3F2D77C8" w14:textId="4DCDF0EC"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3" w:history="1">
        <w:r w:rsidRPr="004470BD">
          <w:rPr>
            <w:rStyle w:val="Hyperlink"/>
          </w:rPr>
          <w:t>Table 16: Trust funds administered by CAV</w:t>
        </w:r>
        <w:r>
          <w:rPr>
            <w:webHidden/>
          </w:rPr>
          <w:tab/>
        </w:r>
        <w:r>
          <w:rPr>
            <w:webHidden/>
          </w:rPr>
          <w:fldChar w:fldCharType="begin"/>
        </w:r>
        <w:r>
          <w:rPr>
            <w:webHidden/>
          </w:rPr>
          <w:instrText xml:space="preserve"> PAGEREF _Toc212562083 \h </w:instrText>
        </w:r>
        <w:r>
          <w:rPr>
            <w:webHidden/>
          </w:rPr>
        </w:r>
        <w:r>
          <w:rPr>
            <w:webHidden/>
          </w:rPr>
          <w:fldChar w:fldCharType="separate"/>
        </w:r>
        <w:r>
          <w:rPr>
            <w:webHidden/>
          </w:rPr>
          <w:t>40</w:t>
        </w:r>
        <w:r>
          <w:rPr>
            <w:webHidden/>
          </w:rPr>
          <w:fldChar w:fldCharType="end"/>
        </w:r>
      </w:hyperlink>
    </w:p>
    <w:p w14:paraId="4E590853" w14:textId="5667306A"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4" w:history="1">
        <w:r w:rsidRPr="004470BD">
          <w:rPr>
            <w:rStyle w:val="Hyperlink"/>
          </w:rPr>
          <w:t>Table 17: Financial information 2024–25</w:t>
        </w:r>
        <w:r>
          <w:rPr>
            <w:webHidden/>
          </w:rPr>
          <w:tab/>
        </w:r>
        <w:r>
          <w:rPr>
            <w:webHidden/>
          </w:rPr>
          <w:fldChar w:fldCharType="begin"/>
        </w:r>
        <w:r>
          <w:rPr>
            <w:webHidden/>
          </w:rPr>
          <w:instrText xml:space="preserve"> PAGEREF _Toc212562084 \h </w:instrText>
        </w:r>
        <w:r>
          <w:rPr>
            <w:webHidden/>
          </w:rPr>
        </w:r>
        <w:r>
          <w:rPr>
            <w:webHidden/>
          </w:rPr>
          <w:fldChar w:fldCharType="separate"/>
        </w:r>
        <w:r>
          <w:rPr>
            <w:webHidden/>
          </w:rPr>
          <w:t>41</w:t>
        </w:r>
        <w:r>
          <w:rPr>
            <w:webHidden/>
          </w:rPr>
          <w:fldChar w:fldCharType="end"/>
        </w:r>
      </w:hyperlink>
    </w:p>
    <w:p w14:paraId="48A13BBB" w14:textId="11B87809"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5" w:history="1">
        <w:r w:rsidRPr="004470BD">
          <w:rPr>
            <w:rStyle w:val="Hyperlink"/>
          </w:rPr>
          <w:t>Table 18: Acts passed</w:t>
        </w:r>
        <w:r>
          <w:rPr>
            <w:webHidden/>
          </w:rPr>
          <w:tab/>
        </w:r>
        <w:r>
          <w:rPr>
            <w:webHidden/>
          </w:rPr>
          <w:fldChar w:fldCharType="begin"/>
        </w:r>
        <w:r>
          <w:rPr>
            <w:webHidden/>
          </w:rPr>
          <w:instrText xml:space="preserve"> PAGEREF _Toc212562085 \h </w:instrText>
        </w:r>
        <w:r>
          <w:rPr>
            <w:webHidden/>
          </w:rPr>
        </w:r>
        <w:r>
          <w:rPr>
            <w:webHidden/>
          </w:rPr>
          <w:fldChar w:fldCharType="separate"/>
        </w:r>
        <w:r>
          <w:rPr>
            <w:webHidden/>
          </w:rPr>
          <w:t>42</w:t>
        </w:r>
        <w:r>
          <w:rPr>
            <w:webHidden/>
          </w:rPr>
          <w:fldChar w:fldCharType="end"/>
        </w:r>
      </w:hyperlink>
    </w:p>
    <w:p w14:paraId="6C7D5E21" w14:textId="2A262648"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6" w:history="1">
        <w:r w:rsidRPr="004470BD">
          <w:rPr>
            <w:rStyle w:val="Hyperlink"/>
          </w:rPr>
          <w:t>Table 19: Acts commenced</w:t>
        </w:r>
        <w:r>
          <w:rPr>
            <w:webHidden/>
          </w:rPr>
          <w:tab/>
        </w:r>
        <w:r>
          <w:rPr>
            <w:webHidden/>
          </w:rPr>
          <w:fldChar w:fldCharType="begin"/>
        </w:r>
        <w:r>
          <w:rPr>
            <w:webHidden/>
          </w:rPr>
          <w:instrText xml:space="preserve"> PAGEREF _Toc212562086 \h </w:instrText>
        </w:r>
        <w:r>
          <w:rPr>
            <w:webHidden/>
          </w:rPr>
        </w:r>
        <w:r>
          <w:rPr>
            <w:webHidden/>
          </w:rPr>
          <w:fldChar w:fldCharType="separate"/>
        </w:r>
        <w:r>
          <w:rPr>
            <w:webHidden/>
          </w:rPr>
          <w:t>42</w:t>
        </w:r>
        <w:r>
          <w:rPr>
            <w:webHidden/>
          </w:rPr>
          <w:fldChar w:fldCharType="end"/>
        </w:r>
      </w:hyperlink>
    </w:p>
    <w:p w14:paraId="20911918" w14:textId="0DAA3B98"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7" w:history="1">
        <w:r w:rsidRPr="004470BD">
          <w:rPr>
            <w:rStyle w:val="Hyperlink"/>
          </w:rPr>
          <w:t>Table 20: Regulations made</w:t>
        </w:r>
        <w:r>
          <w:rPr>
            <w:webHidden/>
          </w:rPr>
          <w:tab/>
        </w:r>
        <w:r>
          <w:rPr>
            <w:webHidden/>
          </w:rPr>
          <w:fldChar w:fldCharType="begin"/>
        </w:r>
        <w:r>
          <w:rPr>
            <w:webHidden/>
          </w:rPr>
          <w:instrText xml:space="preserve"> PAGEREF _Toc212562087 \h </w:instrText>
        </w:r>
        <w:r>
          <w:rPr>
            <w:webHidden/>
          </w:rPr>
        </w:r>
        <w:r>
          <w:rPr>
            <w:webHidden/>
          </w:rPr>
          <w:fldChar w:fldCharType="separate"/>
        </w:r>
        <w:r>
          <w:rPr>
            <w:webHidden/>
          </w:rPr>
          <w:t>42</w:t>
        </w:r>
        <w:r>
          <w:rPr>
            <w:webHidden/>
          </w:rPr>
          <w:fldChar w:fldCharType="end"/>
        </w:r>
      </w:hyperlink>
    </w:p>
    <w:p w14:paraId="797C5FFE" w14:textId="2721F190"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8" w:history="1">
        <w:r w:rsidRPr="004470BD">
          <w:rPr>
            <w:rStyle w:val="Hyperlink"/>
          </w:rPr>
          <w:t>Table 21: Regulations commenced</w:t>
        </w:r>
        <w:r>
          <w:rPr>
            <w:webHidden/>
          </w:rPr>
          <w:tab/>
        </w:r>
        <w:r>
          <w:rPr>
            <w:webHidden/>
          </w:rPr>
          <w:fldChar w:fldCharType="begin"/>
        </w:r>
        <w:r>
          <w:rPr>
            <w:webHidden/>
          </w:rPr>
          <w:instrText xml:space="preserve"> PAGEREF _Toc212562088 \h </w:instrText>
        </w:r>
        <w:r>
          <w:rPr>
            <w:webHidden/>
          </w:rPr>
        </w:r>
        <w:r>
          <w:rPr>
            <w:webHidden/>
          </w:rPr>
          <w:fldChar w:fldCharType="separate"/>
        </w:r>
        <w:r>
          <w:rPr>
            <w:webHidden/>
          </w:rPr>
          <w:t>42</w:t>
        </w:r>
        <w:r>
          <w:rPr>
            <w:webHidden/>
          </w:rPr>
          <w:fldChar w:fldCharType="end"/>
        </w:r>
      </w:hyperlink>
    </w:p>
    <w:p w14:paraId="337B8EE8" w14:textId="295C65C6" w:rsidR="00F019A5" w:rsidRDefault="00F019A5">
      <w:pPr>
        <w:pStyle w:val="TOC2"/>
        <w:rPr>
          <w:rFonts w:asciiTheme="minorHAnsi" w:eastAsiaTheme="minorEastAsia" w:hAnsiTheme="minorHAnsi" w:cstheme="minorBidi"/>
          <w:kern w:val="2"/>
          <w:sz w:val="24"/>
          <w:szCs w:val="24"/>
          <w:lang w:eastAsia="en-AU"/>
          <w14:ligatures w14:val="standardContextual"/>
        </w:rPr>
      </w:pPr>
      <w:hyperlink w:anchor="_Toc212562089" w:history="1">
        <w:r w:rsidRPr="004470BD">
          <w:rPr>
            <w:rStyle w:val="Hyperlink"/>
          </w:rPr>
          <w:t>Table 22: Regulations revoked</w:t>
        </w:r>
        <w:r>
          <w:rPr>
            <w:webHidden/>
          </w:rPr>
          <w:tab/>
        </w:r>
        <w:r>
          <w:rPr>
            <w:webHidden/>
          </w:rPr>
          <w:fldChar w:fldCharType="begin"/>
        </w:r>
        <w:r>
          <w:rPr>
            <w:webHidden/>
          </w:rPr>
          <w:instrText xml:space="preserve"> PAGEREF _Toc212562089 \h </w:instrText>
        </w:r>
        <w:r>
          <w:rPr>
            <w:webHidden/>
          </w:rPr>
        </w:r>
        <w:r>
          <w:rPr>
            <w:webHidden/>
          </w:rPr>
          <w:fldChar w:fldCharType="separate"/>
        </w:r>
        <w:r>
          <w:rPr>
            <w:webHidden/>
          </w:rPr>
          <w:t>43</w:t>
        </w:r>
        <w:r>
          <w:rPr>
            <w:webHidden/>
          </w:rPr>
          <w:fldChar w:fldCharType="end"/>
        </w:r>
      </w:hyperlink>
    </w:p>
    <w:p w14:paraId="3E0BE00B" w14:textId="26262908" w:rsidR="005F6712" w:rsidRPr="005F6712" w:rsidRDefault="005F6712" w:rsidP="005F6712">
      <w:pPr>
        <w:pStyle w:val="BodyText"/>
      </w:pPr>
      <w:r>
        <w:fldChar w:fldCharType="end"/>
      </w:r>
    </w:p>
    <w:p w14:paraId="2DF28DF2" w14:textId="23826534" w:rsidR="00856406" w:rsidRPr="00EE0DC1" w:rsidRDefault="00856406" w:rsidP="00856406">
      <w:pPr>
        <w:pStyle w:val="Heading1"/>
      </w:pPr>
      <w:bookmarkStart w:id="2" w:name="_Toc212562057"/>
      <w:r w:rsidRPr="00EE0DC1">
        <w:t>Letter</w:t>
      </w:r>
      <w:r>
        <w:t xml:space="preserve"> </w:t>
      </w:r>
      <w:r w:rsidRPr="00EE0DC1">
        <w:t>to</w:t>
      </w:r>
      <w:r>
        <w:t xml:space="preserve"> </w:t>
      </w:r>
      <w:r w:rsidRPr="00EE0DC1">
        <w:t>the</w:t>
      </w:r>
      <w:r>
        <w:t xml:space="preserve"> </w:t>
      </w:r>
      <w:r w:rsidRPr="00EE0DC1">
        <w:t>Minister</w:t>
      </w:r>
      <w:bookmarkEnd w:id="0"/>
      <w:bookmarkEnd w:id="2"/>
    </w:p>
    <w:p w14:paraId="07332E3C" w14:textId="6CA8B6FF" w:rsidR="0027382E" w:rsidRPr="0027382E" w:rsidRDefault="0027382E" w:rsidP="0027382E">
      <w:pPr>
        <w:pStyle w:val="BodyText"/>
      </w:pPr>
      <w:r>
        <w:rPr>
          <w:noProof/>
        </w:rPr>
        <w:drawing>
          <wp:inline distT="0" distB="0" distL="0" distR="0" wp14:anchorId="1F813E37" wp14:editId="5ADC4F14">
            <wp:extent cx="1016280" cy="1086893"/>
            <wp:effectExtent l="0" t="0" r="0" b="0"/>
            <wp:docPr id="1977565481" name="Picture 1" descr="Photo of The Hon Nick Staikos MP, Minister for Consumer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65481" name="Picture 1" descr="Photo of The Hon Nick Staikos MP, Minister for Consumer Affair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6280" cy="1086893"/>
                    </a:xfrm>
                    <a:prstGeom prst="rect">
                      <a:avLst/>
                    </a:prstGeom>
                  </pic:spPr>
                </pic:pic>
              </a:graphicData>
            </a:graphic>
          </wp:inline>
        </w:drawing>
      </w:r>
    </w:p>
    <w:p w14:paraId="7D8740CC" w14:textId="743743DB" w:rsidR="0027382E" w:rsidRDefault="0027382E" w:rsidP="0027382E">
      <w:pPr>
        <w:pStyle w:val="BodyText"/>
      </w:pPr>
      <w:r w:rsidRPr="0027382E">
        <w:rPr>
          <w:b/>
          <w:bCs/>
        </w:rPr>
        <w:t>The Hon Nick Staikos MP</w:t>
      </w:r>
      <w:r>
        <w:br/>
        <w:t>Minister for Consumer Affairs</w:t>
      </w:r>
    </w:p>
    <w:p w14:paraId="4D3C58C7" w14:textId="03FF8B14" w:rsidR="00856406" w:rsidRDefault="00856406" w:rsidP="00856406">
      <w:pPr>
        <w:pStyle w:val="BodyText"/>
      </w:pPr>
      <w:r w:rsidRPr="00AC171D">
        <w:t>Dear</w:t>
      </w:r>
      <w:r>
        <w:t xml:space="preserve"> </w:t>
      </w:r>
      <w:r w:rsidRPr="00AC171D">
        <w:t>Minister,</w:t>
      </w:r>
    </w:p>
    <w:p w14:paraId="1F26984C" w14:textId="77777777" w:rsidR="00856406" w:rsidRDefault="00856406" w:rsidP="00856406">
      <w:pPr>
        <w:pStyle w:val="BodyText"/>
      </w:pPr>
      <w:r w:rsidRPr="00AC171D">
        <w:t>In</w:t>
      </w:r>
      <w:r>
        <w:t xml:space="preserve"> </w:t>
      </w:r>
      <w:r w:rsidRPr="00AC171D">
        <w:t>accordance</w:t>
      </w:r>
      <w:r>
        <w:t xml:space="preserve"> </w:t>
      </w:r>
      <w:r w:rsidRPr="00AC171D">
        <w:t>with</w:t>
      </w:r>
      <w:r>
        <w:t xml:space="preserve"> </w:t>
      </w:r>
      <w:r w:rsidRPr="00AC171D">
        <w:t>the</w:t>
      </w:r>
      <w:r>
        <w:t xml:space="preserve"> </w:t>
      </w:r>
      <w:r w:rsidRPr="00A85D4F">
        <w:rPr>
          <w:i/>
        </w:rPr>
        <w:t>Australian</w:t>
      </w:r>
      <w:r>
        <w:rPr>
          <w:i/>
        </w:rPr>
        <w:t xml:space="preserve"> </w:t>
      </w:r>
      <w:r w:rsidRPr="00A85D4F">
        <w:rPr>
          <w:i/>
        </w:rPr>
        <w:t>Consumer</w:t>
      </w:r>
      <w:r>
        <w:rPr>
          <w:i/>
        </w:rPr>
        <w:t xml:space="preserve"> </w:t>
      </w:r>
      <w:r w:rsidRPr="00A85D4F">
        <w:rPr>
          <w:i/>
        </w:rPr>
        <w:t>Law</w:t>
      </w:r>
      <w:r>
        <w:rPr>
          <w:i/>
        </w:rPr>
        <w:t xml:space="preserve"> </w:t>
      </w:r>
      <w:r w:rsidRPr="00A85D4F">
        <w:rPr>
          <w:i/>
        </w:rPr>
        <w:t>and</w:t>
      </w:r>
      <w:r>
        <w:rPr>
          <w:i/>
        </w:rPr>
        <w:t xml:space="preserve"> </w:t>
      </w:r>
      <w:r w:rsidRPr="00A85D4F">
        <w:rPr>
          <w:i/>
        </w:rPr>
        <w:t>Fair</w:t>
      </w:r>
      <w:r>
        <w:rPr>
          <w:i/>
        </w:rPr>
        <w:t xml:space="preserve"> </w:t>
      </w:r>
      <w:r w:rsidRPr="00A85D4F">
        <w:rPr>
          <w:i/>
        </w:rPr>
        <w:t>Trading</w:t>
      </w:r>
      <w:r>
        <w:rPr>
          <w:i/>
        </w:rPr>
        <w:t xml:space="preserve"> </w:t>
      </w:r>
      <w:r w:rsidRPr="00A85D4F">
        <w:rPr>
          <w:i/>
        </w:rPr>
        <w:t>Act</w:t>
      </w:r>
      <w:r>
        <w:rPr>
          <w:i/>
        </w:rPr>
        <w:t xml:space="preserve"> </w:t>
      </w:r>
      <w:r w:rsidRPr="00A85D4F">
        <w:rPr>
          <w:i/>
        </w:rPr>
        <w:t>2012</w:t>
      </w:r>
      <w:r w:rsidRPr="00AC171D">
        <w:t>,</w:t>
      </w:r>
      <w:r>
        <w:t xml:space="preserve"> </w:t>
      </w:r>
      <w:r w:rsidRPr="00AC171D">
        <w:t>the</w:t>
      </w:r>
      <w:r>
        <w:t xml:space="preserve"> </w:t>
      </w:r>
      <w:r w:rsidRPr="00A85D4F">
        <w:rPr>
          <w:i/>
        </w:rPr>
        <w:t>Credit</w:t>
      </w:r>
      <w:r>
        <w:rPr>
          <w:i/>
        </w:rPr>
        <w:t xml:space="preserve"> </w:t>
      </w:r>
      <w:r w:rsidRPr="00A85D4F">
        <w:rPr>
          <w:i/>
        </w:rPr>
        <w:t>(Administration)</w:t>
      </w:r>
      <w:r>
        <w:rPr>
          <w:i/>
        </w:rPr>
        <w:t xml:space="preserve"> </w:t>
      </w:r>
      <w:r w:rsidRPr="00A85D4F">
        <w:rPr>
          <w:i/>
        </w:rPr>
        <w:t>Act</w:t>
      </w:r>
      <w:r>
        <w:rPr>
          <w:i/>
        </w:rPr>
        <w:t xml:space="preserve"> </w:t>
      </w:r>
      <w:r w:rsidRPr="00A85D4F">
        <w:rPr>
          <w:i/>
        </w:rPr>
        <w:t>1984</w:t>
      </w:r>
      <w:r>
        <w:t xml:space="preserve"> </w:t>
      </w:r>
      <w:r w:rsidRPr="00AC171D">
        <w:t>and</w:t>
      </w:r>
      <w:r>
        <w:t xml:space="preserve"> </w:t>
      </w:r>
      <w:r w:rsidRPr="00AC171D">
        <w:t>the</w:t>
      </w:r>
      <w:r>
        <w:t xml:space="preserve"> </w:t>
      </w:r>
      <w:r w:rsidRPr="00A85D4F">
        <w:rPr>
          <w:i/>
        </w:rPr>
        <w:t>Veterans</w:t>
      </w:r>
      <w:r>
        <w:rPr>
          <w:i/>
        </w:rPr>
        <w:t xml:space="preserve"> </w:t>
      </w:r>
      <w:r w:rsidRPr="00A85D4F">
        <w:rPr>
          <w:i/>
        </w:rPr>
        <w:t>Act</w:t>
      </w:r>
      <w:r>
        <w:rPr>
          <w:i/>
        </w:rPr>
        <w:t xml:space="preserve"> </w:t>
      </w:r>
      <w:r w:rsidRPr="00A85D4F">
        <w:rPr>
          <w:i/>
        </w:rPr>
        <w:t>2005</w:t>
      </w:r>
      <w:r w:rsidRPr="00AC171D">
        <w:t>,</w:t>
      </w:r>
      <w:r>
        <w:t xml:space="preserve"> </w:t>
      </w:r>
      <w:r w:rsidRPr="00AC171D">
        <w:t>I</w:t>
      </w:r>
      <w:r>
        <w:t xml:space="preserve"> </w:t>
      </w:r>
      <w:r w:rsidRPr="00AC171D">
        <w:t>am</w:t>
      </w:r>
      <w:r>
        <w:t xml:space="preserve"> </w:t>
      </w:r>
      <w:r w:rsidRPr="00AC171D">
        <w:t>pleased</w:t>
      </w:r>
      <w:r>
        <w:t xml:space="preserve"> </w:t>
      </w:r>
      <w:r w:rsidRPr="00AC171D">
        <w:t>to</w:t>
      </w:r>
      <w:r>
        <w:t xml:space="preserve"> </w:t>
      </w:r>
      <w:r w:rsidRPr="00AC171D">
        <w:t>present</w:t>
      </w:r>
      <w:r>
        <w:t xml:space="preserve"> </w:t>
      </w:r>
      <w:r w:rsidRPr="00AC171D">
        <w:t>the</w:t>
      </w:r>
      <w:r>
        <w:t xml:space="preserve"> </w:t>
      </w:r>
      <w:r w:rsidRPr="00AC171D">
        <w:t>Consumer</w:t>
      </w:r>
      <w:r>
        <w:t xml:space="preserve"> </w:t>
      </w:r>
      <w:r w:rsidRPr="00AC171D">
        <w:t>Affairs</w:t>
      </w:r>
      <w:r>
        <w:t xml:space="preserve"> </w:t>
      </w:r>
      <w:r w:rsidRPr="00AC171D">
        <w:t>Victoria</w:t>
      </w:r>
      <w:r>
        <w:t xml:space="preserve"> </w:t>
      </w:r>
      <w:r w:rsidRPr="00AC171D">
        <w:t>Annual</w:t>
      </w:r>
      <w:r>
        <w:t xml:space="preserve"> </w:t>
      </w:r>
      <w:r w:rsidRPr="00AC171D">
        <w:t>Report</w:t>
      </w:r>
      <w:r>
        <w:t xml:space="preserve"> </w:t>
      </w:r>
      <w:r w:rsidRPr="00AC171D">
        <w:t>for</w:t>
      </w:r>
      <w:r>
        <w:t xml:space="preserve"> </w:t>
      </w:r>
      <w:r w:rsidRPr="00AC171D">
        <w:t>the</w:t>
      </w:r>
      <w:r>
        <w:t xml:space="preserve"> </w:t>
      </w:r>
      <w:r w:rsidRPr="00AC171D">
        <w:t>year</w:t>
      </w:r>
      <w:r>
        <w:t xml:space="preserve"> </w:t>
      </w:r>
      <w:r w:rsidRPr="00AC171D">
        <w:t>ending</w:t>
      </w:r>
      <w:r>
        <w:t xml:space="preserve"> </w:t>
      </w:r>
      <w:r w:rsidRPr="00AC171D">
        <w:t>30</w:t>
      </w:r>
      <w:r>
        <w:t xml:space="preserve"> </w:t>
      </w:r>
      <w:r w:rsidRPr="00AC171D">
        <w:t>June</w:t>
      </w:r>
      <w:r>
        <w:t xml:space="preserve"> </w:t>
      </w:r>
      <w:r w:rsidRPr="00AC171D">
        <w:t>2025.</w:t>
      </w:r>
    </w:p>
    <w:p w14:paraId="26AD5275" w14:textId="77777777" w:rsidR="00856406" w:rsidRDefault="00856406" w:rsidP="00856406">
      <w:pPr>
        <w:pStyle w:val="BodyText"/>
      </w:pPr>
      <w:r w:rsidRPr="00AC171D">
        <w:t>Yours</w:t>
      </w:r>
      <w:r>
        <w:t xml:space="preserve"> </w:t>
      </w:r>
      <w:r w:rsidRPr="00AC171D">
        <w:t>sincerely</w:t>
      </w:r>
    </w:p>
    <w:p w14:paraId="561A097E" w14:textId="77777777" w:rsidR="009D1A57" w:rsidRPr="00934136" w:rsidRDefault="009D1A57" w:rsidP="009D1A57">
      <w:pPr>
        <w:pStyle w:val="BodyText"/>
        <w:spacing w:before="320" w:after="0"/>
      </w:pPr>
      <w:r w:rsidRPr="00934136">
        <w:rPr>
          <w:noProof/>
        </w:rPr>
        <w:drawing>
          <wp:inline distT="0" distB="0" distL="0" distR="0" wp14:anchorId="3FEB1A77" wp14:editId="39630C17">
            <wp:extent cx="848360" cy="332740"/>
            <wp:effectExtent l="0" t="0" r="8890" b="0"/>
            <wp:docPr id="1471492747" name="Picture 3" descr="Nicole Ric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92747" name="Picture 3" descr="Nicole Rich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8360" cy="332740"/>
                    </a:xfrm>
                    <a:prstGeom prst="rect">
                      <a:avLst/>
                    </a:prstGeom>
                    <a:noFill/>
                    <a:ln>
                      <a:noFill/>
                    </a:ln>
                  </pic:spPr>
                </pic:pic>
              </a:graphicData>
            </a:graphic>
          </wp:inline>
        </w:drawing>
      </w:r>
    </w:p>
    <w:p w14:paraId="79158039" w14:textId="2BF2AEDE" w:rsidR="00856406" w:rsidRDefault="00856406" w:rsidP="004D24A6">
      <w:pPr>
        <w:pStyle w:val="BodyText"/>
      </w:pPr>
      <w:r w:rsidRPr="004D24A6">
        <w:rPr>
          <w:b/>
          <w:bCs/>
        </w:rPr>
        <w:t>Nicole Rich</w:t>
      </w:r>
      <w:r w:rsidR="004D24A6">
        <w:br/>
      </w:r>
      <w:r w:rsidRPr="00AC171D">
        <w:t>Executive</w:t>
      </w:r>
      <w:r>
        <w:t xml:space="preserve"> </w:t>
      </w:r>
      <w:r w:rsidRPr="00AC171D">
        <w:t>Director,</w:t>
      </w:r>
      <w:r>
        <w:t xml:space="preserve"> </w:t>
      </w:r>
      <w:r w:rsidRPr="00AC171D">
        <w:t>Regulatory</w:t>
      </w:r>
      <w:r>
        <w:t xml:space="preserve"> </w:t>
      </w:r>
      <w:r w:rsidRPr="00AC171D">
        <w:t>Services</w:t>
      </w:r>
      <w:r>
        <w:t xml:space="preserve"> </w:t>
      </w:r>
      <w:r w:rsidRPr="00AC171D">
        <w:t>&amp;</w:t>
      </w:r>
      <w:r>
        <w:t xml:space="preserve"> </w:t>
      </w:r>
      <w:r w:rsidRPr="00AC171D">
        <w:br/>
        <w:t>Director,</w:t>
      </w:r>
      <w:r>
        <w:t xml:space="preserve"> </w:t>
      </w:r>
      <w:r w:rsidRPr="00AC171D">
        <w:t>Consumer</w:t>
      </w:r>
      <w:r>
        <w:t xml:space="preserve"> </w:t>
      </w:r>
      <w:r w:rsidRPr="00AC171D">
        <w:t>Affairs</w:t>
      </w:r>
      <w:r>
        <w:t xml:space="preserve"> </w:t>
      </w:r>
      <w:r w:rsidRPr="00AC171D">
        <w:t>Victoria</w:t>
      </w:r>
    </w:p>
    <w:p w14:paraId="795C768A" w14:textId="77777777" w:rsidR="004D24A6" w:rsidRPr="004D24A6" w:rsidRDefault="004D24A6" w:rsidP="004D24A6">
      <w:pPr>
        <w:pStyle w:val="BodyText"/>
      </w:pPr>
      <w:bookmarkStart w:id="3" w:name="_Toc211518572"/>
      <w:r w:rsidRPr="004D24A6">
        <w:br w:type="page"/>
      </w:r>
    </w:p>
    <w:p w14:paraId="48E51027" w14:textId="70C60FE3" w:rsidR="00856406" w:rsidRDefault="00856406" w:rsidP="00B71C68">
      <w:pPr>
        <w:pStyle w:val="Heading1"/>
      </w:pPr>
      <w:bookmarkStart w:id="4" w:name="_Toc212562058"/>
      <w:r w:rsidRPr="00EE0DC1">
        <w:t>Director’s</w:t>
      </w:r>
      <w:r>
        <w:t xml:space="preserve"> </w:t>
      </w:r>
      <w:r w:rsidRPr="00EE0DC1">
        <w:t>foreword</w:t>
      </w:r>
      <w:bookmarkEnd w:id="3"/>
      <w:bookmarkEnd w:id="4"/>
    </w:p>
    <w:p w14:paraId="507788B2" w14:textId="14C3F241" w:rsidR="004D24A6" w:rsidRPr="004D24A6" w:rsidRDefault="004D24A6" w:rsidP="004D24A6">
      <w:pPr>
        <w:pStyle w:val="BodyText"/>
      </w:pPr>
      <w:r>
        <w:rPr>
          <w:noProof/>
        </w:rPr>
        <w:drawing>
          <wp:inline distT="0" distB="0" distL="0" distR="0" wp14:anchorId="3C315612" wp14:editId="5E21F5CF">
            <wp:extent cx="1017360" cy="1087920"/>
            <wp:effectExtent l="0" t="0" r="0" b="0"/>
            <wp:docPr id="2130030783" name="Picture 1" descr="Photo of Nicole 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30783" name="Picture 1" descr="Photo of Nicole Rich"/>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7360" cy="1087920"/>
                    </a:xfrm>
                    <a:prstGeom prst="rect">
                      <a:avLst/>
                    </a:prstGeom>
                  </pic:spPr>
                </pic:pic>
              </a:graphicData>
            </a:graphic>
          </wp:inline>
        </w:drawing>
      </w:r>
    </w:p>
    <w:p w14:paraId="16A99557" w14:textId="4B3F1B27" w:rsidR="00856406" w:rsidRDefault="00EE79C3" w:rsidP="004D24A6">
      <w:pPr>
        <w:pStyle w:val="BodyText"/>
      </w:pPr>
      <w:r>
        <w:t>2024–25</w:t>
      </w:r>
      <w:r w:rsidR="00856406">
        <w:t xml:space="preserve"> </w:t>
      </w:r>
      <w:r w:rsidR="00856406" w:rsidRPr="00166456">
        <w:t>was</w:t>
      </w:r>
      <w:r w:rsidR="00856406">
        <w:t xml:space="preserve"> </w:t>
      </w:r>
      <w:r w:rsidR="00856406" w:rsidRPr="00166456">
        <w:t>a</w:t>
      </w:r>
      <w:r w:rsidR="00856406">
        <w:t xml:space="preserve">nother </w:t>
      </w:r>
      <w:r w:rsidR="00856406" w:rsidRPr="00166456">
        <w:t>challenging</w:t>
      </w:r>
      <w:r w:rsidR="00856406">
        <w:t xml:space="preserve"> </w:t>
      </w:r>
      <w:r w:rsidR="00856406" w:rsidRPr="00166456">
        <w:t>year</w:t>
      </w:r>
      <w:r w:rsidR="00856406">
        <w:t xml:space="preserve"> for many Victorians, </w:t>
      </w:r>
      <w:r w:rsidR="00856406" w:rsidDel="008A1200">
        <w:t>with</w:t>
      </w:r>
      <w:r w:rsidR="00856406">
        <w:t xml:space="preserve"> </w:t>
      </w:r>
      <w:r w:rsidR="00856406" w:rsidDel="008A1200">
        <w:t>rising</w:t>
      </w:r>
      <w:r w:rsidR="00856406">
        <w:t xml:space="preserve"> </w:t>
      </w:r>
      <w:r w:rsidR="00856406" w:rsidDel="008A1200">
        <w:t>living</w:t>
      </w:r>
      <w:r w:rsidR="00856406">
        <w:t xml:space="preserve"> </w:t>
      </w:r>
      <w:r w:rsidR="00856406" w:rsidDel="008A1200">
        <w:t>costs</w:t>
      </w:r>
      <w:r w:rsidR="00856406">
        <w:t xml:space="preserve"> </w:t>
      </w:r>
      <w:r w:rsidR="00856406" w:rsidDel="008A1200">
        <w:t>and</w:t>
      </w:r>
      <w:r w:rsidR="00856406">
        <w:t xml:space="preserve"> </w:t>
      </w:r>
      <w:r w:rsidR="00856406" w:rsidDel="008A1200">
        <w:t>housing</w:t>
      </w:r>
      <w:r w:rsidR="00856406">
        <w:t xml:space="preserve"> </w:t>
      </w:r>
      <w:r w:rsidR="00856406" w:rsidDel="008A1200">
        <w:t>pressures</w:t>
      </w:r>
      <w:r w:rsidR="00856406">
        <w:t xml:space="preserve"> remaining </w:t>
      </w:r>
      <w:r w:rsidR="00856406" w:rsidDel="008A1200">
        <w:t>significant</w:t>
      </w:r>
      <w:r w:rsidR="00856406">
        <w:t xml:space="preserve"> issues for the community. Consumer Affairs Victoria (CAV) focused on ensuring that our services and functions continued to support people with these important life issues and to promote a fair, safe and competitive marketplace for Victorians, in line with the directions and priorities set out in our strategic plan.</w:t>
      </w:r>
    </w:p>
    <w:p w14:paraId="02D2F709" w14:textId="77777777" w:rsidR="00856406" w:rsidRDefault="00856406" w:rsidP="004D24A6">
      <w:pPr>
        <w:pStyle w:val="BodyText"/>
      </w:pPr>
      <w:r>
        <w:t xml:space="preserve">There was strong demand for help, with the </w:t>
      </w:r>
      <w:r w:rsidRPr="00166456">
        <w:t>contact</w:t>
      </w:r>
      <w:r>
        <w:t xml:space="preserve"> </w:t>
      </w:r>
      <w:r w:rsidRPr="00166456">
        <w:t>centre</w:t>
      </w:r>
      <w:r>
        <w:t xml:space="preserve"> </w:t>
      </w:r>
      <w:r w:rsidRPr="00166456">
        <w:t>answer</w:t>
      </w:r>
      <w:r>
        <w:t xml:space="preserve">ing </w:t>
      </w:r>
      <w:r w:rsidRPr="00166456">
        <w:t>226,102</w:t>
      </w:r>
      <w:r>
        <w:t xml:space="preserve"> </w:t>
      </w:r>
      <w:r w:rsidRPr="00166456">
        <w:t>calls</w:t>
      </w:r>
      <w:r>
        <w:t xml:space="preserve"> </w:t>
      </w:r>
      <w:r w:rsidRPr="00166456">
        <w:t>and</w:t>
      </w:r>
      <w:r>
        <w:t xml:space="preserve"> </w:t>
      </w:r>
      <w:r w:rsidRPr="00166456">
        <w:t>respond</w:t>
      </w:r>
      <w:r>
        <w:t xml:space="preserve">ing </w:t>
      </w:r>
      <w:r w:rsidRPr="00166456">
        <w:t>to</w:t>
      </w:r>
      <w:r>
        <w:t xml:space="preserve"> </w:t>
      </w:r>
      <w:r w:rsidRPr="00166456">
        <w:t>84,825</w:t>
      </w:r>
      <w:r>
        <w:t xml:space="preserve"> </w:t>
      </w:r>
      <w:r w:rsidRPr="00166456">
        <w:t>online</w:t>
      </w:r>
      <w:r>
        <w:t xml:space="preserve"> </w:t>
      </w:r>
      <w:r w:rsidRPr="00166456">
        <w:t>or</w:t>
      </w:r>
      <w:r>
        <w:t xml:space="preserve"> </w:t>
      </w:r>
      <w:r w:rsidRPr="00166456">
        <w:t>written</w:t>
      </w:r>
      <w:r>
        <w:t xml:space="preserve"> </w:t>
      </w:r>
      <w:r w:rsidRPr="00166456">
        <w:t>enquiries,</w:t>
      </w:r>
      <w:r>
        <w:t xml:space="preserve"> </w:t>
      </w:r>
      <w:r w:rsidRPr="00166456">
        <w:t>and</w:t>
      </w:r>
      <w:r>
        <w:t xml:space="preserve"> the </w:t>
      </w:r>
      <w:r w:rsidRPr="00166456">
        <w:t>CAV</w:t>
      </w:r>
      <w:r>
        <w:t xml:space="preserve"> </w:t>
      </w:r>
      <w:r w:rsidRPr="00166456">
        <w:t>website</w:t>
      </w:r>
      <w:r>
        <w:t xml:space="preserve"> </w:t>
      </w:r>
      <w:r w:rsidRPr="00166456">
        <w:t>receiv</w:t>
      </w:r>
      <w:r>
        <w:t xml:space="preserve">ing </w:t>
      </w:r>
      <w:r w:rsidRPr="00166456">
        <w:t>nearly</w:t>
      </w:r>
      <w:r>
        <w:t xml:space="preserve"> </w:t>
      </w:r>
      <w:r w:rsidRPr="00166456">
        <w:t>7</w:t>
      </w:r>
      <w:r>
        <w:t xml:space="preserve"> </w:t>
      </w:r>
      <w:r w:rsidRPr="00166456">
        <w:t>million</w:t>
      </w:r>
      <w:r>
        <w:t xml:space="preserve"> </w:t>
      </w:r>
      <w:r w:rsidRPr="00166456">
        <w:t>visits.</w:t>
      </w:r>
      <w:r>
        <w:t xml:space="preserve"> We also provided 6537 frontline compliance response services, an increase of over 40 per cent on last year, encouraging compliance and dispute-resolution by providing information about consumer and renting legal requirements to parties in dispute</w:t>
      </w:r>
      <w:r w:rsidRPr="00313A1D">
        <w:t>.</w:t>
      </w:r>
    </w:p>
    <w:p w14:paraId="725BD23C" w14:textId="77777777" w:rsidR="00856406" w:rsidRDefault="00856406" w:rsidP="004D24A6">
      <w:pPr>
        <w:pStyle w:val="BodyText"/>
      </w:pPr>
      <w:r>
        <w:t>With an increasing number of Victorians living in higher-density or multi-dwelling settings, i</w:t>
      </w:r>
      <w:r w:rsidRPr="00166456">
        <w:t>n</w:t>
      </w:r>
      <w:r>
        <w:t xml:space="preserve"> </w:t>
      </w:r>
      <w:r w:rsidRPr="00166456">
        <w:t>March</w:t>
      </w:r>
      <w:r>
        <w:t xml:space="preserve"> </w:t>
      </w:r>
      <w:r w:rsidRPr="00166456">
        <w:t>2025</w:t>
      </w:r>
      <w:r>
        <w:t xml:space="preserve"> </w:t>
      </w:r>
      <w:r w:rsidRPr="00166456">
        <w:t>we</w:t>
      </w:r>
      <w:r>
        <w:t xml:space="preserve"> </w:t>
      </w:r>
      <w:r w:rsidRPr="00166456">
        <w:t>open</w:t>
      </w:r>
      <w:r>
        <w:t xml:space="preserve">ed </w:t>
      </w:r>
      <w:r w:rsidRPr="00166456">
        <w:t>a</w:t>
      </w:r>
      <w:r>
        <w:t xml:space="preserve"> </w:t>
      </w:r>
      <w:r w:rsidRPr="00166456">
        <w:t>dedicated</w:t>
      </w:r>
      <w:r>
        <w:t xml:space="preserve"> </w:t>
      </w:r>
      <w:r w:rsidRPr="00166456">
        <w:t>phone</w:t>
      </w:r>
      <w:r>
        <w:t xml:space="preserve"> </w:t>
      </w:r>
      <w:r w:rsidRPr="00166456">
        <w:t>channel</w:t>
      </w:r>
      <w:r>
        <w:t xml:space="preserve"> </w:t>
      </w:r>
      <w:r w:rsidRPr="00166456">
        <w:t>for</w:t>
      </w:r>
      <w:r>
        <w:t xml:space="preserve"> o</w:t>
      </w:r>
      <w:r w:rsidRPr="00166456">
        <w:t>wners</w:t>
      </w:r>
      <w:r>
        <w:t xml:space="preserve"> c</w:t>
      </w:r>
      <w:r w:rsidRPr="00166456">
        <w:t>orporation</w:t>
      </w:r>
      <w:r>
        <w:t xml:space="preserve"> issues</w:t>
      </w:r>
      <w:r w:rsidRPr="00166456">
        <w:t>,</w:t>
      </w:r>
      <w:r>
        <w:t xml:space="preserve"> alongside </w:t>
      </w:r>
      <w:r w:rsidRPr="00166456">
        <w:t>our</w:t>
      </w:r>
      <w:r>
        <w:t xml:space="preserve"> </w:t>
      </w:r>
      <w:r w:rsidRPr="00166456">
        <w:t>existing</w:t>
      </w:r>
      <w:r>
        <w:t xml:space="preserve"> </w:t>
      </w:r>
      <w:r w:rsidRPr="00166456">
        <w:t>website</w:t>
      </w:r>
      <w:r>
        <w:t xml:space="preserve"> </w:t>
      </w:r>
      <w:r w:rsidRPr="00166456">
        <w:t>and</w:t>
      </w:r>
      <w:r>
        <w:t xml:space="preserve"> </w:t>
      </w:r>
      <w:r w:rsidRPr="00166456">
        <w:t>online</w:t>
      </w:r>
      <w:r>
        <w:t xml:space="preserve"> service</w:t>
      </w:r>
      <w:r w:rsidRPr="00166456">
        <w:t>.</w:t>
      </w:r>
      <w:r>
        <w:t xml:space="preserve"> At the same time, we updated the approved fee notice forms that owners corporations must use when seeking payment from lot owners, to ensure owners who may be struggling to pay fees get advice on their options and the support available.</w:t>
      </w:r>
    </w:p>
    <w:p w14:paraId="479D29F5" w14:textId="081DD722" w:rsidR="00856406" w:rsidRDefault="00856406" w:rsidP="004D24A6">
      <w:pPr>
        <w:pStyle w:val="BodyText"/>
      </w:pPr>
      <w:r>
        <w:t>I</w:t>
      </w:r>
      <w:r w:rsidRPr="00166456">
        <w:t>mproving</w:t>
      </w:r>
      <w:r>
        <w:t xml:space="preserve"> our </w:t>
      </w:r>
      <w:r w:rsidRPr="00166456">
        <w:t>services</w:t>
      </w:r>
      <w:r>
        <w:t xml:space="preserve"> </w:t>
      </w:r>
      <w:r w:rsidRPr="00166456">
        <w:t>and</w:t>
      </w:r>
      <w:r>
        <w:t xml:space="preserve"> </w:t>
      </w:r>
      <w:r w:rsidRPr="00166456">
        <w:t>support</w:t>
      </w:r>
      <w:r>
        <w:t xml:space="preserve"> </w:t>
      </w:r>
      <w:r w:rsidRPr="00166456">
        <w:t>for</w:t>
      </w:r>
      <w:r>
        <w:t xml:space="preserve"> </w:t>
      </w:r>
      <w:r w:rsidRPr="00166456">
        <w:t>First</w:t>
      </w:r>
      <w:r>
        <w:t xml:space="preserve"> </w:t>
      </w:r>
      <w:r w:rsidRPr="00166456">
        <w:t>Nations</w:t>
      </w:r>
      <w:r>
        <w:t xml:space="preserve"> </w:t>
      </w:r>
      <w:r w:rsidRPr="00166456">
        <w:t>communities</w:t>
      </w:r>
      <w:r>
        <w:t xml:space="preserve"> is a priority for us under our strategic plan. In </w:t>
      </w:r>
      <w:r w:rsidR="00EE79C3">
        <w:t>2024–25</w:t>
      </w:r>
      <w:r>
        <w:t xml:space="preserve"> </w:t>
      </w:r>
      <w:r w:rsidRPr="00166456">
        <w:t>we</w:t>
      </w:r>
      <w:r>
        <w:t xml:space="preserve"> </w:t>
      </w:r>
      <w:r w:rsidRPr="00166456">
        <w:t>launched</w:t>
      </w:r>
      <w:r>
        <w:t xml:space="preserve"> </w:t>
      </w:r>
      <w:r w:rsidRPr="00166456">
        <w:t>Yarrka</w:t>
      </w:r>
      <w:r>
        <w:t xml:space="preserve"> </w:t>
      </w:r>
      <w:r w:rsidRPr="00166456">
        <w:t>Barring,</w:t>
      </w:r>
      <w:r>
        <w:t xml:space="preserve"> </w:t>
      </w:r>
      <w:r w:rsidRPr="00166456">
        <w:t>a</w:t>
      </w:r>
      <w:r>
        <w:t xml:space="preserve"> </w:t>
      </w:r>
      <w:r w:rsidRPr="00166456">
        <w:t>dedicated</w:t>
      </w:r>
      <w:r>
        <w:t xml:space="preserve"> </w:t>
      </w:r>
      <w:r w:rsidRPr="00166456">
        <w:t>phone</w:t>
      </w:r>
      <w:r>
        <w:t xml:space="preserve"> </w:t>
      </w:r>
      <w:r w:rsidRPr="00166456">
        <w:t>service</w:t>
      </w:r>
      <w:r>
        <w:t xml:space="preserve"> and website resources </w:t>
      </w:r>
      <w:r w:rsidRPr="00166456">
        <w:t>to</w:t>
      </w:r>
      <w:r>
        <w:t xml:space="preserve"> </w:t>
      </w:r>
      <w:r w:rsidRPr="00166456">
        <w:t>assist</w:t>
      </w:r>
      <w:r>
        <w:t xml:space="preserve"> </w:t>
      </w:r>
      <w:r w:rsidRPr="00166456">
        <w:t>First</w:t>
      </w:r>
      <w:r>
        <w:t xml:space="preserve"> </w:t>
      </w:r>
      <w:r w:rsidRPr="00166456">
        <w:t>Nations</w:t>
      </w:r>
      <w:r>
        <w:t xml:space="preserve"> </w:t>
      </w:r>
      <w:r w:rsidRPr="00166456">
        <w:t>consumers</w:t>
      </w:r>
      <w:r>
        <w:t xml:space="preserve"> </w:t>
      </w:r>
      <w:r w:rsidRPr="00166456">
        <w:t>and</w:t>
      </w:r>
      <w:r>
        <w:t xml:space="preserve"> </w:t>
      </w:r>
      <w:r w:rsidRPr="00166456">
        <w:t>renters</w:t>
      </w:r>
      <w:r>
        <w:t xml:space="preserve"> with </w:t>
      </w:r>
      <w:r w:rsidRPr="00166456">
        <w:t>culturally</w:t>
      </w:r>
      <w:r>
        <w:t xml:space="preserve"> </w:t>
      </w:r>
      <w:r w:rsidRPr="00166456">
        <w:t>relevant</w:t>
      </w:r>
      <w:r>
        <w:t xml:space="preserve"> </w:t>
      </w:r>
      <w:r w:rsidRPr="00166456">
        <w:t>and</w:t>
      </w:r>
      <w:r>
        <w:t xml:space="preserve"> </w:t>
      </w:r>
      <w:r w:rsidRPr="00166456">
        <w:t>accessible</w:t>
      </w:r>
      <w:r>
        <w:t xml:space="preserve"> </w:t>
      </w:r>
      <w:r w:rsidRPr="00166456">
        <w:t>content</w:t>
      </w:r>
      <w:r>
        <w:t>, developed in response to feedback from First Nations communities and organisations about the issues that affect them most</w:t>
      </w:r>
      <w:r w:rsidRPr="00166456">
        <w:t>.</w:t>
      </w:r>
    </w:p>
    <w:p w14:paraId="735F649B" w14:textId="77777777" w:rsidR="00856406" w:rsidRDefault="00856406" w:rsidP="004D24A6">
      <w:pPr>
        <w:pStyle w:val="BodyText"/>
      </w:pPr>
      <w:r>
        <w:t xml:space="preserve">Renting is the top category of issue Victorians contact us about, and helping with renting issues is also a priority for CAV given </w:t>
      </w:r>
      <w:r w:rsidRPr="00963DD5">
        <w:t>the</w:t>
      </w:r>
      <w:r>
        <w:t xml:space="preserve"> </w:t>
      </w:r>
      <w:r w:rsidRPr="00963DD5">
        <w:t>importance</w:t>
      </w:r>
      <w:r>
        <w:t xml:space="preserve"> </w:t>
      </w:r>
      <w:r w:rsidRPr="00963DD5">
        <w:t>of</w:t>
      </w:r>
      <w:r>
        <w:t xml:space="preserve"> </w:t>
      </w:r>
      <w:r w:rsidRPr="00963DD5">
        <w:t>safe,</w:t>
      </w:r>
      <w:r>
        <w:t xml:space="preserve"> </w:t>
      </w:r>
      <w:r w:rsidRPr="00963DD5">
        <w:t>secure</w:t>
      </w:r>
      <w:r>
        <w:t xml:space="preserve"> </w:t>
      </w:r>
      <w:r w:rsidRPr="00963DD5">
        <w:t>and</w:t>
      </w:r>
      <w:r>
        <w:t xml:space="preserve"> </w:t>
      </w:r>
      <w:r w:rsidRPr="00963DD5">
        <w:t>affordable</w:t>
      </w:r>
      <w:r>
        <w:t xml:space="preserve"> </w:t>
      </w:r>
      <w:r w:rsidRPr="00963DD5">
        <w:t>housing</w:t>
      </w:r>
      <w:r>
        <w:t xml:space="preserve"> </w:t>
      </w:r>
      <w:r w:rsidRPr="00963DD5">
        <w:t>to</w:t>
      </w:r>
      <w:r>
        <w:t xml:space="preserve"> </w:t>
      </w:r>
      <w:r w:rsidRPr="00963DD5">
        <w:t>people’s</w:t>
      </w:r>
      <w:r>
        <w:t xml:space="preserve"> </w:t>
      </w:r>
      <w:r w:rsidRPr="00963DD5">
        <w:t>everyday</w:t>
      </w:r>
      <w:r>
        <w:t xml:space="preserve"> </w:t>
      </w:r>
      <w:r w:rsidRPr="00963DD5">
        <w:t>lives</w:t>
      </w:r>
      <w:r>
        <w:t xml:space="preserve">. During </w:t>
      </w:r>
      <w:r w:rsidRPr="00166456">
        <w:t>2024–25,</w:t>
      </w:r>
      <w:r>
        <w:t xml:space="preserve"> </w:t>
      </w:r>
      <w:r w:rsidRPr="00166456">
        <w:t>CAV</w:t>
      </w:r>
      <w:r>
        <w:t xml:space="preserve"> responded to </w:t>
      </w:r>
      <w:r w:rsidRPr="00166456">
        <w:t>64,116</w:t>
      </w:r>
      <w:r>
        <w:t xml:space="preserve"> renting-related </w:t>
      </w:r>
      <w:r w:rsidRPr="00166456">
        <w:t>calls</w:t>
      </w:r>
      <w:r>
        <w:t xml:space="preserve"> and </w:t>
      </w:r>
      <w:r w:rsidRPr="00166456">
        <w:t>the</w:t>
      </w:r>
      <w:r>
        <w:t xml:space="preserve"> </w:t>
      </w:r>
      <w:r w:rsidRPr="00166456">
        <w:t>renting</w:t>
      </w:r>
      <w:r>
        <w:t xml:space="preserve"> </w:t>
      </w:r>
      <w:r w:rsidRPr="00166456">
        <w:t>section</w:t>
      </w:r>
      <w:r>
        <w:t xml:space="preserve"> </w:t>
      </w:r>
      <w:r w:rsidRPr="00166456">
        <w:t>on</w:t>
      </w:r>
      <w:r>
        <w:t xml:space="preserve"> </w:t>
      </w:r>
      <w:r w:rsidRPr="00166456">
        <w:t>the</w:t>
      </w:r>
      <w:r>
        <w:t xml:space="preserve"> </w:t>
      </w:r>
      <w:r w:rsidRPr="00166456">
        <w:t>CAV</w:t>
      </w:r>
      <w:r>
        <w:t xml:space="preserve"> </w:t>
      </w:r>
      <w:r w:rsidRPr="00166456">
        <w:t>website</w:t>
      </w:r>
      <w:r>
        <w:t xml:space="preserve"> remained the most popular, </w:t>
      </w:r>
      <w:r w:rsidRPr="00166456">
        <w:t>receiv</w:t>
      </w:r>
      <w:r>
        <w:t xml:space="preserve">ing </w:t>
      </w:r>
      <w:r w:rsidRPr="00166456">
        <w:t>over</w:t>
      </w:r>
      <w:r>
        <w:t xml:space="preserve"> </w:t>
      </w:r>
      <w:r w:rsidRPr="00166456">
        <w:t>4.7</w:t>
      </w:r>
      <w:r>
        <w:t xml:space="preserve"> </w:t>
      </w:r>
      <w:r w:rsidRPr="00166456">
        <w:t>million</w:t>
      </w:r>
      <w:r>
        <w:t xml:space="preserve"> </w:t>
      </w:r>
      <w:r w:rsidRPr="00166456">
        <w:t>visits.</w:t>
      </w:r>
    </w:p>
    <w:p w14:paraId="2DA38EE3" w14:textId="677AA754" w:rsidR="00856406" w:rsidRDefault="00856406" w:rsidP="004D24A6">
      <w:pPr>
        <w:pStyle w:val="BodyText"/>
      </w:pPr>
      <w:r>
        <w:t xml:space="preserve">In the past three years, CAV saw the demand for rent investigations increase significantly in response to market conditions. It was encouraging to see this reduce in </w:t>
      </w:r>
      <w:r w:rsidR="00EE79C3">
        <w:t>2024–25</w:t>
      </w:r>
      <w:r>
        <w:t xml:space="preserve">, down 27 per cent </w:t>
      </w:r>
      <w:r w:rsidRPr="00166456">
        <w:t>to</w:t>
      </w:r>
      <w:r>
        <w:t xml:space="preserve"> </w:t>
      </w:r>
      <w:r w:rsidRPr="00166456">
        <w:t>5,442</w:t>
      </w:r>
      <w:r>
        <w:t xml:space="preserve"> </w:t>
      </w:r>
      <w:r w:rsidRPr="00166456">
        <w:t>rent</w:t>
      </w:r>
      <w:r>
        <w:t xml:space="preserve"> </w:t>
      </w:r>
      <w:r w:rsidRPr="00166456">
        <w:t>investigation</w:t>
      </w:r>
      <w:r>
        <w:t xml:space="preserve"> </w:t>
      </w:r>
      <w:r w:rsidRPr="00166456">
        <w:t>requests</w:t>
      </w:r>
      <w:r>
        <w:t xml:space="preserve"> </w:t>
      </w:r>
      <w:r w:rsidRPr="00166456">
        <w:t>this</w:t>
      </w:r>
      <w:r>
        <w:t xml:space="preserve"> </w:t>
      </w:r>
      <w:r w:rsidRPr="00166456">
        <w:t>year,</w:t>
      </w:r>
      <w:r>
        <w:t xml:space="preserve"> similar to </w:t>
      </w:r>
      <w:r w:rsidR="00EE79C3">
        <w:t>2022–23</w:t>
      </w:r>
      <w:r>
        <w:t xml:space="preserve"> numbers</w:t>
      </w:r>
      <w:r w:rsidRPr="00166456">
        <w:t>.</w:t>
      </w:r>
    </w:p>
    <w:p w14:paraId="76AD689D" w14:textId="77777777" w:rsidR="00856406" w:rsidRDefault="00856406" w:rsidP="004D24A6">
      <w:pPr>
        <w:pStyle w:val="BodyText"/>
      </w:pPr>
      <w:r>
        <w:t xml:space="preserve">In the last two months of the financial year we also ran a significant communications campaign across a range of advertising channels, to reach </w:t>
      </w:r>
      <w:r w:rsidRPr="00166456">
        <w:t>renters</w:t>
      </w:r>
      <w:r>
        <w:t xml:space="preserve">, </w:t>
      </w:r>
      <w:r w:rsidRPr="00166456">
        <w:t>rental</w:t>
      </w:r>
      <w:r>
        <w:t xml:space="preserve"> </w:t>
      </w:r>
      <w:r w:rsidRPr="00166456">
        <w:t>providers</w:t>
      </w:r>
      <w:r>
        <w:t xml:space="preserve"> and agents, building awareness of their renting rights and responsibilities</w:t>
      </w:r>
      <w:r w:rsidRPr="00166456">
        <w:t>.</w:t>
      </w:r>
      <w:r>
        <w:t xml:space="preserve"> Called </w:t>
      </w:r>
      <w:r w:rsidRPr="00166456">
        <w:t>Funda-rentals</w:t>
      </w:r>
      <w:r>
        <w:t>, t</w:t>
      </w:r>
      <w:r w:rsidRPr="00166456">
        <w:t>he</w:t>
      </w:r>
      <w:r>
        <w:t xml:space="preserve"> </w:t>
      </w:r>
      <w:r w:rsidRPr="00166456">
        <w:t>campaign</w:t>
      </w:r>
      <w:r>
        <w:t xml:space="preserve"> </w:t>
      </w:r>
      <w:r w:rsidRPr="00166456">
        <w:t>reach</w:t>
      </w:r>
      <w:r>
        <w:t xml:space="preserve">ed </w:t>
      </w:r>
      <w:r w:rsidRPr="00166456">
        <w:t>people</w:t>
      </w:r>
      <w:r>
        <w:t xml:space="preserve"> </w:t>
      </w:r>
      <w:r w:rsidRPr="00166456">
        <w:t>more</w:t>
      </w:r>
      <w:r>
        <w:t xml:space="preserve"> </w:t>
      </w:r>
      <w:r w:rsidRPr="00166456">
        <w:t>than</w:t>
      </w:r>
      <w:r>
        <w:t xml:space="preserve"> </w:t>
      </w:r>
      <w:r w:rsidRPr="00166456">
        <w:t>39.2</w:t>
      </w:r>
      <w:r>
        <w:t xml:space="preserve"> </w:t>
      </w:r>
      <w:r w:rsidRPr="00166456">
        <w:t>million</w:t>
      </w:r>
      <w:r>
        <w:t xml:space="preserve"> </w:t>
      </w:r>
      <w:r w:rsidRPr="00166456">
        <w:t>times</w:t>
      </w:r>
      <w:r>
        <w:t>. This complemented other communications efforts throughout the year, including launching an updated renters guide to coincide with the opening of the new Rental Dispute Resolution Victoria service in June 2025.</w:t>
      </w:r>
    </w:p>
    <w:p w14:paraId="75933A2E" w14:textId="77777777" w:rsidR="00856406" w:rsidRDefault="00856406" w:rsidP="004D24A6">
      <w:pPr>
        <w:pStyle w:val="BodyText"/>
      </w:pPr>
      <w:r>
        <w:t>Some Victorians need more intensive help and support to address consumer, renting and financial issues they are facing. CAV’s community programs continued to deliver financial counselling, renter assistance and consumer support to thousands of Victorians during the year, including helping 3,728 people affected by family violence with specialist financial counselling support.</w:t>
      </w:r>
    </w:p>
    <w:p w14:paraId="2C2BED53" w14:textId="4F30FB3C" w:rsidR="00856406" w:rsidRDefault="00856406" w:rsidP="004D24A6">
      <w:pPr>
        <w:pStyle w:val="BodyText"/>
      </w:pPr>
      <w:r>
        <w:t xml:space="preserve">In </w:t>
      </w:r>
      <w:r w:rsidR="00EE79C3">
        <w:t>2024–25</w:t>
      </w:r>
      <w:r>
        <w:t xml:space="preserve"> the government also undertook a new Financial Counselling Funding Round, providing an additional $15 million in funding over three years to 16 community organisations, to meet demand for financial counselling for people experiencing mortgage or rental stress. This followed </w:t>
      </w:r>
      <w:r w:rsidR="00EE79C3">
        <w:t>2023–24</w:t>
      </w:r>
      <w:r>
        <w:t xml:space="preserve">’s Rental Stress Support Package, which in </w:t>
      </w:r>
      <w:r w:rsidR="00EE79C3">
        <w:t>2024–25</w:t>
      </w:r>
      <w:r>
        <w:t xml:space="preserve"> provided $4.1 million in funding to support an additional 4,094 renters with renting assistance and advocacy services.</w:t>
      </w:r>
    </w:p>
    <w:p w14:paraId="2C3C514F" w14:textId="77777777" w:rsidR="00856406" w:rsidRDefault="00856406" w:rsidP="004D24A6">
      <w:pPr>
        <w:pStyle w:val="BodyText"/>
      </w:pPr>
      <w:r>
        <w:t xml:space="preserve">CAV has also increased its compliance and enforcement activity in key consumer markets, ensuring Victorians are not left to respond to breaches of their rights and protections alone, and traders are held accountable. Our court and administrative actions increased by more than 20 per cent, including finalising 15 </w:t>
      </w:r>
      <w:r w:rsidRPr="001A6685">
        <w:t>court</w:t>
      </w:r>
      <w:r>
        <w:t xml:space="preserve"> </w:t>
      </w:r>
      <w:r w:rsidRPr="001A6685">
        <w:t>and</w:t>
      </w:r>
      <w:r>
        <w:t xml:space="preserve"> tribunal </w:t>
      </w:r>
      <w:r w:rsidRPr="001A6685">
        <w:t>actions.</w:t>
      </w:r>
      <w:r>
        <w:t xml:space="preserve"> </w:t>
      </w:r>
      <w:r w:rsidRPr="001A6685">
        <w:t>We</w:t>
      </w:r>
      <w:r>
        <w:t xml:space="preserve"> launched 20 </w:t>
      </w:r>
      <w:r w:rsidRPr="001A6685">
        <w:t>new</w:t>
      </w:r>
      <w:r>
        <w:t xml:space="preserve"> </w:t>
      </w:r>
      <w:r w:rsidRPr="001A6685">
        <w:t>court</w:t>
      </w:r>
      <w:r>
        <w:t xml:space="preserve"> </w:t>
      </w:r>
      <w:r w:rsidRPr="001A6685">
        <w:t>and</w:t>
      </w:r>
      <w:r>
        <w:t xml:space="preserve"> </w:t>
      </w:r>
      <w:r w:rsidRPr="001A6685">
        <w:t>tribunal</w:t>
      </w:r>
      <w:r>
        <w:t xml:space="preserve"> </w:t>
      </w:r>
      <w:r w:rsidRPr="001A6685">
        <w:t>proceedings</w:t>
      </w:r>
      <w:r>
        <w:t xml:space="preserve"> </w:t>
      </w:r>
      <w:r w:rsidRPr="001A6685">
        <w:t>in</w:t>
      </w:r>
      <w:r>
        <w:t xml:space="preserve"> </w:t>
      </w:r>
      <w:r w:rsidRPr="001A6685">
        <w:t>2024–25</w:t>
      </w:r>
      <w:r>
        <w:t xml:space="preserve">, </w:t>
      </w:r>
      <w:r w:rsidRPr="001A6685">
        <w:t>in</w:t>
      </w:r>
      <w:r>
        <w:t xml:space="preserve"> </w:t>
      </w:r>
      <w:r w:rsidRPr="001A6685">
        <w:t>response</w:t>
      </w:r>
      <w:r>
        <w:t xml:space="preserve"> </w:t>
      </w:r>
      <w:r w:rsidRPr="001A6685">
        <w:t>to</w:t>
      </w:r>
      <w:r>
        <w:t xml:space="preserve"> </w:t>
      </w:r>
      <w:r w:rsidRPr="001A6685">
        <w:t>serious</w:t>
      </w:r>
      <w:r>
        <w:t xml:space="preserve"> </w:t>
      </w:r>
      <w:r w:rsidRPr="001A6685">
        <w:t>alleged</w:t>
      </w:r>
      <w:r>
        <w:t xml:space="preserve"> </w:t>
      </w:r>
      <w:r w:rsidRPr="001A6685">
        <w:t>offending</w:t>
      </w:r>
      <w:r>
        <w:t xml:space="preserve"> </w:t>
      </w:r>
      <w:r w:rsidRPr="001A6685">
        <w:t>or</w:t>
      </w:r>
      <w:r>
        <w:t xml:space="preserve"> </w:t>
      </w:r>
      <w:r w:rsidRPr="001A6685">
        <w:t>non-compliance.</w:t>
      </w:r>
    </w:p>
    <w:p w14:paraId="21081A78" w14:textId="3238E709" w:rsidR="00856406" w:rsidRDefault="00856406" w:rsidP="004D24A6">
      <w:pPr>
        <w:pStyle w:val="BodyText"/>
        <w:rPr>
          <w:rFonts w:eastAsia="Aptos"/>
        </w:rPr>
      </w:pPr>
      <w:r w:rsidRPr="000D7287">
        <w:t>Our</w:t>
      </w:r>
      <w:r>
        <w:t xml:space="preserve"> renting taskforce, announced towards the end of </w:t>
      </w:r>
      <w:r w:rsidR="00EE79C3">
        <w:t>2023–24</w:t>
      </w:r>
      <w:r>
        <w:t xml:space="preserve">, scaled up its operations in </w:t>
      </w:r>
      <w:r w:rsidR="00EE79C3">
        <w:t>2024–25</w:t>
      </w:r>
      <w:r>
        <w:t xml:space="preserve">. While it has a strong focus on engagement and early intervention to prevent breaches and problems wherever possible, it does not hesitate to take further action where required. </w:t>
      </w:r>
      <w:r w:rsidRPr="00166456">
        <w:rPr>
          <w:rFonts w:eastAsia="Aptos"/>
        </w:rPr>
        <w:t>In</w:t>
      </w:r>
      <w:r>
        <w:rPr>
          <w:rFonts w:eastAsia="Aptos"/>
        </w:rPr>
        <w:t xml:space="preserve"> </w:t>
      </w:r>
      <w:r w:rsidR="00EE79C3">
        <w:rPr>
          <w:rFonts w:eastAsia="Aptos"/>
        </w:rPr>
        <w:t>2024–25</w:t>
      </w:r>
      <w:r w:rsidRPr="00166456">
        <w:rPr>
          <w:rFonts w:eastAsia="Aptos"/>
        </w:rPr>
        <w:t>,</w:t>
      </w:r>
      <w:r>
        <w:rPr>
          <w:rFonts w:eastAsia="Aptos"/>
        </w:rPr>
        <w:t xml:space="preserve"> </w:t>
      </w:r>
      <w:r w:rsidRPr="00166456">
        <w:rPr>
          <w:rFonts w:eastAsia="Aptos"/>
        </w:rPr>
        <w:t>the</w:t>
      </w:r>
      <w:r>
        <w:rPr>
          <w:rFonts w:eastAsia="Aptos"/>
        </w:rPr>
        <w:t xml:space="preserve"> renting taskforce </w:t>
      </w:r>
      <w:r w:rsidRPr="00166456">
        <w:rPr>
          <w:rFonts w:eastAsia="Aptos"/>
        </w:rPr>
        <w:t>issued</w:t>
      </w:r>
      <w:r>
        <w:rPr>
          <w:rFonts w:eastAsia="Aptos"/>
        </w:rPr>
        <w:t xml:space="preserve"> </w:t>
      </w:r>
      <w:r w:rsidRPr="00166456">
        <w:rPr>
          <w:rFonts w:eastAsia="Aptos"/>
        </w:rPr>
        <w:t>129</w:t>
      </w:r>
      <w:r>
        <w:rPr>
          <w:rFonts w:eastAsia="Aptos"/>
        </w:rPr>
        <w:t xml:space="preserve"> </w:t>
      </w:r>
      <w:r w:rsidRPr="00166456">
        <w:rPr>
          <w:rFonts w:eastAsia="Aptos"/>
        </w:rPr>
        <w:t>official</w:t>
      </w:r>
      <w:r>
        <w:rPr>
          <w:rFonts w:eastAsia="Aptos"/>
        </w:rPr>
        <w:t xml:space="preserve"> </w:t>
      </w:r>
      <w:r w:rsidRPr="00166456">
        <w:rPr>
          <w:rFonts w:eastAsia="Aptos"/>
        </w:rPr>
        <w:t>warnings</w:t>
      </w:r>
      <w:r>
        <w:rPr>
          <w:rFonts w:eastAsia="Aptos"/>
        </w:rPr>
        <w:t xml:space="preserve"> </w:t>
      </w:r>
      <w:r w:rsidRPr="00166456">
        <w:rPr>
          <w:rFonts w:eastAsia="Aptos"/>
        </w:rPr>
        <w:t>and</w:t>
      </w:r>
      <w:r>
        <w:rPr>
          <w:rFonts w:eastAsia="Aptos"/>
        </w:rPr>
        <w:t xml:space="preserve"> </w:t>
      </w:r>
      <w:r w:rsidRPr="00166456">
        <w:rPr>
          <w:rFonts w:eastAsia="Aptos"/>
        </w:rPr>
        <w:t>89</w:t>
      </w:r>
      <w:r>
        <w:rPr>
          <w:rFonts w:eastAsia="Aptos"/>
        </w:rPr>
        <w:t xml:space="preserve"> </w:t>
      </w:r>
      <w:r w:rsidRPr="00166456">
        <w:rPr>
          <w:rFonts w:eastAsia="Aptos"/>
        </w:rPr>
        <w:t>infringements</w:t>
      </w:r>
      <w:r>
        <w:rPr>
          <w:rFonts w:eastAsia="Aptos"/>
        </w:rPr>
        <w:t xml:space="preserve"> </w:t>
      </w:r>
      <w:r w:rsidRPr="00166456">
        <w:rPr>
          <w:rFonts w:eastAsia="Aptos"/>
        </w:rPr>
        <w:t>totalling</w:t>
      </w:r>
      <w:r>
        <w:rPr>
          <w:rFonts w:eastAsia="Aptos"/>
        </w:rPr>
        <w:t xml:space="preserve"> </w:t>
      </w:r>
      <w:r w:rsidRPr="00166456">
        <w:rPr>
          <w:rFonts w:eastAsia="Aptos"/>
        </w:rPr>
        <w:t>more</w:t>
      </w:r>
      <w:r>
        <w:rPr>
          <w:rFonts w:eastAsia="Aptos"/>
        </w:rPr>
        <w:t xml:space="preserve"> </w:t>
      </w:r>
      <w:r w:rsidRPr="00166456">
        <w:rPr>
          <w:rFonts w:eastAsia="Aptos"/>
        </w:rPr>
        <w:t>than</w:t>
      </w:r>
      <w:r>
        <w:rPr>
          <w:rFonts w:eastAsia="Aptos"/>
        </w:rPr>
        <w:t xml:space="preserve"> </w:t>
      </w:r>
      <w:r w:rsidRPr="00166456">
        <w:rPr>
          <w:rFonts w:eastAsia="Aptos"/>
        </w:rPr>
        <w:t>$700,000</w:t>
      </w:r>
      <w:r>
        <w:rPr>
          <w:rFonts w:eastAsia="Aptos"/>
        </w:rPr>
        <w:t xml:space="preserve"> </w:t>
      </w:r>
      <w:r w:rsidRPr="00166456">
        <w:rPr>
          <w:rFonts w:eastAsia="Aptos"/>
        </w:rPr>
        <w:t>in</w:t>
      </w:r>
      <w:r>
        <w:rPr>
          <w:rFonts w:eastAsia="Aptos"/>
        </w:rPr>
        <w:t xml:space="preserve"> </w:t>
      </w:r>
      <w:r w:rsidRPr="00166456">
        <w:rPr>
          <w:rFonts w:eastAsia="Aptos"/>
        </w:rPr>
        <w:t>fines</w:t>
      </w:r>
      <w:r>
        <w:rPr>
          <w:rFonts w:eastAsia="Aptos"/>
        </w:rPr>
        <w:t xml:space="preserve"> </w:t>
      </w:r>
      <w:r w:rsidRPr="00166456">
        <w:rPr>
          <w:rFonts w:eastAsia="Aptos"/>
        </w:rPr>
        <w:t>for</w:t>
      </w:r>
      <w:r>
        <w:rPr>
          <w:rFonts w:eastAsia="Aptos"/>
        </w:rPr>
        <w:t xml:space="preserve"> renting law </w:t>
      </w:r>
      <w:r w:rsidRPr="00166456">
        <w:rPr>
          <w:rFonts w:eastAsia="Aptos"/>
        </w:rPr>
        <w:t>offences</w:t>
      </w:r>
      <w:r>
        <w:rPr>
          <w:rFonts w:eastAsia="Aptos"/>
        </w:rPr>
        <w:t>, as well as initiating 5 criminal proceedings.</w:t>
      </w:r>
    </w:p>
    <w:p w14:paraId="4EEC2E1B" w14:textId="5166537C" w:rsidR="00856406" w:rsidRDefault="00856406" w:rsidP="004D24A6">
      <w:pPr>
        <w:pStyle w:val="BodyText"/>
      </w:pPr>
      <w:r>
        <w:t xml:space="preserve">Underquoting also remains a top concern for Victorians. In August 2024 the government made the underquoting taskforce a permanent enforcement arm of CAV in recognition of the need to keep a strong focus on stamping out this unfair and illegal practice. The taskforce launched several significant legal proceedings for serious alleged breaches in </w:t>
      </w:r>
      <w:r w:rsidR="00EE79C3">
        <w:t>2024–25</w:t>
      </w:r>
      <w:r>
        <w:t>.</w:t>
      </w:r>
    </w:p>
    <w:p w14:paraId="55B1AAB5" w14:textId="04DED0DC" w:rsidR="00856406" w:rsidRPr="00166456" w:rsidRDefault="00856406" w:rsidP="004D24A6">
      <w:pPr>
        <w:pStyle w:val="BodyText"/>
      </w:pPr>
      <w:r>
        <w:t xml:space="preserve">Transport costs account for an important part of Victorians’ household budgets after housing, and cars are critical for many people to get to work, family and health commitments. </w:t>
      </w:r>
      <w:r w:rsidRPr="005E1B49">
        <w:t>In</w:t>
      </w:r>
      <w:r>
        <w:t xml:space="preserve"> </w:t>
      </w:r>
      <w:r w:rsidR="00EE79C3">
        <w:t>2024–25</w:t>
      </w:r>
      <w:r w:rsidRPr="005E1B49">
        <w:t>,</w:t>
      </w:r>
      <w:r>
        <w:t xml:space="preserve"> </w:t>
      </w:r>
      <w:r w:rsidRPr="005E1B49">
        <w:t>CAV</w:t>
      </w:r>
      <w:r>
        <w:t xml:space="preserve"> </w:t>
      </w:r>
      <w:r w:rsidRPr="005E1B49">
        <w:t>focused</w:t>
      </w:r>
      <w:r>
        <w:t xml:space="preserve"> strongly </w:t>
      </w:r>
      <w:r w:rsidRPr="005E1B49">
        <w:t>on</w:t>
      </w:r>
      <w:r>
        <w:t xml:space="preserve"> stopping </w:t>
      </w:r>
      <w:r w:rsidRPr="005E1B49">
        <w:t>motor</w:t>
      </w:r>
      <w:r>
        <w:t xml:space="preserve"> </w:t>
      </w:r>
      <w:r w:rsidRPr="005E1B49">
        <w:t>car</w:t>
      </w:r>
      <w:r>
        <w:t xml:space="preserve"> </w:t>
      </w:r>
      <w:r w:rsidRPr="005E1B49">
        <w:t>trad</w:t>
      </w:r>
      <w:r>
        <w:t xml:space="preserve">ing conduct that harms consumers, with </w:t>
      </w:r>
      <w:r w:rsidRPr="005E1B49">
        <w:t>targeted</w:t>
      </w:r>
      <w:r>
        <w:t xml:space="preserve"> </w:t>
      </w:r>
      <w:r w:rsidRPr="005E1B49">
        <w:t>intervention</w:t>
      </w:r>
      <w:r>
        <w:t xml:space="preserve"> </w:t>
      </w:r>
      <w:r w:rsidRPr="005E1B49">
        <w:t>designed</w:t>
      </w:r>
      <w:r>
        <w:t xml:space="preserve"> </w:t>
      </w:r>
      <w:r w:rsidRPr="005E1B49">
        <w:t>to</w:t>
      </w:r>
      <w:r>
        <w:t xml:space="preserve"> </w:t>
      </w:r>
      <w:r w:rsidRPr="005E1B49">
        <w:t>educate</w:t>
      </w:r>
      <w:r>
        <w:t xml:space="preserve">, </w:t>
      </w:r>
      <w:r w:rsidRPr="005E1B49">
        <w:t>change</w:t>
      </w:r>
      <w:r>
        <w:t xml:space="preserve"> trader </w:t>
      </w:r>
      <w:r w:rsidRPr="005E1B49">
        <w:t>behaviour</w:t>
      </w:r>
      <w:r>
        <w:t xml:space="preserve"> and secure remedies for </w:t>
      </w:r>
      <w:r w:rsidRPr="005E1B49">
        <w:t>consumers</w:t>
      </w:r>
      <w:r>
        <w:t xml:space="preserve"> who bought faulty cars</w:t>
      </w:r>
      <w:r w:rsidRPr="005E1B49">
        <w:t>.</w:t>
      </w:r>
      <w:r>
        <w:t xml:space="preserve"> We provided more frontline compliance support to consumers with car disputes</w:t>
      </w:r>
      <w:r w:rsidR="00624D29">
        <w:t xml:space="preserve"> – </w:t>
      </w:r>
      <w:r>
        <w:t>up over 140 per cent</w:t>
      </w:r>
      <w:r w:rsidR="00624D29">
        <w:t xml:space="preserve"> – </w:t>
      </w:r>
      <w:r>
        <w:t xml:space="preserve">and issued 23 infringements for motor car trading breaches, up from three in </w:t>
      </w:r>
      <w:r w:rsidRPr="005E1B49">
        <w:t>the</w:t>
      </w:r>
      <w:r>
        <w:t xml:space="preserve"> </w:t>
      </w:r>
      <w:r w:rsidRPr="005E1B49">
        <w:t>previous</w:t>
      </w:r>
      <w:r>
        <w:t xml:space="preserve"> </w:t>
      </w:r>
      <w:r w:rsidRPr="005E1B49">
        <w:t>financial</w:t>
      </w:r>
      <w:r>
        <w:t xml:space="preserve"> </w:t>
      </w:r>
      <w:r w:rsidRPr="005E1B49">
        <w:t>year</w:t>
      </w:r>
      <w:r>
        <w:t>, as well as launching new court and tribunal actions</w:t>
      </w:r>
      <w:r w:rsidRPr="005E1B49">
        <w:t>.</w:t>
      </w:r>
    </w:p>
    <w:p w14:paraId="1BEEC6FC" w14:textId="77777777" w:rsidR="00856406" w:rsidRDefault="00856406" w:rsidP="004D24A6">
      <w:pPr>
        <w:pStyle w:val="BodyText"/>
      </w:pPr>
      <w:r>
        <w:t xml:space="preserve">In May 2025, the Minister for Consumer Affairs imposed an urgent interim product safety ban on the supply of machetes in Victoria, under the Australian Consumer Law, in response to concerning incidents in the community. CAV established a dedicated taskforce to ensure compliance with the ban, ultimately inspecting more than </w:t>
      </w:r>
      <w:r w:rsidRPr="000D7287">
        <w:t>480</w:t>
      </w:r>
      <w:r>
        <w:t xml:space="preserve"> </w:t>
      </w:r>
      <w:r w:rsidRPr="000D7287">
        <w:t>retailers</w:t>
      </w:r>
      <w:r>
        <w:t xml:space="preserve"> </w:t>
      </w:r>
      <w:r w:rsidRPr="000D7287">
        <w:t>across</w:t>
      </w:r>
      <w:r>
        <w:t xml:space="preserve"> </w:t>
      </w:r>
      <w:r w:rsidRPr="000D7287">
        <w:t>Victoria</w:t>
      </w:r>
      <w:r>
        <w:t xml:space="preserve">, </w:t>
      </w:r>
      <w:r w:rsidRPr="000D7287">
        <w:t>2,400</w:t>
      </w:r>
      <w:r>
        <w:t xml:space="preserve"> </w:t>
      </w:r>
      <w:r w:rsidRPr="000D7287">
        <w:t>stalls</w:t>
      </w:r>
      <w:r>
        <w:t xml:space="preserve"> </w:t>
      </w:r>
      <w:r w:rsidRPr="000D7287">
        <w:t>at</w:t>
      </w:r>
      <w:r>
        <w:t xml:space="preserve"> 8 weekend markets and </w:t>
      </w:r>
      <w:r w:rsidRPr="000D7287">
        <w:t>80</w:t>
      </w:r>
      <w:r>
        <w:t xml:space="preserve"> </w:t>
      </w:r>
      <w:r w:rsidRPr="000D7287">
        <w:t>online</w:t>
      </w:r>
      <w:r>
        <w:t xml:space="preserve"> </w:t>
      </w:r>
      <w:r w:rsidRPr="000D7287">
        <w:t>platforms</w:t>
      </w:r>
      <w:r>
        <w:t xml:space="preserve"> </w:t>
      </w:r>
      <w:r w:rsidRPr="000D7287">
        <w:t>and</w:t>
      </w:r>
      <w:r>
        <w:t xml:space="preserve"> </w:t>
      </w:r>
      <w:r w:rsidRPr="000D7287">
        <w:t>retailers</w:t>
      </w:r>
      <w:r>
        <w:t xml:space="preserve">, by the time the ban ended on 1 September 2025. Suppliers were overwhelming supportive and compliant with the ban. Machete sales dried up, and five </w:t>
      </w:r>
      <w:r w:rsidRPr="000D7287">
        <w:t>infringements</w:t>
      </w:r>
      <w:r>
        <w:t xml:space="preserve"> </w:t>
      </w:r>
      <w:r w:rsidRPr="000D7287">
        <w:t>and</w:t>
      </w:r>
      <w:r>
        <w:t xml:space="preserve"> eight </w:t>
      </w:r>
      <w:r w:rsidRPr="000D7287">
        <w:t>official</w:t>
      </w:r>
      <w:r>
        <w:t xml:space="preserve"> </w:t>
      </w:r>
      <w:r w:rsidRPr="000D7287">
        <w:t>warnings</w:t>
      </w:r>
      <w:r>
        <w:t xml:space="preserve"> were issued </w:t>
      </w:r>
      <w:r w:rsidRPr="000D7287">
        <w:t>to</w:t>
      </w:r>
      <w:r>
        <w:t xml:space="preserve"> </w:t>
      </w:r>
      <w:r w:rsidRPr="000D7287">
        <w:t>online</w:t>
      </w:r>
      <w:r>
        <w:t xml:space="preserve"> </w:t>
      </w:r>
      <w:r w:rsidRPr="000D7287">
        <w:t>retailers</w:t>
      </w:r>
      <w:r>
        <w:t xml:space="preserve"> </w:t>
      </w:r>
      <w:r w:rsidRPr="000D7287">
        <w:t>identified</w:t>
      </w:r>
      <w:r>
        <w:t xml:space="preserve"> </w:t>
      </w:r>
      <w:r w:rsidRPr="000D7287">
        <w:t>as</w:t>
      </w:r>
      <w:r>
        <w:t xml:space="preserve"> </w:t>
      </w:r>
      <w:r w:rsidRPr="000D7287">
        <w:t>non-compliant.</w:t>
      </w:r>
    </w:p>
    <w:p w14:paraId="3254743C" w14:textId="45B03D0D" w:rsidR="00856406" w:rsidRDefault="00856406" w:rsidP="004D24A6">
      <w:pPr>
        <w:pStyle w:val="BodyText"/>
      </w:pPr>
      <w:r>
        <w:t xml:space="preserve">The machete ban taskforce was able to leverage CAV’s experience and skills in product safety, given our enduring focus on </w:t>
      </w:r>
      <w:r w:rsidRPr="00166456">
        <w:t>ensuring</w:t>
      </w:r>
      <w:r>
        <w:t xml:space="preserve"> safe and compliant consumer products </w:t>
      </w:r>
      <w:r w:rsidRPr="00166456">
        <w:t>in</w:t>
      </w:r>
      <w:r>
        <w:t xml:space="preserve"> the </w:t>
      </w:r>
      <w:r w:rsidRPr="00166456">
        <w:t>market</w:t>
      </w:r>
      <w:r>
        <w:t>place, especially for children</w:t>
      </w:r>
      <w:r w:rsidRPr="00166456">
        <w:t>.</w:t>
      </w:r>
      <w:r>
        <w:t xml:space="preserve"> </w:t>
      </w:r>
      <w:r w:rsidRPr="00166456">
        <w:t>CAV</w:t>
      </w:r>
      <w:r>
        <w:t xml:space="preserve"> </w:t>
      </w:r>
      <w:r w:rsidRPr="00166456">
        <w:t>inspect</w:t>
      </w:r>
      <w:r>
        <w:t xml:space="preserve">ed more than </w:t>
      </w:r>
      <w:r w:rsidRPr="00166456">
        <w:t>9</w:t>
      </w:r>
      <w:r>
        <w:t xml:space="preserve">00 </w:t>
      </w:r>
      <w:r w:rsidRPr="00166456">
        <w:t>stores</w:t>
      </w:r>
      <w:r>
        <w:t xml:space="preserve"> in </w:t>
      </w:r>
      <w:r w:rsidR="00EE79C3">
        <w:t>2024–25</w:t>
      </w:r>
      <w:r w:rsidRPr="00166456">
        <w:t>,</w:t>
      </w:r>
      <w:r>
        <w:t xml:space="preserve"> as well as working with the Melbourne Royal Show to remove dangerous goods from sale and, in March 2025, issuing an urgent public warning about large retail outlet Panda Mart, after seizing thousands of non-compliant items from its shelves</w:t>
      </w:r>
      <w:r w:rsidRPr="001A6685">
        <w:t>.</w:t>
      </w:r>
    </w:p>
    <w:p w14:paraId="6CFBEE99" w14:textId="77777777" w:rsidR="00856406" w:rsidRPr="00166456" w:rsidRDefault="00856406" w:rsidP="004D24A6">
      <w:pPr>
        <w:pStyle w:val="BodyText"/>
      </w:pPr>
      <w:r>
        <w:t xml:space="preserve">While CAV has a strong focus on ensuring compliance, we are also </w:t>
      </w:r>
      <w:r w:rsidRPr="00166456">
        <w:t>committed</w:t>
      </w:r>
      <w:r>
        <w:t xml:space="preserve"> </w:t>
      </w:r>
      <w:r w:rsidRPr="00166456">
        <w:t>to</w:t>
      </w:r>
      <w:r>
        <w:t xml:space="preserve"> supporting traders to understand and meet their legal requirements</w:t>
      </w:r>
      <w:r w:rsidRPr="00166456">
        <w:t>.</w:t>
      </w:r>
      <w:r>
        <w:t xml:space="preserve"> </w:t>
      </w:r>
      <w:r w:rsidRPr="00166456">
        <w:t>In</w:t>
      </w:r>
      <w:r>
        <w:t xml:space="preserve"> </w:t>
      </w:r>
      <w:r w:rsidRPr="00166456">
        <w:t>May</w:t>
      </w:r>
      <w:r>
        <w:t xml:space="preserve"> </w:t>
      </w:r>
      <w:r w:rsidRPr="00166456">
        <w:t>2025,</w:t>
      </w:r>
      <w:r>
        <w:t xml:space="preserve"> we </w:t>
      </w:r>
      <w:r w:rsidRPr="00166456">
        <w:t>completed</w:t>
      </w:r>
      <w:r>
        <w:t xml:space="preserve"> </w:t>
      </w:r>
      <w:r w:rsidRPr="00166456">
        <w:t>a</w:t>
      </w:r>
      <w:r>
        <w:t xml:space="preserve"> </w:t>
      </w:r>
      <w:r w:rsidRPr="00166456">
        <w:t>major</w:t>
      </w:r>
      <w:r>
        <w:t xml:space="preserve">, multi-year digital improvement project, bringing all our licensing and registration schemes under a single entry </w:t>
      </w:r>
      <w:r w:rsidRPr="00166456">
        <w:t>point</w:t>
      </w:r>
      <w:r>
        <w:t xml:space="preserve"> through </w:t>
      </w:r>
      <w:r w:rsidRPr="00166456">
        <w:t>the</w:t>
      </w:r>
      <w:r>
        <w:t xml:space="preserve"> </w:t>
      </w:r>
      <w:r w:rsidRPr="00166456">
        <w:t>myCAV</w:t>
      </w:r>
      <w:r>
        <w:t xml:space="preserve"> </w:t>
      </w:r>
      <w:r w:rsidRPr="00166456">
        <w:t>online</w:t>
      </w:r>
      <w:r>
        <w:t xml:space="preserve"> </w:t>
      </w:r>
      <w:r w:rsidRPr="00166456">
        <w:t>system.</w:t>
      </w:r>
      <w:r>
        <w:t xml:space="preserve"> </w:t>
      </w:r>
      <w:r w:rsidRPr="00166456">
        <w:t>This</w:t>
      </w:r>
      <w:r>
        <w:t xml:space="preserve"> </w:t>
      </w:r>
      <w:r w:rsidRPr="00166456">
        <w:t>makes</w:t>
      </w:r>
      <w:r>
        <w:t xml:space="preserve"> </w:t>
      </w:r>
      <w:r w:rsidRPr="00166456">
        <w:t>it</w:t>
      </w:r>
      <w:r>
        <w:t xml:space="preserve"> </w:t>
      </w:r>
      <w:r w:rsidRPr="00166456">
        <w:t>easier</w:t>
      </w:r>
      <w:r>
        <w:t xml:space="preserve"> </w:t>
      </w:r>
      <w:r w:rsidRPr="00166456">
        <w:t>for</w:t>
      </w:r>
      <w:r>
        <w:t xml:space="preserve"> </w:t>
      </w:r>
      <w:r w:rsidRPr="00166456">
        <w:t>businesses,</w:t>
      </w:r>
      <w:r>
        <w:t xml:space="preserve"> </w:t>
      </w:r>
      <w:r w:rsidRPr="00166456">
        <w:t>professionals</w:t>
      </w:r>
      <w:r>
        <w:t xml:space="preserve"> </w:t>
      </w:r>
      <w:r w:rsidRPr="00166456">
        <w:t>and</w:t>
      </w:r>
      <w:r>
        <w:t xml:space="preserve"> </w:t>
      </w:r>
      <w:r w:rsidRPr="00166456">
        <w:t>community</w:t>
      </w:r>
      <w:r>
        <w:t xml:space="preserve"> </w:t>
      </w:r>
      <w:r w:rsidRPr="00166456">
        <w:t>organisations</w:t>
      </w:r>
      <w:r>
        <w:t xml:space="preserve"> </w:t>
      </w:r>
      <w:r w:rsidRPr="00166456">
        <w:t>to</w:t>
      </w:r>
      <w:r>
        <w:t xml:space="preserve"> interact with us and </w:t>
      </w:r>
      <w:r w:rsidRPr="00166456">
        <w:t>meet</w:t>
      </w:r>
      <w:r>
        <w:t xml:space="preserve"> </w:t>
      </w:r>
      <w:r w:rsidRPr="00166456">
        <w:t>their</w:t>
      </w:r>
      <w:r>
        <w:t xml:space="preserve"> </w:t>
      </w:r>
      <w:r w:rsidRPr="00166456">
        <w:t>regulatory</w:t>
      </w:r>
      <w:r>
        <w:t xml:space="preserve"> </w:t>
      </w:r>
      <w:r w:rsidRPr="00166456">
        <w:t>obligations,</w:t>
      </w:r>
      <w:r>
        <w:t xml:space="preserve"> </w:t>
      </w:r>
      <w:r w:rsidRPr="00166456">
        <w:t>saving</w:t>
      </w:r>
      <w:r>
        <w:t xml:space="preserve"> </w:t>
      </w:r>
      <w:r w:rsidRPr="00166456">
        <w:t>them</w:t>
      </w:r>
      <w:r>
        <w:t xml:space="preserve"> </w:t>
      </w:r>
      <w:r w:rsidRPr="00166456">
        <w:t>time</w:t>
      </w:r>
      <w:r>
        <w:t xml:space="preserve"> </w:t>
      </w:r>
      <w:r w:rsidRPr="00166456">
        <w:t>and</w:t>
      </w:r>
      <w:r>
        <w:t xml:space="preserve"> </w:t>
      </w:r>
      <w:r w:rsidRPr="00166456">
        <w:t>resources</w:t>
      </w:r>
      <w:r>
        <w:t xml:space="preserve"> so they can get on with their work. The upgrade also enhanced our public registers, </w:t>
      </w:r>
      <w:r w:rsidRPr="00166456">
        <w:t>now</w:t>
      </w:r>
      <w:r>
        <w:t xml:space="preserve"> </w:t>
      </w:r>
      <w:r w:rsidRPr="00166456">
        <w:t>searchable</w:t>
      </w:r>
      <w:r>
        <w:t xml:space="preserve"> </w:t>
      </w:r>
      <w:r w:rsidRPr="00166456">
        <w:t>online</w:t>
      </w:r>
      <w:r>
        <w:t xml:space="preserve"> to </w:t>
      </w:r>
      <w:r w:rsidRPr="00166456">
        <w:t>improv</w:t>
      </w:r>
      <w:r>
        <w:t xml:space="preserve">e </w:t>
      </w:r>
      <w:r w:rsidRPr="00166456">
        <w:t>transparency</w:t>
      </w:r>
      <w:r>
        <w:t xml:space="preserve"> </w:t>
      </w:r>
      <w:r w:rsidRPr="00166456">
        <w:t>and</w:t>
      </w:r>
      <w:r>
        <w:t xml:space="preserve"> allow </w:t>
      </w:r>
      <w:r w:rsidRPr="00166456">
        <w:t>stakeholders</w:t>
      </w:r>
      <w:r>
        <w:t xml:space="preserve"> </w:t>
      </w:r>
      <w:r w:rsidRPr="00166456">
        <w:t>to</w:t>
      </w:r>
      <w:r>
        <w:t xml:space="preserve"> </w:t>
      </w:r>
      <w:r w:rsidRPr="00166456">
        <w:t>access</w:t>
      </w:r>
      <w:r>
        <w:t xml:space="preserve"> up-to-date </w:t>
      </w:r>
      <w:r w:rsidRPr="00166456">
        <w:t>information</w:t>
      </w:r>
      <w:r>
        <w:t xml:space="preserve"> </w:t>
      </w:r>
      <w:r w:rsidRPr="00166456">
        <w:t>easily.</w:t>
      </w:r>
    </w:p>
    <w:p w14:paraId="17FD4464" w14:textId="7BD9C876" w:rsidR="00856406" w:rsidRDefault="00856406" w:rsidP="004D24A6">
      <w:pPr>
        <w:pStyle w:val="BodyText"/>
      </w:pPr>
      <w:r>
        <w:t xml:space="preserve">After publishing a new stakeholder engagement framework last year, our </w:t>
      </w:r>
      <w:r w:rsidRPr="00166456">
        <w:t>two</w:t>
      </w:r>
      <w:r>
        <w:t xml:space="preserve"> new </w:t>
      </w:r>
      <w:r w:rsidRPr="00166456">
        <w:t>standing</w:t>
      </w:r>
      <w:r>
        <w:t xml:space="preserve"> </w:t>
      </w:r>
      <w:r w:rsidRPr="00166456">
        <w:t>forums,</w:t>
      </w:r>
      <w:r>
        <w:t xml:space="preserve"> </w:t>
      </w:r>
      <w:r w:rsidRPr="00166456">
        <w:t>the</w:t>
      </w:r>
      <w:r>
        <w:t xml:space="preserve"> </w:t>
      </w:r>
      <w:r w:rsidRPr="00166456">
        <w:t>Consumer</w:t>
      </w:r>
      <w:r>
        <w:t xml:space="preserve"> </w:t>
      </w:r>
      <w:r w:rsidRPr="00166456">
        <w:t>and</w:t>
      </w:r>
      <w:r>
        <w:t xml:space="preserve"> </w:t>
      </w:r>
      <w:r w:rsidRPr="00166456">
        <w:t>Renter</w:t>
      </w:r>
      <w:r>
        <w:t xml:space="preserve"> </w:t>
      </w:r>
      <w:r w:rsidRPr="00166456">
        <w:t>Consultative</w:t>
      </w:r>
      <w:r>
        <w:t xml:space="preserve"> </w:t>
      </w:r>
      <w:r w:rsidRPr="00166456">
        <w:t>Forum</w:t>
      </w:r>
      <w:r>
        <w:t xml:space="preserve"> </w:t>
      </w:r>
      <w:r w:rsidRPr="00166456">
        <w:t>and</w:t>
      </w:r>
      <w:r>
        <w:t xml:space="preserve"> </w:t>
      </w:r>
      <w:r w:rsidRPr="00166456">
        <w:t>the</w:t>
      </w:r>
      <w:r>
        <w:t xml:space="preserve"> </w:t>
      </w:r>
      <w:r w:rsidRPr="00166456">
        <w:t>Housing</w:t>
      </w:r>
      <w:r>
        <w:t xml:space="preserve"> </w:t>
      </w:r>
      <w:r w:rsidRPr="00166456">
        <w:t>and</w:t>
      </w:r>
      <w:r>
        <w:t xml:space="preserve"> </w:t>
      </w:r>
      <w:r w:rsidRPr="00166456">
        <w:t>Property</w:t>
      </w:r>
      <w:r>
        <w:t xml:space="preserve"> </w:t>
      </w:r>
      <w:r w:rsidRPr="00166456">
        <w:t>Advisory</w:t>
      </w:r>
      <w:r>
        <w:t xml:space="preserve"> </w:t>
      </w:r>
      <w:r w:rsidRPr="00166456">
        <w:t>Forum,</w:t>
      </w:r>
      <w:r>
        <w:t xml:space="preserve"> each met three times during </w:t>
      </w:r>
      <w:r w:rsidR="00EE79C3">
        <w:t>2024–25</w:t>
      </w:r>
      <w:r>
        <w:t>. We also surveyed our stakeholders during the year on their views about CAV’s priorities, actions and engagement. It was encouraging to see an increase in stakeholder understanding of CAV’s priorities and confidence that we will listen and engage on issues raised with us; but we know we must continue to focus on timely compliance responses and communication about our work in the coming year, to build trust and confidence in our impact for the Victorian community.</w:t>
      </w:r>
    </w:p>
    <w:p w14:paraId="6A357DE0" w14:textId="77777777" w:rsidR="00856406" w:rsidRPr="00166456" w:rsidRDefault="00856406" w:rsidP="004D24A6">
      <w:pPr>
        <w:pStyle w:val="BodyText"/>
      </w:pPr>
      <w:r w:rsidRPr="00166456">
        <w:t>I</w:t>
      </w:r>
      <w:r>
        <w:t xml:space="preserve"> </w:t>
      </w:r>
      <w:r w:rsidRPr="00166456">
        <w:t>thank</w:t>
      </w:r>
      <w:r>
        <w:t xml:space="preserve"> </w:t>
      </w:r>
      <w:r w:rsidRPr="00166456">
        <w:t>the</w:t>
      </w:r>
      <w:r>
        <w:t xml:space="preserve"> </w:t>
      </w:r>
      <w:r w:rsidRPr="00166456">
        <w:t>Minister</w:t>
      </w:r>
      <w:r>
        <w:t xml:space="preserve"> </w:t>
      </w:r>
      <w:r w:rsidRPr="00166456">
        <w:t>for</w:t>
      </w:r>
      <w:r>
        <w:t xml:space="preserve"> </w:t>
      </w:r>
      <w:r w:rsidRPr="00166456">
        <w:t>Consumer</w:t>
      </w:r>
      <w:r>
        <w:t xml:space="preserve"> </w:t>
      </w:r>
      <w:r w:rsidRPr="00166456">
        <w:t>Affairs,</w:t>
      </w:r>
      <w:r>
        <w:t xml:space="preserve"> </w:t>
      </w:r>
      <w:r w:rsidRPr="00166456">
        <w:t>the</w:t>
      </w:r>
      <w:r>
        <w:t xml:space="preserve"> Hon. Nick Staikos MP, and our former Minister, the Hon. </w:t>
      </w:r>
      <w:r w:rsidRPr="00166456">
        <w:t>Gabrielle</w:t>
      </w:r>
      <w:r>
        <w:t xml:space="preserve"> </w:t>
      </w:r>
      <w:r w:rsidRPr="00166456">
        <w:t>Williams</w:t>
      </w:r>
      <w:r>
        <w:t xml:space="preserve"> </w:t>
      </w:r>
      <w:r w:rsidRPr="00166456">
        <w:t>MP,</w:t>
      </w:r>
      <w:r>
        <w:t xml:space="preserve"> </w:t>
      </w:r>
      <w:r w:rsidRPr="00166456">
        <w:t>for</w:t>
      </w:r>
      <w:r>
        <w:t xml:space="preserve"> </w:t>
      </w:r>
      <w:r w:rsidRPr="00166456">
        <w:t>their</w:t>
      </w:r>
      <w:r>
        <w:t xml:space="preserve"> commitment to good consumer and renting outcomes, and </w:t>
      </w:r>
      <w:r w:rsidRPr="00166456">
        <w:t>support</w:t>
      </w:r>
      <w:r>
        <w:t xml:space="preserve"> </w:t>
      </w:r>
      <w:r w:rsidRPr="00166456">
        <w:t>over</w:t>
      </w:r>
      <w:r>
        <w:t xml:space="preserve"> </w:t>
      </w:r>
      <w:r w:rsidRPr="00166456">
        <w:t>the</w:t>
      </w:r>
      <w:r>
        <w:t xml:space="preserve"> </w:t>
      </w:r>
      <w:r w:rsidRPr="00166456">
        <w:t>year</w:t>
      </w:r>
      <w:r>
        <w:t xml:space="preserve"> </w:t>
      </w:r>
      <w:r w:rsidRPr="00166456">
        <w:t>covered</w:t>
      </w:r>
      <w:r>
        <w:t xml:space="preserve"> </w:t>
      </w:r>
      <w:r w:rsidRPr="00166456">
        <w:t>by</w:t>
      </w:r>
      <w:r>
        <w:t xml:space="preserve"> </w:t>
      </w:r>
      <w:r w:rsidRPr="00166456">
        <w:t>this</w:t>
      </w:r>
      <w:r>
        <w:t xml:space="preserve"> </w:t>
      </w:r>
      <w:r w:rsidRPr="00166456">
        <w:t>report.</w:t>
      </w:r>
      <w:r>
        <w:t xml:space="preserve"> </w:t>
      </w:r>
      <w:r w:rsidRPr="00166456">
        <w:t>I</w:t>
      </w:r>
      <w:r>
        <w:t xml:space="preserve"> would also like to </w:t>
      </w:r>
      <w:r w:rsidRPr="00166456">
        <w:t>acknowledge</w:t>
      </w:r>
      <w:r>
        <w:t xml:space="preserve"> </w:t>
      </w:r>
      <w:r w:rsidRPr="00166456">
        <w:t>our</w:t>
      </w:r>
      <w:r>
        <w:t xml:space="preserve"> </w:t>
      </w:r>
      <w:r w:rsidRPr="00166456">
        <w:t>partners</w:t>
      </w:r>
      <w:r>
        <w:t xml:space="preserve"> and colleagues </w:t>
      </w:r>
      <w:r w:rsidRPr="00166456">
        <w:t>in</w:t>
      </w:r>
      <w:r>
        <w:t xml:space="preserve"> </w:t>
      </w:r>
      <w:r w:rsidRPr="00166456">
        <w:t>the</w:t>
      </w:r>
      <w:r>
        <w:t xml:space="preserve"> </w:t>
      </w:r>
      <w:r w:rsidRPr="00166456">
        <w:t>Department</w:t>
      </w:r>
      <w:r>
        <w:t xml:space="preserve"> </w:t>
      </w:r>
      <w:r w:rsidRPr="00166456">
        <w:t>of</w:t>
      </w:r>
      <w:r>
        <w:t xml:space="preserve"> </w:t>
      </w:r>
      <w:r w:rsidRPr="00166456">
        <w:t>Government</w:t>
      </w:r>
      <w:r>
        <w:t xml:space="preserve"> </w:t>
      </w:r>
      <w:r w:rsidRPr="00166456">
        <w:t>Services</w:t>
      </w:r>
      <w:r>
        <w:t xml:space="preserve"> </w:t>
      </w:r>
      <w:r w:rsidRPr="00166456">
        <w:t>and</w:t>
      </w:r>
      <w:r>
        <w:t xml:space="preserve"> </w:t>
      </w:r>
      <w:r w:rsidRPr="00166456">
        <w:t>across</w:t>
      </w:r>
      <w:r>
        <w:t xml:space="preserve"> </w:t>
      </w:r>
      <w:r w:rsidRPr="00166456">
        <w:t>the</w:t>
      </w:r>
      <w:r>
        <w:t xml:space="preserve"> </w:t>
      </w:r>
      <w:r w:rsidRPr="00166456">
        <w:t>Victorian</w:t>
      </w:r>
      <w:r>
        <w:t xml:space="preserve"> G</w:t>
      </w:r>
      <w:r w:rsidRPr="00166456">
        <w:t>overnment</w:t>
      </w:r>
      <w:r>
        <w:t xml:space="preserve">, </w:t>
      </w:r>
      <w:r w:rsidRPr="00166456">
        <w:t>who</w:t>
      </w:r>
      <w:r>
        <w:t xml:space="preserve"> </w:t>
      </w:r>
      <w:r w:rsidRPr="00166456">
        <w:t>provide</w:t>
      </w:r>
      <w:r>
        <w:t xml:space="preserve"> critical </w:t>
      </w:r>
      <w:r w:rsidRPr="00166456">
        <w:t>support</w:t>
      </w:r>
      <w:r>
        <w:t xml:space="preserve"> </w:t>
      </w:r>
      <w:r w:rsidRPr="00166456">
        <w:t>and</w:t>
      </w:r>
      <w:r>
        <w:t xml:space="preserve"> </w:t>
      </w:r>
      <w:r w:rsidRPr="00166456">
        <w:t>collaboration</w:t>
      </w:r>
      <w:r>
        <w:t xml:space="preserve"> </w:t>
      </w:r>
      <w:r w:rsidRPr="00166456">
        <w:t>for</w:t>
      </w:r>
      <w:r>
        <w:t xml:space="preserve"> </w:t>
      </w:r>
      <w:r w:rsidRPr="00166456">
        <w:t>our</w:t>
      </w:r>
      <w:r>
        <w:t xml:space="preserve"> functions and services</w:t>
      </w:r>
      <w:r w:rsidRPr="00166456">
        <w:t>.</w:t>
      </w:r>
    </w:p>
    <w:p w14:paraId="212AFA81" w14:textId="77777777" w:rsidR="00856406" w:rsidRPr="00166456" w:rsidRDefault="00856406" w:rsidP="004D24A6">
      <w:pPr>
        <w:pStyle w:val="BodyText"/>
      </w:pPr>
      <w:r w:rsidRPr="00166456">
        <w:t>I</w:t>
      </w:r>
      <w:r>
        <w:t xml:space="preserve"> </w:t>
      </w:r>
      <w:r w:rsidRPr="00166456">
        <w:t>thank</w:t>
      </w:r>
      <w:r>
        <w:t xml:space="preserve"> our </w:t>
      </w:r>
      <w:r w:rsidRPr="00166456">
        <w:t>community</w:t>
      </w:r>
      <w:r>
        <w:t xml:space="preserve">-based program partners for their ongoing commitment to safeguarding the rights and wellbeing of Victorians facing debt, housing, and </w:t>
      </w:r>
      <w:r w:rsidRPr="00166456">
        <w:t>other</w:t>
      </w:r>
      <w:r>
        <w:t xml:space="preserve"> </w:t>
      </w:r>
      <w:r w:rsidRPr="00166456">
        <w:t>consumer</w:t>
      </w:r>
      <w:r>
        <w:t xml:space="preserve"> </w:t>
      </w:r>
      <w:r w:rsidRPr="00166456">
        <w:t>issues.</w:t>
      </w:r>
      <w:r>
        <w:t xml:space="preserve"> I also extend my appreciation and thanks to our staff for their efforts every day to support and protect Victorians. It’s a privilege to work with such dedicated colleagues.</w:t>
      </w:r>
    </w:p>
    <w:p w14:paraId="08D8F192" w14:textId="77777777" w:rsidR="00856406" w:rsidRDefault="00856406" w:rsidP="004D24A6">
      <w:pPr>
        <w:pStyle w:val="BodyText"/>
      </w:pPr>
      <w:r w:rsidRPr="00166456">
        <w:t>In</w:t>
      </w:r>
      <w:r>
        <w:t xml:space="preserve"> </w:t>
      </w:r>
      <w:r w:rsidRPr="00166456">
        <w:t>2025–26</w:t>
      </w:r>
      <w:r>
        <w:t>, a range of important new renting and consumer reforms will take effect in Victoria. CAV will continue to focus on providing advice, support and market interventions on the issues that matter most to Victorians, to ensure Victoria’s consumer and renting laws deliver a fair and safe experience in the marketplace for all</w:t>
      </w:r>
      <w:r w:rsidRPr="6FDA2127">
        <w:t>.</w:t>
      </w:r>
    </w:p>
    <w:p w14:paraId="0477704B" w14:textId="5E6FC346" w:rsidR="00856406" w:rsidRDefault="00856406" w:rsidP="004D24A6">
      <w:pPr>
        <w:pStyle w:val="BodyText"/>
      </w:pPr>
      <w:r w:rsidRPr="004D24A6">
        <w:rPr>
          <w:b/>
          <w:bCs/>
        </w:rPr>
        <w:t>Nicole Rich</w:t>
      </w:r>
      <w:r w:rsidR="004D24A6">
        <w:br/>
      </w:r>
      <w:r w:rsidRPr="00C733B4">
        <w:t>Executive</w:t>
      </w:r>
      <w:r>
        <w:t xml:space="preserve"> </w:t>
      </w:r>
      <w:r w:rsidRPr="00C733B4">
        <w:t>Director,</w:t>
      </w:r>
      <w:r>
        <w:t xml:space="preserve"> </w:t>
      </w:r>
      <w:r w:rsidRPr="00C733B4">
        <w:t>Regulatory</w:t>
      </w:r>
      <w:r>
        <w:t xml:space="preserve"> </w:t>
      </w:r>
      <w:r w:rsidRPr="00C733B4">
        <w:t>Services</w:t>
      </w:r>
      <w:r>
        <w:t xml:space="preserve"> &amp;</w:t>
      </w:r>
      <w:r>
        <w:br/>
      </w:r>
      <w:r w:rsidRPr="00C733B4">
        <w:t>Director,</w:t>
      </w:r>
      <w:r>
        <w:t xml:space="preserve"> </w:t>
      </w:r>
      <w:r w:rsidRPr="00C733B4">
        <w:t>Consumer</w:t>
      </w:r>
      <w:r>
        <w:t xml:space="preserve"> </w:t>
      </w:r>
      <w:r w:rsidRPr="00C733B4">
        <w:t>Affairs</w:t>
      </w:r>
      <w:r>
        <w:t xml:space="preserve"> </w:t>
      </w:r>
      <w:r w:rsidRPr="00C733B4">
        <w:t>Victoria</w:t>
      </w:r>
    </w:p>
    <w:p w14:paraId="6139D218" w14:textId="77777777" w:rsidR="004D24A6" w:rsidRPr="004D24A6" w:rsidRDefault="004D24A6" w:rsidP="004D24A6">
      <w:pPr>
        <w:pStyle w:val="BodyText"/>
      </w:pPr>
      <w:bookmarkStart w:id="5" w:name="_Toc211518573"/>
      <w:r w:rsidRPr="004D24A6">
        <w:br w:type="page"/>
      </w:r>
    </w:p>
    <w:p w14:paraId="751B9627" w14:textId="3F34A20E" w:rsidR="00856406" w:rsidRPr="006666C5" w:rsidRDefault="00856406" w:rsidP="00B71C68">
      <w:pPr>
        <w:pStyle w:val="Heading1"/>
      </w:pPr>
      <w:bookmarkStart w:id="6" w:name="_Toc212562059"/>
      <w:r w:rsidRPr="006666C5">
        <w:t>About</w:t>
      </w:r>
      <w:r>
        <w:t xml:space="preserve"> </w:t>
      </w:r>
      <w:r w:rsidRPr="006666C5">
        <w:t>us</w:t>
      </w:r>
      <w:bookmarkEnd w:id="1"/>
      <w:bookmarkEnd w:id="5"/>
      <w:bookmarkEnd w:id="6"/>
    </w:p>
    <w:p w14:paraId="3E5C5D1D" w14:textId="77777777" w:rsidR="00856406" w:rsidRPr="00717004" w:rsidRDefault="00856406" w:rsidP="004D24A6">
      <w:pPr>
        <w:pStyle w:val="BodyText"/>
      </w:pPr>
      <w:r w:rsidRPr="001811D7">
        <w:t>We</w:t>
      </w:r>
      <w:r>
        <w:t xml:space="preserve"> </w:t>
      </w:r>
      <w:r w:rsidRPr="001811D7">
        <w:t>are</w:t>
      </w:r>
      <w:r>
        <w:t xml:space="preserve"> </w:t>
      </w:r>
      <w:r w:rsidRPr="001811D7">
        <w:t>Victoria’s</w:t>
      </w:r>
      <w:r>
        <w:t xml:space="preserve"> </w:t>
      </w:r>
      <w:r w:rsidRPr="001811D7">
        <w:t>consumer</w:t>
      </w:r>
      <w:r>
        <w:t xml:space="preserve"> </w:t>
      </w:r>
      <w:r w:rsidRPr="001811D7">
        <w:t>marketplace</w:t>
      </w:r>
      <w:r>
        <w:t xml:space="preserve"> </w:t>
      </w:r>
      <w:r w:rsidRPr="001811D7">
        <w:t>regulator.</w:t>
      </w:r>
      <w:r>
        <w:t xml:space="preserve"> </w:t>
      </w:r>
      <w:r w:rsidRPr="001811D7">
        <w:t>We</w:t>
      </w:r>
      <w:r>
        <w:t xml:space="preserve"> </w:t>
      </w:r>
      <w:r w:rsidRPr="001811D7">
        <w:t>are</w:t>
      </w:r>
      <w:r>
        <w:t xml:space="preserve"> </w:t>
      </w:r>
      <w:r w:rsidRPr="001811D7">
        <w:t>part</w:t>
      </w:r>
      <w:r>
        <w:t xml:space="preserve"> </w:t>
      </w:r>
      <w:r w:rsidRPr="001811D7">
        <w:t>of</w:t>
      </w:r>
      <w:r>
        <w:t xml:space="preserve"> </w:t>
      </w:r>
      <w:r w:rsidRPr="001811D7">
        <w:t>the</w:t>
      </w:r>
      <w:r>
        <w:t xml:space="preserve"> </w:t>
      </w:r>
      <w:r w:rsidRPr="001811D7">
        <w:t>Consumer</w:t>
      </w:r>
      <w:r>
        <w:t xml:space="preserve"> </w:t>
      </w:r>
      <w:r w:rsidRPr="001811D7">
        <w:t>Affairs</w:t>
      </w:r>
      <w:r>
        <w:t xml:space="preserve"> </w:t>
      </w:r>
      <w:r w:rsidRPr="001811D7">
        <w:t>and</w:t>
      </w:r>
      <w:r>
        <w:t xml:space="preserve"> </w:t>
      </w:r>
      <w:r w:rsidRPr="001811D7">
        <w:t>Local</w:t>
      </w:r>
      <w:r>
        <w:t xml:space="preserve"> </w:t>
      </w:r>
      <w:r w:rsidRPr="001811D7">
        <w:t>Government</w:t>
      </w:r>
      <w:r>
        <w:t xml:space="preserve"> </w:t>
      </w:r>
      <w:r w:rsidRPr="001811D7">
        <w:t>group</w:t>
      </w:r>
      <w:r>
        <w:t xml:space="preserve"> </w:t>
      </w:r>
      <w:r w:rsidRPr="001811D7">
        <w:t>within</w:t>
      </w:r>
      <w:r>
        <w:t xml:space="preserve"> </w:t>
      </w:r>
      <w:r w:rsidRPr="001811D7">
        <w:t>the</w:t>
      </w:r>
      <w:r>
        <w:t xml:space="preserve"> </w:t>
      </w:r>
      <w:r w:rsidRPr="001811D7">
        <w:t>Department</w:t>
      </w:r>
      <w:r>
        <w:t xml:space="preserve"> </w:t>
      </w:r>
      <w:r w:rsidRPr="001811D7">
        <w:t>of</w:t>
      </w:r>
      <w:r>
        <w:t xml:space="preserve"> </w:t>
      </w:r>
      <w:r w:rsidRPr="001811D7">
        <w:t>Government</w:t>
      </w:r>
      <w:r>
        <w:t xml:space="preserve"> </w:t>
      </w:r>
      <w:r w:rsidRPr="001811D7">
        <w:t>Services</w:t>
      </w:r>
      <w:r w:rsidRPr="00717004">
        <w:t>.</w:t>
      </w:r>
    </w:p>
    <w:p w14:paraId="786D009E" w14:textId="77777777" w:rsidR="00856406" w:rsidRPr="00717004" w:rsidRDefault="00856406" w:rsidP="005F6712">
      <w:pPr>
        <w:pStyle w:val="Heading2notforTOC"/>
      </w:pPr>
      <w:bookmarkStart w:id="7" w:name="_Toc122097057"/>
      <w:bookmarkStart w:id="8" w:name="_Toc144825399"/>
      <w:bookmarkStart w:id="9" w:name="_Toc204243140"/>
      <w:r w:rsidRPr="00717004">
        <w:t>Our</w:t>
      </w:r>
      <w:r>
        <w:t xml:space="preserve"> </w:t>
      </w:r>
      <w:r w:rsidRPr="00717004">
        <w:t>values</w:t>
      </w:r>
      <w:bookmarkEnd w:id="7"/>
      <w:bookmarkEnd w:id="8"/>
      <w:bookmarkEnd w:id="9"/>
    </w:p>
    <w:p w14:paraId="08BD9A7F" w14:textId="77777777" w:rsidR="00856406" w:rsidRPr="001811D7" w:rsidRDefault="00856406" w:rsidP="004D24A6">
      <w:pPr>
        <w:pStyle w:val="BodyText"/>
      </w:pPr>
      <w:r w:rsidRPr="001811D7">
        <w:t>At</w:t>
      </w:r>
      <w:r>
        <w:t xml:space="preserve"> </w:t>
      </w:r>
      <w:r w:rsidRPr="001811D7">
        <w:t>Consumer</w:t>
      </w:r>
      <w:r>
        <w:t xml:space="preserve"> </w:t>
      </w:r>
      <w:r w:rsidRPr="001811D7">
        <w:t>Affairs</w:t>
      </w:r>
      <w:r>
        <w:t xml:space="preserve"> </w:t>
      </w:r>
      <w:r w:rsidRPr="001811D7">
        <w:t>Victoria</w:t>
      </w:r>
      <w:r>
        <w:t xml:space="preserve"> </w:t>
      </w:r>
      <w:r w:rsidRPr="001811D7">
        <w:t>(CAV),</w:t>
      </w:r>
      <w:r>
        <w:t xml:space="preserve"> </w:t>
      </w:r>
      <w:r w:rsidRPr="001811D7">
        <w:t>we</w:t>
      </w:r>
      <w:r>
        <w:t xml:space="preserve"> </w:t>
      </w:r>
      <w:r w:rsidRPr="001811D7">
        <w:t>promote</w:t>
      </w:r>
      <w:r>
        <w:t xml:space="preserve"> </w:t>
      </w:r>
      <w:r w:rsidRPr="001811D7">
        <w:t>the</w:t>
      </w:r>
      <w:r>
        <w:t xml:space="preserve"> </w:t>
      </w:r>
      <w:r w:rsidRPr="001811D7">
        <w:t>Victorian</w:t>
      </w:r>
      <w:r>
        <w:t xml:space="preserve"> </w:t>
      </w:r>
      <w:r w:rsidRPr="001811D7">
        <w:t>Public</w:t>
      </w:r>
      <w:r>
        <w:t xml:space="preserve"> </w:t>
      </w:r>
      <w:r w:rsidRPr="001811D7">
        <w:t>Service</w:t>
      </w:r>
      <w:r>
        <w:t xml:space="preserve"> </w:t>
      </w:r>
      <w:r w:rsidRPr="001811D7">
        <w:t>values</w:t>
      </w:r>
      <w:r>
        <w:t xml:space="preserve"> </w:t>
      </w:r>
      <w:r w:rsidRPr="001811D7">
        <w:t>of:</w:t>
      </w:r>
    </w:p>
    <w:p w14:paraId="6CDCBF98" w14:textId="77777777" w:rsidR="00856406" w:rsidRPr="001811D7" w:rsidRDefault="00856406" w:rsidP="004D24A6">
      <w:pPr>
        <w:pStyle w:val="ListBullet"/>
      </w:pPr>
      <w:r w:rsidRPr="001811D7">
        <w:t>responsiveness</w:t>
      </w:r>
    </w:p>
    <w:p w14:paraId="6BAF12AB" w14:textId="77777777" w:rsidR="00856406" w:rsidRPr="001811D7" w:rsidRDefault="00856406" w:rsidP="004D24A6">
      <w:pPr>
        <w:pStyle w:val="ListBullet"/>
      </w:pPr>
      <w:r w:rsidRPr="001811D7">
        <w:t>integrity</w:t>
      </w:r>
    </w:p>
    <w:p w14:paraId="366C0C0E" w14:textId="77777777" w:rsidR="00856406" w:rsidRPr="001811D7" w:rsidRDefault="00856406" w:rsidP="004D24A6">
      <w:pPr>
        <w:pStyle w:val="ListBullet"/>
      </w:pPr>
      <w:r w:rsidRPr="001811D7">
        <w:t>impartiality</w:t>
      </w:r>
    </w:p>
    <w:p w14:paraId="6A173825" w14:textId="77777777" w:rsidR="00856406" w:rsidRPr="001811D7" w:rsidRDefault="00856406" w:rsidP="004D24A6">
      <w:pPr>
        <w:pStyle w:val="ListBullet"/>
      </w:pPr>
      <w:r w:rsidRPr="001811D7">
        <w:t>accountability</w:t>
      </w:r>
    </w:p>
    <w:p w14:paraId="17D1D316" w14:textId="77777777" w:rsidR="00856406" w:rsidRPr="001811D7" w:rsidRDefault="00856406" w:rsidP="004D24A6">
      <w:pPr>
        <w:pStyle w:val="ListBullet"/>
      </w:pPr>
      <w:r w:rsidRPr="001811D7">
        <w:t>respect</w:t>
      </w:r>
    </w:p>
    <w:p w14:paraId="679BBF31" w14:textId="77777777" w:rsidR="00856406" w:rsidRPr="001811D7" w:rsidRDefault="00856406" w:rsidP="004D24A6">
      <w:pPr>
        <w:pStyle w:val="ListBullet"/>
      </w:pPr>
      <w:r w:rsidRPr="001811D7">
        <w:t>leadership</w:t>
      </w:r>
    </w:p>
    <w:p w14:paraId="5D02B096" w14:textId="77777777" w:rsidR="00856406" w:rsidRPr="001811D7" w:rsidRDefault="00856406" w:rsidP="004D24A6">
      <w:pPr>
        <w:pStyle w:val="ListBullet"/>
      </w:pPr>
      <w:r w:rsidRPr="001811D7">
        <w:t>human</w:t>
      </w:r>
      <w:r>
        <w:t xml:space="preserve"> </w:t>
      </w:r>
      <w:r w:rsidRPr="001811D7">
        <w:t>rights.</w:t>
      </w:r>
    </w:p>
    <w:p w14:paraId="4B3D5903" w14:textId="77777777" w:rsidR="00856406" w:rsidRPr="001811D7" w:rsidRDefault="00856406" w:rsidP="004D24A6">
      <w:pPr>
        <w:pStyle w:val="BodyText"/>
      </w:pPr>
      <w:r w:rsidRPr="001811D7">
        <w:t>These</w:t>
      </w:r>
      <w:r>
        <w:t xml:space="preserve"> </w:t>
      </w:r>
      <w:r w:rsidRPr="001811D7">
        <w:t>values</w:t>
      </w:r>
      <w:r>
        <w:t xml:space="preserve"> </w:t>
      </w:r>
      <w:r w:rsidRPr="001811D7">
        <w:t>inform</w:t>
      </w:r>
      <w:r>
        <w:t xml:space="preserve"> </w:t>
      </w:r>
      <w:r w:rsidRPr="001811D7">
        <w:t>the</w:t>
      </w:r>
      <w:r>
        <w:t xml:space="preserve"> </w:t>
      </w:r>
      <w:r w:rsidRPr="001811D7">
        <w:t>way</w:t>
      </w:r>
      <w:r>
        <w:t xml:space="preserve"> </w:t>
      </w:r>
      <w:r w:rsidRPr="001811D7">
        <w:t>we</w:t>
      </w:r>
      <w:r>
        <w:t xml:space="preserve"> </w:t>
      </w:r>
      <w:r w:rsidRPr="001811D7">
        <w:t>do</w:t>
      </w:r>
      <w:r>
        <w:t xml:space="preserve"> </w:t>
      </w:r>
      <w:r w:rsidRPr="001811D7">
        <w:t>business</w:t>
      </w:r>
      <w:r>
        <w:t xml:space="preserve"> </w:t>
      </w:r>
      <w:r w:rsidRPr="001811D7">
        <w:t>and</w:t>
      </w:r>
      <w:r>
        <w:t xml:space="preserve"> </w:t>
      </w:r>
      <w:r w:rsidRPr="001811D7">
        <w:t>are</w:t>
      </w:r>
      <w:r>
        <w:t xml:space="preserve"> </w:t>
      </w:r>
      <w:r w:rsidRPr="001811D7">
        <w:t>demonstrated</w:t>
      </w:r>
      <w:r>
        <w:t xml:space="preserve"> </w:t>
      </w:r>
      <w:r w:rsidRPr="001811D7">
        <w:t>every</w:t>
      </w:r>
      <w:r>
        <w:t xml:space="preserve"> </w:t>
      </w:r>
      <w:r w:rsidRPr="001811D7">
        <w:t>day</w:t>
      </w:r>
      <w:r>
        <w:t xml:space="preserve"> </w:t>
      </w:r>
      <w:r w:rsidRPr="001811D7">
        <w:t>through</w:t>
      </w:r>
      <w:r>
        <w:t xml:space="preserve"> </w:t>
      </w:r>
      <w:r w:rsidRPr="001811D7">
        <w:t>the</w:t>
      </w:r>
      <w:r>
        <w:t xml:space="preserve"> </w:t>
      </w:r>
      <w:r w:rsidRPr="001811D7">
        <w:t>actions</w:t>
      </w:r>
      <w:r>
        <w:t xml:space="preserve"> </w:t>
      </w:r>
      <w:r w:rsidRPr="001811D7">
        <w:t>of</w:t>
      </w:r>
      <w:r>
        <w:t xml:space="preserve"> </w:t>
      </w:r>
      <w:r w:rsidRPr="001811D7">
        <w:t>our</w:t>
      </w:r>
      <w:r>
        <w:t xml:space="preserve"> </w:t>
      </w:r>
      <w:r w:rsidRPr="001811D7">
        <w:t>staff.</w:t>
      </w:r>
    </w:p>
    <w:p w14:paraId="0B8C9EDC" w14:textId="77777777" w:rsidR="00856406" w:rsidRPr="00717004" w:rsidRDefault="00856406" w:rsidP="005F6712">
      <w:pPr>
        <w:pStyle w:val="Heading2notforTOC"/>
      </w:pPr>
      <w:bookmarkStart w:id="10" w:name="_Toc122097058"/>
      <w:bookmarkStart w:id="11" w:name="_Toc144825400"/>
      <w:bookmarkStart w:id="12" w:name="_Toc204243141"/>
      <w:r w:rsidRPr="00717004">
        <w:t>Our</w:t>
      </w:r>
      <w:r>
        <w:t xml:space="preserve"> </w:t>
      </w:r>
      <w:r w:rsidRPr="00717004">
        <w:t>vision</w:t>
      </w:r>
      <w:bookmarkEnd w:id="10"/>
      <w:bookmarkEnd w:id="11"/>
      <w:bookmarkEnd w:id="12"/>
    </w:p>
    <w:p w14:paraId="2CB71E70" w14:textId="77777777" w:rsidR="00856406" w:rsidRPr="001811D7" w:rsidRDefault="00856406" w:rsidP="004D24A6">
      <w:pPr>
        <w:pStyle w:val="BodyText"/>
      </w:pPr>
      <w:r w:rsidRPr="001811D7">
        <w:t>A</w:t>
      </w:r>
      <w:r>
        <w:t xml:space="preserve"> </w:t>
      </w:r>
      <w:r w:rsidRPr="001811D7">
        <w:t>fair,</w:t>
      </w:r>
      <w:r>
        <w:t xml:space="preserve"> </w:t>
      </w:r>
      <w:r w:rsidRPr="001811D7">
        <w:t>safe</w:t>
      </w:r>
      <w:r>
        <w:t xml:space="preserve"> </w:t>
      </w:r>
      <w:r w:rsidRPr="001811D7">
        <w:t>and</w:t>
      </w:r>
      <w:r>
        <w:t xml:space="preserve"> </w:t>
      </w:r>
      <w:r w:rsidRPr="001811D7">
        <w:t>competitive</w:t>
      </w:r>
      <w:r>
        <w:t xml:space="preserve"> </w:t>
      </w:r>
      <w:r w:rsidRPr="001811D7">
        <w:t>marketplace</w:t>
      </w:r>
      <w:r>
        <w:t xml:space="preserve"> </w:t>
      </w:r>
      <w:r w:rsidRPr="001811D7">
        <w:t>in</w:t>
      </w:r>
      <w:r>
        <w:t xml:space="preserve"> </w:t>
      </w:r>
      <w:r w:rsidRPr="001811D7">
        <w:t>Victoria.</w:t>
      </w:r>
    </w:p>
    <w:p w14:paraId="0817713A" w14:textId="77777777" w:rsidR="00856406" w:rsidRPr="00717004" w:rsidRDefault="00856406" w:rsidP="005F6712">
      <w:pPr>
        <w:pStyle w:val="Heading2notforTOC"/>
      </w:pPr>
      <w:bookmarkStart w:id="13" w:name="_Toc122097059"/>
      <w:bookmarkStart w:id="14" w:name="_Toc144825401"/>
      <w:bookmarkStart w:id="15" w:name="_Toc204243142"/>
      <w:r w:rsidRPr="00717004">
        <w:t>Our</w:t>
      </w:r>
      <w:r>
        <w:t xml:space="preserve"> </w:t>
      </w:r>
      <w:r w:rsidRPr="00717004">
        <w:t>outcomes</w:t>
      </w:r>
      <w:bookmarkEnd w:id="13"/>
      <w:bookmarkEnd w:id="14"/>
      <w:bookmarkEnd w:id="15"/>
    </w:p>
    <w:p w14:paraId="065F7CF0" w14:textId="77777777" w:rsidR="00856406" w:rsidRPr="001811D7" w:rsidRDefault="00856406" w:rsidP="004D24A6">
      <w:pPr>
        <w:pStyle w:val="ListBullet"/>
      </w:pPr>
      <w:r w:rsidRPr="001811D7">
        <w:t>Victorians</w:t>
      </w:r>
      <w:r>
        <w:t xml:space="preserve"> </w:t>
      </w:r>
      <w:r w:rsidRPr="001811D7">
        <w:t>exercise</w:t>
      </w:r>
      <w:r>
        <w:t xml:space="preserve"> </w:t>
      </w:r>
      <w:r w:rsidRPr="001811D7">
        <w:t>their</w:t>
      </w:r>
      <w:r>
        <w:t xml:space="preserve"> </w:t>
      </w:r>
      <w:r w:rsidRPr="001811D7">
        <w:t>consumer</w:t>
      </w:r>
      <w:r>
        <w:t xml:space="preserve"> </w:t>
      </w:r>
      <w:r w:rsidRPr="001811D7">
        <w:t>rights</w:t>
      </w:r>
      <w:r>
        <w:t>.</w:t>
      </w:r>
    </w:p>
    <w:p w14:paraId="1848C5E0" w14:textId="77777777" w:rsidR="00856406" w:rsidRPr="001811D7" w:rsidRDefault="00856406" w:rsidP="004D24A6">
      <w:pPr>
        <w:pStyle w:val="ListBullet"/>
      </w:pPr>
      <w:r w:rsidRPr="001811D7">
        <w:t>Businesses</w:t>
      </w:r>
      <w:r>
        <w:t xml:space="preserve"> </w:t>
      </w:r>
      <w:r w:rsidRPr="001811D7">
        <w:t>and</w:t>
      </w:r>
      <w:r>
        <w:t xml:space="preserve"> </w:t>
      </w:r>
      <w:r w:rsidRPr="001811D7">
        <w:t>rental</w:t>
      </w:r>
      <w:r>
        <w:t xml:space="preserve"> </w:t>
      </w:r>
      <w:r w:rsidRPr="001811D7">
        <w:t>providers</w:t>
      </w:r>
      <w:r>
        <w:t xml:space="preserve"> </w:t>
      </w:r>
      <w:r w:rsidRPr="001811D7">
        <w:t>do</w:t>
      </w:r>
      <w:r>
        <w:t xml:space="preserve"> </w:t>
      </w:r>
      <w:r w:rsidRPr="001811D7">
        <w:t>the</w:t>
      </w:r>
      <w:r>
        <w:t xml:space="preserve"> </w:t>
      </w:r>
      <w:r w:rsidRPr="001811D7">
        <w:t>right</w:t>
      </w:r>
      <w:r>
        <w:t xml:space="preserve"> </w:t>
      </w:r>
      <w:r w:rsidRPr="001811D7">
        <w:t>thing</w:t>
      </w:r>
      <w:r>
        <w:t>.</w:t>
      </w:r>
    </w:p>
    <w:p w14:paraId="3ADBEF2D" w14:textId="77777777" w:rsidR="00856406" w:rsidRPr="001811D7" w:rsidRDefault="00856406" w:rsidP="004D24A6">
      <w:pPr>
        <w:pStyle w:val="ListBullet"/>
      </w:pPr>
      <w:r w:rsidRPr="001811D7">
        <w:t>CAV</w:t>
      </w:r>
      <w:r>
        <w:t xml:space="preserve"> </w:t>
      </w:r>
      <w:r w:rsidRPr="001811D7">
        <w:t>is</w:t>
      </w:r>
      <w:r>
        <w:t xml:space="preserve"> </w:t>
      </w:r>
      <w:r w:rsidRPr="001811D7">
        <w:t>a</w:t>
      </w:r>
      <w:r>
        <w:t xml:space="preserve"> </w:t>
      </w:r>
      <w:r w:rsidRPr="001811D7">
        <w:t>trusted</w:t>
      </w:r>
      <w:r>
        <w:t xml:space="preserve"> </w:t>
      </w:r>
      <w:r w:rsidRPr="001811D7">
        <w:t>regulator</w:t>
      </w:r>
      <w:r>
        <w:t>.</w:t>
      </w:r>
    </w:p>
    <w:p w14:paraId="22737228" w14:textId="77777777" w:rsidR="00856406" w:rsidRPr="00717004" w:rsidRDefault="00856406" w:rsidP="005F6712">
      <w:pPr>
        <w:pStyle w:val="Heading2notforTOC"/>
      </w:pPr>
      <w:bookmarkStart w:id="16" w:name="_Toc122097060"/>
      <w:bookmarkStart w:id="17" w:name="_Toc144825402"/>
      <w:bookmarkStart w:id="18" w:name="_Toc204243143"/>
      <w:r w:rsidRPr="00717004">
        <w:t>Our</w:t>
      </w:r>
      <w:r>
        <w:t xml:space="preserve"> </w:t>
      </w:r>
      <w:r w:rsidRPr="00717004">
        <w:t>functions</w:t>
      </w:r>
      <w:bookmarkEnd w:id="16"/>
      <w:bookmarkEnd w:id="17"/>
      <w:bookmarkEnd w:id="18"/>
    </w:p>
    <w:p w14:paraId="41EF3615" w14:textId="77777777" w:rsidR="00856406" w:rsidRPr="001811D7" w:rsidRDefault="00856406" w:rsidP="004D24A6">
      <w:pPr>
        <w:pStyle w:val="BodyText"/>
      </w:pPr>
      <w:r w:rsidRPr="001811D7">
        <w:t>We</w:t>
      </w:r>
      <w:r>
        <w:t xml:space="preserve"> </w:t>
      </w:r>
      <w:r w:rsidRPr="001811D7">
        <w:t>provide:</w:t>
      </w:r>
    </w:p>
    <w:p w14:paraId="10FA9D65" w14:textId="77777777" w:rsidR="00856406" w:rsidRPr="001811D7" w:rsidRDefault="00856406" w:rsidP="004D24A6">
      <w:pPr>
        <w:pStyle w:val="ListBullet"/>
      </w:pPr>
      <w:r w:rsidRPr="001811D7">
        <w:t>information,</w:t>
      </w:r>
      <w:r>
        <w:t xml:space="preserve"> </w:t>
      </w:r>
      <w:r w:rsidRPr="001811D7">
        <w:t>advice,</w:t>
      </w:r>
      <w:r>
        <w:t xml:space="preserve"> </w:t>
      </w:r>
      <w:r w:rsidRPr="001811D7">
        <w:t>and</w:t>
      </w:r>
      <w:r>
        <w:t xml:space="preserve"> </w:t>
      </w:r>
      <w:r w:rsidRPr="001811D7">
        <w:t>rental</w:t>
      </w:r>
      <w:r>
        <w:t xml:space="preserve"> </w:t>
      </w:r>
      <w:r w:rsidRPr="001811D7">
        <w:t>services</w:t>
      </w:r>
    </w:p>
    <w:p w14:paraId="7974F664" w14:textId="77777777" w:rsidR="00856406" w:rsidRPr="001811D7" w:rsidRDefault="00856406" w:rsidP="004D24A6">
      <w:pPr>
        <w:pStyle w:val="ListBullet"/>
      </w:pPr>
      <w:r w:rsidRPr="001811D7">
        <w:t>assistance</w:t>
      </w:r>
      <w:r>
        <w:t xml:space="preserve"> </w:t>
      </w:r>
      <w:r w:rsidRPr="001811D7">
        <w:t>and</w:t>
      </w:r>
      <w:r>
        <w:t xml:space="preserve"> </w:t>
      </w:r>
      <w:r w:rsidRPr="001811D7">
        <w:t>advocacy</w:t>
      </w:r>
      <w:r>
        <w:t xml:space="preserve"> </w:t>
      </w:r>
      <w:r w:rsidRPr="001811D7">
        <w:t>services</w:t>
      </w:r>
      <w:r>
        <w:t xml:space="preserve"> </w:t>
      </w:r>
      <w:r w:rsidRPr="001811D7">
        <w:t>through</w:t>
      </w:r>
      <w:r>
        <w:t xml:space="preserve"> </w:t>
      </w:r>
      <w:r w:rsidRPr="001811D7">
        <w:t>funded</w:t>
      </w:r>
      <w:r>
        <w:t xml:space="preserve"> </w:t>
      </w:r>
      <w:r w:rsidRPr="001811D7">
        <w:t>community</w:t>
      </w:r>
      <w:r>
        <w:t xml:space="preserve"> </w:t>
      </w:r>
      <w:r w:rsidRPr="001811D7">
        <w:t>programs</w:t>
      </w:r>
    </w:p>
    <w:p w14:paraId="171D5E34" w14:textId="77777777" w:rsidR="00856406" w:rsidRPr="001811D7" w:rsidRDefault="00856406" w:rsidP="004D24A6">
      <w:pPr>
        <w:pStyle w:val="ListBullet"/>
      </w:pPr>
      <w:r w:rsidRPr="001811D7">
        <w:t>compliance</w:t>
      </w:r>
      <w:r>
        <w:t xml:space="preserve"> </w:t>
      </w:r>
      <w:r w:rsidRPr="001811D7">
        <w:t>and</w:t>
      </w:r>
      <w:r>
        <w:t xml:space="preserve"> </w:t>
      </w:r>
      <w:r w:rsidRPr="001811D7">
        <w:t>enforcement</w:t>
      </w:r>
      <w:r>
        <w:t xml:space="preserve"> </w:t>
      </w:r>
      <w:r w:rsidRPr="001811D7">
        <w:t>activities</w:t>
      </w:r>
    </w:p>
    <w:p w14:paraId="5CB3BEBD" w14:textId="77777777" w:rsidR="00856406" w:rsidRPr="001811D7" w:rsidRDefault="00856406" w:rsidP="004D24A6">
      <w:pPr>
        <w:pStyle w:val="ListBullet"/>
      </w:pPr>
      <w:r w:rsidRPr="001811D7">
        <w:t>sector-specific</w:t>
      </w:r>
      <w:r>
        <w:t xml:space="preserve"> </w:t>
      </w:r>
      <w:r w:rsidRPr="001811D7">
        <w:t>regulation</w:t>
      </w:r>
      <w:r>
        <w:t xml:space="preserve"> </w:t>
      </w:r>
      <w:r w:rsidRPr="001811D7">
        <w:t>under</w:t>
      </w:r>
      <w:r>
        <w:t xml:space="preserve"> </w:t>
      </w:r>
      <w:r w:rsidRPr="001811D7">
        <w:t>Victorian</w:t>
      </w:r>
      <w:r>
        <w:t xml:space="preserve"> </w:t>
      </w:r>
      <w:r w:rsidRPr="001811D7">
        <w:t>registration</w:t>
      </w:r>
      <w:r>
        <w:t xml:space="preserve"> </w:t>
      </w:r>
      <w:r w:rsidRPr="001811D7">
        <w:t>and</w:t>
      </w:r>
      <w:r>
        <w:t xml:space="preserve"> </w:t>
      </w:r>
      <w:r w:rsidRPr="001811D7">
        <w:t>licensing</w:t>
      </w:r>
      <w:r>
        <w:t xml:space="preserve"> </w:t>
      </w:r>
      <w:r w:rsidRPr="001811D7">
        <w:t>schemes</w:t>
      </w:r>
    </w:p>
    <w:p w14:paraId="76A94E4B" w14:textId="77777777" w:rsidR="00856406" w:rsidRPr="001811D7" w:rsidRDefault="00856406" w:rsidP="004D24A6">
      <w:pPr>
        <w:pStyle w:val="ListBullet"/>
      </w:pPr>
      <w:r w:rsidRPr="001811D7">
        <w:t>referrals</w:t>
      </w:r>
      <w:r>
        <w:t xml:space="preserve"> </w:t>
      </w:r>
      <w:r w:rsidRPr="001811D7">
        <w:t>to</w:t>
      </w:r>
      <w:r>
        <w:t xml:space="preserve"> </w:t>
      </w:r>
      <w:r w:rsidRPr="001811D7">
        <w:t>dispute</w:t>
      </w:r>
      <w:r>
        <w:t xml:space="preserve"> </w:t>
      </w:r>
      <w:r w:rsidRPr="001811D7">
        <w:t>resolution</w:t>
      </w:r>
      <w:r>
        <w:t xml:space="preserve"> </w:t>
      </w:r>
      <w:r w:rsidRPr="001811D7">
        <w:t>services</w:t>
      </w:r>
    </w:p>
    <w:p w14:paraId="582D9A31" w14:textId="77777777" w:rsidR="00856406" w:rsidRPr="001811D7" w:rsidRDefault="00856406" w:rsidP="004D24A6">
      <w:pPr>
        <w:pStyle w:val="ListBullet"/>
      </w:pPr>
      <w:r w:rsidRPr="001811D7">
        <w:t>support</w:t>
      </w:r>
      <w:r>
        <w:t xml:space="preserve"> </w:t>
      </w:r>
      <w:r w:rsidRPr="001811D7">
        <w:t>for</w:t>
      </w:r>
      <w:r>
        <w:t xml:space="preserve"> </w:t>
      </w:r>
      <w:r w:rsidRPr="001811D7">
        <w:t>legislation</w:t>
      </w:r>
      <w:r>
        <w:t xml:space="preserve"> </w:t>
      </w:r>
      <w:r w:rsidRPr="001811D7">
        <w:t>and</w:t>
      </w:r>
      <w:r>
        <w:t xml:space="preserve"> </w:t>
      </w:r>
      <w:r w:rsidRPr="001811D7">
        <w:t>policy</w:t>
      </w:r>
      <w:r>
        <w:t xml:space="preserve"> </w:t>
      </w:r>
      <w:r w:rsidRPr="001811D7">
        <w:t>development.</w:t>
      </w:r>
    </w:p>
    <w:p w14:paraId="688128E2" w14:textId="77777777" w:rsidR="00856406" w:rsidRPr="003749D7" w:rsidRDefault="00856406" w:rsidP="004D24A6">
      <w:pPr>
        <w:pStyle w:val="BodyText"/>
      </w:pPr>
      <w:r w:rsidRPr="00674176">
        <w:t>We</w:t>
      </w:r>
      <w:r>
        <w:t xml:space="preserve"> </w:t>
      </w:r>
      <w:r w:rsidRPr="00674176">
        <w:t>also</w:t>
      </w:r>
      <w:r>
        <w:t xml:space="preserve"> </w:t>
      </w:r>
      <w:r w:rsidRPr="00674176">
        <w:t>support</w:t>
      </w:r>
      <w:r>
        <w:t xml:space="preserve"> </w:t>
      </w:r>
      <w:r w:rsidRPr="00674176">
        <w:t>these</w:t>
      </w:r>
      <w:r>
        <w:t xml:space="preserve"> </w:t>
      </w:r>
      <w:r w:rsidRPr="00674176">
        <w:t>independent</w:t>
      </w:r>
      <w:r>
        <w:t xml:space="preserve"> </w:t>
      </w:r>
      <w:r w:rsidRPr="00674176">
        <w:t>statutory</w:t>
      </w:r>
      <w:r>
        <w:t xml:space="preserve"> </w:t>
      </w:r>
      <w:r w:rsidRPr="00674176">
        <w:t>offices</w:t>
      </w:r>
      <w:r>
        <w:t xml:space="preserve"> </w:t>
      </w:r>
      <w:r w:rsidRPr="00674176">
        <w:t>and</w:t>
      </w:r>
      <w:r>
        <w:t xml:space="preserve"> </w:t>
      </w:r>
      <w:r w:rsidRPr="00674176">
        <w:t>bodies:</w:t>
      </w:r>
    </w:p>
    <w:p w14:paraId="3E0A5333" w14:textId="77777777" w:rsidR="00856406" w:rsidRPr="001811D7" w:rsidRDefault="00856406" w:rsidP="004D24A6">
      <w:pPr>
        <w:pStyle w:val="ListBullet"/>
      </w:pPr>
      <w:r w:rsidRPr="001811D7" w:rsidDel="000E65C0">
        <w:t>Motor</w:t>
      </w:r>
      <w:r>
        <w:t xml:space="preserve"> </w:t>
      </w:r>
      <w:r w:rsidRPr="001811D7" w:rsidDel="000E65C0">
        <w:t>Car</w:t>
      </w:r>
      <w:r>
        <w:t xml:space="preserve"> </w:t>
      </w:r>
      <w:r w:rsidRPr="001811D7" w:rsidDel="000E65C0">
        <w:t>Traders</w:t>
      </w:r>
      <w:r>
        <w:t xml:space="preserve"> </w:t>
      </w:r>
      <w:r w:rsidRPr="001811D7" w:rsidDel="000E65C0">
        <w:t>Claims</w:t>
      </w:r>
      <w:r>
        <w:t xml:space="preserve"> </w:t>
      </w:r>
      <w:r w:rsidRPr="001811D7">
        <w:t>Committee</w:t>
      </w:r>
    </w:p>
    <w:p w14:paraId="2D2690FD" w14:textId="77777777" w:rsidR="00856406" w:rsidRDefault="00856406" w:rsidP="004D24A6">
      <w:pPr>
        <w:pStyle w:val="ListBullet"/>
      </w:pPr>
      <w:bookmarkStart w:id="19" w:name="_Toc122097061"/>
      <w:bookmarkStart w:id="20" w:name="_Toc144825403"/>
      <w:r>
        <w:t>Residential Tenancies Bond Authority</w:t>
      </w:r>
    </w:p>
    <w:p w14:paraId="3B94FBFF" w14:textId="77777777" w:rsidR="00856406" w:rsidRDefault="00856406" w:rsidP="004D24A6">
      <w:pPr>
        <w:pStyle w:val="ListBullet"/>
      </w:pPr>
      <w:r>
        <w:t>Business Licensing Authority.</w:t>
      </w:r>
    </w:p>
    <w:p w14:paraId="5D94476B" w14:textId="77777777" w:rsidR="00856406" w:rsidRPr="006666C5" w:rsidRDefault="00856406" w:rsidP="005F6712">
      <w:pPr>
        <w:pStyle w:val="Heading2notforTOC"/>
      </w:pPr>
      <w:bookmarkStart w:id="21" w:name="_Toc204243144"/>
      <w:r w:rsidRPr="006666C5">
        <w:t>Our</w:t>
      </w:r>
      <w:r>
        <w:t xml:space="preserve"> </w:t>
      </w:r>
      <w:r w:rsidRPr="006666C5">
        <w:t>regulatory</w:t>
      </w:r>
      <w:r>
        <w:t xml:space="preserve"> </w:t>
      </w:r>
      <w:r w:rsidRPr="006666C5">
        <w:t>approach</w:t>
      </w:r>
      <w:bookmarkEnd w:id="19"/>
      <w:bookmarkEnd w:id="20"/>
      <w:bookmarkEnd w:id="21"/>
    </w:p>
    <w:p w14:paraId="1C84AF49" w14:textId="77777777" w:rsidR="00856406" w:rsidRPr="001811D7" w:rsidRDefault="00856406" w:rsidP="004D24A6">
      <w:pPr>
        <w:pStyle w:val="BodyText"/>
      </w:pPr>
      <w:r w:rsidRPr="001811D7">
        <w:t>Our</w:t>
      </w:r>
      <w:r>
        <w:t xml:space="preserve"> </w:t>
      </w:r>
      <w:r w:rsidRPr="001811D7">
        <w:t>regulatory</w:t>
      </w:r>
      <w:r>
        <w:t xml:space="preserve"> </w:t>
      </w:r>
      <w:r w:rsidRPr="001811D7">
        <w:t>approach</w:t>
      </w:r>
      <w:r>
        <w:t xml:space="preserve"> </w:t>
      </w:r>
      <w:r w:rsidRPr="001811D7">
        <w:t>is</w:t>
      </w:r>
      <w:r>
        <w:t xml:space="preserve"> </w:t>
      </w:r>
      <w:r w:rsidRPr="001811D7">
        <w:t>intelligence-led,</w:t>
      </w:r>
      <w:r>
        <w:t xml:space="preserve"> </w:t>
      </w:r>
      <w:r w:rsidRPr="001811D7">
        <w:t>risk-based</w:t>
      </w:r>
      <w:r>
        <w:t xml:space="preserve"> </w:t>
      </w:r>
      <w:r w:rsidRPr="001811D7">
        <w:t>and</w:t>
      </w:r>
      <w:r>
        <w:t xml:space="preserve"> </w:t>
      </w:r>
      <w:r w:rsidRPr="001811D7">
        <w:t>outcome-focused.</w:t>
      </w:r>
      <w:r>
        <w:t xml:space="preserve"> </w:t>
      </w:r>
      <w:r w:rsidRPr="001811D7">
        <w:t>This</w:t>
      </w:r>
      <w:r>
        <w:t xml:space="preserve"> </w:t>
      </w:r>
      <w:r w:rsidRPr="001811D7">
        <w:t>enables</w:t>
      </w:r>
      <w:r>
        <w:t xml:space="preserve"> </w:t>
      </w:r>
      <w:r w:rsidRPr="001811D7">
        <w:t>us</w:t>
      </w:r>
      <w:r>
        <w:t xml:space="preserve"> </w:t>
      </w:r>
      <w:r w:rsidRPr="001811D7">
        <w:t>to</w:t>
      </w:r>
      <w:r>
        <w:t xml:space="preserve"> </w:t>
      </w:r>
      <w:r w:rsidRPr="001811D7">
        <w:t>target</w:t>
      </w:r>
      <w:r>
        <w:t xml:space="preserve"> </w:t>
      </w:r>
      <w:r w:rsidRPr="001811D7">
        <w:t>conduct</w:t>
      </w:r>
      <w:r>
        <w:t xml:space="preserve"> </w:t>
      </w:r>
      <w:r w:rsidRPr="001811D7">
        <w:t>posing</w:t>
      </w:r>
      <w:r>
        <w:t xml:space="preserve"> </w:t>
      </w:r>
      <w:r w:rsidRPr="001811D7">
        <w:t>the</w:t>
      </w:r>
      <w:r>
        <w:t xml:space="preserve"> </w:t>
      </w:r>
      <w:r w:rsidRPr="001811D7">
        <w:t>highest</w:t>
      </w:r>
      <w:r>
        <w:t xml:space="preserve"> </w:t>
      </w:r>
      <w:r w:rsidRPr="001811D7">
        <w:t>risk</w:t>
      </w:r>
      <w:r>
        <w:t xml:space="preserve"> </w:t>
      </w:r>
      <w:r w:rsidRPr="001811D7">
        <w:t>to</w:t>
      </w:r>
      <w:r>
        <w:t xml:space="preserve"> </w:t>
      </w:r>
      <w:r w:rsidRPr="001811D7">
        <w:t>Victorians,</w:t>
      </w:r>
      <w:r>
        <w:t xml:space="preserve"> </w:t>
      </w:r>
      <w:r w:rsidRPr="001811D7">
        <w:t>making</w:t>
      </w:r>
      <w:r>
        <w:t xml:space="preserve"> </w:t>
      </w:r>
      <w:r w:rsidRPr="001811D7">
        <w:t>the</w:t>
      </w:r>
      <w:r>
        <w:t xml:space="preserve"> </w:t>
      </w:r>
      <w:r w:rsidRPr="001811D7">
        <w:t>best</w:t>
      </w:r>
      <w:r>
        <w:t xml:space="preserve"> </w:t>
      </w:r>
      <w:r w:rsidRPr="001811D7">
        <w:t>use</w:t>
      </w:r>
      <w:r>
        <w:t xml:space="preserve"> </w:t>
      </w:r>
      <w:r w:rsidRPr="001811D7">
        <w:t>of</w:t>
      </w:r>
      <w:r>
        <w:t xml:space="preserve"> </w:t>
      </w:r>
      <w:r w:rsidRPr="001811D7">
        <w:t>our</w:t>
      </w:r>
      <w:r>
        <w:t xml:space="preserve"> </w:t>
      </w:r>
      <w:r w:rsidRPr="001811D7">
        <w:t>available</w:t>
      </w:r>
      <w:r>
        <w:t xml:space="preserve"> </w:t>
      </w:r>
      <w:r w:rsidRPr="001811D7">
        <w:t>resources.</w:t>
      </w:r>
      <w:r>
        <w:t xml:space="preserve"> </w:t>
      </w:r>
      <w:r w:rsidRPr="001811D7">
        <w:t>Our</w:t>
      </w:r>
      <w:r>
        <w:t xml:space="preserve"> </w:t>
      </w:r>
      <w:r w:rsidRPr="001811D7">
        <w:t>compliance</w:t>
      </w:r>
      <w:r>
        <w:t xml:space="preserve"> </w:t>
      </w:r>
      <w:r w:rsidRPr="001811D7">
        <w:t>operating</w:t>
      </w:r>
      <w:r>
        <w:t xml:space="preserve"> </w:t>
      </w:r>
      <w:r w:rsidRPr="001811D7">
        <w:t>model</w:t>
      </w:r>
      <w:r>
        <w:t xml:space="preserve"> </w:t>
      </w:r>
      <w:r w:rsidRPr="001811D7">
        <w:t>embeds</w:t>
      </w:r>
      <w:r>
        <w:t xml:space="preserve"> </w:t>
      </w:r>
      <w:r w:rsidRPr="001811D7">
        <w:t>this</w:t>
      </w:r>
      <w:r>
        <w:t xml:space="preserve"> </w:t>
      </w:r>
      <w:r w:rsidRPr="001811D7">
        <w:t>approach</w:t>
      </w:r>
      <w:r>
        <w:t xml:space="preserve"> </w:t>
      </w:r>
      <w:r w:rsidRPr="001811D7">
        <w:t>in</w:t>
      </w:r>
      <w:r>
        <w:t xml:space="preserve"> </w:t>
      </w:r>
      <w:r w:rsidRPr="001811D7">
        <w:t>our</w:t>
      </w:r>
      <w:r>
        <w:t xml:space="preserve"> </w:t>
      </w:r>
      <w:r w:rsidRPr="001811D7">
        <w:t>work.</w:t>
      </w:r>
    </w:p>
    <w:p w14:paraId="29454E13" w14:textId="77777777" w:rsidR="00856406" w:rsidRPr="006666C5" w:rsidRDefault="00856406" w:rsidP="00447322">
      <w:pPr>
        <w:pStyle w:val="Heading3"/>
        <w:rPr>
          <w:i/>
        </w:rPr>
      </w:pPr>
      <w:r w:rsidRPr="006666C5">
        <w:t>Intelligence-led</w:t>
      </w:r>
    </w:p>
    <w:p w14:paraId="62D0FE79" w14:textId="77777777" w:rsidR="00856406" w:rsidRPr="001811D7" w:rsidRDefault="00856406" w:rsidP="004D24A6">
      <w:pPr>
        <w:pStyle w:val="BodyText"/>
      </w:pPr>
      <w:r w:rsidRPr="001811D7">
        <w:t>Effective</w:t>
      </w:r>
      <w:r>
        <w:t xml:space="preserve"> </w:t>
      </w:r>
      <w:r w:rsidRPr="001811D7">
        <w:t>use</w:t>
      </w:r>
      <w:r>
        <w:t xml:space="preserve"> </w:t>
      </w:r>
      <w:r w:rsidRPr="001811D7">
        <w:t>of</w:t>
      </w:r>
      <w:r>
        <w:t xml:space="preserve"> </w:t>
      </w:r>
      <w:r w:rsidRPr="001811D7">
        <w:t>intelligence</w:t>
      </w:r>
      <w:r>
        <w:t xml:space="preserve"> </w:t>
      </w:r>
      <w:r w:rsidRPr="001811D7">
        <w:t>to</w:t>
      </w:r>
      <w:r>
        <w:t xml:space="preserve"> </w:t>
      </w:r>
      <w:r w:rsidRPr="001811D7">
        <w:t>inform</w:t>
      </w:r>
      <w:r>
        <w:t xml:space="preserve"> </w:t>
      </w:r>
      <w:r w:rsidRPr="001811D7">
        <w:t>decision-making</w:t>
      </w:r>
      <w:r>
        <w:t xml:space="preserve"> </w:t>
      </w:r>
      <w:r w:rsidRPr="001811D7">
        <w:t>is</w:t>
      </w:r>
      <w:r>
        <w:t xml:space="preserve"> </w:t>
      </w:r>
      <w:r w:rsidRPr="001811D7">
        <w:t>an</w:t>
      </w:r>
      <w:r>
        <w:t xml:space="preserve"> </w:t>
      </w:r>
      <w:r w:rsidRPr="001811D7">
        <w:t>important</w:t>
      </w:r>
      <w:r>
        <w:t xml:space="preserve"> </w:t>
      </w:r>
      <w:r w:rsidRPr="001811D7">
        <w:t>part</w:t>
      </w:r>
      <w:r>
        <w:t xml:space="preserve"> </w:t>
      </w:r>
      <w:r w:rsidRPr="001811D7">
        <w:t>of</w:t>
      </w:r>
      <w:r>
        <w:t xml:space="preserve"> </w:t>
      </w:r>
      <w:r w:rsidRPr="001811D7">
        <w:t>our</w:t>
      </w:r>
      <w:r>
        <w:t xml:space="preserve"> </w:t>
      </w:r>
      <w:r w:rsidRPr="001811D7">
        <w:t>regulatory</w:t>
      </w:r>
      <w:r>
        <w:t xml:space="preserve"> </w:t>
      </w:r>
      <w:r w:rsidRPr="001811D7">
        <w:t>approach.</w:t>
      </w:r>
    </w:p>
    <w:p w14:paraId="06BF646B" w14:textId="77777777" w:rsidR="00856406" w:rsidRPr="001811D7" w:rsidRDefault="00856406" w:rsidP="004D24A6">
      <w:pPr>
        <w:pStyle w:val="BodyText"/>
      </w:pPr>
      <w:r w:rsidRPr="001811D7">
        <w:t>We</w:t>
      </w:r>
      <w:r>
        <w:t xml:space="preserve"> </w:t>
      </w:r>
      <w:r w:rsidRPr="001811D7">
        <w:t>supplement</w:t>
      </w:r>
      <w:r>
        <w:t xml:space="preserve"> </w:t>
      </w:r>
      <w:r w:rsidRPr="001811D7">
        <w:t>intelligence</w:t>
      </w:r>
      <w:r>
        <w:t xml:space="preserve"> </w:t>
      </w:r>
      <w:r w:rsidRPr="001811D7">
        <w:t>gathered</w:t>
      </w:r>
      <w:r>
        <w:t xml:space="preserve"> </w:t>
      </w:r>
      <w:r w:rsidRPr="001811D7">
        <w:t>over</w:t>
      </w:r>
      <w:r>
        <w:t xml:space="preserve"> </w:t>
      </w:r>
      <w:r w:rsidRPr="001811D7">
        <w:t>the</w:t>
      </w:r>
      <w:r>
        <w:t xml:space="preserve"> </w:t>
      </w:r>
      <w:r w:rsidRPr="001811D7">
        <w:t>course</w:t>
      </w:r>
      <w:r>
        <w:t xml:space="preserve"> </w:t>
      </w:r>
      <w:r w:rsidRPr="001811D7">
        <w:t>of</w:t>
      </w:r>
      <w:r>
        <w:t xml:space="preserve"> </w:t>
      </w:r>
      <w:r w:rsidRPr="001811D7">
        <w:t>our</w:t>
      </w:r>
      <w:r>
        <w:t xml:space="preserve"> </w:t>
      </w:r>
      <w:r w:rsidRPr="001811D7">
        <w:t>work</w:t>
      </w:r>
      <w:r>
        <w:t xml:space="preserve"> </w:t>
      </w:r>
      <w:r w:rsidRPr="001811D7">
        <w:t>with</w:t>
      </w:r>
      <w:r>
        <w:t xml:space="preserve"> </w:t>
      </w:r>
      <w:r w:rsidRPr="001811D7">
        <w:t>other</w:t>
      </w:r>
      <w:r>
        <w:t xml:space="preserve"> </w:t>
      </w:r>
      <w:r w:rsidRPr="001811D7">
        <w:t>sources,</w:t>
      </w:r>
      <w:r>
        <w:t xml:space="preserve"> </w:t>
      </w:r>
      <w:r w:rsidRPr="001811D7">
        <w:t>including:</w:t>
      </w:r>
    </w:p>
    <w:p w14:paraId="777C0508" w14:textId="77777777" w:rsidR="00856406" w:rsidRPr="001811D7" w:rsidRDefault="00856406" w:rsidP="004D24A6">
      <w:pPr>
        <w:pStyle w:val="ListBullet"/>
      </w:pPr>
      <w:r w:rsidRPr="001811D7">
        <w:t>national</w:t>
      </w:r>
      <w:r>
        <w:t xml:space="preserve"> </w:t>
      </w:r>
      <w:r w:rsidRPr="001811D7">
        <w:t>information</w:t>
      </w:r>
      <w:r>
        <w:t xml:space="preserve"> </w:t>
      </w:r>
      <w:r w:rsidRPr="001811D7">
        <w:t>shared</w:t>
      </w:r>
      <w:r>
        <w:t xml:space="preserve"> </w:t>
      </w:r>
      <w:r w:rsidRPr="001811D7">
        <w:t>among</w:t>
      </w:r>
      <w:r>
        <w:t xml:space="preserve"> </w:t>
      </w:r>
      <w:r w:rsidRPr="001811D7">
        <w:t>Australian</w:t>
      </w:r>
      <w:r>
        <w:t xml:space="preserve"> </w:t>
      </w:r>
      <w:r w:rsidRPr="001811D7">
        <w:t>Consumer</w:t>
      </w:r>
      <w:r>
        <w:t xml:space="preserve"> </w:t>
      </w:r>
      <w:r w:rsidRPr="001811D7">
        <w:t>Law</w:t>
      </w:r>
      <w:r>
        <w:t xml:space="preserve"> </w:t>
      </w:r>
      <w:r w:rsidRPr="001811D7">
        <w:t>regulators</w:t>
      </w:r>
    </w:p>
    <w:p w14:paraId="6BD9EB88" w14:textId="77777777" w:rsidR="00856406" w:rsidRPr="001811D7" w:rsidRDefault="00856406" w:rsidP="004D24A6">
      <w:pPr>
        <w:pStyle w:val="ListBullet"/>
      </w:pPr>
      <w:r w:rsidRPr="001811D7">
        <w:t>local</w:t>
      </w:r>
      <w:r>
        <w:t xml:space="preserve"> </w:t>
      </w:r>
      <w:r w:rsidRPr="001811D7">
        <w:t>councils</w:t>
      </w:r>
    </w:p>
    <w:p w14:paraId="222DA257" w14:textId="77777777" w:rsidR="00856406" w:rsidRPr="001811D7" w:rsidRDefault="00856406" w:rsidP="004D24A6">
      <w:pPr>
        <w:pStyle w:val="ListBullet"/>
      </w:pPr>
      <w:r w:rsidRPr="001811D7">
        <w:t>law</w:t>
      </w:r>
      <w:r>
        <w:t xml:space="preserve"> </w:t>
      </w:r>
      <w:r w:rsidRPr="001811D7">
        <w:t>enforcement</w:t>
      </w:r>
      <w:r>
        <w:t xml:space="preserve"> </w:t>
      </w:r>
      <w:r w:rsidRPr="001811D7">
        <w:t>organisations</w:t>
      </w:r>
      <w:r>
        <w:t xml:space="preserve"> </w:t>
      </w:r>
      <w:r w:rsidRPr="001811D7">
        <w:t>and</w:t>
      </w:r>
      <w:r>
        <w:t xml:space="preserve"> </w:t>
      </w:r>
      <w:r w:rsidRPr="001811D7">
        <w:t>other</w:t>
      </w:r>
      <w:r>
        <w:t xml:space="preserve"> </w:t>
      </w:r>
      <w:r w:rsidRPr="001811D7">
        <w:t>regulatory</w:t>
      </w:r>
      <w:r>
        <w:t xml:space="preserve"> </w:t>
      </w:r>
      <w:r w:rsidRPr="001811D7">
        <w:t>agencies</w:t>
      </w:r>
    </w:p>
    <w:p w14:paraId="4BB9A6AA" w14:textId="77777777" w:rsidR="00856406" w:rsidRPr="001811D7" w:rsidRDefault="00856406" w:rsidP="004D24A6">
      <w:pPr>
        <w:pStyle w:val="ListBullet"/>
      </w:pPr>
      <w:r w:rsidRPr="001811D7">
        <w:t>industry</w:t>
      </w:r>
      <w:r>
        <w:t xml:space="preserve"> </w:t>
      </w:r>
      <w:r w:rsidRPr="001811D7">
        <w:t>and</w:t>
      </w:r>
      <w:r>
        <w:t xml:space="preserve"> </w:t>
      </w:r>
      <w:r w:rsidRPr="001811D7">
        <w:t>community</w:t>
      </w:r>
      <w:r>
        <w:t xml:space="preserve"> </w:t>
      </w:r>
      <w:r w:rsidRPr="001811D7">
        <w:t>stakeholders</w:t>
      </w:r>
    </w:p>
    <w:p w14:paraId="2C3BB767" w14:textId="77777777" w:rsidR="00856406" w:rsidRPr="001811D7" w:rsidRDefault="00856406" w:rsidP="004D24A6">
      <w:pPr>
        <w:pStyle w:val="ListBullet"/>
      </w:pPr>
      <w:r w:rsidRPr="001811D7">
        <w:t>media,</w:t>
      </w:r>
      <w:r>
        <w:t xml:space="preserve"> </w:t>
      </w:r>
      <w:r w:rsidRPr="001811D7">
        <w:t>online</w:t>
      </w:r>
      <w:r>
        <w:t xml:space="preserve"> </w:t>
      </w:r>
      <w:r w:rsidRPr="001811D7">
        <w:t>forums</w:t>
      </w:r>
      <w:r>
        <w:t xml:space="preserve"> </w:t>
      </w:r>
      <w:r w:rsidRPr="001811D7">
        <w:t>and</w:t>
      </w:r>
      <w:r>
        <w:t xml:space="preserve"> </w:t>
      </w:r>
      <w:r w:rsidRPr="001811D7">
        <w:t>social</w:t>
      </w:r>
      <w:r>
        <w:t xml:space="preserve"> </w:t>
      </w:r>
      <w:r w:rsidRPr="001811D7">
        <w:t>media</w:t>
      </w:r>
    </w:p>
    <w:p w14:paraId="09F7B6A0" w14:textId="77777777" w:rsidR="00856406" w:rsidRPr="001811D7" w:rsidRDefault="00856406" w:rsidP="004D24A6">
      <w:pPr>
        <w:pStyle w:val="ListBullet"/>
      </w:pPr>
      <w:r w:rsidRPr="001811D7">
        <w:t>business</w:t>
      </w:r>
      <w:r>
        <w:t xml:space="preserve"> </w:t>
      </w:r>
      <w:r w:rsidRPr="001811D7">
        <w:t>reporting</w:t>
      </w:r>
      <w:r>
        <w:t xml:space="preserve"> </w:t>
      </w:r>
      <w:r w:rsidRPr="001811D7">
        <w:t>requirements.</w:t>
      </w:r>
    </w:p>
    <w:p w14:paraId="7F25C12F" w14:textId="77777777" w:rsidR="00856406" w:rsidRPr="001811D7" w:rsidRDefault="00856406" w:rsidP="004D24A6">
      <w:pPr>
        <w:pStyle w:val="BodyText"/>
      </w:pPr>
      <w:r w:rsidRPr="001811D7">
        <w:t>For</w:t>
      </w:r>
      <w:r>
        <w:t xml:space="preserve"> </w:t>
      </w:r>
      <w:r w:rsidRPr="001811D7">
        <w:t>example,</w:t>
      </w:r>
      <w:r>
        <w:t xml:space="preserve"> </w:t>
      </w:r>
      <w:r w:rsidRPr="001811D7">
        <w:t>information</w:t>
      </w:r>
      <w:r>
        <w:t xml:space="preserve"> </w:t>
      </w:r>
      <w:r w:rsidRPr="001811D7">
        <w:t>in</w:t>
      </w:r>
      <w:r>
        <w:t xml:space="preserve"> </w:t>
      </w:r>
      <w:r w:rsidRPr="001811D7">
        <w:t>auditors’</w:t>
      </w:r>
      <w:r>
        <w:t xml:space="preserve"> </w:t>
      </w:r>
      <w:r w:rsidRPr="001811D7">
        <w:t>reports</w:t>
      </w:r>
      <w:r>
        <w:t xml:space="preserve"> </w:t>
      </w:r>
      <w:r w:rsidRPr="001811D7">
        <w:t>on</w:t>
      </w:r>
      <w:r>
        <w:t xml:space="preserve"> </w:t>
      </w:r>
      <w:r w:rsidRPr="001811D7">
        <w:t>estate</w:t>
      </w:r>
      <w:r>
        <w:t xml:space="preserve"> </w:t>
      </w:r>
      <w:r w:rsidRPr="001811D7">
        <w:t>agent</w:t>
      </w:r>
      <w:r>
        <w:t xml:space="preserve"> </w:t>
      </w:r>
      <w:r w:rsidRPr="001811D7">
        <w:t>trust</w:t>
      </w:r>
      <w:r>
        <w:t xml:space="preserve"> </w:t>
      </w:r>
      <w:r w:rsidRPr="001811D7">
        <w:t>accounts</w:t>
      </w:r>
      <w:r>
        <w:t xml:space="preserve"> </w:t>
      </w:r>
      <w:r w:rsidRPr="001811D7">
        <w:t>alerts</w:t>
      </w:r>
      <w:r>
        <w:t xml:space="preserve"> </w:t>
      </w:r>
      <w:r w:rsidRPr="001811D7">
        <w:t>us</w:t>
      </w:r>
      <w:r>
        <w:t xml:space="preserve"> </w:t>
      </w:r>
      <w:r w:rsidRPr="001811D7">
        <w:t>to</w:t>
      </w:r>
      <w:r>
        <w:t xml:space="preserve"> </w:t>
      </w:r>
      <w:r w:rsidRPr="001811D7">
        <w:t>businesses</w:t>
      </w:r>
      <w:r>
        <w:t xml:space="preserve"> </w:t>
      </w:r>
      <w:r w:rsidRPr="001811D7">
        <w:t>that</w:t>
      </w:r>
      <w:r>
        <w:t xml:space="preserve"> </w:t>
      </w:r>
      <w:r w:rsidRPr="001811D7">
        <w:t>may</w:t>
      </w:r>
      <w:r>
        <w:t xml:space="preserve"> </w:t>
      </w:r>
      <w:r w:rsidRPr="001811D7">
        <w:t>have</w:t>
      </w:r>
      <w:r>
        <w:t xml:space="preserve"> </w:t>
      </w:r>
      <w:r w:rsidRPr="001811D7">
        <w:t>problematic</w:t>
      </w:r>
      <w:r>
        <w:t xml:space="preserve"> </w:t>
      </w:r>
      <w:r w:rsidRPr="001811D7">
        <w:t>practices,</w:t>
      </w:r>
      <w:r>
        <w:t xml:space="preserve"> </w:t>
      </w:r>
      <w:r w:rsidRPr="001811D7">
        <w:t>helping</w:t>
      </w:r>
      <w:r>
        <w:t xml:space="preserve"> </w:t>
      </w:r>
      <w:r w:rsidRPr="001811D7">
        <w:t>us</w:t>
      </w:r>
      <w:r>
        <w:t xml:space="preserve"> </w:t>
      </w:r>
      <w:r w:rsidRPr="001811D7">
        <w:t>prioritise</w:t>
      </w:r>
      <w:r>
        <w:t xml:space="preserve"> </w:t>
      </w:r>
      <w:r w:rsidRPr="001811D7">
        <w:t>inspections.</w:t>
      </w:r>
    </w:p>
    <w:p w14:paraId="66711697" w14:textId="77777777" w:rsidR="00856406" w:rsidRPr="001811D7" w:rsidRDefault="00856406" w:rsidP="004D24A6">
      <w:pPr>
        <w:pStyle w:val="BodyText"/>
      </w:pPr>
      <w:r w:rsidRPr="001811D7">
        <w:t>We</w:t>
      </w:r>
      <w:r>
        <w:t xml:space="preserve"> </w:t>
      </w:r>
      <w:r w:rsidRPr="001811D7">
        <w:t>also</w:t>
      </w:r>
      <w:r>
        <w:t xml:space="preserve"> </w:t>
      </w:r>
      <w:r w:rsidRPr="001811D7">
        <w:t>receive</w:t>
      </w:r>
      <w:r>
        <w:t xml:space="preserve"> </w:t>
      </w:r>
      <w:r w:rsidRPr="001811D7">
        <w:t>reports</w:t>
      </w:r>
      <w:r>
        <w:t xml:space="preserve"> </w:t>
      </w:r>
      <w:r w:rsidRPr="001811D7">
        <w:t>from</w:t>
      </w:r>
      <w:r>
        <w:t xml:space="preserve"> </w:t>
      </w:r>
      <w:r w:rsidRPr="001811D7">
        <w:t>consumers</w:t>
      </w:r>
      <w:r>
        <w:t xml:space="preserve"> </w:t>
      </w:r>
      <w:r w:rsidRPr="001811D7">
        <w:t>and</w:t>
      </w:r>
      <w:r>
        <w:t xml:space="preserve"> </w:t>
      </w:r>
      <w:r w:rsidRPr="001811D7">
        <w:t>their</w:t>
      </w:r>
      <w:r>
        <w:t xml:space="preserve"> </w:t>
      </w:r>
      <w:r w:rsidRPr="001811D7">
        <w:t>representatives</w:t>
      </w:r>
      <w:r>
        <w:t xml:space="preserve"> </w:t>
      </w:r>
      <w:r w:rsidRPr="001811D7">
        <w:t>about</w:t>
      </w:r>
      <w:r>
        <w:t xml:space="preserve"> </w:t>
      </w:r>
      <w:r w:rsidRPr="001811D7">
        <w:t>business</w:t>
      </w:r>
      <w:r>
        <w:t xml:space="preserve"> </w:t>
      </w:r>
      <w:r w:rsidRPr="001811D7">
        <w:t>conduct</w:t>
      </w:r>
      <w:r>
        <w:t xml:space="preserve"> </w:t>
      </w:r>
      <w:r w:rsidRPr="001811D7">
        <w:t>or</w:t>
      </w:r>
      <w:r>
        <w:t xml:space="preserve"> </w:t>
      </w:r>
      <w:r w:rsidRPr="001811D7">
        <w:t>potential</w:t>
      </w:r>
      <w:r>
        <w:t xml:space="preserve"> </w:t>
      </w:r>
      <w:r w:rsidRPr="001811D7">
        <w:t>breaches</w:t>
      </w:r>
      <w:r>
        <w:t xml:space="preserve"> </w:t>
      </w:r>
      <w:r w:rsidRPr="001811D7">
        <w:t>of</w:t>
      </w:r>
      <w:r>
        <w:t xml:space="preserve"> </w:t>
      </w:r>
      <w:r w:rsidRPr="001811D7">
        <w:t>the</w:t>
      </w:r>
      <w:r>
        <w:t xml:space="preserve"> </w:t>
      </w:r>
      <w:r w:rsidRPr="001811D7">
        <w:t>law.</w:t>
      </w:r>
      <w:r>
        <w:t xml:space="preserve"> </w:t>
      </w:r>
      <w:r w:rsidRPr="001811D7">
        <w:t>While</w:t>
      </w:r>
      <w:r>
        <w:t xml:space="preserve"> </w:t>
      </w:r>
      <w:r w:rsidRPr="001811D7">
        <w:t>we</w:t>
      </w:r>
      <w:r>
        <w:t xml:space="preserve"> </w:t>
      </w:r>
      <w:r w:rsidRPr="001811D7">
        <w:t>do</w:t>
      </w:r>
      <w:r>
        <w:t xml:space="preserve"> </w:t>
      </w:r>
      <w:r w:rsidRPr="001811D7">
        <w:t>not</w:t>
      </w:r>
      <w:r>
        <w:t xml:space="preserve"> </w:t>
      </w:r>
      <w:r w:rsidRPr="001811D7">
        <w:t>pursue</w:t>
      </w:r>
      <w:r>
        <w:t xml:space="preserve"> </w:t>
      </w:r>
      <w:r w:rsidRPr="001811D7">
        <w:t>all</w:t>
      </w:r>
      <w:r>
        <w:t xml:space="preserve"> </w:t>
      </w:r>
      <w:r w:rsidRPr="001811D7">
        <w:t>these</w:t>
      </w:r>
      <w:r>
        <w:t xml:space="preserve"> </w:t>
      </w:r>
      <w:r w:rsidRPr="001811D7">
        <w:t>individually,</w:t>
      </w:r>
      <w:r>
        <w:t xml:space="preserve"> </w:t>
      </w:r>
      <w:r w:rsidRPr="001811D7">
        <w:t>we</w:t>
      </w:r>
      <w:r>
        <w:t xml:space="preserve"> </w:t>
      </w:r>
      <w:r w:rsidRPr="001811D7" w:rsidDel="00A66510">
        <w:t>use</w:t>
      </w:r>
      <w:r>
        <w:t xml:space="preserve"> </w:t>
      </w:r>
      <w:r w:rsidRPr="001811D7" w:rsidDel="00A66510">
        <w:t>them</w:t>
      </w:r>
      <w:r>
        <w:t xml:space="preserve"> </w:t>
      </w:r>
      <w:r w:rsidRPr="001811D7" w:rsidDel="00A66510">
        <w:t>as</w:t>
      </w:r>
      <w:r>
        <w:t xml:space="preserve"> </w:t>
      </w:r>
      <w:r w:rsidRPr="001811D7" w:rsidDel="00A66510">
        <w:t>vital</w:t>
      </w:r>
      <w:r>
        <w:t xml:space="preserve"> </w:t>
      </w:r>
      <w:r w:rsidRPr="001811D7" w:rsidDel="00A66510">
        <w:t>sources</w:t>
      </w:r>
      <w:r>
        <w:t xml:space="preserve"> </w:t>
      </w:r>
      <w:r w:rsidRPr="001811D7" w:rsidDel="00A66510">
        <w:t>of</w:t>
      </w:r>
      <w:r>
        <w:t xml:space="preserve"> </w:t>
      </w:r>
      <w:r w:rsidRPr="001811D7" w:rsidDel="00A66510">
        <w:t>intelligence</w:t>
      </w:r>
      <w:r>
        <w:t xml:space="preserve"> </w:t>
      </w:r>
      <w:r w:rsidRPr="001811D7" w:rsidDel="00A66510">
        <w:t>to</w:t>
      </w:r>
      <w:r>
        <w:t xml:space="preserve"> </w:t>
      </w:r>
      <w:r w:rsidRPr="001811D7" w:rsidDel="00A66510">
        <w:t>help</w:t>
      </w:r>
      <w:r>
        <w:t xml:space="preserve"> </w:t>
      </w:r>
      <w:r w:rsidRPr="001811D7" w:rsidDel="00A66510">
        <w:t>assess</w:t>
      </w:r>
      <w:r>
        <w:t xml:space="preserve"> </w:t>
      </w:r>
      <w:r w:rsidRPr="001811D7" w:rsidDel="00A66510">
        <w:t>risks</w:t>
      </w:r>
      <w:r>
        <w:t xml:space="preserve"> </w:t>
      </w:r>
      <w:r w:rsidRPr="001811D7" w:rsidDel="00A66510">
        <w:t>and</w:t>
      </w:r>
      <w:r>
        <w:t xml:space="preserve"> take appropriate action</w:t>
      </w:r>
      <w:r w:rsidRPr="001811D7">
        <w:t>.</w:t>
      </w:r>
    </w:p>
    <w:p w14:paraId="1B7C9C10" w14:textId="77777777" w:rsidR="00856406" w:rsidRPr="00B25EAA" w:rsidRDefault="00856406" w:rsidP="00447322">
      <w:pPr>
        <w:pStyle w:val="Heading3"/>
      </w:pPr>
      <w:r w:rsidRPr="00B25EAA">
        <w:t>Risk-based</w:t>
      </w:r>
    </w:p>
    <w:p w14:paraId="167BD94C" w14:textId="77777777" w:rsidR="00856406" w:rsidRPr="001811D7" w:rsidRDefault="00856406" w:rsidP="004D24A6">
      <w:pPr>
        <w:pStyle w:val="BodyText"/>
      </w:pPr>
      <w:r w:rsidRPr="001811D7">
        <w:t>Where</w:t>
      </w:r>
      <w:r>
        <w:t xml:space="preserve"> </w:t>
      </w:r>
      <w:r w:rsidRPr="001811D7">
        <w:t>possible,</w:t>
      </w:r>
      <w:r>
        <w:t xml:space="preserve"> </w:t>
      </w:r>
      <w:r w:rsidRPr="001811D7">
        <w:t>we</w:t>
      </w:r>
      <w:r>
        <w:t xml:space="preserve"> </w:t>
      </w:r>
      <w:r w:rsidRPr="001811D7">
        <w:t>aim</w:t>
      </w:r>
      <w:r>
        <w:t xml:space="preserve"> </w:t>
      </w:r>
      <w:r w:rsidRPr="001811D7">
        <w:t>to</w:t>
      </w:r>
      <w:r>
        <w:t xml:space="preserve"> </w:t>
      </w:r>
      <w:r w:rsidRPr="001811D7">
        <w:t>identify</w:t>
      </w:r>
      <w:r>
        <w:t xml:space="preserve"> </w:t>
      </w:r>
      <w:r w:rsidRPr="001811D7">
        <w:t>and</w:t>
      </w:r>
      <w:r>
        <w:t xml:space="preserve"> </w:t>
      </w:r>
      <w:r w:rsidRPr="001811D7">
        <w:t>treat</w:t>
      </w:r>
      <w:r>
        <w:t xml:space="preserve"> </w:t>
      </w:r>
      <w:r w:rsidRPr="001811D7">
        <w:t>risks</w:t>
      </w:r>
      <w:r>
        <w:t xml:space="preserve"> </w:t>
      </w:r>
      <w:r w:rsidRPr="001811D7">
        <w:t>before</w:t>
      </w:r>
      <w:r>
        <w:t xml:space="preserve"> </w:t>
      </w:r>
      <w:r w:rsidRPr="001811D7">
        <w:t>they</w:t>
      </w:r>
      <w:r>
        <w:t xml:space="preserve"> </w:t>
      </w:r>
      <w:r w:rsidRPr="001811D7">
        <w:t>lead</w:t>
      </w:r>
      <w:r>
        <w:t xml:space="preserve"> </w:t>
      </w:r>
      <w:r w:rsidRPr="001811D7">
        <w:t>to</w:t>
      </w:r>
      <w:r>
        <w:t xml:space="preserve"> </w:t>
      </w:r>
      <w:r w:rsidRPr="001811D7">
        <w:t>actual</w:t>
      </w:r>
      <w:r>
        <w:t xml:space="preserve"> </w:t>
      </w:r>
      <w:r w:rsidRPr="001811D7">
        <w:t>consumer</w:t>
      </w:r>
      <w:r>
        <w:t xml:space="preserve"> </w:t>
      </w:r>
      <w:r w:rsidRPr="001811D7">
        <w:t>harm.</w:t>
      </w:r>
    </w:p>
    <w:p w14:paraId="284BF707" w14:textId="77777777" w:rsidR="00856406" w:rsidRPr="001811D7" w:rsidRDefault="00856406" w:rsidP="004D24A6">
      <w:pPr>
        <w:pStyle w:val="BodyText"/>
      </w:pPr>
      <w:r w:rsidRPr="001811D7">
        <w:t>Regulatory</w:t>
      </w:r>
      <w:r>
        <w:t xml:space="preserve"> </w:t>
      </w:r>
      <w:r w:rsidRPr="001811D7">
        <w:t>risks</w:t>
      </w:r>
      <w:r>
        <w:t xml:space="preserve"> </w:t>
      </w:r>
      <w:r w:rsidRPr="001811D7">
        <w:t>are</w:t>
      </w:r>
      <w:r>
        <w:t xml:space="preserve"> </w:t>
      </w:r>
      <w:r w:rsidRPr="001811D7">
        <w:t>market</w:t>
      </w:r>
      <w:r>
        <w:t xml:space="preserve"> </w:t>
      </w:r>
      <w:r w:rsidRPr="001811D7">
        <w:t>behaviours</w:t>
      </w:r>
      <w:r>
        <w:t xml:space="preserve"> </w:t>
      </w:r>
      <w:r w:rsidRPr="001811D7">
        <w:t>that:</w:t>
      </w:r>
    </w:p>
    <w:p w14:paraId="055086C9" w14:textId="77777777" w:rsidR="00856406" w:rsidRPr="001811D7" w:rsidRDefault="00856406" w:rsidP="004D24A6">
      <w:pPr>
        <w:pStyle w:val="ListBullet"/>
      </w:pPr>
      <w:r>
        <w:t xml:space="preserve">do not comply </w:t>
      </w:r>
      <w:r w:rsidRPr="001811D7">
        <w:t>with</w:t>
      </w:r>
      <w:r>
        <w:t xml:space="preserve"> </w:t>
      </w:r>
      <w:r w:rsidRPr="001811D7">
        <w:t>the</w:t>
      </w:r>
      <w:r>
        <w:t xml:space="preserve"> </w:t>
      </w:r>
      <w:r w:rsidRPr="001811D7">
        <w:t>laws</w:t>
      </w:r>
      <w:r>
        <w:t xml:space="preserve"> </w:t>
      </w:r>
      <w:r w:rsidRPr="001811D7">
        <w:t>we</w:t>
      </w:r>
      <w:r>
        <w:t xml:space="preserve"> </w:t>
      </w:r>
      <w:r w:rsidRPr="001811D7">
        <w:t>administer</w:t>
      </w:r>
    </w:p>
    <w:p w14:paraId="7D4F8C2E" w14:textId="77777777" w:rsidR="00856406" w:rsidRPr="001811D7" w:rsidRDefault="00856406" w:rsidP="004D24A6">
      <w:pPr>
        <w:pStyle w:val="ListBullet"/>
      </w:pPr>
      <w:r w:rsidRPr="001811D7">
        <w:t>present</w:t>
      </w:r>
      <w:r>
        <w:t xml:space="preserve"> </w:t>
      </w:r>
      <w:r w:rsidRPr="001811D7">
        <w:t>potential</w:t>
      </w:r>
      <w:r>
        <w:t xml:space="preserve"> </w:t>
      </w:r>
      <w:r w:rsidRPr="001811D7">
        <w:t>or</w:t>
      </w:r>
      <w:r>
        <w:t xml:space="preserve"> </w:t>
      </w:r>
      <w:r w:rsidRPr="001811D7">
        <w:t>actual</w:t>
      </w:r>
      <w:r>
        <w:t xml:space="preserve"> </w:t>
      </w:r>
      <w:r w:rsidRPr="001811D7">
        <w:t>consumer</w:t>
      </w:r>
      <w:r>
        <w:t xml:space="preserve"> </w:t>
      </w:r>
      <w:r w:rsidRPr="001811D7">
        <w:t>harm</w:t>
      </w:r>
    </w:p>
    <w:p w14:paraId="6FC1C5A2" w14:textId="77777777" w:rsidR="00856406" w:rsidRPr="001811D7" w:rsidRDefault="00856406" w:rsidP="004D24A6">
      <w:pPr>
        <w:pStyle w:val="ListBullet"/>
      </w:pPr>
      <w:r w:rsidRPr="001811D7">
        <w:t>affect</w:t>
      </w:r>
      <w:r>
        <w:t xml:space="preserve"> </w:t>
      </w:r>
      <w:r w:rsidRPr="001811D7">
        <w:t>our</w:t>
      </w:r>
      <w:r>
        <w:t xml:space="preserve"> </w:t>
      </w:r>
      <w:r w:rsidRPr="001811D7">
        <w:t>ability</w:t>
      </w:r>
      <w:r>
        <w:t xml:space="preserve"> </w:t>
      </w:r>
      <w:r w:rsidRPr="001811D7">
        <w:t>to</w:t>
      </w:r>
      <w:r>
        <w:t xml:space="preserve"> </w:t>
      </w:r>
      <w:r w:rsidRPr="001811D7">
        <w:t>be</w:t>
      </w:r>
      <w:r>
        <w:t xml:space="preserve"> </w:t>
      </w:r>
      <w:r w:rsidRPr="001811D7">
        <w:t>an</w:t>
      </w:r>
      <w:r>
        <w:t xml:space="preserve"> </w:t>
      </w:r>
      <w:r w:rsidRPr="001811D7">
        <w:t>effective</w:t>
      </w:r>
      <w:r>
        <w:t xml:space="preserve"> </w:t>
      </w:r>
      <w:r w:rsidRPr="001811D7">
        <w:t>regulator</w:t>
      </w:r>
    </w:p>
    <w:p w14:paraId="77C7BAAE" w14:textId="77777777" w:rsidR="00856406" w:rsidRPr="001811D7" w:rsidRDefault="00856406" w:rsidP="004D24A6">
      <w:pPr>
        <w:pStyle w:val="ListBullet"/>
      </w:pPr>
      <w:r w:rsidRPr="001811D7">
        <w:t>need</w:t>
      </w:r>
      <w:r>
        <w:t xml:space="preserve"> </w:t>
      </w:r>
      <w:r w:rsidRPr="001811D7">
        <w:t>a</w:t>
      </w:r>
      <w:r>
        <w:t xml:space="preserve"> </w:t>
      </w:r>
      <w:r w:rsidRPr="001811D7">
        <w:t>regulatory</w:t>
      </w:r>
      <w:r>
        <w:t xml:space="preserve"> </w:t>
      </w:r>
      <w:r w:rsidRPr="001811D7">
        <w:t>response</w:t>
      </w:r>
      <w:r>
        <w:t xml:space="preserve"> </w:t>
      </w:r>
      <w:r w:rsidRPr="001811D7">
        <w:t>due</w:t>
      </w:r>
      <w:r>
        <w:t xml:space="preserve"> </w:t>
      </w:r>
      <w:r w:rsidRPr="001811D7">
        <w:t>to</w:t>
      </w:r>
      <w:r>
        <w:t xml:space="preserve"> </w:t>
      </w:r>
      <w:r w:rsidRPr="001811D7">
        <w:t>public</w:t>
      </w:r>
      <w:r>
        <w:t xml:space="preserve"> </w:t>
      </w:r>
      <w:r w:rsidRPr="001811D7">
        <w:t>concern.</w:t>
      </w:r>
    </w:p>
    <w:p w14:paraId="44519587" w14:textId="77777777" w:rsidR="00856406" w:rsidRPr="001811D7" w:rsidRDefault="00856406" w:rsidP="00F828EC">
      <w:pPr>
        <w:pStyle w:val="BodyText"/>
      </w:pPr>
      <w:r w:rsidRPr="001811D7">
        <w:t>We</w:t>
      </w:r>
      <w:r>
        <w:t xml:space="preserve"> </w:t>
      </w:r>
      <w:r w:rsidRPr="001811D7">
        <w:t>monitor</w:t>
      </w:r>
      <w:r>
        <w:t xml:space="preserve"> </w:t>
      </w:r>
      <w:r w:rsidRPr="001811D7">
        <w:t>markets</w:t>
      </w:r>
      <w:r>
        <w:t xml:space="preserve"> </w:t>
      </w:r>
      <w:r w:rsidRPr="001811D7">
        <w:t>and</w:t>
      </w:r>
      <w:r>
        <w:t xml:space="preserve"> </w:t>
      </w:r>
      <w:r w:rsidRPr="001811D7">
        <w:t>use</w:t>
      </w:r>
      <w:r>
        <w:t xml:space="preserve"> </w:t>
      </w:r>
      <w:r w:rsidRPr="001811D7">
        <w:t>evidence</w:t>
      </w:r>
      <w:r>
        <w:t xml:space="preserve"> </w:t>
      </w:r>
      <w:r w:rsidRPr="001811D7">
        <w:t>to</w:t>
      </w:r>
      <w:r>
        <w:t xml:space="preserve"> </w:t>
      </w:r>
      <w:r w:rsidRPr="001811D7">
        <w:t>shape</w:t>
      </w:r>
      <w:r>
        <w:t xml:space="preserve"> </w:t>
      </w:r>
      <w:r w:rsidRPr="001811D7">
        <w:t>a</w:t>
      </w:r>
      <w:r>
        <w:t xml:space="preserve"> </w:t>
      </w:r>
      <w:r w:rsidRPr="001811D7">
        <w:t>targeted</w:t>
      </w:r>
      <w:r>
        <w:t xml:space="preserve"> </w:t>
      </w:r>
      <w:r w:rsidRPr="001811D7">
        <w:t>compliance</w:t>
      </w:r>
      <w:r>
        <w:t xml:space="preserve"> </w:t>
      </w:r>
      <w:r w:rsidRPr="001811D7">
        <w:t>program,</w:t>
      </w:r>
      <w:r>
        <w:t xml:space="preserve"> </w:t>
      </w:r>
      <w:r w:rsidRPr="001811D7">
        <w:t>focusing</w:t>
      </w:r>
      <w:r>
        <w:t xml:space="preserve"> </w:t>
      </w:r>
      <w:r w:rsidRPr="001811D7">
        <w:t>on</w:t>
      </w:r>
      <w:r>
        <w:t xml:space="preserve"> </w:t>
      </w:r>
      <w:r w:rsidRPr="001811D7">
        <w:t>issues</w:t>
      </w:r>
      <w:r>
        <w:t xml:space="preserve"> </w:t>
      </w:r>
      <w:r w:rsidRPr="001811D7">
        <w:t>that</w:t>
      </w:r>
      <w:r>
        <w:t xml:space="preserve"> </w:t>
      </w:r>
      <w:r w:rsidRPr="001811D7">
        <w:t>pose</w:t>
      </w:r>
      <w:r>
        <w:t xml:space="preserve"> </w:t>
      </w:r>
      <w:r w:rsidRPr="001811D7">
        <w:t>the</w:t>
      </w:r>
      <w:r>
        <w:t xml:space="preserve"> </w:t>
      </w:r>
      <w:r w:rsidRPr="001811D7">
        <w:t>highest</w:t>
      </w:r>
      <w:r>
        <w:t xml:space="preserve"> </w:t>
      </w:r>
      <w:r w:rsidRPr="001811D7">
        <w:t>risk</w:t>
      </w:r>
      <w:r>
        <w:t xml:space="preserve"> </w:t>
      </w:r>
      <w:r w:rsidRPr="001811D7">
        <w:t>to</w:t>
      </w:r>
      <w:r>
        <w:t xml:space="preserve"> </w:t>
      </w:r>
      <w:r w:rsidRPr="001811D7">
        <w:t>Victorians.</w:t>
      </w:r>
      <w:r>
        <w:t xml:space="preserve"> </w:t>
      </w:r>
      <w:r w:rsidRPr="001811D7">
        <w:t>Risks</w:t>
      </w:r>
      <w:r>
        <w:t xml:space="preserve"> </w:t>
      </w:r>
      <w:r w:rsidRPr="001811D7">
        <w:t>can</w:t>
      </w:r>
      <w:r>
        <w:t xml:space="preserve"> </w:t>
      </w:r>
      <w:r w:rsidRPr="001811D7">
        <w:t>be</w:t>
      </w:r>
      <w:r>
        <w:t xml:space="preserve"> </w:t>
      </w:r>
      <w:r w:rsidRPr="001811D7">
        <w:t>posed</w:t>
      </w:r>
      <w:r>
        <w:t xml:space="preserve"> </w:t>
      </w:r>
      <w:r w:rsidRPr="001811D7">
        <w:t>by:</w:t>
      </w:r>
    </w:p>
    <w:p w14:paraId="08E240AD" w14:textId="77777777" w:rsidR="00856406" w:rsidRPr="001811D7" w:rsidRDefault="00856406" w:rsidP="00F828EC">
      <w:pPr>
        <w:pStyle w:val="ListBullet"/>
      </w:pPr>
      <w:r w:rsidRPr="001811D7">
        <w:t>a</w:t>
      </w:r>
      <w:r>
        <w:t xml:space="preserve"> </w:t>
      </w:r>
      <w:r w:rsidRPr="001811D7">
        <w:t>product</w:t>
      </w:r>
    </w:p>
    <w:p w14:paraId="6AD7DE26" w14:textId="77777777" w:rsidR="00856406" w:rsidRPr="001811D7" w:rsidRDefault="00856406" w:rsidP="00F828EC">
      <w:pPr>
        <w:pStyle w:val="ListBullet"/>
      </w:pPr>
      <w:r w:rsidRPr="001811D7">
        <w:t>a</w:t>
      </w:r>
      <w:r>
        <w:t xml:space="preserve"> </w:t>
      </w:r>
      <w:r w:rsidRPr="001811D7">
        <w:t>business’</w:t>
      </w:r>
      <w:r>
        <w:t xml:space="preserve"> </w:t>
      </w:r>
      <w:r w:rsidRPr="001811D7">
        <w:t>conduct</w:t>
      </w:r>
    </w:p>
    <w:p w14:paraId="76724592" w14:textId="77777777" w:rsidR="00856406" w:rsidRPr="001811D7" w:rsidRDefault="00856406" w:rsidP="00F828EC">
      <w:pPr>
        <w:pStyle w:val="ListBullet"/>
      </w:pPr>
      <w:r w:rsidRPr="001811D7">
        <w:t>a</w:t>
      </w:r>
      <w:r>
        <w:t xml:space="preserve"> </w:t>
      </w:r>
      <w:r w:rsidRPr="001811D7">
        <w:t>new</w:t>
      </w:r>
      <w:r>
        <w:t xml:space="preserve"> </w:t>
      </w:r>
      <w:r w:rsidRPr="001811D7">
        <w:t>or</w:t>
      </w:r>
      <w:r>
        <w:t xml:space="preserve"> </w:t>
      </w:r>
      <w:r w:rsidRPr="001811D7">
        <w:t>emerging</w:t>
      </w:r>
      <w:r>
        <w:t xml:space="preserve"> </w:t>
      </w:r>
      <w:r w:rsidRPr="001811D7">
        <w:t>business</w:t>
      </w:r>
      <w:r>
        <w:t xml:space="preserve"> </w:t>
      </w:r>
      <w:r w:rsidRPr="001811D7">
        <w:t>practice</w:t>
      </w:r>
    </w:p>
    <w:p w14:paraId="18E3F64A" w14:textId="77777777" w:rsidR="00856406" w:rsidRPr="001811D7" w:rsidRDefault="00856406" w:rsidP="00F828EC">
      <w:pPr>
        <w:pStyle w:val="ListBullet"/>
      </w:pPr>
      <w:r w:rsidRPr="001811D7">
        <w:t>the</w:t>
      </w:r>
      <w:r>
        <w:t xml:space="preserve"> </w:t>
      </w:r>
      <w:r w:rsidRPr="001811D7">
        <w:t>conduct</w:t>
      </w:r>
      <w:r>
        <w:t xml:space="preserve"> </w:t>
      </w:r>
      <w:r w:rsidRPr="001811D7">
        <w:t>or</w:t>
      </w:r>
      <w:r>
        <w:t xml:space="preserve"> </w:t>
      </w:r>
      <w:r w:rsidRPr="001811D7">
        <w:t>business</w:t>
      </w:r>
      <w:r>
        <w:t xml:space="preserve"> </w:t>
      </w:r>
      <w:r w:rsidRPr="001811D7">
        <w:t>model</w:t>
      </w:r>
      <w:r>
        <w:t xml:space="preserve"> </w:t>
      </w:r>
      <w:r w:rsidRPr="001811D7">
        <w:t>of</w:t>
      </w:r>
      <w:r>
        <w:t xml:space="preserve"> </w:t>
      </w:r>
      <w:r w:rsidRPr="001811D7">
        <w:t>an</w:t>
      </w:r>
      <w:r>
        <w:t xml:space="preserve"> </w:t>
      </w:r>
      <w:r w:rsidRPr="001811D7">
        <w:t>entire</w:t>
      </w:r>
      <w:r>
        <w:t xml:space="preserve"> </w:t>
      </w:r>
      <w:r w:rsidRPr="001811D7">
        <w:t>industry.</w:t>
      </w:r>
    </w:p>
    <w:p w14:paraId="7C6C3F49" w14:textId="77777777" w:rsidR="00856406" w:rsidRPr="00B25EAA" w:rsidRDefault="00856406" w:rsidP="00447322">
      <w:pPr>
        <w:pStyle w:val="Heading3"/>
      </w:pPr>
      <w:r w:rsidRPr="00B25EAA">
        <w:t>Outcome-focused</w:t>
      </w:r>
    </w:p>
    <w:p w14:paraId="5FC4BB85" w14:textId="77777777" w:rsidR="00856406" w:rsidRPr="001811D7" w:rsidRDefault="00856406" w:rsidP="00F828EC">
      <w:pPr>
        <w:pStyle w:val="BodyText"/>
      </w:pPr>
      <w:r w:rsidRPr="001811D7">
        <w:t>We</w:t>
      </w:r>
      <w:r>
        <w:t xml:space="preserve"> </w:t>
      </w:r>
      <w:r w:rsidRPr="001811D7" w:rsidDel="000419D3">
        <w:t>use</w:t>
      </w:r>
      <w:r>
        <w:t xml:space="preserve"> </w:t>
      </w:r>
      <w:r w:rsidRPr="001811D7" w:rsidDel="000419D3">
        <w:t>a</w:t>
      </w:r>
      <w:r>
        <w:t xml:space="preserve"> </w:t>
      </w:r>
      <w:r w:rsidRPr="001811D7" w:rsidDel="000419D3">
        <w:t>range</w:t>
      </w:r>
      <w:r>
        <w:t xml:space="preserve"> </w:t>
      </w:r>
      <w:r w:rsidRPr="001811D7" w:rsidDel="000419D3">
        <w:t>of</w:t>
      </w:r>
      <w:r>
        <w:t xml:space="preserve"> </w:t>
      </w:r>
      <w:r w:rsidRPr="001811D7" w:rsidDel="000419D3">
        <w:t>compliance</w:t>
      </w:r>
      <w:r>
        <w:t xml:space="preserve"> </w:t>
      </w:r>
      <w:r w:rsidRPr="001811D7" w:rsidDel="000419D3">
        <w:t>tools</w:t>
      </w:r>
      <w:r>
        <w:t xml:space="preserve"> </w:t>
      </w:r>
      <w:r w:rsidRPr="001811D7" w:rsidDel="000419D3">
        <w:t>based</w:t>
      </w:r>
      <w:r>
        <w:t xml:space="preserve"> </w:t>
      </w:r>
      <w:r w:rsidRPr="001811D7" w:rsidDel="000419D3">
        <w:t>on</w:t>
      </w:r>
      <w:r>
        <w:t xml:space="preserve"> </w:t>
      </w:r>
      <w:r w:rsidRPr="001811D7" w:rsidDel="000419D3">
        <w:t>a</w:t>
      </w:r>
      <w:r>
        <w:t xml:space="preserve"> </w:t>
      </w:r>
      <w:r w:rsidRPr="001811D7" w:rsidDel="000419D3">
        <w:t>strategy</w:t>
      </w:r>
      <w:r>
        <w:t xml:space="preserve"> designed to influence </w:t>
      </w:r>
      <w:r w:rsidRPr="001811D7">
        <w:t>market</w:t>
      </w:r>
      <w:r>
        <w:t xml:space="preserve"> </w:t>
      </w:r>
      <w:r w:rsidRPr="001811D7">
        <w:t>outcomes.</w:t>
      </w:r>
      <w:r>
        <w:t xml:space="preserve"> </w:t>
      </w:r>
      <w:r w:rsidRPr="001811D7">
        <w:t>We</w:t>
      </w:r>
      <w:r>
        <w:t xml:space="preserve"> </w:t>
      </w:r>
      <w:r w:rsidRPr="001811D7">
        <w:t>choose</w:t>
      </w:r>
      <w:r>
        <w:t xml:space="preserve"> </w:t>
      </w:r>
      <w:r w:rsidRPr="001811D7">
        <w:t>compliance</w:t>
      </w:r>
      <w:r>
        <w:t xml:space="preserve"> </w:t>
      </w:r>
      <w:r w:rsidRPr="001811D7">
        <w:t>actions</w:t>
      </w:r>
      <w:r>
        <w:t xml:space="preserve"> </w:t>
      </w:r>
      <w:r w:rsidRPr="001811D7">
        <w:t>to</w:t>
      </w:r>
      <w:r>
        <w:t xml:space="preserve"> </w:t>
      </w:r>
      <w:r w:rsidRPr="001811D7">
        <w:t>achieve</w:t>
      </w:r>
      <w:r>
        <w:t xml:space="preserve"> </w:t>
      </w:r>
      <w:r w:rsidRPr="001811D7">
        <w:t>results</w:t>
      </w:r>
      <w:r>
        <w:t xml:space="preserve"> </w:t>
      </w:r>
      <w:r w:rsidRPr="001811D7">
        <w:t>that</w:t>
      </w:r>
      <w:r>
        <w:t xml:space="preserve"> </w:t>
      </w:r>
      <w:r w:rsidRPr="001811D7">
        <w:t>deter</w:t>
      </w:r>
      <w:r>
        <w:t xml:space="preserve"> </w:t>
      </w:r>
      <w:r w:rsidRPr="001811D7">
        <w:t>unlawful</w:t>
      </w:r>
      <w:r>
        <w:t xml:space="preserve"> </w:t>
      </w:r>
      <w:r w:rsidRPr="001811D7">
        <w:t>conduct</w:t>
      </w:r>
      <w:r>
        <w:t xml:space="preserve"> </w:t>
      </w:r>
      <w:r w:rsidRPr="001811D7">
        <w:t>and</w:t>
      </w:r>
      <w:r>
        <w:t xml:space="preserve"> </w:t>
      </w:r>
      <w:r w:rsidRPr="001811D7">
        <w:t>promote</w:t>
      </w:r>
      <w:r>
        <w:t xml:space="preserve"> </w:t>
      </w:r>
      <w:r w:rsidRPr="001811D7">
        <w:t>future</w:t>
      </w:r>
      <w:r>
        <w:t xml:space="preserve"> </w:t>
      </w:r>
      <w:r w:rsidRPr="001811D7">
        <w:t>compliance.</w:t>
      </w:r>
    </w:p>
    <w:p w14:paraId="195ABBA7" w14:textId="77777777" w:rsidR="00856406" w:rsidRPr="001811D7" w:rsidRDefault="00856406" w:rsidP="00F828EC">
      <w:pPr>
        <w:pStyle w:val="BodyText"/>
      </w:pPr>
      <w:r w:rsidRPr="001811D7">
        <w:t>We</w:t>
      </w:r>
      <w:r>
        <w:t xml:space="preserve"> </w:t>
      </w:r>
      <w:r w:rsidRPr="001811D7">
        <w:t>take</w:t>
      </w:r>
      <w:r>
        <w:t xml:space="preserve"> </w:t>
      </w:r>
      <w:r w:rsidRPr="001811D7">
        <w:t>enforcement</w:t>
      </w:r>
      <w:r>
        <w:t xml:space="preserve"> </w:t>
      </w:r>
      <w:r w:rsidRPr="001811D7">
        <w:t>action</w:t>
      </w:r>
      <w:r>
        <w:t xml:space="preserve"> </w:t>
      </w:r>
      <w:r w:rsidRPr="001811D7">
        <w:t>to</w:t>
      </w:r>
      <w:r>
        <w:t xml:space="preserve"> </w:t>
      </w:r>
      <w:r w:rsidRPr="001811D7">
        <w:t>serve</w:t>
      </w:r>
      <w:r>
        <w:t xml:space="preserve"> </w:t>
      </w:r>
      <w:r w:rsidRPr="001811D7">
        <w:t>the</w:t>
      </w:r>
      <w:r>
        <w:t xml:space="preserve"> </w:t>
      </w:r>
      <w:r w:rsidRPr="001811D7">
        <w:t>public</w:t>
      </w:r>
      <w:r>
        <w:t xml:space="preserve"> </w:t>
      </w:r>
      <w:r w:rsidRPr="001811D7">
        <w:t>interest.</w:t>
      </w:r>
      <w:r>
        <w:t xml:space="preserve"> </w:t>
      </w:r>
      <w:r w:rsidRPr="001811D7">
        <w:t>We</w:t>
      </w:r>
      <w:r>
        <w:t xml:space="preserve"> </w:t>
      </w:r>
      <w:r w:rsidRPr="001811D7">
        <w:t>exercise</w:t>
      </w:r>
      <w:r>
        <w:t xml:space="preserve"> </w:t>
      </w:r>
      <w:r w:rsidRPr="001811D7">
        <w:t>discretion,</w:t>
      </w:r>
      <w:r>
        <w:t xml:space="preserve"> </w:t>
      </w:r>
      <w:r w:rsidRPr="001811D7">
        <w:t>focusing</w:t>
      </w:r>
      <w:r>
        <w:t xml:space="preserve"> </w:t>
      </w:r>
      <w:r w:rsidRPr="001811D7">
        <w:t>on</w:t>
      </w:r>
      <w:r>
        <w:t xml:space="preserve"> </w:t>
      </w:r>
      <w:r w:rsidRPr="001811D7">
        <w:t>actions</w:t>
      </w:r>
      <w:r>
        <w:t xml:space="preserve"> </w:t>
      </w:r>
      <w:r w:rsidRPr="001811D7">
        <w:t>that</w:t>
      </w:r>
      <w:r>
        <w:t xml:space="preserve"> </w:t>
      </w:r>
      <w:r w:rsidRPr="001811D7">
        <w:t>benefit</w:t>
      </w:r>
      <w:r>
        <w:t xml:space="preserve"> </w:t>
      </w:r>
      <w:r w:rsidRPr="001811D7">
        <w:t>all</w:t>
      </w:r>
      <w:r>
        <w:t xml:space="preserve"> </w:t>
      </w:r>
      <w:r w:rsidRPr="001811D7">
        <w:t>consumers.</w:t>
      </w:r>
      <w:r>
        <w:t xml:space="preserve"> </w:t>
      </w:r>
      <w:r w:rsidRPr="001811D7">
        <w:t>We</w:t>
      </w:r>
      <w:r>
        <w:t xml:space="preserve"> </w:t>
      </w:r>
      <w:r w:rsidRPr="001811D7">
        <w:t>do</w:t>
      </w:r>
      <w:r>
        <w:t xml:space="preserve"> </w:t>
      </w:r>
      <w:r w:rsidRPr="001811D7">
        <w:t>not</w:t>
      </w:r>
      <w:r>
        <w:t xml:space="preserve"> </w:t>
      </w:r>
      <w:r w:rsidRPr="001811D7">
        <w:t>generally</w:t>
      </w:r>
      <w:r>
        <w:t xml:space="preserve"> </w:t>
      </w:r>
      <w:r w:rsidRPr="001811D7">
        <w:t>act</w:t>
      </w:r>
      <w:r>
        <w:t xml:space="preserve"> </w:t>
      </w:r>
      <w:r w:rsidRPr="001811D7">
        <w:t>on</w:t>
      </w:r>
      <w:r>
        <w:t xml:space="preserve"> </w:t>
      </w:r>
      <w:r w:rsidRPr="001811D7">
        <w:t>behalf</w:t>
      </w:r>
      <w:r>
        <w:t xml:space="preserve"> </w:t>
      </w:r>
      <w:r w:rsidRPr="001811D7">
        <w:t>of</w:t>
      </w:r>
      <w:r>
        <w:t xml:space="preserve"> </w:t>
      </w:r>
      <w:r w:rsidRPr="001811D7">
        <w:t>individuals</w:t>
      </w:r>
      <w:r>
        <w:t xml:space="preserve"> </w:t>
      </w:r>
      <w:r w:rsidRPr="001811D7">
        <w:t>to</w:t>
      </w:r>
      <w:r>
        <w:t xml:space="preserve"> </w:t>
      </w:r>
      <w:r w:rsidRPr="001811D7">
        <w:t>obtain</w:t>
      </w:r>
      <w:r>
        <w:t xml:space="preserve"> </w:t>
      </w:r>
      <w:r w:rsidRPr="001811D7">
        <w:t>redress,</w:t>
      </w:r>
      <w:r>
        <w:t xml:space="preserve"> </w:t>
      </w:r>
      <w:r w:rsidRPr="001811D7">
        <w:t>but</w:t>
      </w:r>
      <w:r>
        <w:t xml:space="preserve"> </w:t>
      </w:r>
      <w:r w:rsidRPr="001811D7">
        <w:t>we</w:t>
      </w:r>
      <w:r>
        <w:t xml:space="preserve"> </w:t>
      </w:r>
      <w:r w:rsidRPr="001811D7">
        <w:t>do</w:t>
      </w:r>
      <w:r>
        <w:t xml:space="preserve"> </w:t>
      </w:r>
      <w:r w:rsidRPr="001811D7">
        <w:t>prioritise</w:t>
      </w:r>
      <w:r>
        <w:t xml:space="preserve"> </w:t>
      </w:r>
      <w:r w:rsidRPr="001811D7">
        <w:t>compliance</w:t>
      </w:r>
      <w:r>
        <w:t xml:space="preserve"> </w:t>
      </w:r>
      <w:r w:rsidRPr="001811D7">
        <w:t>actions</w:t>
      </w:r>
      <w:r>
        <w:t xml:space="preserve"> </w:t>
      </w:r>
      <w:r w:rsidRPr="001811D7">
        <w:t>that</w:t>
      </w:r>
      <w:r>
        <w:t xml:space="preserve"> </w:t>
      </w:r>
      <w:r w:rsidRPr="001811D7">
        <w:t>mitigate</w:t>
      </w:r>
      <w:r>
        <w:t xml:space="preserve"> </w:t>
      </w:r>
      <w:r w:rsidRPr="001811D7">
        <w:t>risks</w:t>
      </w:r>
      <w:r>
        <w:t xml:space="preserve"> </w:t>
      </w:r>
      <w:r w:rsidRPr="001811D7">
        <w:t>of</w:t>
      </w:r>
      <w:r>
        <w:t xml:space="preserve"> </w:t>
      </w:r>
      <w:r w:rsidRPr="001811D7">
        <w:t>harm,</w:t>
      </w:r>
      <w:r>
        <w:t xml:space="preserve"> </w:t>
      </w:r>
      <w:r w:rsidRPr="001811D7">
        <w:t>rectify</w:t>
      </w:r>
      <w:r>
        <w:t xml:space="preserve"> </w:t>
      </w:r>
      <w:r w:rsidRPr="001811D7">
        <w:t>breaches</w:t>
      </w:r>
      <w:r>
        <w:t xml:space="preserve"> </w:t>
      </w:r>
      <w:r w:rsidRPr="001811D7">
        <w:t>and</w:t>
      </w:r>
      <w:r>
        <w:t xml:space="preserve"> </w:t>
      </w:r>
      <w:r w:rsidRPr="001811D7">
        <w:t>secure</w:t>
      </w:r>
      <w:r>
        <w:t xml:space="preserve"> </w:t>
      </w:r>
      <w:r w:rsidRPr="001811D7">
        <w:t>redress</w:t>
      </w:r>
      <w:r>
        <w:t xml:space="preserve"> </w:t>
      </w:r>
      <w:r w:rsidRPr="001811D7">
        <w:t>for</w:t>
      </w:r>
      <w:r>
        <w:t xml:space="preserve"> </w:t>
      </w:r>
      <w:r w:rsidRPr="001811D7">
        <w:t>consumers</w:t>
      </w:r>
      <w:r>
        <w:t xml:space="preserve"> </w:t>
      </w:r>
      <w:r w:rsidRPr="001811D7">
        <w:t>where</w:t>
      </w:r>
      <w:r>
        <w:t xml:space="preserve"> </w:t>
      </w:r>
      <w:r w:rsidRPr="001811D7">
        <w:t>possible.</w:t>
      </w:r>
    </w:p>
    <w:p w14:paraId="48DDC371" w14:textId="77777777" w:rsidR="00856406" w:rsidRPr="001811D7" w:rsidRDefault="00856406" w:rsidP="00F828EC">
      <w:pPr>
        <w:pStyle w:val="BodyText"/>
      </w:pPr>
      <w:r w:rsidRPr="001811D7">
        <w:t>The</w:t>
      </w:r>
      <w:r>
        <w:t xml:space="preserve"> </w:t>
      </w:r>
      <w:r w:rsidRPr="001811D7">
        <w:t>nature</w:t>
      </w:r>
      <w:r>
        <w:t xml:space="preserve"> </w:t>
      </w:r>
      <w:r w:rsidRPr="001811D7">
        <w:t>of</w:t>
      </w:r>
      <w:r>
        <w:t xml:space="preserve"> </w:t>
      </w:r>
      <w:r w:rsidRPr="001811D7">
        <w:t>the</w:t>
      </w:r>
      <w:r>
        <w:t xml:space="preserve"> </w:t>
      </w:r>
      <w:r w:rsidRPr="001811D7">
        <w:t>problem</w:t>
      </w:r>
      <w:r>
        <w:t xml:space="preserve"> </w:t>
      </w:r>
      <w:r w:rsidRPr="001811D7">
        <w:t>and</w:t>
      </w:r>
      <w:r>
        <w:t xml:space="preserve"> </w:t>
      </w:r>
      <w:r w:rsidRPr="001811D7">
        <w:t>the</w:t>
      </w:r>
      <w:r>
        <w:t xml:space="preserve"> </w:t>
      </w:r>
      <w:r w:rsidRPr="001811D7">
        <w:t>desired</w:t>
      </w:r>
      <w:r>
        <w:t xml:space="preserve"> </w:t>
      </w:r>
      <w:r w:rsidRPr="001811D7">
        <w:t>outcome</w:t>
      </w:r>
      <w:r>
        <w:t xml:space="preserve"> will </w:t>
      </w:r>
      <w:r w:rsidRPr="001811D7">
        <w:t>determine</w:t>
      </w:r>
      <w:r>
        <w:t xml:space="preserve"> </w:t>
      </w:r>
      <w:r w:rsidRPr="001811D7">
        <w:t>which</w:t>
      </w:r>
      <w:r>
        <w:t xml:space="preserve"> </w:t>
      </w:r>
      <w:r w:rsidRPr="001811D7">
        <w:t>compliance</w:t>
      </w:r>
      <w:r>
        <w:t xml:space="preserve"> </w:t>
      </w:r>
      <w:r w:rsidRPr="001811D7">
        <w:t>and</w:t>
      </w:r>
      <w:r>
        <w:t xml:space="preserve"> </w:t>
      </w:r>
      <w:r w:rsidRPr="001811D7">
        <w:t>enforcement</w:t>
      </w:r>
      <w:r>
        <w:t xml:space="preserve"> </w:t>
      </w:r>
      <w:r w:rsidRPr="001811D7">
        <w:t>approach</w:t>
      </w:r>
      <w:r>
        <w:t xml:space="preserve"> </w:t>
      </w:r>
      <w:r w:rsidRPr="001811D7">
        <w:t>we</w:t>
      </w:r>
      <w:r>
        <w:t xml:space="preserve"> </w:t>
      </w:r>
      <w:r w:rsidRPr="001811D7">
        <w:t>use.</w:t>
      </w:r>
      <w:r>
        <w:t xml:space="preserve"> </w:t>
      </w:r>
      <w:r w:rsidRPr="001811D7">
        <w:t>Importantly,</w:t>
      </w:r>
      <w:r>
        <w:t xml:space="preserve"> </w:t>
      </w:r>
      <w:r w:rsidRPr="001811D7">
        <w:t>we</w:t>
      </w:r>
      <w:r>
        <w:t xml:space="preserve"> </w:t>
      </w:r>
      <w:r w:rsidRPr="001811D7">
        <w:t>have</w:t>
      </w:r>
      <w:r>
        <w:t xml:space="preserve"> </w:t>
      </w:r>
      <w:r w:rsidRPr="001811D7">
        <w:t>a</w:t>
      </w:r>
      <w:r>
        <w:t xml:space="preserve"> </w:t>
      </w:r>
      <w:r w:rsidRPr="001811D7">
        <w:t>full</w:t>
      </w:r>
      <w:r>
        <w:t xml:space="preserve"> </w:t>
      </w:r>
      <w:r w:rsidRPr="001811D7">
        <w:t>range</w:t>
      </w:r>
      <w:r>
        <w:t xml:space="preserve"> </w:t>
      </w:r>
      <w:r w:rsidRPr="001811D7">
        <w:t>of</w:t>
      </w:r>
      <w:r>
        <w:t xml:space="preserve"> </w:t>
      </w:r>
      <w:r w:rsidRPr="001811D7">
        <w:t>tools</w:t>
      </w:r>
      <w:r>
        <w:t xml:space="preserve"> </w:t>
      </w:r>
      <w:r w:rsidRPr="001811D7">
        <w:t>to</w:t>
      </w:r>
      <w:r>
        <w:t xml:space="preserve"> </w:t>
      </w:r>
      <w:r w:rsidRPr="001811D7">
        <w:t>protect</w:t>
      </w:r>
      <w:r>
        <w:t xml:space="preserve"> </w:t>
      </w:r>
      <w:r w:rsidRPr="001811D7">
        <w:t>the</w:t>
      </w:r>
      <w:r>
        <w:t xml:space="preserve"> </w:t>
      </w:r>
      <w:r w:rsidRPr="001811D7">
        <w:t>Victorian</w:t>
      </w:r>
      <w:r>
        <w:t xml:space="preserve"> </w:t>
      </w:r>
      <w:r w:rsidRPr="001811D7">
        <w:t>community</w:t>
      </w:r>
      <w:r>
        <w:t xml:space="preserve"> </w:t>
      </w:r>
      <w:r w:rsidRPr="001811D7">
        <w:t>by</w:t>
      </w:r>
      <w:r>
        <w:t xml:space="preserve"> </w:t>
      </w:r>
      <w:r w:rsidRPr="001811D7">
        <w:t>holding</w:t>
      </w:r>
      <w:r>
        <w:t xml:space="preserve"> </w:t>
      </w:r>
      <w:r w:rsidRPr="001811D7">
        <w:t>businesses</w:t>
      </w:r>
      <w:r>
        <w:t xml:space="preserve"> </w:t>
      </w:r>
      <w:r w:rsidRPr="001811D7">
        <w:t>accountable</w:t>
      </w:r>
      <w:r>
        <w:t xml:space="preserve"> </w:t>
      </w:r>
      <w:r w:rsidRPr="001811D7">
        <w:t>for</w:t>
      </w:r>
      <w:r>
        <w:t xml:space="preserve"> </w:t>
      </w:r>
      <w:r w:rsidRPr="001811D7">
        <w:t>unlawful</w:t>
      </w:r>
      <w:r>
        <w:t xml:space="preserve"> </w:t>
      </w:r>
      <w:r w:rsidRPr="001811D7">
        <w:t>conduct.</w:t>
      </w:r>
      <w:r>
        <w:t xml:space="preserve"> </w:t>
      </w:r>
      <w:r w:rsidRPr="001811D7">
        <w:t>These</w:t>
      </w:r>
      <w:r>
        <w:t xml:space="preserve"> </w:t>
      </w:r>
      <w:r w:rsidRPr="001811D7">
        <w:t>include:</w:t>
      </w:r>
    </w:p>
    <w:p w14:paraId="7E9FB4B7" w14:textId="77777777" w:rsidR="00856406" w:rsidRPr="001811D7" w:rsidRDefault="00856406" w:rsidP="00F828EC">
      <w:pPr>
        <w:pStyle w:val="ListBullet"/>
      </w:pPr>
      <w:r w:rsidRPr="001811D7">
        <w:t>civil</w:t>
      </w:r>
      <w:r>
        <w:t xml:space="preserve"> </w:t>
      </w:r>
      <w:r w:rsidRPr="001811D7">
        <w:t>and</w:t>
      </w:r>
      <w:r>
        <w:t xml:space="preserve"> </w:t>
      </w:r>
      <w:r w:rsidRPr="001811D7">
        <w:t>criminal</w:t>
      </w:r>
      <w:r>
        <w:t xml:space="preserve"> </w:t>
      </w:r>
      <w:r w:rsidRPr="001811D7">
        <w:t>court</w:t>
      </w:r>
      <w:r>
        <w:t xml:space="preserve"> </w:t>
      </w:r>
      <w:r w:rsidRPr="001811D7">
        <w:t>action</w:t>
      </w:r>
    </w:p>
    <w:p w14:paraId="4FE4DB8C" w14:textId="77777777" w:rsidR="00856406" w:rsidRPr="001811D7" w:rsidRDefault="00856406" w:rsidP="00F828EC">
      <w:pPr>
        <w:pStyle w:val="ListBullet"/>
      </w:pPr>
      <w:r w:rsidRPr="001811D7">
        <w:t>infringements</w:t>
      </w:r>
      <w:r>
        <w:t xml:space="preserve"> </w:t>
      </w:r>
      <w:r w:rsidRPr="001811D7">
        <w:t>and</w:t>
      </w:r>
      <w:r>
        <w:t xml:space="preserve"> </w:t>
      </w:r>
      <w:r w:rsidRPr="001811D7">
        <w:t>official</w:t>
      </w:r>
      <w:r>
        <w:t xml:space="preserve"> </w:t>
      </w:r>
      <w:r w:rsidRPr="001811D7">
        <w:t>warnings</w:t>
      </w:r>
    </w:p>
    <w:p w14:paraId="19C7687F" w14:textId="77777777" w:rsidR="00856406" w:rsidRPr="001811D7" w:rsidRDefault="00856406" w:rsidP="00F828EC">
      <w:pPr>
        <w:pStyle w:val="ListBullet"/>
      </w:pPr>
      <w:r>
        <w:t xml:space="preserve">enforceable </w:t>
      </w:r>
      <w:r w:rsidRPr="001811D7">
        <w:t>undertakings</w:t>
      </w:r>
    </w:p>
    <w:p w14:paraId="1200936D" w14:textId="77777777" w:rsidR="00856406" w:rsidRPr="001811D7" w:rsidRDefault="00856406" w:rsidP="00F828EC">
      <w:pPr>
        <w:pStyle w:val="ListBullet"/>
      </w:pPr>
      <w:r w:rsidRPr="001811D7">
        <w:t>public</w:t>
      </w:r>
      <w:r>
        <w:t xml:space="preserve"> </w:t>
      </w:r>
      <w:r w:rsidRPr="001811D7">
        <w:t>warnings.</w:t>
      </w:r>
    </w:p>
    <w:p w14:paraId="3B24746B" w14:textId="77777777" w:rsidR="00856406" w:rsidRPr="00B25EAA" w:rsidRDefault="00856406" w:rsidP="005F6712">
      <w:pPr>
        <w:pStyle w:val="Heading2notforTOC"/>
      </w:pPr>
      <w:bookmarkStart w:id="22" w:name="_Toc144825405"/>
      <w:bookmarkStart w:id="23" w:name="_Toc204243145"/>
      <w:r w:rsidRPr="00B25EAA">
        <w:t>2023–26</w:t>
      </w:r>
      <w:r>
        <w:t xml:space="preserve"> </w:t>
      </w:r>
      <w:r w:rsidRPr="00B25EAA">
        <w:t>Strategic</w:t>
      </w:r>
      <w:r>
        <w:t xml:space="preserve"> </w:t>
      </w:r>
      <w:r w:rsidRPr="00B25EAA">
        <w:t>Plan</w:t>
      </w:r>
      <w:bookmarkEnd w:id="22"/>
      <w:bookmarkEnd w:id="23"/>
    </w:p>
    <w:p w14:paraId="00931314" w14:textId="77777777" w:rsidR="00856406" w:rsidRDefault="00856406" w:rsidP="00F828EC">
      <w:pPr>
        <w:pStyle w:val="BodyText"/>
      </w:pPr>
      <w:r w:rsidRPr="001811D7">
        <w:t>Our</w:t>
      </w:r>
      <w:r>
        <w:t xml:space="preserve"> </w:t>
      </w:r>
      <w:r w:rsidRPr="001811D7">
        <w:t>Strategic</w:t>
      </w:r>
      <w:r>
        <w:t xml:space="preserve"> </w:t>
      </w:r>
      <w:r w:rsidRPr="001811D7">
        <w:t>Plan’s</w:t>
      </w:r>
      <w:r>
        <w:t xml:space="preserve"> </w:t>
      </w:r>
      <w:r w:rsidRPr="001811D7">
        <w:t>outcomes,</w:t>
      </w:r>
      <w:r>
        <w:t xml:space="preserve"> </w:t>
      </w:r>
      <w:r w:rsidRPr="001811D7">
        <w:t>strategic</w:t>
      </w:r>
      <w:r>
        <w:t xml:space="preserve"> </w:t>
      </w:r>
      <w:r w:rsidRPr="001811D7">
        <w:t>directions</w:t>
      </w:r>
      <w:r>
        <w:t xml:space="preserve"> </w:t>
      </w:r>
      <w:r w:rsidRPr="001811D7">
        <w:t>and</w:t>
      </w:r>
      <w:r>
        <w:t xml:space="preserve"> </w:t>
      </w:r>
      <w:r w:rsidRPr="001811D7">
        <w:t>key</w:t>
      </w:r>
      <w:r>
        <w:t xml:space="preserve"> </w:t>
      </w:r>
      <w:r w:rsidRPr="001811D7">
        <w:t>focus</w:t>
      </w:r>
      <w:r>
        <w:t xml:space="preserve"> </w:t>
      </w:r>
      <w:r w:rsidRPr="001811D7">
        <w:t>areas</w:t>
      </w:r>
      <w:r>
        <w:t xml:space="preserve"> </w:t>
      </w:r>
      <w:r w:rsidRPr="001811D7">
        <w:t>drive</w:t>
      </w:r>
      <w:r>
        <w:t xml:space="preserve"> </w:t>
      </w:r>
      <w:r w:rsidRPr="001811D7">
        <w:t>our</w:t>
      </w:r>
      <w:r>
        <w:t xml:space="preserve"> </w:t>
      </w:r>
      <w:r w:rsidRPr="001811D7">
        <w:t>work.</w:t>
      </w:r>
      <w:r>
        <w:t xml:space="preserve"> </w:t>
      </w:r>
      <w:r w:rsidRPr="001811D7">
        <w:t>The</w:t>
      </w:r>
      <w:r>
        <w:t xml:space="preserve"> contributions of every CAV staff member, combined with our strong relationships and collaboration with government partners, industry, and community stakeholders, help us achieve our vision of a fair, safe </w:t>
      </w:r>
      <w:r w:rsidRPr="001811D7">
        <w:t>and</w:t>
      </w:r>
      <w:r>
        <w:t xml:space="preserve"> </w:t>
      </w:r>
      <w:r w:rsidRPr="001811D7">
        <w:t>competitive</w:t>
      </w:r>
      <w:r>
        <w:t xml:space="preserve"> </w:t>
      </w:r>
      <w:r w:rsidRPr="001811D7">
        <w:t>marketplace</w:t>
      </w:r>
      <w:r>
        <w:t xml:space="preserve"> </w:t>
      </w:r>
      <w:r w:rsidRPr="001811D7">
        <w:t>in</w:t>
      </w:r>
      <w:r>
        <w:t xml:space="preserve"> </w:t>
      </w:r>
      <w:r w:rsidRPr="001811D7">
        <w:t>Victoria.</w:t>
      </w:r>
    </w:p>
    <w:p w14:paraId="254F9074" w14:textId="77777777" w:rsidR="00856406" w:rsidRDefault="00856406" w:rsidP="00F828EC">
      <w:pPr>
        <w:pStyle w:val="BodyText"/>
      </w:pPr>
      <w:r w:rsidRPr="001811D7">
        <w:t>Our</w:t>
      </w:r>
      <w:r>
        <w:t xml:space="preserve"> </w:t>
      </w:r>
      <w:r w:rsidRPr="001811D7">
        <w:t>Strategic</w:t>
      </w:r>
      <w:r>
        <w:t xml:space="preserve"> </w:t>
      </w:r>
      <w:r w:rsidRPr="001811D7">
        <w:t>Plan</w:t>
      </w:r>
      <w:r>
        <w:t xml:space="preserve"> </w:t>
      </w:r>
      <w:r w:rsidRPr="001811D7">
        <w:t>is</w:t>
      </w:r>
      <w:r>
        <w:t xml:space="preserve"> </w:t>
      </w:r>
      <w:r w:rsidRPr="001811D7">
        <w:t>available</w:t>
      </w:r>
      <w:r>
        <w:t xml:space="preserve"> </w:t>
      </w:r>
      <w:r w:rsidRPr="001811D7">
        <w:t>on</w:t>
      </w:r>
      <w:r>
        <w:t xml:space="preserve"> </w:t>
      </w:r>
      <w:r w:rsidRPr="001811D7">
        <w:t>our</w:t>
      </w:r>
      <w:r>
        <w:t xml:space="preserve"> </w:t>
      </w:r>
      <w:r w:rsidRPr="001811D7">
        <w:t>website,</w:t>
      </w:r>
      <w:r>
        <w:t xml:space="preserve"> </w:t>
      </w:r>
      <w:r w:rsidRPr="001811D7">
        <w:t>and</w:t>
      </w:r>
      <w:r>
        <w:t xml:space="preserve"> </w:t>
      </w:r>
      <w:r w:rsidRPr="001811D7">
        <w:t>we</w:t>
      </w:r>
      <w:r>
        <w:t xml:space="preserve"> </w:t>
      </w:r>
      <w:r w:rsidRPr="001811D7">
        <w:t>will</w:t>
      </w:r>
      <w:r>
        <w:t xml:space="preserve"> </w:t>
      </w:r>
      <w:r w:rsidRPr="001811D7">
        <w:t>continue</w:t>
      </w:r>
      <w:r>
        <w:t xml:space="preserve"> </w:t>
      </w:r>
      <w:r w:rsidRPr="001811D7">
        <w:t>to</w:t>
      </w:r>
      <w:r>
        <w:t xml:space="preserve"> </w:t>
      </w:r>
      <w:r w:rsidRPr="001811D7">
        <w:t>report</w:t>
      </w:r>
      <w:r>
        <w:t xml:space="preserve"> </w:t>
      </w:r>
      <w:r w:rsidRPr="001811D7">
        <w:t>against</w:t>
      </w:r>
      <w:r>
        <w:t xml:space="preserve"> </w:t>
      </w:r>
      <w:r w:rsidRPr="001811D7">
        <w:t>its</w:t>
      </w:r>
      <w:r>
        <w:t xml:space="preserve"> </w:t>
      </w:r>
      <w:r w:rsidRPr="001811D7">
        <w:t>outcomes</w:t>
      </w:r>
      <w:r>
        <w:t xml:space="preserve"> </w:t>
      </w:r>
      <w:r w:rsidRPr="001811D7">
        <w:t>and</w:t>
      </w:r>
      <w:r>
        <w:t xml:space="preserve"> </w:t>
      </w:r>
      <w:r w:rsidRPr="001811D7">
        <w:t>strategic</w:t>
      </w:r>
      <w:r>
        <w:t xml:space="preserve"> </w:t>
      </w:r>
      <w:r w:rsidRPr="001811D7">
        <w:t>directions</w:t>
      </w:r>
      <w:r>
        <w:t xml:space="preserve"> </w:t>
      </w:r>
      <w:r w:rsidRPr="001811D7">
        <w:t>in</w:t>
      </w:r>
      <w:r>
        <w:t xml:space="preserve"> </w:t>
      </w:r>
      <w:r w:rsidRPr="001811D7">
        <w:t>annual</w:t>
      </w:r>
      <w:r>
        <w:t xml:space="preserve"> </w:t>
      </w:r>
      <w:r w:rsidRPr="001811D7">
        <w:t>reports.</w:t>
      </w:r>
    </w:p>
    <w:p w14:paraId="70272AA6" w14:textId="77777777" w:rsidR="009D1A57" w:rsidRPr="00934136" w:rsidRDefault="009D1A57" w:rsidP="009D1A57">
      <w:pPr>
        <w:pStyle w:val="BodyText"/>
      </w:pPr>
      <w:bookmarkStart w:id="24" w:name="_Toc144825406"/>
      <w:bookmarkStart w:id="25" w:name="_Toc204243146"/>
      <w:r w:rsidRPr="00934136">
        <w:rPr>
          <w:noProof/>
        </w:rPr>
        <w:drawing>
          <wp:inline distT="0" distB="0" distL="0" distR="0" wp14:anchorId="299C1386" wp14:editId="1CAAA389">
            <wp:extent cx="4990383" cy="5805286"/>
            <wp:effectExtent l="0" t="0" r="1270" b="5080"/>
            <wp:docPr id="473398764" name="Picture 2" descr="Infographic of the Consumer Affairs Victoria Strategic Plan 2023-26, comprising the vision statement, outcomes, outcome indicators, strategic directions, and key focus areas. The vision statement is ‘Our vision is for a fair, safe and competitive marketplace in Victoria’. The three outcomes are: 1. Victorians exercise their consumer rights: Consumers, renters, residents and community groups can find, understand and use our information; we focus support and advocacy on the people who need it most. 2. Business and rental providers do the right thing: Businesses and rental providers understand and comply with their obligations with easy-to-use information and services. 3. CAV is a trusted regulator: We demonstrate a clear purpose, responsiveness and accountability, and take decisive action. The four outcome indicators are: 1. Increased confidence of consumers and renters in exercising their rights. 2. Decreased response time to address serious non-compliance. 3. Increased stakeholder confidence in CAV as a regulator. 4. Increased staff satisfaction and engagement. The three strategic directions are: 1. Supporting Victorians, especially those experiencing vulnerability, through inclusive and accessible services. 2. Harnessing digital technologies to improve our services and make the most of our data and resources for the community. 3. Better engagement to understand and serve our communities. There are nine key focus areas. We will: 1. be clear about what services we provide and prioritise Victorians experiencing vulnerability. 2. prioritise timely compliance and enforcement responses to practices presenting the most serious risk of harm. 3. ensure accessible, easier and faster systems and services for consumers, businesses and organisations. 4. deliver genuinely helpful and responsive services to meet differing needs in the community, including that our services are culturally safe for Aboriginal people and community. 5. improve how we listen and engage to better understand where consumer rights are under threat, and how we can do better. 6. set and report on measurable outcomes for our work to ensure we are accountable for the impact of our activities. 7. build our capacity to provide timely consumer and renting support to communities impacted by emergencies. 8. communicate regularly about our work and what we are seeing in the marketplace and community. 9. foster a work culture that is safe, respectful, diverse and inclusive and that supports our people to do their jobs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98764" name="Picture 2" descr="Infographic of the Consumer Affairs Victoria Strategic Plan 2023-26, comprising the vision statement, outcomes, outcome indicators, strategic directions, and key focus areas. The vision statement is ‘Our vision is for a fair, safe and competitive marketplace in Victoria’. The three outcomes are: 1. Victorians exercise their consumer rights: Consumers, renters, residents and community groups can find, understand and use our information; we focus support and advocacy on the people who need it most. 2. Business and rental providers do the right thing: Businesses and rental providers understand and comply with their obligations with easy-to-use information and services. 3. CAV is a trusted regulator: We demonstrate a clear purpose, responsiveness and accountability, and take decisive action. The four outcome indicators are: 1. Increased confidence of consumers and renters in exercising their rights. 2. Decreased response time to address serious non-compliance. 3. Increased stakeholder confidence in CAV as a regulator. 4. Increased staff satisfaction and engagement. The three strategic directions are: 1. Supporting Victorians, especially those experiencing vulnerability, through inclusive and accessible services. 2. Harnessing digital technologies to improve our services and make the most of our data and resources for the community. 3. Better engagement to understand and serve our communities. There are nine key focus areas. We will: 1. be clear about what services we provide and prioritise Victorians experiencing vulnerability. 2. prioritise timely compliance and enforcement responses to practices presenting the most serious risk of harm. 3. ensure accessible, easier and faster systems and services for consumers, businesses and organisations. 4. deliver genuinely helpful and responsive services to meet differing needs in the community, including that our services are culturally safe for Aboriginal people and community. 5. improve how we listen and engage to better understand where consumer rights are under threat, and how we can do better. 6. set and report on measurable outcomes for our work to ensure we are accountable for the impact of our activities. 7. build our capacity to provide timely consumer and renting support to communities impacted by emergencies. 8. communicate regularly about our work and what we are seeing in the marketplace and community. 9. foster a work culture that is safe, respectful, diverse and inclusive and that supports our people to do their jobs wel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990383" cy="5805286"/>
                    </a:xfrm>
                    <a:prstGeom prst="rect">
                      <a:avLst/>
                    </a:prstGeom>
                    <a:noFill/>
                    <a:ln>
                      <a:noFill/>
                    </a:ln>
                  </pic:spPr>
                </pic:pic>
              </a:graphicData>
            </a:graphic>
          </wp:inline>
        </w:drawing>
      </w:r>
    </w:p>
    <w:p w14:paraId="667C4A1C" w14:textId="5D493F52" w:rsidR="00856406" w:rsidRPr="00B25EAA" w:rsidRDefault="00856406" w:rsidP="005F6712">
      <w:pPr>
        <w:pStyle w:val="Heading2notforTOC"/>
      </w:pPr>
      <w:r w:rsidRPr="00B25EAA">
        <w:t>Regulatory</w:t>
      </w:r>
      <w:r>
        <w:t xml:space="preserve"> </w:t>
      </w:r>
      <w:r w:rsidRPr="00B25EAA">
        <w:t>priorities</w:t>
      </w:r>
      <w:r>
        <w:t xml:space="preserve"> </w:t>
      </w:r>
      <w:bookmarkEnd w:id="24"/>
      <w:bookmarkEnd w:id="25"/>
      <w:r w:rsidR="00EE79C3">
        <w:t>2024–25</w:t>
      </w:r>
    </w:p>
    <w:p w14:paraId="49340F6E" w14:textId="77777777" w:rsidR="00856406" w:rsidRPr="001811D7" w:rsidRDefault="00856406" w:rsidP="00F828EC">
      <w:pPr>
        <w:pStyle w:val="BodyText"/>
      </w:pPr>
      <w:r w:rsidRPr="001811D7">
        <w:rPr>
          <w:shd w:val="clear" w:color="auto" w:fill="FFFFFF"/>
        </w:rPr>
        <w:t>Each</w:t>
      </w:r>
      <w:r>
        <w:rPr>
          <w:shd w:val="clear" w:color="auto" w:fill="FFFFFF"/>
        </w:rPr>
        <w:t xml:space="preserve"> </w:t>
      </w:r>
      <w:r w:rsidRPr="001811D7">
        <w:rPr>
          <w:shd w:val="clear" w:color="auto" w:fill="FFFFFF"/>
        </w:rPr>
        <w:t>year,</w:t>
      </w:r>
      <w:r>
        <w:rPr>
          <w:shd w:val="clear" w:color="auto" w:fill="FFFFFF"/>
        </w:rPr>
        <w:t xml:space="preserve"> </w:t>
      </w:r>
      <w:r w:rsidRPr="001811D7">
        <w:rPr>
          <w:shd w:val="clear" w:color="auto" w:fill="FFFFFF"/>
        </w:rPr>
        <w:t>we</w:t>
      </w:r>
      <w:r>
        <w:rPr>
          <w:shd w:val="clear" w:color="auto" w:fill="FFFFFF"/>
        </w:rPr>
        <w:t xml:space="preserve"> </w:t>
      </w:r>
      <w:r w:rsidRPr="001811D7">
        <w:rPr>
          <w:shd w:val="clear" w:color="auto" w:fill="FFFFFF"/>
        </w:rPr>
        <w:t>identify</w:t>
      </w:r>
      <w:r>
        <w:rPr>
          <w:shd w:val="clear" w:color="auto" w:fill="FFFFFF"/>
        </w:rPr>
        <w:t xml:space="preserve"> </w:t>
      </w:r>
      <w:r w:rsidRPr="001811D7">
        <w:rPr>
          <w:shd w:val="clear" w:color="auto" w:fill="FFFFFF"/>
        </w:rPr>
        <w:t>regulatory</w:t>
      </w:r>
      <w:r>
        <w:rPr>
          <w:shd w:val="clear" w:color="auto" w:fill="FFFFFF"/>
        </w:rPr>
        <w:t xml:space="preserve"> </w:t>
      </w:r>
      <w:r w:rsidRPr="001811D7">
        <w:rPr>
          <w:shd w:val="clear" w:color="auto" w:fill="FFFFFF"/>
        </w:rPr>
        <w:t>priorities</w:t>
      </w:r>
      <w:r>
        <w:rPr>
          <w:shd w:val="clear" w:color="auto" w:fill="FFFFFF"/>
        </w:rPr>
        <w:t xml:space="preserve"> </w:t>
      </w:r>
      <w:r w:rsidRPr="001811D7">
        <w:rPr>
          <w:shd w:val="clear" w:color="auto" w:fill="FFFFFF"/>
        </w:rPr>
        <w:t>based</w:t>
      </w:r>
      <w:r>
        <w:rPr>
          <w:shd w:val="clear" w:color="auto" w:fill="FFFFFF"/>
        </w:rPr>
        <w:t xml:space="preserve"> </w:t>
      </w:r>
      <w:r w:rsidRPr="001811D7">
        <w:rPr>
          <w:shd w:val="clear" w:color="auto" w:fill="FFFFFF"/>
        </w:rPr>
        <w:t>on</w:t>
      </w:r>
      <w:r>
        <w:rPr>
          <w:shd w:val="clear" w:color="auto" w:fill="FFFFFF"/>
        </w:rPr>
        <w:t xml:space="preserve"> </w:t>
      </w:r>
      <w:r w:rsidRPr="001811D7">
        <w:rPr>
          <w:shd w:val="clear" w:color="auto" w:fill="FFFFFF"/>
        </w:rPr>
        <w:t>specific</w:t>
      </w:r>
      <w:r>
        <w:rPr>
          <w:shd w:val="clear" w:color="auto" w:fill="FFFFFF"/>
        </w:rPr>
        <w:t xml:space="preserve"> </w:t>
      </w:r>
      <w:r w:rsidRPr="001811D7">
        <w:rPr>
          <w:shd w:val="clear" w:color="auto" w:fill="FFFFFF"/>
        </w:rPr>
        <w:t>areas</w:t>
      </w:r>
      <w:r>
        <w:rPr>
          <w:shd w:val="clear" w:color="auto" w:fill="FFFFFF"/>
        </w:rPr>
        <w:t xml:space="preserve"> </w:t>
      </w:r>
      <w:r w:rsidRPr="001811D7">
        <w:rPr>
          <w:shd w:val="clear" w:color="auto" w:fill="FFFFFF"/>
        </w:rPr>
        <w:t>and</w:t>
      </w:r>
      <w:r>
        <w:rPr>
          <w:shd w:val="clear" w:color="auto" w:fill="FFFFFF"/>
        </w:rPr>
        <w:t xml:space="preserve"> </w:t>
      </w:r>
      <w:r w:rsidRPr="001811D7">
        <w:rPr>
          <w:shd w:val="clear" w:color="auto" w:fill="FFFFFF"/>
        </w:rPr>
        <w:t>consumer</w:t>
      </w:r>
      <w:r>
        <w:rPr>
          <w:shd w:val="clear" w:color="auto" w:fill="FFFFFF"/>
        </w:rPr>
        <w:t xml:space="preserve"> </w:t>
      </w:r>
      <w:r w:rsidRPr="001811D7">
        <w:rPr>
          <w:shd w:val="clear" w:color="auto" w:fill="FFFFFF"/>
        </w:rPr>
        <w:t>harms</w:t>
      </w:r>
      <w:r>
        <w:rPr>
          <w:shd w:val="clear" w:color="auto" w:fill="FFFFFF"/>
        </w:rPr>
        <w:t xml:space="preserve"> that concern us in the marketplace, reflecting CAV’s intelligence on emerging marketplace risks, government priorities </w:t>
      </w:r>
      <w:r w:rsidRPr="001811D7">
        <w:t>and</w:t>
      </w:r>
      <w:r>
        <w:t xml:space="preserve"> </w:t>
      </w:r>
      <w:r w:rsidRPr="001811D7">
        <w:t>stakeholder</w:t>
      </w:r>
      <w:r>
        <w:t xml:space="preserve"> </w:t>
      </w:r>
      <w:r w:rsidRPr="001811D7">
        <w:t>feedback.</w:t>
      </w:r>
      <w:r>
        <w:t xml:space="preserve"> </w:t>
      </w:r>
      <w:r w:rsidRPr="001811D7">
        <w:t>These</w:t>
      </w:r>
      <w:r>
        <w:t xml:space="preserve"> </w:t>
      </w:r>
      <w:r w:rsidRPr="001811D7">
        <w:t>regulatory</w:t>
      </w:r>
      <w:r>
        <w:t xml:space="preserve"> </w:t>
      </w:r>
      <w:r w:rsidRPr="001811D7">
        <w:t>priorities</w:t>
      </w:r>
      <w:r>
        <w:t xml:space="preserve"> </w:t>
      </w:r>
      <w:r w:rsidRPr="001811D7">
        <w:t>help</w:t>
      </w:r>
      <w:r>
        <w:t xml:space="preserve"> us </w:t>
      </w:r>
      <w:r w:rsidRPr="001811D7">
        <w:t>direct</w:t>
      </w:r>
      <w:r>
        <w:t xml:space="preserve"> </w:t>
      </w:r>
      <w:r w:rsidRPr="001811D7">
        <w:t>our</w:t>
      </w:r>
      <w:r>
        <w:t xml:space="preserve"> </w:t>
      </w:r>
      <w:r w:rsidRPr="001811D7">
        <w:t>resources</w:t>
      </w:r>
      <w:r>
        <w:t xml:space="preserve"> </w:t>
      </w:r>
      <w:r w:rsidRPr="001811D7">
        <w:t>to</w:t>
      </w:r>
      <w:r>
        <w:t xml:space="preserve"> </w:t>
      </w:r>
      <w:r w:rsidRPr="001811D7">
        <w:t>address</w:t>
      </w:r>
      <w:r>
        <w:t xml:space="preserve"> </w:t>
      </w:r>
      <w:r w:rsidRPr="001811D7">
        <w:t>key</w:t>
      </w:r>
      <w:r>
        <w:t xml:space="preserve"> </w:t>
      </w:r>
      <w:r w:rsidRPr="001811D7">
        <w:t>risks</w:t>
      </w:r>
      <w:r>
        <w:t xml:space="preserve"> </w:t>
      </w:r>
      <w:r w:rsidRPr="001811D7">
        <w:t>to</w:t>
      </w:r>
      <w:r>
        <w:t xml:space="preserve"> </w:t>
      </w:r>
      <w:r w:rsidRPr="001811D7">
        <w:t>consumers.</w:t>
      </w:r>
    </w:p>
    <w:p w14:paraId="6D40C114" w14:textId="5AAEBF85" w:rsidR="00856406" w:rsidRPr="001811D7" w:rsidRDefault="00856406" w:rsidP="00F828EC">
      <w:pPr>
        <w:pStyle w:val="BodyText"/>
      </w:pPr>
      <w:r w:rsidRPr="001811D7">
        <w:t>Our</w:t>
      </w:r>
      <w:r>
        <w:t xml:space="preserve"> </w:t>
      </w:r>
      <w:r w:rsidRPr="001811D7">
        <w:t>priorities</w:t>
      </w:r>
      <w:r>
        <w:t xml:space="preserve"> in </w:t>
      </w:r>
      <w:r w:rsidR="00EE79C3">
        <w:t>2024–25</w:t>
      </w:r>
      <w:r>
        <w:t xml:space="preserve"> </w:t>
      </w:r>
      <w:r w:rsidRPr="001811D7">
        <w:t>covered</w:t>
      </w:r>
      <w:r>
        <w:t xml:space="preserve"> </w:t>
      </w:r>
      <w:r w:rsidRPr="001811D7">
        <w:t>four</w:t>
      </w:r>
      <w:r>
        <w:t xml:space="preserve"> </w:t>
      </w:r>
      <w:r w:rsidRPr="001811D7">
        <w:t>key</w:t>
      </w:r>
      <w:r>
        <w:t xml:space="preserve"> </w:t>
      </w:r>
      <w:r w:rsidRPr="001811D7">
        <w:t>areas:</w:t>
      </w:r>
    </w:p>
    <w:p w14:paraId="683C1F77" w14:textId="77777777" w:rsidR="00856406" w:rsidRPr="009A0383" w:rsidRDefault="00856406" w:rsidP="00F828EC">
      <w:pPr>
        <w:pStyle w:val="ListBullet"/>
        <w:rPr>
          <w:rFonts w:eastAsia="Times"/>
        </w:rPr>
      </w:pPr>
      <w:r w:rsidRPr="009A0383">
        <w:rPr>
          <w:rFonts w:eastAsia="Times"/>
        </w:rPr>
        <w:t>ensuring fairness and safety in competitive consumer markets</w:t>
      </w:r>
    </w:p>
    <w:p w14:paraId="658FF42A" w14:textId="77777777" w:rsidR="00856406" w:rsidRPr="009A0383" w:rsidRDefault="00856406" w:rsidP="00F828EC">
      <w:pPr>
        <w:pStyle w:val="ListBullet"/>
        <w:rPr>
          <w:rFonts w:eastAsia="Times"/>
        </w:rPr>
      </w:pPr>
      <w:r w:rsidRPr="009A0383">
        <w:rPr>
          <w:rFonts w:eastAsia="Times"/>
        </w:rPr>
        <w:t>upholding robust standards for key industries, sectors and professions</w:t>
      </w:r>
    </w:p>
    <w:p w14:paraId="5E96EA97" w14:textId="77777777" w:rsidR="00856406" w:rsidRPr="009A0383" w:rsidRDefault="00856406" w:rsidP="00F828EC">
      <w:pPr>
        <w:pStyle w:val="ListBullet"/>
        <w:rPr>
          <w:rFonts w:eastAsia="Times"/>
        </w:rPr>
      </w:pPr>
      <w:r w:rsidRPr="009A0383">
        <w:rPr>
          <w:rFonts w:eastAsia="Times"/>
        </w:rPr>
        <w:t>ensuring a fair and safe rental market</w:t>
      </w:r>
    </w:p>
    <w:p w14:paraId="5EB27BF2" w14:textId="77777777" w:rsidR="00856406" w:rsidRPr="009A0383" w:rsidRDefault="00856406" w:rsidP="00F828EC">
      <w:pPr>
        <w:pStyle w:val="ListBullet"/>
        <w:rPr>
          <w:rFonts w:eastAsia="Times"/>
        </w:rPr>
      </w:pPr>
      <w:r w:rsidRPr="009A0383">
        <w:rPr>
          <w:rFonts w:eastAsia="Times"/>
        </w:rPr>
        <w:t>supporting Victorian communities impacted by emergencies.</w:t>
      </w:r>
    </w:p>
    <w:p w14:paraId="0049CBA2" w14:textId="77777777" w:rsidR="00856406" w:rsidRPr="001811D7" w:rsidRDefault="00856406" w:rsidP="00F828EC">
      <w:pPr>
        <w:pStyle w:val="BodyText"/>
      </w:pPr>
      <w:r w:rsidRPr="001811D7">
        <w:t>Regulatory</w:t>
      </w:r>
      <w:r>
        <w:t xml:space="preserve"> </w:t>
      </w:r>
      <w:r w:rsidRPr="001811D7">
        <w:t>priorities</w:t>
      </w:r>
      <w:r>
        <w:t xml:space="preserve"> </w:t>
      </w:r>
      <w:r w:rsidRPr="001811D7">
        <w:t>do</w:t>
      </w:r>
      <w:r>
        <w:t xml:space="preserve"> </w:t>
      </w:r>
      <w:r w:rsidRPr="001811D7">
        <w:t>not</w:t>
      </w:r>
      <w:r>
        <w:t xml:space="preserve"> </w:t>
      </w:r>
      <w:r w:rsidRPr="001811D7">
        <w:t>prevent</w:t>
      </w:r>
      <w:r>
        <w:t xml:space="preserve"> </w:t>
      </w:r>
      <w:r w:rsidRPr="001811D7">
        <w:t>us</w:t>
      </w:r>
      <w:r>
        <w:t xml:space="preserve"> </w:t>
      </w:r>
      <w:r w:rsidRPr="001811D7">
        <w:t>from</w:t>
      </w:r>
      <w:r>
        <w:t xml:space="preserve"> </w:t>
      </w:r>
      <w:r w:rsidRPr="001811D7">
        <w:t>responding</w:t>
      </w:r>
      <w:r>
        <w:t xml:space="preserve"> </w:t>
      </w:r>
      <w:r w:rsidRPr="001811D7">
        <w:t>to</w:t>
      </w:r>
      <w:r>
        <w:t xml:space="preserve"> </w:t>
      </w:r>
      <w:r w:rsidRPr="001811D7">
        <w:t>new,</w:t>
      </w:r>
      <w:r>
        <w:t xml:space="preserve"> </w:t>
      </w:r>
      <w:r w:rsidRPr="001811D7">
        <w:t>emerging</w:t>
      </w:r>
      <w:r>
        <w:t xml:space="preserve"> </w:t>
      </w:r>
      <w:r w:rsidRPr="001811D7">
        <w:t>or</w:t>
      </w:r>
      <w:r>
        <w:t xml:space="preserve"> </w:t>
      </w:r>
      <w:r w:rsidRPr="001811D7">
        <w:t>serious</w:t>
      </w:r>
      <w:r>
        <w:t xml:space="preserve"> </w:t>
      </w:r>
      <w:r w:rsidRPr="001811D7">
        <w:t>issues</w:t>
      </w:r>
      <w:r>
        <w:t xml:space="preserve"> </w:t>
      </w:r>
      <w:r w:rsidRPr="001811D7">
        <w:t>that</w:t>
      </w:r>
      <w:r>
        <w:t xml:space="preserve"> </w:t>
      </w:r>
      <w:r w:rsidRPr="001811D7">
        <w:t>arise</w:t>
      </w:r>
      <w:r>
        <w:t xml:space="preserve"> </w:t>
      </w:r>
      <w:r w:rsidRPr="001811D7">
        <w:t>during</w:t>
      </w:r>
      <w:r>
        <w:t xml:space="preserve"> </w:t>
      </w:r>
      <w:r w:rsidRPr="001811D7">
        <w:t>the</w:t>
      </w:r>
      <w:r>
        <w:t xml:space="preserve"> </w:t>
      </w:r>
      <w:r w:rsidRPr="001811D7">
        <w:t>year</w:t>
      </w:r>
      <w:r>
        <w:t xml:space="preserve"> </w:t>
      </w:r>
      <w:r w:rsidRPr="001811D7">
        <w:t>under</w:t>
      </w:r>
      <w:r>
        <w:t xml:space="preserve"> </w:t>
      </w:r>
      <w:r w:rsidRPr="001811D7">
        <w:t>our</w:t>
      </w:r>
      <w:r>
        <w:t xml:space="preserve"> </w:t>
      </w:r>
      <w:r w:rsidRPr="001811D7">
        <w:t>areas</w:t>
      </w:r>
      <w:r>
        <w:t xml:space="preserve"> </w:t>
      </w:r>
      <w:r w:rsidRPr="001811D7">
        <w:t>of</w:t>
      </w:r>
      <w:r>
        <w:t xml:space="preserve"> </w:t>
      </w:r>
      <w:r w:rsidRPr="001811D7">
        <w:t>regulatory</w:t>
      </w:r>
      <w:r>
        <w:t xml:space="preserve"> </w:t>
      </w:r>
      <w:r w:rsidRPr="001811D7">
        <w:t>responsibility.</w:t>
      </w:r>
      <w:r>
        <w:t xml:space="preserve"> </w:t>
      </w:r>
      <w:r w:rsidRPr="001811D7">
        <w:t>We</w:t>
      </w:r>
      <w:r>
        <w:t xml:space="preserve"> </w:t>
      </w:r>
      <w:r w:rsidRPr="001811D7">
        <w:t>will</w:t>
      </w:r>
      <w:r>
        <w:t xml:space="preserve"> </w:t>
      </w:r>
      <w:r w:rsidRPr="001811D7">
        <w:t>always</w:t>
      </w:r>
      <w:r>
        <w:t xml:space="preserve"> </w:t>
      </w:r>
      <w:r w:rsidRPr="001811D7">
        <w:t>take</w:t>
      </w:r>
      <w:r>
        <w:t xml:space="preserve"> </w:t>
      </w:r>
      <w:r w:rsidRPr="001811D7">
        <w:t>appropriate</w:t>
      </w:r>
      <w:r>
        <w:t xml:space="preserve"> </w:t>
      </w:r>
      <w:r w:rsidRPr="001811D7">
        <w:t>action</w:t>
      </w:r>
      <w:r>
        <w:t xml:space="preserve"> </w:t>
      </w:r>
      <w:r w:rsidRPr="001811D7">
        <w:t>to</w:t>
      </w:r>
      <w:r>
        <w:t xml:space="preserve"> </w:t>
      </w:r>
      <w:r w:rsidRPr="001811D7">
        <w:t>address</w:t>
      </w:r>
      <w:r>
        <w:t xml:space="preserve"> </w:t>
      </w:r>
      <w:r w:rsidRPr="001811D7">
        <w:t>harmful</w:t>
      </w:r>
      <w:r>
        <w:t xml:space="preserve"> </w:t>
      </w:r>
      <w:r w:rsidRPr="001811D7">
        <w:t>conduct</w:t>
      </w:r>
      <w:r>
        <w:t xml:space="preserve"> </w:t>
      </w:r>
      <w:r w:rsidRPr="001811D7">
        <w:t>or</w:t>
      </w:r>
      <w:r>
        <w:t xml:space="preserve"> </w:t>
      </w:r>
      <w:r w:rsidRPr="001811D7">
        <w:t>breaches</w:t>
      </w:r>
      <w:r>
        <w:t xml:space="preserve"> </w:t>
      </w:r>
      <w:r w:rsidRPr="001811D7">
        <w:t>of</w:t>
      </w:r>
      <w:r>
        <w:t xml:space="preserve"> </w:t>
      </w:r>
      <w:r w:rsidRPr="001811D7">
        <w:t>the</w:t>
      </w:r>
      <w:r>
        <w:t xml:space="preserve"> </w:t>
      </w:r>
      <w:r w:rsidRPr="001811D7">
        <w:t>laws</w:t>
      </w:r>
      <w:r>
        <w:t xml:space="preserve"> </w:t>
      </w:r>
      <w:r w:rsidRPr="001811D7">
        <w:t>we</w:t>
      </w:r>
      <w:r>
        <w:t xml:space="preserve"> </w:t>
      </w:r>
      <w:r w:rsidRPr="001811D7">
        <w:t>administer.</w:t>
      </w:r>
    </w:p>
    <w:p w14:paraId="2A15BBBA" w14:textId="77777777" w:rsidR="00856406" w:rsidRPr="00B25EAA" w:rsidRDefault="00856406" w:rsidP="00B71C68">
      <w:pPr>
        <w:pStyle w:val="Heading1"/>
      </w:pPr>
      <w:bookmarkStart w:id="26" w:name="_Toc204243147"/>
      <w:bookmarkStart w:id="27" w:name="_Toc211518574"/>
      <w:bookmarkStart w:id="28" w:name="_Toc212562060"/>
      <w:r w:rsidRPr="00B25EAA">
        <w:t>Our</w:t>
      </w:r>
      <w:r>
        <w:t xml:space="preserve"> </w:t>
      </w:r>
      <w:r w:rsidRPr="00B25EAA">
        <w:t>performance</w:t>
      </w:r>
      <w:bookmarkEnd w:id="26"/>
      <w:bookmarkEnd w:id="27"/>
      <w:bookmarkEnd w:id="28"/>
    </w:p>
    <w:p w14:paraId="1ECF990E" w14:textId="0B528A2A" w:rsidR="00856406" w:rsidRPr="00717004" w:rsidRDefault="00856406" w:rsidP="00F828EC">
      <w:pPr>
        <w:pStyle w:val="BodyText"/>
      </w:pPr>
      <w:r>
        <w:t xml:space="preserve">Our performance in </w:t>
      </w:r>
      <w:r w:rsidR="00EE79C3">
        <w:t>2024–25</w:t>
      </w:r>
      <w:r>
        <w:t xml:space="preserve"> </w:t>
      </w:r>
      <w:r w:rsidRPr="00717004">
        <w:t>reflected</w:t>
      </w:r>
      <w:r>
        <w:t xml:space="preserve"> </w:t>
      </w:r>
      <w:r w:rsidRPr="00717004">
        <w:t>our</w:t>
      </w:r>
      <w:r>
        <w:t xml:space="preserve"> </w:t>
      </w:r>
      <w:r w:rsidRPr="00717004">
        <w:t>timely</w:t>
      </w:r>
      <w:r>
        <w:t xml:space="preserve"> </w:t>
      </w:r>
      <w:r w:rsidRPr="00717004">
        <w:t>and</w:t>
      </w:r>
      <w:r>
        <w:t xml:space="preserve"> </w:t>
      </w:r>
      <w:r w:rsidRPr="00717004">
        <w:t>targeted</w:t>
      </w:r>
      <w:r>
        <w:t xml:space="preserve"> </w:t>
      </w:r>
      <w:r w:rsidRPr="00717004">
        <w:t>response</w:t>
      </w:r>
      <w:r>
        <w:t xml:space="preserve"> </w:t>
      </w:r>
      <w:r w:rsidRPr="00717004">
        <w:t>to</w:t>
      </w:r>
      <w:r>
        <w:t xml:space="preserve"> </w:t>
      </w:r>
      <w:r w:rsidRPr="00717004">
        <w:t>some</w:t>
      </w:r>
      <w:r>
        <w:t xml:space="preserve"> </w:t>
      </w:r>
      <w:r w:rsidRPr="00717004">
        <w:t>of</w:t>
      </w:r>
      <w:r>
        <w:t xml:space="preserve"> </w:t>
      </w:r>
      <w:r w:rsidRPr="00717004">
        <w:t>the</w:t>
      </w:r>
      <w:r>
        <w:t xml:space="preserve"> </w:t>
      </w:r>
      <w:r w:rsidRPr="00717004">
        <w:t>most</w:t>
      </w:r>
      <w:r>
        <w:t xml:space="preserve"> </w:t>
      </w:r>
      <w:r w:rsidRPr="00717004">
        <w:t>pressing</w:t>
      </w:r>
      <w:r>
        <w:t xml:space="preserve"> </w:t>
      </w:r>
      <w:r w:rsidRPr="00717004">
        <w:t>issues</w:t>
      </w:r>
      <w:r>
        <w:t xml:space="preserve"> </w:t>
      </w:r>
      <w:r w:rsidRPr="00717004">
        <w:t>facing</w:t>
      </w:r>
      <w:r>
        <w:t xml:space="preserve"> </w:t>
      </w:r>
      <w:r w:rsidRPr="00717004">
        <w:t>Victorians,</w:t>
      </w:r>
      <w:r>
        <w:t xml:space="preserve"> such as the rising cost of living and challenges with housing supply. It also reflected </w:t>
      </w:r>
      <w:r w:rsidRPr="00717004">
        <w:t>our</w:t>
      </w:r>
      <w:r>
        <w:t xml:space="preserve"> ongoing efforts to promote </w:t>
      </w:r>
      <w:r w:rsidRPr="00717004">
        <w:t>consumer</w:t>
      </w:r>
      <w:r>
        <w:t xml:space="preserve"> </w:t>
      </w:r>
      <w:r w:rsidRPr="00717004">
        <w:t>and</w:t>
      </w:r>
      <w:r>
        <w:t xml:space="preserve"> </w:t>
      </w:r>
      <w:r w:rsidRPr="00717004">
        <w:t>business</w:t>
      </w:r>
      <w:r>
        <w:t xml:space="preserve"> </w:t>
      </w:r>
      <w:r w:rsidRPr="00717004">
        <w:t>confidence</w:t>
      </w:r>
      <w:r>
        <w:t xml:space="preserve"> </w:t>
      </w:r>
      <w:r w:rsidRPr="00717004">
        <w:t>in</w:t>
      </w:r>
      <w:r>
        <w:t xml:space="preserve"> </w:t>
      </w:r>
      <w:r w:rsidRPr="00717004">
        <w:t>the</w:t>
      </w:r>
      <w:r>
        <w:t xml:space="preserve"> </w:t>
      </w:r>
      <w:r w:rsidRPr="00717004">
        <w:t>Victorian</w:t>
      </w:r>
      <w:r>
        <w:t xml:space="preserve"> </w:t>
      </w:r>
      <w:r w:rsidRPr="00717004">
        <w:t>marketplace.</w:t>
      </w:r>
    </w:p>
    <w:p w14:paraId="1D2F5EB8" w14:textId="77777777" w:rsidR="00856406" w:rsidRPr="00717004" w:rsidRDefault="00856406" w:rsidP="00F828EC">
      <w:pPr>
        <w:pStyle w:val="BodyText"/>
      </w:pPr>
      <w:r w:rsidRPr="00717004">
        <w:t>We</w:t>
      </w:r>
      <w:r>
        <w:t xml:space="preserve"> </w:t>
      </w:r>
      <w:r w:rsidRPr="00717004">
        <w:t>prioritised</w:t>
      </w:r>
      <w:r>
        <w:t xml:space="preserve"> </w:t>
      </w:r>
      <w:r w:rsidRPr="00717004">
        <w:t>providing</w:t>
      </w:r>
      <w:r>
        <w:t xml:space="preserve"> </w:t>
      </w:r>
      <w:r w:rsidRPr="00717004">
        <w:t>support</w:t>
      </w:r>
      <w:r>
        <w:t xml:space="preserve"> </w:t>
      </w:r>
      <w:r w:rsidRPr="00717004">
        <w:t>and</w:t>
      </w:r>
      <w:r>
        <w:t xml:space="preserve"> </w:t>
      </w:r>
      <w:r w:rsidRPr="00717004">
        <w:t>relief</w:t>
      </w:r>
      <w:r>
        <w:t xml:space="preserve"> </w:t>
      </w:r>
      <w:r w:rsidRPr="00717004">
        <w:t>to</w:t>
      </w:r>
      <w:r>
        <w:t xml:space="preserve"> </w:t>
      </w:r>
      <w:r w:rsidRPr="00717004">
        <w:t>renters</w:t>
      </w:r>
      <w:r>
        <w:t xml:space="preserve">, with </w:t>
      </w:r>
      <w:r w:rsidRPr="00717004" w:rsidDel="00C70AD3">
        <w:t>particular</w:t>
      </w:r>
      <w:r>
        <w:t xml:space="preserve"> focus on those facing hardship</w:t>
      </w:r>
      <w:r w:rsidRPr="00717004">
        <w:t>.</w:t>
      </w:r>
      <w:r>
        <w:t xml:space="preserve"> </w:t>
      </w:r>
      <w:r w:rsidRPr="00717004">
        <w:t>Our</w:t>
      </w:r>
      <w:r>
        <w:t xml:space="preserve"> </w:t>
      </w:r>
      <w:r w:rsidRPr="00717004">
        <w:t>rent</w:t>
      </w:r>
      <w:r>
        <w:t xml:space="preserve"> </w:t>
      </w:r>
      <w:r w:rsidRPr="00717004">
        <w:t>increase</w:t>
      </w:r>
      <w:r>
        <w:t xml:space="preserve"> investigations </w:t>
      </w:r>
      <w:r w:rsidRPr="00717004">
        <w:t>provided</w:t>
      </w:r>
      <w:r>
        <w:t xml:space="preserve"> </w:t>
      </w:r>
      <w:r w:rsidRPr="00717004">
        <w:t>recourse</w:t>
      </w:r>
      <w:r>
        <w:t xml:space="preserve"> </w:t>
      </w:r>
      <w:r w:rsidRPr="00717004">
        <w:t>for</w:t>
      </w:r>
      <w:r>
        <w:t xml:space="preserve"> </w:t>
      </w:r>
      <w:r w:rsidRPr="00717004">
        <w:t>renters</w:t>
      </w:r>
      <w:r>
        <w:t xml:space="preserve"> </w:t>
      </w:r>
      <w:r w:rsidRPr="00717004">
        <w:t>who</w:t>
      </w:r>
      <w:r>
        <w:t xml:space="preserve"> </w:t>
      </w:r>
      <w:r w:rsidRPr="00717004">
        <w:t>received</w:t>
      </w:r>
      <w:r>
        <w:t xml:space="preserve"> </w:t>
      </w:r>
      <w:r w:rsidRPr="00717004">
        <w:t>notices</w:t>
      </w:r>
      <w:r>
        <w:t xml:space="preserve"> </w:t>
      </w:r>
      <w:r w:rsidRPr="00717004">
        <w:t>of</w:t>
      </w:r>
      <w:r>
        <w:t xml:space="preserve"> </w:t>
      </w:r>
      <w:r w:rsidRPr="00717004">
        <w:t>increases</w:t>
      </w:r>
      <w:r>
        <w:t xml:space="preserve"> </w:t>
      </w:r>
      <w:r w:rsidRPr="00717004">
        <w:t>that</w:t>
      </w:r>
      <w:r>
        <w:t xml:space="preserve"> </w:t>
      </w:r>
      <w:r w:rsidRPr="00717004">
        <w:t>seemed</w:t>
      </w:r>
      <w:r>
        <w:t xml:space="preserve"> </w:t>
      </w:r>
      <w:r w:rsidRPr="00717004">
        <w:t>excessive</w:t>
      </w:r>
      <w:r>
        <w:t xml:space="preserve">. At the same time, our renting taskforce </w:t>
      </w:r>
      <w:r w:rsidRPr="00717004">
        <w:t>ramped</w:t>
      </w:r>
      <w:r>
        <w:t xml:space="preserve"> </w:t>
      </w:r>
      <w:r w:rsidRPr="00717004">
        <w:t>up</w:t>
      </w:r>
      <w:r>
        <w:t xml:space="preserve"> </w:t>
      </w:r>
      <w:r w:rsidRPr="00717004">
        <w:t>its</w:t>
      </w:r>
      <w:r>
        <w:t xml:space="preserve"> </w:t>
      </w:r>
      <w:r w:rsidRPr="00717004">
        <w:t>efforts</w:t>
      </w:r>
      <w:r>
        <w:t xml:space="preserve"> </w:t>
      </w:r>
      <w:r w:rsidRPr="00717004">
        <w:t>to</w:t>
      </w:r>
      <w:r>
        <w:t xml:space="preserve"> </w:t>
      </w:r>
      <w:r w:rsidRPr="00717004">
        <w:t>enforce</w:t>
      </w:r>
      <w:r>
        <w:t xml:space="preserve"> </w:t>
      </w:r>
      <w:r w:rsidRPr="00717004">
        <w:t>rental</w:t>
      </w:r>
      <w:r>
        <w:t xml:space="preserve"> </w:t>
      </w:r>
      <w:r w:rsidRPr="00717004">
        <w:t>provider</w:t>
      </w:r>
      <w:r>
        <w:t xml:space="preserve"> </w:t>
      </w:r>
      <w:r w:rsidRPr="00717004">
        <w:t>compliance</w:t>
      </w:r>
      <w:r>
        <w:t xml:space="preserve"> </w:t>
      </w:r>
      <w:r w:rsidRPr="00717004">
        <w:t>and</w:t>
      </w:r>
      <w:r>
        <w:t xml:space="preserve"> </w:t>
      </w:r>
      <w:r w:rsidRPr="00717004">
        <w:t>ensure</w:t>
      </w:r>
      <w:r>
        <w:t xml:space="preserve"> </w:t>
      </w:r>
      <w:r w:rsidRPr="00717004">
        <w:t>that</w:t>
      </w:r>
      <w:r>
        <w:t xml:space="preserve"> </w:t>
      </w:r>
      <w:r w:rsidRPr="00717004">
        <w:t>renters</w:t>
      </w:r>
      <w:r>
        <w:t xml:space="preserve"> </w:t>
      </w:r>
      <w:r w:rsidRPr="00717004">
        <w:t>had</w:t>
      </w:r>
      <w:r>
        <w:t xml:space="preserve"> </w:t>
      </w:r>
      <w:r w:rsidRPr="00717004">
        <w:t>safe</w:t>
      </w:r>
      <w:r>
        <w:t xml:space="preserve"> </w:t>
      </w:r>
      <w:r w:rsidRPr="00717004">
        <w:t>and</w:t>
      </w:r>
      <w:r>
        <w:t xml:space="preserve"> </w:t>
      </w:r>
      <w:r w:rsidRPr="00717004">
        <w:t>comfortable</w:t>
      </w:r>
      <w:r>
        <w:t xml:space="preserve"> </w:t>
      </w:r>
      <w:r w:rsidRPr="00717004">
        <w:t>places</w:t>
      </w:r>
      <w:r>
        <w:t xml:space="preserve"> </w:t>
      </w:r>
      <w:r w:rsidRPr="00717004">
        <w:t>to</w:t>
      </w:r>
      <w:r>
        <w:t xml:space="preserve"> </w:t>
      </w:r>
      <w:r w:rsidRPr="00717004">
        <w:t>call</w:t>
      </w:r>
      <w:r>
        <w:t xml:space="preserve"> </w:t>
      </w:r>
      <w:r w:rsidRPr="00717004">
        <w:t>home.</w:t>
      </w:r>
      <w:r>
        <w:t xml:space="preserve"> W</w:t>
      </w:r>
      <w:r w:rsidRPr="00717004">
        <w:t>e</w:t>
      </w:r>
      <w:r>
        <w:t xml:space="preserve"> funded community service organisations to provide advice and support to help renters stay in their homes, as well as </w:t>
      </w:r>
      <w:r w:rsidRPr="00717004">
        <w:t>financial</w:t>
      </w:r>
      <w:r>
        <w:t xml:space="preserve"> </w:t>
      </w:r>
      <w:r w:rsidRPr="00717004">
        <w:t>counselling</w:t>
      </w:r>
      <w:r>
        <w:t xml:space="preserve"> services to increase support for Victorians experiencing housing-related challenges</w:t>
      </w:r>
      <w:r w:rsidRPr="00717004">
        <w:t>.</w:t>
      </w:r>
    </w:p>
    <w:p w14:paraId="3D5167E6" w14:textId="77777777" w:rsidR="00856406" w:rsidRPr="00717004" w:rsidRDefault="00856406" w:rsidP="00F828EC">
      <w:pPr>
        <w:pStyle w:val="BodyText"/>
      </w:pPr>
      <w:r w:rsidRPr="00717004">
        <w:t>We</w:t>
      </w:r>
      <w:r>
        <w:t xml:space="preserve"> </w:t>
      </w:r>
      <w:r w:rsidRPr="00717004">
        <w:t>completed</w:t>
      </w:r>
      <w:r>
        <w:t xml:space="preserve"> a </w:t>
      </w:r>
      <w:r w:rsidRPr="00717004">
        <w:t>multi-year</w:t>
      </w:r>
      <w:r>
        <w:t xml:space="preserve"> </w:t>
      </w:r>
      <w:r w:rsidRPr="00717004">
        <w:t>upgrade</w:t>
      </w:r>
      <w:r>
        <w:t xml:space="preserve"> </w:t>
      </w:r>
      <w:r w:rsidRPr="00717004">
        <w:t>of</w:t>
      </w:r>
      <w:r>
        <w:t xml:space="preserve"> </w:t>
      </w:r>
      <w:r w:rsidRPr="00717004">
        <w:t>our</w:t>
      </w:r>
      <w:r>
        <w:t xml:space="preserve"> </w:t>
      </w:r>
      <w:r w:rsidRPr="00717004">
        <w:t>licensing</w:t>
      </w:r>
      <w:r>
        <w:t xml:space="preserve"> </w:t>
      </w:r>
      <w:r w:rsidRPr="00717004">
        <w:t>and</w:t>
      </w:r>
      <w:r>
        <w:t xml:space="preserve"> </w:t>
      </w:r>
      <w:r w:rsidRPr="00717004">
        <w:t>registration</w:t>
      </w:r>
      <w:r>
        <w:t xml:space="preserve"> </w:t>
      </w:r>
      <w:r w:rsidRPr="00717004">
        <w:t>system</w:t>
      </w:r>
      <w:r>
        <w:t xml:space="preserve">, with </w:t>
      </w:r>
      <w:r w:rsidRPr="00717004">
        <w:t>all</w:t>
      </w:r>
      <w:r>
        <w:t xml:space="preserve"> </w:t>
      </w:r>
      <w:r w:rsidRPr="00717004">
        <w:t>schemes</w:t>
      </w:r>
      <w:r>
        <w:t xml:space="preserve"> now encompassed within </w:t>
      </w:r>
      <w:r w:rsidRPr="00717004">
        <w:t>a</w:t>
      </w:r>
      <w:r>
        <w:t xml:space="preserve"> </w:t>
      </w:r>
      <w:r w:rsidRPr="00717004">
        <w:t>single</w:t>
      </w:r>
      <w:r>
        <w:t xml:space="preserve"> </w:t>
      </w:r>
      <w:r w:rsidRPr="00717004">
        <w:t>entry</w:t>
      </w:r>
      <w:r>
        <w:t xml:space="preserve"> </w:t>
      </w:r>
      <w:r w:rsidRPr="00717004">
        <w:t>point</w:t>
      </w:r>
      <w:r>
        <w:t xml:space="preserve"> via the </w:t>
      </w:r>
      <w:r w:rsidRPr="00717004">
        <w:t>myCAV</w:t>
      </w:r>
      <w:r>
        <w:t xml:space="preserve"> online system</w:t>
      </w:r>
      <w:r w:rsidRPr="00717004">
        <w:t>.</w:t>
      </w:r>
      <w:r>
        <w:t xml:space="preserve"> </w:t>
      </w:r>
      <w:r w:rsidRPr="00717004">
        <w:t>This</w:t>
      </w:r>
      <w:r>
        <w:t xml:space="preserve"> </w:t>
      </w:r>
      <w:r w:rsidRPr="00717004">
        <w:t>major</w:t>
      </w:r>
      <w:r>
        <w:t xml:space="preserve"> </w:t>
      </w:r>
      <w:r w:rsidRPr="00717004">
        <w:t>upgrade</w:t>
      </w:r>
      <w:r>
        <w:t xml:space="preserve"> </w:t>
      </w:r>
      <w:r w:rsidRPr="00717004">
        <w:t>makes</w:t>
      </w:r>
      <w:r>
        <w:t xml:space="preserve"> </w:t>
      </w:r>
      <w:r w:rsidRPr="00717004">
        <w:t>it</w:t>
      </w:r>
      <w:r>
        <w:t xml:space="preserve"> </w:t>
      </w:r>
      <w:r w:rsidRPr="00717004">
        <w:t>easier</w:t>
      </w:r>
      <w:r>
        <w:t xml:space="preserve"> </w:t>
      </w:r>
      <w:r w:rsidRPr="00717004">
        <w:t>for</w:t>
      </w:r>
      <w:r>
        <w:t xml:space="preserve"> </w:t>
      </w:r>
      <w:r w:rsidRPr="00717004">
        <w:t>business</w:t>
      </w:r>
      <w:r>
        <w:t xml:space="preserve">es, professionals and community organisations </w:t>
      </w:r>
      <w:r w:rsidRPr="00717004">
        <w:t>to</w:t>
      </w:r>
      <w:r>
        <w:t xml:space="preserve"> </w:t>
      </w:r>
      <w:r w:rsidRPr="00717004">
        <w:t>meet</w:t>
      </w:r>
      <w:r>
        <w:t xml:space="preserve"> </w:t>
      </w:r>
      <w:r w:rsidRPr="00717004">
        <w:t>their</w:t>
      </w:r>
      <w:r>
        <w:t xml:space="preserve"> </w:t>
      </w:r>
      <w:r w:rsidRPr="00717004">
        <w:t>regulatory</w:t>
      </w:r>
      <w:r>
        <w:t xml:space="preserve"> </w:t>
      </w:r>
      <w:r w:rsidRPr="00717004">
        <w:t>obligations,</w:t>
      </w:r>
      <w:r>
        <w:t xml:space="preserve"> saving them time and resources, and </w:t>
      </w:r>
      <w:r w:rsidRPr="00717004">
        <w:t>promoting</w:t>
      </w:r>
      <w:r>
        <w:t xml:space="preserve"> </w:t>
      </w:r>
      <w:r w:rsidRPr="00717004">
        <w:t>a</w:t>
      </w:r>
      <w:r>
        <w:t xml:space="preserve"> fair and </w:t>
      </w:r>
      <w:r w:rsidRPr="00717004">
        <w:t>productive</w:t>
      </w:r>
      <w:r>
        <w:t xml:space="preserve"> </w:t>
      </w:r>
      <w:r w:rsidRPr="00717004">
        <w:t>marketplace.</w:t>
      </w:r>
    </w:p>
    <w:p w14:paraId="770BBF17" w14:textId="0B4E6B2A" w:rsidR="00856406" w:rsidRPr="00717004" w:rsidRDefault="00856406" w:rsidP="00F828EC">
      <w:pPr>
        <w:pStyle w:val="BodyText"/>
      </w:pPr>
      <w:r w:rsidRPr="00717004">
        <w:t>We</w:t>
      </w:r>
      <w:r>
        <w:t xml:space="preserve"> </w:t>
      </w:r>
      <w:r w:rsidRPr="00717004">
        <w:t>maintained</w:t>
      </w:r>
      <w:r>
        <w:t xml:space="preserve"> </w:t>
      </w:r>
      <w:r w:rsidRPr="00717004">
        <w:t>a</w:t>
      </w:r>
      <w:r>
        <w:t xml:space="preserve"> </w:t>
      </w:r>
      <w:r w:rsidRPr="00717004">
        <w:t>strong</w:t>
      </w:r>
      <w:r>
        <w:t xml:space="preserve"> </w:t>
      </w:r>
      <w:r w:rsidRPr="00717004">
        <w:t>regulatory</w:t>
      </w:r>
      <w:r>
        <w:t xml:space="preserve"> </w:t>
      </w:r>
      <w:r w:rsidRPr="00717004">
        <w:t>presence</w:t>
      </w:r>
      <w:r>
        <w:t xml:space="preserve"> </w:t>
      </w:r>
      <w:r w:rsidRPr="00717004">
        <w:t>in</w:t>
      </w:r>
      <w:r>
        <w:t xml:space="preserve"> </w:t>
      </w:r>
      <w:r w:rsidRPr="00717004">
        <w:t>multiple</w:t>
      </w:r>
      <w:r>
        <w:t xml:space="preserve"> </w:t>
      </w:r>
      <w:r w:rsidRPr="00717004">
        <w:t>industries,</w:t>
      </w:r>
      <w:r>
        <w:t xml:space="preserve"> </w:t>
      </w:r>
      <w:r w:rsidRPr="00717004">
        <w:t>including</w:t>
      </w:r>
      <w:r>
        <w:t xml:space="preserve"> </w:t>
      </w:r>
      <w:r w:rsidRPr="00717004">
        <w:t>real</w:t>
      </w:r>
      <w:r>
        <w:t xml:space="preserve"> </w:t>
      </w:r>
      <w:r w:rsidRPr="00717004">
        <w:t>estate</w:t>
      </w:r>
      <w:r>
        <w:t xml:space="preserve"> </w:t>
      </w:r>
      <w:r w:rsidRPr="00717004">
        <w:t>and</w:t>
      </w:r>
      <w:r>
        <w:t xml:space="preserve"> </w:t>
      </w:r>
      <w:r w:rsidRPr="00717004">
        <w:t>renting,</w:t>
      </w:r>
      <w:r>
        <w:t xml:space="preserve"> </w:t>
      </w:r>
      <w:r w:rsidRPr="00717004">
        <w:t>motor</w:t>
      </w:r>
      <w:r>
        <w:t xml:space="preserve"> </w:t>
      </w:r>
      <w:r w:rsidRPr="00717004">
        <w:t>car</w:t>
      </w:r>
      <w:r>
        <w:t xml:space="preserve"> </w:t>
      </w:r>
      <w:r w:rsidRPr="00717004">
        <w:t>trading,</w:t>
      </w:r>
      <w:r>
        <w:t xml:space="preserve"> building and trades, </w:t>
      </w:r>
      <w:r w:rsidRPr="00717004">
        <w:t>and</w:t>
      </w:r>
      <w:r>
        <w:t xml:space="preserve"> retail</w:t>
      </w:r>
      <w:r w:rsidRPr="00717004">
        <w:t>.</w:t>
      </w:r>
      <w:r>
        <w:t xml:space="preserve"> </w:t>
      </w:r>
      <w:r w:rsidRPr="00717004">
        <w:t>Our</w:t>
      </w:r>
      <w:r>
        <w:t xml:space="preserve"> </w:t>
      </w:r>
      <w:r w:rsidRPr="00717004">
        <w:t>compliance</w:t>
      </w:r>
      <w:r>
        <w:t xml:space="preserve"> </w:t>
      </w:r>
      <w:r w:rsidRPr="00717004">
        <w:t>and</w:t>
      </w:r>
      <w:r>
        <w:t xml:space="preserve"> </w:t>
      </w:r>
      <w:r w:rsidRPr="00717004">
        <w:t>enforcement</w:t>
      </w:r>
      <w:r>
        <w:t xml:space="preserve"> </w:t>
      </w:r>
      <w:r w:rsidRPr="00717004">
        <w:t>actions</w:t>
      </w:r>
      <w:r>
        <w:t xml:space="preserve"> targeted those who do the most harm, </w:t>
      </w:r>
      <w:r w:rsidRPr="00717004">
        <w:t>result</w:t>
      </w:r>
      <w:r>
        <w:t xml:space="preserve">ing </w:t>
      </w:r>
      <w:r w:rsidRPr="00717004">
        <w:t>in</w:t>
      </w:r>
      <w:r>
        <w:t xml:space="preserve"> </w:t>
      </w:r>
      <w:r w:rsidRPr="00717004">
        <w:t>both</w:t>
      </w:r>
      <w:r>
        <w:t xml:space="preserve"> </w:t>
      </w:r>
      <w:r w:rsidRPr="00717004">
        <w:t>voluntary</w:t>
      </w:r>
      <w:r>
        <w:t xml:space="preserve"> </w:t>
      </w:r>
      <w:r w:rsidRPr="00717004">
        <w:t>and</w:t>
      </w:r>
      <w:r>
        <w:t xml:space="preserve"> </w:t>
      </w:r>
      <w:r w:rsidRPr="00717004">
        <w:t>enforced</w:t>
      </w:r>
      <w:r>
        <w:t xml:space="preserve"> </w:t>
      </w:r>
      <w:r w:rsidRPr="00717004">
        <w:t>outcomes</w:t>
      </w:r>
      <w:r>
        <w:t xml:space="preserve">. These outcomes included official </w:t>
      </w:r>
      <w:r w:rsidRPr="00717004">
        <w:t>warnings</w:t>
      </w:r>
      <w:r>
        <w:t xml:space="preserve">, </w:t>
      </w:r>
      <w:r w:rsidRPr="00717004">
        <w:t>infringements</w:t>
      </w:r>
      <w:r>
        <w:t xml:space="preserve"> a</w:t>
      </w:r>
      <w:r w:rsidRPr="00717004">
        <w:t>nd,</w:t>
      </w:r>
      <w:r>
        <w:t xml:space="preserve"> </w:t>
      </w:r>
      <w:r w:rsidRPr="00717004">
        <w:t>where</w:t>
      </w:r>
      <w:r>
        <w:t xml:space="preserve"> </w:t>
      </w:r>
      <w:r w:rsidRPr="00717004">
        <w:t>necessary,</w:t>
      </w:r>
      <w:r>
        <w:t xml:space="preserve"> </w:t>
      </w:r>
      <w:r w:rsidRPr="00717004">
        <w:t>court</w:t>
      </w:r>
      <w:r>
        <w:t xml:space="preserve"> </w:t>
      </w:r>
      <w:r w:rsidRPr="00717004">
        <w:t>or</w:t>
      </w:r>
      <w:r>
        <w:t xml:space="preserve"> </w:t>
      </w:r>
      <w:r w:rsidRPr="00717004">
        <w:t>tribunal</w:t>
      </w:r>
      <w:r>
        <w:t xml:space="preserve"> </w:t>
      </w:r>
      <w:r w:rsidRPr="00717004">
        <w:t>actions.</w:t>
      </w:r>
      <w:r>
        <w:t xml:space="preserve"> We met or exceeded all our performance measures in </w:t>
      </w:r>
      <w:r w:rsidR="00EE79C3">
        <w:t>2024–25</w:t>
      </w:r>
      <w:r w:rsidRPr="00717004">
        <w:t>.</w:t>
      </w:r>
    </w:p>
    <w:p w14:paraId="18AEBBB6" w14:textId="77777777" w:rsidR="00856406" w:rsidRPr="00717004" w:rsidRDefault="00856406" w:rsidP="00F828EC">
      <w:pPr>
        <w:pStyle w:val="BodyText"/>
      </w:pPr>
      <w:r w:rsidRPr="00717004">
        <w:t>Responding</w:t>
      </w:r>
      <w:r>
        <w:t xml:space="preserve"> with impact </w:t>
      </w:r>
      <w:r w:rsidRPr="00717004">
        <w:t>to</w:t>
      </w:r>
      <w:r>
        <w:t xml:space="preserve"> </w:t>
      </w:r>
      <w:r w:rsidRPr="00717004">
        <w:t>family</w:t>
      </w:r>
      <w:r>
        <w:t xml:space="preserve"> </w:t>
      </w:r>
      <w:r w:rsidRPr="00717004">
        <w:t>violence</w:t>
      </w:r>
      <w:r>
        <w:t xml:space="preserve"> </w:t>
      </w:r>
      <w:r w:rsidRPr="00717004">
        <w:t>remains</w:t>
      </w:r>
      <w:r>
        <w:t xml:space="preserve"> </w:t>
      </w:r>
      <w:r w:rsidRPr="00717004">
        <w:t>a</w:t>
      </w:r>
      <w:r>
        <w:t xml:space="preserve"> </w:t>
      </w:r>
      <w:r w:rsidRPr="00717004">
        <w:t>priority.</w:t>
      </w:r>
      <w:r>
        <w:t xml:space="preserve"> </w:t>
      </w:r>
      <w:r w:rsidRPr="00717004">
        <w:t>We</w:t>
      </w:r>
      <w:r>
        <w:t xml:space="preserve"> continue to fund s</w:t>
      </w:r>
      <w:r w:rsidRPr="00717004">
        <w:t>pecialised</w:t>
      </w:r>
      <w:r>
        <w:t xml:space="preserve"> </w:t>
      </w:r>
      <w:r w:rsidRPr="00717004">
        <w:t>financial</w:t>
      </w:r>
      <w:r>
        <w:t xml:space="preserve"> </w:t>
      </w:r>
      <w:r w:rsidRPr="00717004">
        <w:t>counselling</w:t>
      </w:r>
      <w:r>
        <w:t xml:space="preserve"> </w:t>
      </w:r>
      <w:r w:rsidRPr="00717004">
        <w:t>for</w:t>
      </w:r>
      <w:r>
        <w:t xml:space="preserve"> </w:t>
      </w:r>
      <w:r w:rsidRPr="00717004">
        <w:t>victim</w:t>
      </w:r>
      <w:r>
        <w:t xml:space="preserve"> </w:t>
      </w:r>
      <w:r w:rsidRPr="00717004">
        <w:t>survivors</w:t>
      </w:r>
      <w:r>
        <w:t xml:space="preserve">, which provides </w:t>
      </w:r>
      <w:r w:rsidRPr="00717004">
        <w:t>crucial</w:t>
      </w:r>
      <w:r>
        <w:t xml:space="preserve"> </w:t>
      </w:r>
      <w:r w:rsidRPr="00717004">
        <w:t>support</w:t>
      </w:r>
      <w:r>
        <w:t xml:space="preserve"> </w:t>
      </w:r>
      <w:r w:rsidRPr="00717004">
        <w:t>to</w:t>
      </w:r>
      <w:r>
        <w:t xml:space="preserve"> </w:t>
      </w:r>
      <w:r w:rsidRPr="00717004">
        <w:t>families</w:t>
      </w:r>
      <w:r>
        <w:t xml:space="preserve"> </w:t>
      </w:r>
      <w:r w:rsidRPr="00717004">
        <w:t>struggling</w:t>
      </w:r>
      <w:r>
        <w:t xml:space="preserve"> </w:t>
      </w:r>
      <w:r w:rsidRPr="00717004">
        <w:t>financially</w:t>
      </w:r>
      <w:r>
        <w:t xml:space="preserve"> </w:t>
      </w:r>
      <w:r w:rsidRPr="00717004">
        <w:t>as</w:t>
      </w:r>
      <w:r>
        <w:t xml:space="preserve"> </w:t>
      </w:r>
      <w:r w:rsidRPr="00717004">
        <w:t>a</w:t>
      </w:r>
      <w:r>
        <w:t xml:space="preserve"> </w:t>
      </w:r>
      <w:r w:rsidRPr="00717004">
        <w:t>result</w:t>
      </w:r>
      <w:r>
        <w:t xml:space="preserve"> </w:t>
      </w:r>
      <w:r w:rsidRPr="00717004">
        <w:t>of</w:t>
      </w:r>
      <w:r>
        <w:t xml:space="preserve"> </w:t>
      </w:r>
      <w:r w:rsidRPr="00717004">
        <w:t>family</w:t>
      </w:r>
      <w:r>
        <w:t xml:space="preserve"> </w:t>
      </w:r>
      <w:r w:rsidRPr="00717004">
        <w:t>violence</w:t>
      </w:r>
      <w:r>
        <w:t xml:space="preserve">, and ongoing family violence training for financial counsellors and renting advocates. Our workforce has also undertaken mandatory </w:t>
      </w:r>
      <w:r w:rsidRPr="00717004">
        <w:t>family</w:t>
      </w:r>
      <w:r>
        <w:t xml:space="preserve"> </w:t>
      </w:r>
      <w:r w:rsidRPr="00717004">
        <w:t>violence</w:t>
      </w:r>
      <w:r>
        <w:t xml:space="preserve"> </w:t>
      </w:r>
      <w:r w:rsidRPr="00717004">
        <w:t>training</w:t>
      </w:r>
      <w:r>
        <w:t xml:space="preserve"> to support the highest quality of service delivery</w:t>
      </w:r>
      <w:r w:rsidRPr="00717004">
        <w:t>.</w:t>
      </w:r>
    </w:p>
    <w:p w14:paraId="0263ED64" w14:textId="453CAA98" w:rsidR="00856406" w:rsidRPr="00717004" w:rsidRDefault="00856406" w:rsidP="00F828EC">
      <w:pPr>
        <w:pStyle w:val="BodyText"/>
      </w:pPr>
      <w:r>
        <w:t xml:space="preserve">We acknowledge that </w:t>
      </w:r>
      <w:r w:rsidR="00EE79C3">
        <w:t>2024–25</w:t>
      </w:r>
      <w:r>
        <w:t xml:space="preserve"> </w:t>
      </w:r>
      <w:r w:rsidRPr="00717004">
        <w:t>was</w:t>
      </w:r>
      <w:r>
        <w:t xml:space="preserve"> </w:t>
      </w:r>
      <w:r w:rsidRPr="00717004">
        <w:t>a</w:t>
      </w:r>
      <w:r>
        <w:t xml:space="preserve"> </w:t>
      </w:r>
      <w:r w:rsidRPr="00717004">
        <w:t>challenging</w:t>
      </w:r>
      <w:r>
        <w:t xml:space="preserve"> </w:t>
      </w:r>
      <w:r w:rsidRPr="00717004">
        <w:t>year</w:t>
      </w:r>
      <w:r>
        <w:t xml:space="preserve"> </w:t>
      </w:r>
      <w:r w:rsidRPr="00717004">
        <w:t>for</w:t>
      </w:r>
      <w:r>
        <w:t xml:space="preserve"> </w:t>
      </w:r>
      <w:r w:rsidRPr="00717004">
        <w:t>many</w:t>
      </w:r>
      <w:r>
        <w:t xml:space="preserve"> </w:t>
      </w:r>
      <w:r w:rsidRPr="00717004">
        <w:t>Victorians,</w:t>
      </w:r>
      <w:r>
        <w:t xml:space="preserve"> </w:t>
      </w:r>
      <w:r w:rsidRPr="00717004">
        <w:t>and</w:t>
      </w:r>
      <w:r>
        <w:t xml:space="preserve"> we </w:t>
      </w:r>
      <w:r w:rsidRPr="00717004">
        <w:t>are</w:t>
      </w:r>
      <w:r>
        <w:t xml:space="preserve"> </w:t>
      </w:r>
      <w:r w:rsidRPr="00717004">
        <w:t>proud</w:t>
      </w:r>
      <w:r>
        <w:t xml:space="preserve"> </w:t>
      </w:r>
      <w:r w:rsidRPr="00717004">
        <w:t>to</w:t>
      </w:r>
      <w:r>
        <w:t xml:space="preserve"> </w:t>
      </w:r>
      <w:r w:rsidRPr="00717004">
        <w:t>have</w:t>
      </w:r>
      <w:r>
        <w:t xml:space="preserve"> </w:t>
      </w:r>
      <w:r w:rsidRPr="00717004">
        <w:t>played</w:t>
      </w:r>
      <w:r>
        <w:t xml:space="preserve"> </w:t>
      </w:r>
      <w:r w:rsidRPr="00717004">
        <w:t>an</w:t>
      </w:r>
      <w:r>
        <w:t xml:space="preserve"> </w:t>
      </w:r>
      <w:r w:rsidRPr="00717004">
        <w:t>important</w:t>
      </w:r>
      <w:r>
        <w:t xml:space="preserve"> </w:t>
      </w:r>
      <w:r w:rsidRPr="00717004">
        <w:t>role</w:t>
      </w:r>
      <w:r>
        <w:t xml:space="preserve"> </w:t>
      </w:r>
      <w:r w:rsidRPr="00717004">
        <w:t>in</w:t>
      </w:r>
      <w:r>
        <w:t xml:space="preserve"> </w:t>
      </w:r>
      <w:r w:rsidRPr="00717004">
        <w:t>supporting</w:t>
      </w:r>
      <w:r>
        <w:t xml:space="preserve"> </w:t>
      </w:r>
      <w:r w:rsidRPr="00717004">
        <w:t>and</w:t>
      </w:r>
      <w:r>
        <w:t xml:space="preserve"> </w:t>
      </w:r>
      <w:r w:rsidRPr="00717004">
        <w:t>protecting</w:t>
      </w:r>
      <w:r>
        <w:t xml:space="preserve"> </w:t>
      </w:r>
      <w:r w:rsidRPr="00717004">
        <w:t>the</w:t>
      </w:r>
      <w:r>
        <w:t xml:space="preserve"> </w:t>
      </w:r>
      <w:r w:rsidRPr="00717004">
        <w:t>community.</w:t>
      </w:r>
      <w:r>
        <w:t xml:space="preserve"> </w:t>
      </w:r>
      <w:r w:rsidRPr="00717004">
        <w:t>Our</w:t>
      </w:r>
      <w:r>
        <w:t xml:space="preserve"> </w:t>
      </w:r>
      <w:r w:rsidRPr="00717004">
        <w:t>performance</w:t>
      </w:r>
      <w:r>
        <w:t xml:space="preserve"> </w:t>
      </w:r>
      <w:r w:rsidRPr="00717004">
        <w:t>is</w:t>
      </w:r>
      <w:r>
        <w:t xml:space="preserve"> </w:t>
      </w:r>
      <w:r w:rsidRPr="00717004">
        <w:t>measured</w:t>
      </w:r>
      <w:r>
        <w:t xml:space="preserve"> </w:t>
      </w:r>
      <w:r w:rsidRPr="00717004">
        <w:t>against</w:t>
      </w:r>
      <w:r>
        <w:t xml:space="preserve"> </w:t>
      </w:r>
      <w:r w:rsidRPr="00717004">
        <w:t>target</w:t>
      </w:r>
      <w:r>
        <w:t xml:space="preserve"> </w:t>
      </w:r>
      <w:r w:rsidRPr="00717004">
        <w:t>outputs</w:t>
      </w:r>
      <w:r>
        <w:t xml:space="preserve"> </w:t>
      </w:r>
      <w:r w:rsidRPr="00717004">
        <w:t>specified</w:t>
      </w:r>
      <w:r>
        <w:t xml:space="preserve"> </w:t>
      </w:r>
      <w:r w:rsidRPr="00717004">
        <w:t>in</w:t>
      </w:r>
      <w:r>
        <w:t xml:space="preserve"> the Departmental Performance Statement </w:t>
      </w:r>
      <w:r w:rsidR="00EE79C3">
        <w:t>2024–25</w:t>
      </w:r>
      <w:r w:rsidRPr="00717004">
        <w:t>.</w:t>
      </w:r>
      <w:r>
        <w:t xml:space="preserve"> </w:t>
      </w:r>
      <w:r w:rsidRPr="00717004">
        <w:t>Outputs</w:t>
      </w:r>
      <w:r>
        <w:t xml:space="preserve"> </w:t>
      </w:r>
      <w:r w:rsidRPr="00717004">
        <w:t>refer</w:t>
      </w:r>
      <w:r>
        <w:t xml:space="preserve"> </w:t>
      </w:r>
      <w:r w:rsidRPr="00717004">
        <w:t>to</w:t>
      </w:r>
      <w:r>
        <w:t xml:space="preserve"> </w:t>
      </w:r>
      <w:r w:rsidRPr="00717004">
        <w:t>the</w:t>
      </w:r>
      <w:r>
        <w:t xml:space="preserve"> </w:t>
      </w:r>
      <w:r w:rsidRPr="00717004">
        <w:t>goods</w:t>
      </w:r>
      <w:r>
        <w:t xml:space="preserve"> </w:t>
      </w:r>
      <w:r w:rsidRPr="00717004">
        <w:t>and</w:t>
      </w:r>
      <w:r>
        <w:t xml:space="preserve"> </w:t>
      </w:r>
      <w:r w:rsidRPr="00717004">
        <w:t>services</w:t>
      </w:r>
      <w:r>
        <w:t xml:space="preserve"> </w:t>
      </w:r>
      <w:r w:rsidRPr="00717004">
        <w:t>provided</w:t>
      </w:r>
      <w:r>
        <w:t xml:space="preserve"> </w:t>
      </w:r>
      <w:r w:rsidRPr="00717004">
        <w:t>to</w:t>
      </w:r>
      <w:r>
        <w:t xml:space="preserve"> </w:t>
      </w:r>
      <w:r w:rsidRPr="00717004">
        <w:t>government</w:t>
      </w:r>
      <w:r>
        <w:t xml:space="preserve"> </w:t>
      </w:r>
      <w:r w:rsidRPr="00717004">
        <w:t>by</w:t>
      </w:r>
      <w:r>
        <w:t xml:space="preserve"> </w:t>
      </w:r>
      <w:r w:rsidRPr="00717004">
        <w:t>departments,</w:t>
      </w:r>
      <w:r>
        <w:t xml:space="preserve"> </w:t>
      </w:r>
      <w:r w:rsidRPr="00717004">
        <w:t>agencies</w:t>
      </w:r>
      <w:r>
        <w:t xml:space="preserve"> </w:t>
      </w:r>
      <w:r w:rsidRPr="00717004">
        <w:t>and</w:t>
      </w:r>
      <w:r>
        <w:t xml:space="preserve"> </w:t>
      </w:r>
      <w:r w:rsidRPr="00717004">
        <w:t>statutory</w:t>
      </w:r>
      <w:r>
        <w:t xml:space="preserve"> </w:t>
      </w:r>
      <w:r w:rsidRPr="00717004">
        <w:t>bodies,</w:t>
      </w:r>
      <w:r>
        <w:t xml:space="preserve"> as well as </w:t>
      </w:r>
      <w:r w:rsidRPr="00717004">
        <w:t>through</w:t>
      </w:r>
      <w:r>
        <w:t xml:space="preserve"> </w:t>
      </w:r>
      <w:r w:rsidRPr="00717004">
        <w:t>funding</w:t>
      </w:r>
      <w:r>
        <w:t xml:space="preserve"> </w:t>
      </w:r>
      <w:r w:rsidRPr="00717004">
        <w:t>provided</w:t>
      </w:r>
      <w:r>
        <w:t xml:space="preserve"> </w:t>
      </w:r>
      <w:r w:rsidRPr="00717004">
        <w:t>to</w:t>
      </w:r>
      <w:r>
        <w:t xml:space="preserve"> </w:t>
      </w:r>
      <w:r w:rsidRPr="00717004">
        <w:t>others,</w:t>
      </w:r>
      <w:r>
        <w:t xml:space="preserve"> </w:t>
      </w:r>
      <w:r w:rsidRPr="00717004">
        <w:t>such</w:t>
      </w:r>
      <w:r>
        <w:t xml:space="preserve"> </w:t>
      </w:r>
      <w:r w:rsidRPr="00717004">
        <w:t>as</w:t>
      </w:r>
      <w:r>
        <w:t xml:space="preserve"> </w:t>
      </w:r>
      <w:r w:rsidRPr="00717004">
        <w:t>community</w:t>
      </w:r>
      <w:r>
        <w:t xml:space="preserve"> service organisations</w:t>
      </w:r>
      <w:r w:rsidRPr="00717004">
        <w:t>.</w:t>
      </w:r>
      <w:r>
        <w:t xml:space="preserve"> CAV’s outputs sit under the overall output of Regulation of the Victorian Consumer Marketplace.</w:t>
      </w:r>
    </w:p>
    <w:p w14:paraId="4E96D89D" w14:textId="77777777" w:rsidR="00856406" w:rsidRPr="002C3B92" w:rsidRDefault="00856406" w:rsidP="00856406">
      <w:pPr>
        <w:spacing w:line="278" w:lineRule="auto"/>
      </w:pPr>
      <w:r w:rsidRPr="00717004">
        <w:rPr>
          <w:i/>
        </w:rPr>
        <w:br w:type="page"/>
      </w:r>
    </w:p>
    <w:p w14:paraId="0C00DD3A" w14:textId="77777777" w:rsidR="00856406" w:rsidRDefault="00856406" w:rsidP="005F6712">
      <w:pPr>
        <w:pStyle w:val="Heading2notforTOC"/>
      </w:pPr>
      <w:bookmarkStart w:id="29" w:name="_Toc204243148"/>
      <w:r>
        <w:t xml:space="preserve">Performance </w:t>
      </w:r>
      <w:r w:rsidRPr="00B25EAA">
        <w:t>measure</w:t>
      </w:r>
      <w:r>
        <w:t xml:space="preserve"> </w:t>
      </w:r>
      <w:r w:rsidRPr="00B25EAA">
        <w:t>results</w:t>
      </w:r>
      <w:bookmarkEnd w:id="29"/>
    </w:p>
    <w:p w14:paraId="1833AA8D" w14:textId="3E34FAAC" w:rsidR="00856406" w:rsidRDefault="00856406" w:rsidP="00F828EC">
      <w:pPr>
        <w:pStyle w:val="BodyText"/>
      </w:pPr>
      <w:r>
        <w:t xml:space="preserve">CAV is held accountable by performance measures outlined in the Department Performance Statement. The table below details our performance measures for </w:t>
      </w:r>
      <w:r w:rsidR="00EE79C3">
        <w:t>2024–25</w:t>
      </w:r>
      <w:r>
        <w:t xml:space="preserve"> and the results we achieved.</w:t>
      </w:r>
    </w:p>
    <w:p w14:paraId="1122AAB5" w14:textId="14E87B6C" w:rsidR="00856406" w:rsidRPr="00A4404F" w:rsidRDefault="00856406" w:rsidP="009A0383">
      <w:pPr>
        <w:pStyle w:val="Caption"/>
      </w:pPr>
      <w:bookmarkStart w:id="30" w:name="_Toc212562068"/>
      <w:r w:rsidRPr="004D4DC3">
        <w:t>Table</w:t>
      </w:r>
      <w:r>
        <w:t xml:space="preserve"> </w:t>
      </w:r>
      <w:r w:rsidR="00EE79C3">
        <w:t>1</w:t>
      </w:r>
      <w:r>
        <w:t>: Department Performance Statement results</w:t>
      </w:r>
      <w:bookmarkEnd w:id="30"/>
    </w:p>
    <w:tbl>
      <w:tblPr>
        <w:tblStyle w:val="TableGrid"/>
        <w:tblW w:w="9072" w:type="dxa"/>
        <w:tblLook w:val="06A0" w:firstRow="1" w:lastRow="0" w:firstColumn="1" w:lastColumn="0" w:noHBand="1" w:noVBand="1"/>
      </w:tblPr>
      <w:tblGrid>
        <w:gridCol w:w="3854"/>
        <w:gridCol w:w="1134"/>
        <w:gridCol w:w="1021"/>
        <w:gridCol w:w="1021"/>
        <w:gridCol w:w="1021"/>
        <w:gridCol w:w="1021"/>
      </w:tblGrid>
      <w:tr w:rsidR="00856406" w:rsidRPr="009C1F7F" w14:paraId="3C21218F" w14:textId="77777777" w:rsidTr="005B7969">
        <w:trPr>
          <w:cnfStyle w:val="100000000000" w:firstRow="1" w:lastRow="0" w:firstColumn="0" w:lastColumn="0" w:oddVBand="0" w:evenVBand="0" w:oddHBand="0" w:evenHBand="0" w:firstRowFirstColumn="0" w:firstRowLastColumn="0" w:lastRowFirstColumn="0" w:lastRowLastColumn="0"/>
          <w:trHeight w:val="570"/>
          <w:tblHeader/>
        </w:trPr>
        <w:tc>
          <w:tcPr>
            <w:tcW w:w="3856" w:type="dxa"/>
            <w:hideMark/>
          </w:tcPr>
          <w:p w14:paraId="79FBA02A" w14:textId="552CE63C" w:rsidR="00856406" w:rsidRPr="00717004" w:rsidRDefault="00856406" w:rsidP="009A0383">
            <w:pPr>
              <w:pStyle w:val="TableColHead"/>
            </w:pPr>
            <w:r>
              <w:t>Performance measure</w:t>
            </w:r>
          </w:p>
        </w:tc>
        <w:tc>
          <w:tcPr>
            <w:tcW w:w="1134" w:type="dxa"/>
            <w:hideMark/>
          </w:tcPr>
          <w:p w14:paraId="453C7739" w14:textId="77777777" w:rsidR="00856406" w:rsidRPr="00717004" w:rsidRDefault="00856406" w:rsidP="008838D7">
            <w:pPr>
              <w:pStyle w:val="TableColHead"/>
            </w:pPr>
            <w:r w:rsidRPr="00717004">
              <w:t>Unit</w:t>
            </w:r>
            <w:r>
              <w:t xml:space="preserve"> </w:t>
            </w:r>
            <w:r w:rsidRPr="00717004">
              <w:t>of</w:t>
            </w:r>
            <w:r>
              <w:t xml:space="preserve"> m</w:t>
            </w:r>
            <w:r w:rsidRPr="00717004">
              <w:t>easure</w:t>
            </w:r>
            <w:r>
              <w:t xml:space="preserve"> </w:t>
            </w:r>
          </w:p>
        </w:tc>
        <w:tc>
          <w:tcPr>
            <w:tcW w:w="1021" w:type="dxa"/>
            <w:hideMark/>
          </w:tcPr>
          <w:p w14:paraId="3BB6AB3C" w14:textId="2CC1D251" w:rsidR="00856406" w:rsidRPr="00717004" w:rsidRDefault="00EE79C3" w:rsidP="009A0383">
            <w:pPr>
              <w:pStyle w:val="TableColHeadRight"/>
            </w:pPr>
            <w:r>
              <w:rPr>
                <w:bCs/>
              </w:rPr>
              <w:t>2022–23</w:t>
            </w:r>
            <w:r w:rsidR="00856406">
              <w:t xml:space="preserve"> </w:t>
            </w:r>
            <w:r w:rsidR="00856406" w:rsidRPr="00717004">
              <w:t>actual</w:t>
            </w:r>
            <w:r w:rsidR="00856406">
              <w:t xml:space="preserve"> </w:t>
            </w:r>
          </w:p>
        </w:tc>
        <w:tc>
          <w:tcPr>
            <w:tcW w:w="1021" w:type="dxa"/>
            <w:hideMark/>
          </w:tcPr>
          <w:p w14:paraId="69D3FB5B" w14:textId="66A653A0" w:rsidR="00856406" w:rsidRPr="00717004" w:rsidRDefault="00EE79C3" w:rsidP="009A0383">
            <w:pPr>
              <w:pStyle w:val="TableColHeadRight"/>
            </w:pPr>
            <w:r>
              <w:rPr>
                <w:bCs/>
              </w:rPr>
              <w:t>2023–24</w:t>
            </w:r>
            <w:r w:rsidR="00856406">
              <w:t xml:space="preserve"> </w:t>
            </w:r>
            <w:r w:rsidR="00856406" w:rsidRPr="00717004">
              <w:t>actual</w:t>
            </w:r>
            <w:r w:rsidR="00856406">
              <w:t xml:space="preserve"> </w:t>
            </w:r>
          </w:p>
        </w:tc>
        <w:tc>
          <w:tcPr>
            <w:tcW w:w="1021" w:type="dxa"/>
            <w:hideMark/>
          </w:tcPr>
          <w:p w14:paraId="045EB4BE" w14:textId="2CFD77FB" w:rsidR="00856406" w:rsidRPr="00717004" w:rsidRDefault="00EE79C3" w:rsidP="009A0383">
            <w:pPr>
              <w:pStyle w:val="TableColHeadRight"/>
            </w:pPr>
            <w:r>
              <w:rPr>
                <w:bCs/>
              </w:rPr>
              <w:t>2024–25</w:t>
            </w:r>
            <w:r w:rsidR="00856406">
              <w:t xml:space="preserve"> </w:t>
            </w:r>
            <w:r w:rsidR="00856406" w:rsidRPr="00717004">
              <w:t>target</w:t>
            </w:r>
            <w:r w:rsidR="00856406">
              <w:t xml:space="preserve"> </w:t>
            </w:r>
          </w:p>
        </w:tc>
        <w:tc>
          <w:tcPr>
            <w:tcW w:w="1021" w:type="dxa"/>
            <w:hideMark/>
          </w:tcPr>
          <w:p w14:paraId="404898F7" w14:textId="3768DC29" w:rsidR="00856406" w:rsidRPr="00717004" w:rsidRDefault="00EE79C3" w:rsidP="009A0383">
            <w:pPr>
              <w:pStyle w:val="TableColHeadRight"/>
            </w:pPr>
            <w:r>
              <w:rPr>
                <w:bCs/>
              </w:rPr>
              <w:t>2024–25</w:t>
            </w:r>
            <w:r w:rsidR="00856406">
              <w:t xml:space="preserve"> </w:t>
            </w:r>
            <w:r w:rsidR="00856406" w:rsidRPr="00717004">
              <w:t>actual</w:t>
            </w:r>
            <w:r w:rsidR="00856406">
              <w:t xml:space="preserve"> </w:t>
            </w:r>
          </w:p>
        </w:tc>
      </w:tr>
      <w:tr w:rsidR="00856406" w:rsidRPr="009C1F7F" w14:paraId="56AB7503" w14:textId="77777777" w:rsidTr="005B7969">
        <w:trPr>
          <w:trHeight w:val="270"/>
        </w:trPr>
        <w:tc>
          <w:tcPr>
            <w:tcW w:w="1134" w:type="dxa"/>
            <w:gridSpan w:val="6"/>
            <w:shd w:val="clear" w:color="auto" w:fill="BCCAE5"/>
            <w:hideMark/>
          </w:tcPr>
          <w:p w14:paraId="5E113F04" w14:textId="77777777" w:rsidR="00856406" w:rsidRPr="00717004" w:rsidRDefault="00856406" w:rsidP="009A0383">
            <w:pPr>
              <w:pStyle w:val="TableTextBold"/>
            </w:pPr>
            <w:r w:rsidRPr="00717004">
              <w:t>Quantity</w:t>
            </w:r>
            <w:r>
              <w:t xml:space="preserve"> </w:t>
            </w:r>
          </w:p>
        </w:tc>
      </w:tr>
      <w:tr w:rsidR="00856406" w:rsidRPr="007C7C4B" w14:paraId="1A765AB4" w14:textId="77777777" w:rsidTr="005B7969">
        <w:trPr>
          <w:trHeight w:val="270"/>
        </w:trPr>
        <w:tc>
          <w:tcPr>
            <w:tcW w:w="3856" w:type="dxa"/>
          </w:tcPr>
          <w:p w14:paraId="0AB4D7E6" w14:textId="77777777" w:rsidR="00856406" w:rsidRPr="00717004" w:rsidRDefault="00856406" w:rsidP="009A0383">
            <w:pPr>
              <w:pStyle w:val="TableText"/>
            </w:pPr>
            <w:r w:rsidRPr="00335272">
              <w:t>Court</w:t>
            </w:r>
            <w:r>
              <w:t xml:space="preserve"> </w:t>
            </w:r>
            <w:r w:rsidRPr="00335272">
              <w:t>and</w:t>
            </w:r>
            <w:r>
              <w:t xml:space="preserve"> </w:t>
            </w:r>
            <w:r w:rsidRPr="00335272">
              <w:t>administra</w:t>
            </w:r>
            <w:r>
              <w:t xml:space="preserve">tive actions taken in relation </w:t>
            </w:r>
            <w:r w:rsidRPr="00335272">
              <w:t>to</w:t>
            </w:r>
            <w:r>
              <w:t xml:space="preserve"> </w:t>
            </w:r>
            <w:r w:rsidRPr="00335272">
              <w:t>consumer</w:t>
            </w:r>
            <w:r>
              <w:t xml:space="preserve"> </w:t>
            </w:r>
            <w:r w:rsidRPr="00335272">
              <w:t>laws</w:t>
            </w:r>
            <w:r>
              <w:rPr>
                <w:rStyle w:val="FootnoteReference"/>
              </w:rPr>
              <w:footnoteReference w:id="2"/>
            </w:r>
          </w:p>
        </w:tc>
        <w:tc>
          <w:tcPr>
            <w:tcW w:w="1134" w:type="dxa"/>
          </w:tcPr>
          <w:p w14:paraId="56CB43EE" w14:textId="77777777" w:rsidR="00856406" w:rsidRPr="00717004" w:rsidRDefault="00856406" w:rsidP="009A0383">
            <w:pPr>
              <w:pStyle w:val="TableText"/>
            </w:pPr>
            <w:r>
              <w:t>Number</w:t>
            </w:r>
          </w:p>
        </w:tc>
        <w:tc>
          <w:tcPr>
            <w:tcW w:w="1021" w:type="dxa"/>
          </w:tcPr>
          <w:p w14:paraId="4EF9F633" w14:textId="77777777" w:rsidR="00856406" w:rsidRPr="007C7C4B" w:rsidRDefault="00856406" w:rsidP="009A0383">
            <w:pPr>
              <w:pStyle w:val="TableTextRight"/>
            </w:pPr>
            <w:r w:rsidRPr="00335272">
              <w:t>495</w:t>
            </w:r>
          </w:p>
        </w:tc>
        <w:tc>
          <w:tcPr>
            <w:tcW w:w="1021" w:type="dxa"/>
          </w:tcPr>
          <w:p w14:paraId="6666DC37" w14:textId="77777777" w:rsidR="00856406" w:rsidRPr="009A0383" w:rsidRDefault="00856406" w:rsidP="009A0383">
            <w:pPr>
              <w:pStyle w:val="TableTextRight"/>
            </w:pPr>
            <w:r w:rsidRPr="009A0383">
              <w:t>963</w:t>
            </w:r>
          </w:p>
        </w:tc>
        <w:tc>
          <w:tcPr>
            <w:tcW w:w="1021" w:type="dxa"/>
          </w:tcPr>
          <w:p w14:paraId="131B1415" w14:textId="77777777" w:rsidR="00856406" w:rsidRPr="009A0383" w:rsidRDefault="00856406" w:rsidP="009A0383">
            <w:pPr>
              <w:pStyle w:val="TableTextRight"/>
            </w:pPr>
            <w:r w:rsidRPr="009A0383">
              <w:t>900</w:t>
            </w:r>
          </w:p>
        </w:tc>
        <w:tc>
          <w:tcPr>
            <w:tcW w:w="1021" w:type="dxa"/>
          </w:tcPr>
          <w:p w14:paraId="353A5908" w14:textId="7F5F423B" w:rsidR="00856406" w:rsidRPr="009A0383" w:rsidRDefault="00856406" w:rsidP="009A0383">
            <w:pPr>
              <w:pStyle w:val="TableTextRight"/>
            </w:pPr>
            <w:r w:rsidRPr="009A0383">
              <w:t>1171</w:t>
            </w:r>
          </w:p>
        </w:tc>
      </w:tr>
      <w:tr w:rsidR="00856406" w:rsidRPr="009C1F7F" w14:paraId="748EA44D" w14:textId="77777777" w:rsidTr="005B7969">
        <w:trPr>
          <w:trHeight w:val="270"/>
        </w:trPr>
        <w:tc>
          <w:tcPr>
            <w:tcW w:w="3856" w:type="dxa"/>
            <w:hideMark/>
          </w:tcPr>
          <w:p w14:paraId="49827A37" w14:textId="77777777" w:rsidR="00856406" w:rsidRPr="00717004" w:rsidRDefault="00856406" w:rsidP="009A0383">
            <w:pPr>
              <w:pStyle w:val="TableText"/>
            </w:pPr>
            <w:r w:rsidRPr="009D5FDD">
              <w:t>Residen</w:t>
            </w:r>
            <w:r>
              <w:t>ti</w:t>
            </w:r>
            <w:r w:rsidRPr="009D5FDD">
              <w:t>al</w:t>
            </w:r>
            <w:r>
              <w:t xml:space="preserve"> </w:t>
            </w:r>
            <w:r w:rsidRPr="009D5FDD">
              <w:t>Tenancies</w:t>
            </w:r>
            <w:r>
              <w:t xml:space="preserve"> </w:t>
            </w:r>
            <w:r w:rsidRPr="009D5FDD">
              <w:t>Bond</w:t>
            </w:r>
            <w:r>
              <w:t xml:space="preserve"> </w:t>
            </w:r>
            <w:r w:rsidRPr="009D5FDD">
              <w:t>Authority</w:t>
            </w:r>
            <w:r>
              <w:t xml:space="preserve"> </w:t>
            </w:r>
            <w:r w:rsidRPr="009D5FDD">
              <w:t>(RTBA)</w:t>
            </w:r>
            <w:r>
              <w:t xml:space="preserve"> </w:t>
            </w:r>
            <w:r w:rsidRPr="009D5FDD">
              <w:t>user</w:t>
            </w:r>
            <w:r>
              <w:t xml:space="preserve"> </w:t>
            </w:r>
            <w:r w:rsidRPr="009D5FDD">
              <w:t>transac</w:t>
            </w:r>
            <w:r>
              <w:t>ti</w:t>
            </w:r>
            <w:r w:rsidRPr="009D5FDD">
              <w:t>ons</w:t>
            </w:r>
            <w:r>
              <w:t xml:space="preserve"> </w:t>
            </w:r>
            <w:r w:rsidRPr="009D5FDD">
              <w:t>completed</w:t>
            </w:r>
          </w:p>
        </w:tc>
        <w:tc>
          <w:tcPr>
            <w:tcW w:w="1134" w:type="dxa"/>
            <w:hideMark/>
          </w:tcPr>
          <w:p w14:paraId="2D976D1E" w14:textId="77777777" w:rsidR="00856406" w:rsidRPr="00717004" w:rsidRDefault="00856406" w:rsidP="009A0383">
            <w:pPr>
              <w:pStyle w:val="TableText"/>
            </w:pPr>
            <w:r w:rsidRPr="00717004">
              <w:t>Number</w:t>
            </w:r>
            <w:r>
              <w:t xml:space="preserve"> </w:t>
            </w:r>
          </w:p>
        </w:tc>
        <w:tc>
          <w:tcPr>
            <w:tcW w:w="1021" w:type="dxa"/>
          </w:tcPr>
          <w:p w14:paraId="2541E946" w14:textId="65A1D324" w:rsidR="00856406" w:rsidRPr="00717004" w:rsidRDefault="00856406" w:rsidP="009A0383">
            <w:pPr>
              <w:pStyle w:val="TableTextRight"/>
            </w:pPr>
            <w:r w:rsidRPr="00717004">
              <w:t>479,849</w:t>
            </w:r>
          </w:p>
        </w:tc>
        <w:tc>
          <w:tcPr>
            <w:tcW w:w="1021" w:type="dxa"/>
            <w:hideMark/>
          </w:tcPr>
          <w:p w14:paraId="6C9EDFF2" w14:textId="77777777" w:rsidR="00856406" w:rsidRPr="00717004" w:rsidRDefault="00856406" w:rsidP="009A0383">
            <w:pPr>
              <w:pStyle w:val="TableTextRight"/>
            </w:pPr>
            <w:r w:rsidRPr="00717004">
              <w:t>497,780</w:t>
            </w:r>
          </w:p>
        </w:tc>
        <w:tc>
          <w:tcPr>
            <w:tcW w:w="1021" w:type="dxa"/>
          </w:tcPr>
          <w:p w14:paraId="260225A0" w14:textId="77777777" w:rsidR="00856406" w:rsidRPr="00717004" w:rsidRDefault="00856406" w:rsidP="009A0383">
            <w:pPr>
              <w:pStyle w:val="TableTextRight"/>
            </w:pPr>
            <w:r w:rsidRPr="00717004">
              <w:t>493,000</w:t>
            </w:r>
          </w:p>
        </w:tc>
        <w:tc>
          <w:tcPr>
            <w:tcW w:w="1021" w:type="dxa"/>
          </w:tcPr>
          <w:p w14:paraId="3B6A3561" w14:textId="77777777" w:rsidR="00856406" w:rsidRPr="00717004" w:rsidRDefault="00856406" w:rsidP="009A0383">
            <w:pPr>
              <w:pStyle w:val="TableTextRight"/>
            </w:pPr>
            <w:r w:rsidRPr="00717004">
              <w:t>504,016</w:t>
            </w:r>
          </w:p>
        </w:tc>
      </w:tr>
      <w:tr w:rsidR="00856406" w:rsidRPr="009C1F7F" w14:paraId="55DB18CC" w14:textId="77777777" w:rsidTr="005B7969">
        <w:trPr>
          <w:trHeight w:val="270"/>
        </w:trPr>
        <w:tc>
          <w:tcPr>
            <w:tcW w:w="3856" w:type="dxa"/>
            <w:hideMark/>
          </w:tcPr>
          <w:p w14:paraId="1F42048D" w14:textId="77777777" w:rsidR="00856406" w:rsidRPr="00717004" w:rsidRDefault="00856406" w:rsidP="009A0383">
            <w:pPr>
              <w:pStyle w:val="TableText"/>
            </w:pPr>
            <w:r w:rsidRPr="00D74BDC">
              <w:t>Registra</w:t>
            </w:r>
            <w:r>
              <w:t>ti</w:t>
            </w:r>
            <w:r w:rsidRPr="00D74BDC">
              <w:t>on</w:t>
            </w:r>
            <w:r>
              <w:t xml:space="preserve"> </w:t>
            </w:r>
            <w:r w:rsidRPr="00D74BDC">
              <w:t>and</w:t>
            </w:r>
            <w:r>
              <w:t xml:space="preserve"> </w:t>
            </w:r>
            <w:r w:rsidRPr="00D74BDC">
              <w:t>licensing</w:t>
            </w:r>
            <w:r>
              <w:t xml:space="preserve"> </w:t>
            </w:r>
            <w:r w:rsidRPr="00D74BDC">
              <w:t>user</w:t>
            </w:r>
            <w:r>
              <w:t xml:space="preserve"> </w:t>
            </w:r>
            <w:r w:rsidRPr="00D74BDC">
              <w:t>transac</w:t>
            </w:r>
            <w:r>
              <w:t>ti</w:t>
            </w:r>
            <w:r w:rsidRPr="00D74BDC">
              <w:t>ons</w:t>
            </w:r>
            <w:r>
              <w:t xml:space="preserve"> </w:t>
            </w:r>
            <w:r w:rsidRPr="00D74BDC">
              <w:t>undertaken</w:t>
            </w:r>
          </w:p>
        </w:tc>
        <w:tc>
          <w:tcPr>
            <w:tcW w:w="1134" w:type="dxa"/>
            <w:hideMark/>
          </w:tcPr>
          <w:p w14:paraId="42B56253" w14:textId="77777777" w:rsidR="00856406" w:rsidRPr="00717004" w:rsidRDefault="00856406" w:rsidP="009A0383">
            <w:pPr>
              <w:pStyle w:val="TableText"/>
            </w:pPr>
            <w:r w:rsidRPr="00717004">
              <w:t>Number</w:t>
            </w:r>
            <w:r>
              <w:t xml:space="preserve"> </w:t>
            </w:r>
          </w:p>
        </w:tc>
        <w:tc>
          <w:tcPr>
            <w:tcW w:w="1021" w:type="dxa"/>
          </w:tcPr>
          <w:p w14:paraId="4389E078" w14:textId="77777777" w:rsidR="00856406" w:rsidRPr="00717004" w:rsidRDefault="00856406" w:rsidP="009A0383">
            <w:pPr>
              <w:pStyle w:val="TableTextRight"/>
            </w:pPr>
            <w:r w:rsidRPr="00717004">
              <w:t>106,065</w:t>
            </w:r>
          </w:p>
        </w:tc>
        <w:tc>
          <w:tcPr>
            <w:tcW w:w="1021" w:type="dxa"/>
            <w:hideMark/>
          </w:tcPr>
          <w:p w14:paraId="1B753F07" w14:textId="77777777" w:rsidR="00856406" w:rsidRPr="00717004" w:rsidRDefault="00856406" w:rsidP="009A0383">
            <w:pPr>
              <w:pStyle w:val="TableTextRight"/>
            </w:pPr>
            <w:r w:rsidRPr="00717004">
              <w:t>107,943</w:t>
            </w:r>
          </w:p>
        </w:tc>
        <w:tc>
          <w:tcPr>
            <w:tcW w:w="1021" w:type="dxa"/>
          </w:tcPr>
          <w:p w14:paraId="7BFFA470" w14:textId="77777777" w:rsidR="00856406" w:rsidRPr="00717004" w:rsidRDefault="00856406" w:rsidP="009A0383">
            <w:pPr>
              <w:pStyle w:val="TableTextRight"/>
            </w:pPr>
            <w:r w:rsidRPr="00717004">
              <w:t>107,900</w:t>
            </w:r>
          </w:p>
        </w:tc>
        <w:tc>
          <w:tcPr>
            <w:tcW w:w="1021" w:type="dxa"/>
          </w:tcPr>
          <w:p w14:paraId="19546609" w14:textId="77777777" w:rsidR="00856406" w:rsidRPr="00717004" w:rsidRDefault="00856406" w:rsidP="009A0383">
            <w:pPr>
              <w:pStyle w:val="TableTextRight"/>
            </w:pPr>
            <w:r w:rsidRPr="00717004">
              <w:t>108,238</w:t>
            </w:r>
          </w:p>
        </w:tc>
      </w:tr>
      <w:tr w:rsidR="00856406" w:rsidRPr="009C1F7F" w14:paraId="5FAB607A" w14:textId="77777777" w:rsidTr="005B7969">
        <w:trPr>
          <w:trHeight w:val="270"/>
        </w:trPr>
        <w:tc>
          <w:tcPr>
            <w:tcW w:w="3856" w:type="dxa"/>
            <w:hideMark/>
          </w:tcPr>
          <w:p w14:paraId="5153266C" w14:textId="77777777" w:rsidR="00856406" w:rsidRPr="00717004" w:rsidRDefault="00856406" w:rsidP="009A0383">
            <w:pPr>
              <w:pStyle w:val="TableText"/>
            </w:pPr>
            <w:r w:rsidRPr="00717004">
              <w:t>Victim</w:t>
            </w:r>
            <w:r>
              <w:t xml:space="preserve"> </w:t>
            </w:r>
            <w:r w:rsidRPr="00717004">
              <w:t>s</w:t>
            </w:r>
            <w:r>
              <w:t xml:space="preserve">urvivors </w:t>
            </w:r>
            <w:r w:rsidRPr="00717004">
              <w:t>of</w:t>
            </w:r>
            <w:r>
              <w:t xml:space="preserve"> </w:t>
            </w:r>
            <w:r w:rsidRPr="00717004">
              <w:t>family</w:t>
            </w:r>
            <w:r>
              <w:t xml:space="preserve"> </w:t>
            </w:r>
            <w:r w:rsidRPr="00717004">
              <w:t>violence</w:t>
            </w:r>
            <w:r>
              <w:t xml:space="preserve"> </w:t>
            </w:r>
            <w:r w:rsidRPr="00717004">
              <w:t>assisted</w:t>
            </w:r>
            <w:r>
              <w:t xml:space="preserve"> </w:t>
            </w:r>
            <w:r w:rsidRPr="00717004">
              <w:t>with</w:t>
            </w:r>
            <w:r>
              <w:t xml:space="preserve"> </w:t>
            </w:r>
            <w:r w:rsidRPr="00717004">
              <w:t>financial</w:t>
            </w:r>
            <w:r>
              <w:t xml:space="preserve"> </w:t>
            </w:r>
            <w:r w:rsidRPr="00717004">
              <w:t>counselling</w:t>
            </w:r>
          </w:p>
        </w:tc>
        <w:tc>
          <w:tcPr>
            <w:tcW w:w="1134" w:type="dxa"/>
            <w:hideMark/>
          </w:tcPr>
          <w:p w14:paraId="7DF5CEAE" w14:textId="77777777" w:rsidR="00856406" w:rsidRPr="00717004" w:rsidRDefault="00856406" w:rsidP="009A0383">
            <w:pPr>
              <w:pStyle w:val="TableText"/>
            </w:pPr>
            <w:r w:rsidRPr="00717004">
              <w:t>Number</w:t>
            </w:r>
            <w:r>
              <w:t xml:space="preserve"> </w:t>
            </w:r>
          </w:p>
        </w:tc>
        <w:tc>
          <w:tcPr>
            <w:tcW w:w="1021" w:type="dxa"/>
          </w:tcPr>
          <w:p w14:paraId="5A06D40F" w14:textId="77777777" w:rsidR="00856406" w:rsidRPr="00717004" w:rsidRDefault="00856406" w:rsidP="009A0383">
            <w:pPr>
              <w:pStyle w:val="TableTextRight"/>
            </w:pPr>
            <w:r w:rsidRPr="00717004">
              <w:t>3,806</w:t>
            </w:r>
          </w:p>
        </w:tc>
        <w:tc>
          <w:tcPr>
            <w:tcW w:w="1021" w:type="dxa"/>
            <w:hideMark/>
          </w:tcPr>
          <w:p w14:paraId="53021E30" w14:textId="77777777" w:rsidR="00856406" w:rsidRPr="00717004" w:rsidRDefault="00856406" w:rsidP="009A0383">
            <w:pPr>
              <w:pStyle w:val="TableTextRight"/>
            </w:pPr>
            <w:r w:rsidRPr="00717004">
              <w:t>4,164</w:t>
            </w:r>
          </w:p>
        </w:tc>
        <w:tc>
          <w:tcPr>
            <w:tcW w:w="1021" w:type="dxa"/>
          </w:tcPr>
          <w:p w14:paraId="134CF001" w14:textId="77777777" w:rsidR="00856406" w:rsidRPr="00717004" w:rsidRDefault="00856406" w:rsidP="009A0383">
            <w:pPr>
              <w:pStyle w:val="TableTextRight"/>
            </w:pPr>
            <w:r w:rsidRPr="00717004">
              <w:t>3,750</w:t>
            </w:r>
          </w:p>
        </w:tc>
        <w:tc>
          <w:tcPr>
            <w:tcW w:w="1021" w:type="dxa"/>
          </w:tcPr>
          <w:p w14:paraId="09A024AB" w14:textId="77777777" w:rsidR="00856406" w:rsidRPr="00717004" w:rsidRDefault="00856406" w:rsidP="009A0383">
            <w:pPr>
              <w:pStyle w:val="TableTextRight"/>
            </w:pPr>
            <w:r w:rsidRPr="00717004">
              <w:t>3,7</w:t>
            </w:r>
            <w:r>
              <w:t>28</w:t>
            </w:r>
          </w:p>
        </w:tc>
      </w:tr>
      <w:tr w:rsidR="00856406" w:rsidRPr="009C1F7F" w14:paraId="5AEA8D63" w14:textId="77777777" w:rsidTr="005B7969">
        <w:trPr>
          <w:trHeight w:val="15"/>
        </w:trPr>
        <w:tc>
          <w:tcPr>
            <w:tcW w:w="1134" w:type="dxa"/>
            <w:gridSpan w:val="6"/>
            <w:shd w:val="clear" w:color="auto" w:fill="BCCAE5"/>
            <w:hideMark/>
          </w:tcPr>
          <w:p w14:paraId="4CA1168A" w14:textId="77777777" w:rsidR="00856406" w:rsidRPr="00717004" w:rsidRDefault="00856406" w:rsidP="009A0383">
            <w:pPr>
              <w:pStyle w:val="TableTextBold"/>
            </w:pPr>
            <w:r w:rsidRPr="00717004">
              <w:t>Quality</w:t>
            </w:r>
            <w:r>
              <w:t xml:space="preserve"> </w:t>
            </w:r>
          </w:p>
        </w:tc>
      </w:tr>
      <w:tr w:rsidR="00856406" w:rsidRPr="009C1F7F" w14:paraId="1314E139" w14:textId="77777777" w:rsidTr="005B7969">
        <w:trPr>
          <w:trHeight w:val="15"/>
        </w:trPr>
        <w:tc>
          <w:tcPr>
            <w:tcW w:w="3856" w:type="dxa"/>
            <w:hideMark/>
          </w:tcPr>
          <w:p w14:paraId="733F0653" w14:textId="77777777" w:rsidR="00856406" w:rsidRPr="00717004" w:rsidRDefault="00856406" w:rsidP="009A0383">
            <w:pPr>
              <w:pStyle w:val="TableText"/>
            </w:pPr>
            <w:r>
              <w:t xml:space="preserve">Percentage </w:t>
            </w:r>
            <w:r w:rsidRPr="00717004">
              <w:t>of</w:t>
            </w:r>
            <w:r>
              <w:t xml:space="preserve"> </w:t>
            </w:r>
            <w:r w:rsidRPr="00717004">
              <w:t>high</w:t>
            </w:r>
            <w:r>
              <w:t xml:space="preserve"> </w:t>
            </w:r>
            <w:r w:rsidRPr="00717004">
              <w:t>priority</w:t>
            </w:r>
            <w:r>
              <w:t xml:space="preserve"> </w:t>
            </w:r>
            <w:r w:rsidRPr="00717004">
              <w:t>breaches</w:t>
            </w:r>
            <w:r>
              <w:t xml:space="preserve"> in relation to consumer laws that result in a </w:t>
            </w:r>
            <w:r w:rsidRPr="00717004">
              <w:t>regulatory</w:t>
            </w:r>
            <w:r>
              <w:t xml:space="preserve"> </w:t>
            </w:r>
            <w:r w:rsidRPr="00717004">
              <w:t>response</w:t>
            </w:r>
            <w:r>
              <w:t xml:space="preserve"> </w:t>
            </w:r>
          </w:p>
        </w:tc>
        <w:tc>
          <w:tcPr>
            <w:tcW w:w="1134" w:type="dxa"/>
            <w:hideMark/>
          </w:tcPr>
          <w:p w14:paraId="53E2858D" w14:textId="77777777" w:rsidR="00856406" w:rsidRPr="00717004" w:rsidRDefault="00856406" w:rsidP="009A0383">
            <w:pPr>
              <w:pStyle w:val="TableText"/>
            </w:pPr>
            <w:r w:rsidRPr="00717004">
              <w:t>Per</w:t>
            </w:r>
            <w:r>
              <w:t xml:space="preserve"> </w:t>
            </w:r>
            <w:r w:rsidRPr="00717004">
              <w:t>cent</w:t>
            </w:r>
            <w:r>
              <w:t xml:space="preserve"> </w:t>
            </w:r>
          </w:p>
        </w:tc>
        <w:tc>
          <w:tcPr>
            <w:tcW w:w="1021" w:type="dxa"/>
            <w:hideMark/>
          </w:tcPr>
          <w:p w14:paraId="342A658A" w14:textId="77777777" w:rsidR="00856406" w:rsidRPr="00717004" w:rsidRDefault="00856406" w:rsidP="009A0383">
            <w:pPr>
              <w:pStyle w:val="TableTextRight"/>
            </w:pPr>
            <w:r w:rsidRPr="00717004">
              <w:t>99</w:t>
            </w:r>
          </w:p>
        </w:tc>
        <w:tc>
          <w:tcPr>
            <w:tcW w:w="1021" w:type="dxa"/>
            <w:hideMark/>
          </w:tcPr>
          <w:p w14:paraId="59862783" w14:textId="77777777" w:rsidR="00856406" w:rsidRPr="00717004" w:rsidRDefault="00856406" w:rsidP="009A0383">
            <w:pPr>
              <w:pStyle w:val="TableTextRight"/>
            </w:pPr>
            <w:r w:rsidRPr="00717004">
              <w:t>99</w:t>
            </w:r>
          </w:p>
        </w:tc>
        <w:tc>
          <w:tcPr>
            <w:tcW w:w="1021" w:type="dxa"/>
          </w:tcPr>
          <w:p w14:paraId="0AA6B844" w14:textId="77777777" w:rsidR="00856406" w:rsidRPr="00717004" w:rsidRDefault="00856406" w:rsidP="009A0383">
            <w:pPr>
              <w:pStyle w:val="TableTextRight"/>
            </w:pPr>
            <w:r w:rsidRPr="00717004">
              <w:t>100</w:t>
            </w:r>
          </w:p>
        </w:tc>
        <w:tc>
          <w:tcPr>
            <w:tcW w:w="1021" w:type="dxa"/>
          </w:tcPr>
          <w:p w14:paraId="38F7BCDB" w14:textId="77777777" w:rsidR="00856406" w:rsidRPr="00717004" w:rsidRDefault="00856406" w:rsidP="009A0383">
            <w:pPr>
              <w:pStyle w:val="TableTextRight"/>
            </w:pPr>
            <w:r w:rsidRPr="00717004">
              <w:t>100</w:t>
            </w:r>
          </w:p>
        </w:tc>
      </w:tr>
      <w:tr w:rsidR="00856406" w:rsidRPr="009C1F7F" w14:paraId="10276B6E" w14:textId="77777777" w:rsidTr="005B7969">
        <w:trPr>
          <w:trHeight w:val="15"/>
        </w:trPr>
        <w:tc>
          <w:tcPr>
            <w:tcW w:w="3856" w:type="dxa"/>
            <w:hideMark/>
          </w:tcPr>
          <w:p w14:paraId="2310FC02" w14:textId="77777777" w:rsidR="00856406" w:rsidRPr="00717004" w:rsidRDefault="00856406" w:rsidP="009A0383">
            <w:pPr>
              <w:pStyle w:val="TableText"/>
            </w:pPr>
            <w:r w:rsidRPr="00717004">
              <w:t>Rate</w:t>
            </w:r>
            <w:r>
              <w:t xml:space="preserve"> </w:t>
            </w:r>
            <w:r w:rsidRPr="00717004">
              <w:t>of</w:t>
            </w:r>
            <w:r>
              <w:t xml:space="preserve"> </w:t>
            </w:r>
            <w:r w:rsidRPr="00717004">
              <w:t>compliance</w:t>
            </w:r>
            <w:r>
              <w:t xml:space="preserve"> </w:t>
            </w:r>
            <w:r w:rsidRPr="00717004">
              <w:t>with</w:t>
            </w:r>
            <w:r>
              <w:t xml:space="preserve"> </w:t>
            </w:r>
            <w:r w:rsidRPr="00717004">
              <w:t>key</w:t>
            </w:r>
            <w:r>
              <w:t xml:space="preserve"> </w:t>
            </w:r>
            <w:r w:rsidRPr="00717004">
              <w:t>consumer</w:t>
            </w:r>
            <w:r>
              <w:t xml:space="preserve"> </w:t>
            </w:r>
            <w:r w:rsidRPr="00717004">
              <w:t>laws</w:t>
            </w:r>
            <w:r>
              <w:t xml:space="preserve"> </w:t>
            </w:r>
          </w:p>
        </w:tc>
        <w:tc>
          <w:tcPr>
            <w:tcW w:w="1134" w:type="dxa"/>
            <w:hideMark/>
          </w:tcPr>
          <w:p w14:paraId="5DA0AA52" w14:textId="77777777" w:rsidR="00856406" w:rsidRPr="00717004" w:rsidRDefault="00856406" w:rsidP="009A0383">
            <w:pPr>
              <w:pStyle w:val="TableText"/>
            </w:pPr>
            <w:r w:rsidRPr="00717004">
              <w:t>Per</w:t>
            </w:r>
            <w:r>
              <w:t xml:space="preserve"> </w:t>
            </w:r>
            <w:r w:rsidRPr="00717004">
              <w:t>cent</w:t>
            </w:r>
            <w:r>
              <w:t xml:space="preserve"> </w:t>
            </w:r>
          </w:p>
        </w:tc>
        <w:tc>
          <w:tcPr>
            <w:tcW w:w="1021" w:type="dxa"/>
            <w:hideMark/>
          </w:tcPr>
          <w:p w14:paraId="77B30492" w14:textId="77777777" w:rsidR="00856406" w:rsidRPr="00717004" w:rsidRDefault="00856406" w:rsidP="009A0383">
            <w:pPr>
              <w:pStyle w:val="TableTextRight"/>
            </w:pPr>
            <w:r w:rsidRPr="00717004">
              <w:t>94</w:t>
            </w:r>
          </w:p>
        </w:tc>
        <w:tc>
          <w:tcPr>
            <w:tcW w:w="1021" w:type="dxa"/>
            <w:hideMark/>
          </w:tcPr>
          <w:p w14:paraId="29C34DC0" w14:textId="77777777" w:rsidR="00856406" w:rsidRPr="00717004" w:rsidRDefault="00856406" w:rsidP="009A0383">
            <w:pPr>
              <w:pStyle w:val="TableTextRight"/>
            </w:pPr>
            <w:r w:rsidRPr="00717004">
              <w:t>91</w:t>
            </w:r>
          </w:p>
        </w:tc>
        <w:tc>
          <w:tcPr>
            <w:tcW w:w="1021" w:type="dxa"/>
          </w:tcPr>
          <w:p w14:paraId="448A8A34" w14:textId="77777777" w:rsidR="00856406" w:rsidRPr="00717004" w:rsidRDefault="00856406" w:rsidP="009A0383">
            <w:pPr>
              <w:pStyle w:val="TableTextRight"/>
            </w:pPr>
            <w:r w:rsidRPr="00717004">
              <w:t>95</w:t>
            </w:r>
          </w:p>
        </w:tc>
        <w:tc>
          <w:tcPr>
            <w:tcW w:w="1021" w:type="dxa"/>
          </w:tcPr>
          <w:p w14:paraId="11E4C35C" w14:textId="77777777" w:rsidR="00856406" w:rsidRPr="00717004" w:rsidRDefault="00856406" w:rsidP="009A0383">
            <w:pPr>
              <w:pStyle w:val="TableTextRight"/>
            </w:pPr>
            <w:r w:rsidRPr="00717004">
              <w:t>97</w:t>
            </w:r>
          </w:p>
        </w:tc>
      </w:tr>
      <w:tr w:rsidR="00856406" w:rsidRPr="009C1F7F" w14:paraId="669E1C20" w14:textId="77777777" w:rsidTr="005B7969">
        <w:trPr>
          <w:trHeight w:val="15"/>
        </w:trPr>
        <w:tc>
          <w:tcPr>
            <w:tcW w:w="1134" w:type="dxa"/>
            <w:gridSpan w:val="6"/>
            <w:shd w:val="clear" w:color="auto" w:fill="BCCAE5"/>
            <w:hideMark/>
          </w:tcPr>
          <w:p w14:paraId="5351079E" w14:textId="77777777" w:rsidR="00856406" w:rsidRPr="00717004" w:rsidRDefault="00856406" w:rsidP="009A0383">
            <w:pPr>
              <w:pStyle w:val="TableTextBold"/>
            </w:pPr>
            <w:r w:rsidRPr="00717004">
              <w:t>Timeliness</w:t>
            </w:r>
            <w:r>
              <w:t xml:space="preserve"> </w:t>
            </w:r>
          </w:p>
        </w:tc>
      </w:tr>
      <w:tr w:rsidR="00856406" w:rsidRPr="009C1F7F" w14:paraId="12641327" w14:textId="77777777" w:rsidTr="005B7969">
        <w:trPr>
          <w:trHeight w:val="15"/>
        </w:trPr>
        <w:tc>
          <w:tcPr>
            <w:tcW w:w="3856" w:type="dxa"/>
            <w:hideMark/>
          </w:tcPr>
          <w:p w14:paraId="5AA9EEC2" w14:textId="77777777" w:rsidR="00856406" w:rsidRPr="00717004" w:rsidRDefault="00856406" w:rsidP="009A0383">
            <w:pPr>
              <w:pStyle w:val="TableText"/>
            </w:pPr>
            <w:r w:rsidRPr="00717004">
              <w:t>Regulatory</w:t>
            </w:r>
            <w:r>
              <w:t xml:space="preserve"> </w:t>
            </w:r>
            <w:r w:rsidRPr="00717004">
              <w:t>functions</w:t>
            </w:r>
            <w:r>
              <w:t xml:space="preserve"> </w:t>
            </w:r>
            <w:r w:rsidRPr="00717004">
              <w:t>delivered</w:t>
            </w:r>
            <w:r>
              <w:t xml:space="preserve"> </w:t>
            </w:r>
            <w:r w:rsidRPr="00717004">
              <w:t>within</w:t>
            </w:r>
            <w:r>
              <w:t xml:space="preserve"> </w:t>
            </w:r>
            <w:r w:rsidRPr="00717004">
              <w:t>agreed</w:t>
            </w:r>
            <w:r>
              <w:t xml:space="preserve"> </w:t>
            </w:r>
            <w:r w:rsidRPr="00717004">
              <w:t>time</w:t>
            </w:r>
            <w:r>
              <w:t xml:space="preserve"> </w:t>
            </w:r>
            <w:r w:rsidRPr="00717004">
              <w:t>frames</w:t>
            </w:r>
            <w:r>
              <w:t xml:space="preserve"> </w:t>
            </w:r>
          </w:p>
        </w:tc>
        <w:tc>
          <w:tcPr>
            <w:tcW w:w="1134" w:type="dxa"/>
            <w:hideMark/>
          </w:tcPr>
          <w:p w14:paraId="44398156" w14:textId="77777777" w:rsidR="00856406" w:rsidRPr="00717004" w:rsidRDefault="00856406" w:rsidP="009A0383">
            <w:pPr>
              <w:pStyle w:val="TableText"/>
            </w:pPr>
            <w:r w:rsidRPr="00717004">
              <w:t>Per</w:t>
            </w:r>
            <w:r>
              <w:t xml:space="preserve"> </w:t>
            </w:r>
            <w:r w:rsidRPr="00717004">
              <w:t>cent</w:t>
            </w:r>
            <w:r>
              <w:t xml:space="preserve"> </w:t>
            </w:r>
          </w:p>
        </w:tc>
        <w:tc>
          <w:tcPr>
            <w:tcW w:w="1021" w:type="dxa"/>
            <w:hideMark/>
          </w:tcPr>
          <w:p w14:paraId="6D23998E" w14:textId="77777777" w:rsidR="00856406" w:rsidRPr="00717004" w:rsidRDefault="00856406" w:rsidP="009A0383">
            <w:pPr>
              <w:pStyle w:val="TableTextRight"/>
            </w:pPr>
            <w:r w:rsidRPr="00717004">
              <w:t>95</w:t>
            </w:r>
          </w:p>
        </w:tc>
        <w:tc>
          <w:tcPr>
            <w:tcW w:w="1021" w:type="dxa"/>
            <w:hideMark/>
          </w:tcPr>
          <w:p w14:paraId="09C6CA36" w14:textId="77777777" w:rsidR="00856406" w:rsidRPr="00717004" w:rsidRDefault="00856406" w:rsidP="009A0383">
            <w:pPr>
              <w:pStyle w:val="TableTextRight"/>
            </w:pPr>
            <w:r w:rsidRPr="00717004">
              <w:t>94</w:t>
            </w:r>
          </w:p>
        </w:tc>
        <w:tc>
          <w:tcPr>
            <w:tcW w:w="1021" w:type="dxa"/>
          </w:tcPr>
          <w:p w14:paraId="2A482334" w14:textId="77777777" w:rsidR="00856406" w:rsidRPr="00717004" w:rsidRDefault="00856406" w:rsidP="009A0383">
            <w:pPr>
              <w:pStyle w:val="TableTextRight"/>
            </w:pPr>
            <w:r w:rsidRPr="00717004">
              <w:t>95</w:t>
            </w:r>
          </w:p>
        </w:tc>
        <w:tc>
          <w:tcPr>
            <w:tcW w:w="1021" w:type="dxa"/>
          </w:tcPr>
          <w:p w14:paraId="2C7B5477" w14:textId="77777777" w:rsidR="00856406" w:rsidRPr="00717004" w:rsidRDefault="00856406" w:rsidP="009A0383">
            <w:pPr>
              <w:pStyle w:val="TableTextRight"/>
            </w:pPr>
            <w:r w:rsidRPr="00717004">
              <w:t>98</w:t>
            </w:r>
          </w:p>
        </w:tc>
      </w:tr>
      <w:tr w:rsidR="00856406" w:rsidRPr="009C1F7F" w14:paraId="3376BA96" w14:textId="77777777" w:rsidTr="005B7969">
        <w:trPr>
          <w:trHeight w:val="15"/>
        </w:trPr>
        <w:tc>
          <w:tcPr>
            <w:tcW w:w="1134" w:type="dxa"/>
            <w:gridSpan w:val="6"/>
            <w:shd w:val="clear" w:color="auto" w:fill="BCCAE5"/>
            <w:hideMark/>
          </w:tcPr>
          <w:p w14:paraId="243F824E" w14:textId="77777777" w:rsidR="00856406" w:rsidRPr="00717004" w:rsidRDefault="00856406" w:rsidP="009A0383">
            <w:pPr>
              <w:pStyle w:val="TableTextBold"/>
            </w:pPr>
            <w:r w:rsidRPr="00717004">
              <w:rPr>
                <w:bCs/>
              </w:rPr>
              <w:t>Cost</w:t>
            </w:r>
            <w:r>
              <w:t xml:space="preserve"> (for the output: ‘</w:t>
            </w:r>
            <w:r w:rsidRPr="00674176">
              <w:t>Regulation</w:t>
            </w:r>
            <w:r>
              <w:t xml:space="preserve"> </w:t>
            </w:r>
            <w:r w:rsidRPr="00674176">
              <w:t>of</w:t>
            </w:r>
            <w:r>
              <w:t xml:space="preserve"> </w:t>
            </w:r>
            <w:r w:rsidRPr="00674176">
              <w:t>the</w:t>
            </w:r>
            <w:r>
              <w:t xml:space="preserve"> </w:t>
            </w:r>
            <w:r w:rsidRPr="00674176">
              <w:t>Victorian</w:t>
            </w:r>
            <w:r>
              <w:t xml:space="preserve"> </w:t>
            </w:r>
            <w:r w:rsidRPr="00674176">
              <w:t>Consumer</w:t>
            </w:r>
            <w:r>
              <w:t xml:space="preserve"> </w:t>
            </w:r>
            <w:r w:rsidRPr="00674176">
              <w:t>Marketplace</w:t>
            </w:r>
            <w:r>
              <w:t>’)</w:t>
            </w:r>
            <w:r>
              <w:rPr>
                <w:rStyle w:val="FootnoteReference"/>
              </w:rPr>
              <w:footnoteReference w:id="3"/>
            </w:r>
          </w:p>
        </w:tc>
      </w:tr>
      <w:tr w:rsidR="00856406" w:rsidRPr="009C1F7F" w14:paraId="0385692F" w14:textId="77777777" w:rsidTr="005B7969">
        <w:trPr>
          <w:trHeight w:val="15"/>
        </w:trPr>
        <w:tc>
          <w:tcPr>
            <w:tcW w:w="3856" w:type="dxa"/>
            <w:hideMark/>
          </w:tcPr>
          <w:p w14:paraId="6CE0D492" w14:textId="77777777" w:rsidR="00856406" w:rsidRPr="00717004" w:rsidRDefault="00856406" w:rsidP="009A0383">
            <w:pPr>
              <w:pStyle w:val="TableText"/>
            </w:pPr>
            <w:r w:rsidRPr="00717004">
              <w:t>Total</w:t>
            </w:r>
            <w:r>
              <w:t xml:space="preserve"> </w:t>
            </w:r>
            <w:r w:rsidRPr="00717004">
              <w:t>output</w:t>
            </w:r>
            <w:r>
              <w:t xml:space="preserve"> </w:t>
            </w:r>
            <w:r w:rsidRPr="00717004">
              <w:t>cost</w:t>
            </w:r>
            <w:r>
              <w:rPr>
                <w:rStyle w:val="FootnoteReference"/>
              </w:rPr>
              <w:footnoteReference w:id="4"/>
            </w:r>
          </w:p>
        </w:tc>
        <w:tc>
          <w:tcPr>
            <w:tcW w:w="1134" w:type="dxa"/>
            <w:hideMark/>
          </w:tcPr>
          <w:p w14:paraId="0847DB34" w14:textId="77777777" w:rsidR="00856406" w:rsidRPr="00717004" w:rsidRDefault="00856406" w:rsidP="009A0383">
            <w:pPr>
              <w:pStyle w:val="TableText"/>
            </w:pPr>
            <w:r w:rsidRPr="00717004">
              <w:t>$</w:t>
            </w:r>
            <w:r>
              <w:t xml:space="preserve"> </w:t>
            </w:r>
            <w:r w:rsidRPr="00717004">
              <w:t>million</w:t>
            </w:r>
            <w:r>
              <w:t xml:space="preserve"> </w:t>
            </w:r>
          </w:p>
        </w:tc>
        <w:tc>
          <w:tcPr>
            <w:tcW w:w="1021" w:type="dxa"/>
            <w:hideMark/>
          </w:tcPr>
          <w:p w14:paraId="47B11E9A" w14:textId="77777777" w:rsidR="00856406" w:rsidRPr="00717004" w:rsidRDefault="00856406" w:rsidP="009A0383">
            <w:pPr>
              <w:pStyle w:val="TableTextRight"/>
            </w:pPr>
            <w:r>
              <w:t>133.4</w:t>
            </w:r>
          </w:p>
        </w:tc>
        <w:tc>
          <w:tcPr>
            <w:tcW w:w="1021" w:type="dxa"/>
            <w:hideMark/>
          </w:tcPr>
          <w:p w14:paraId="70EFC313" w14:textId="77777777" w:rsidR="00856406" w:rsidRPr="00717004" w:rsidRDefault="00856406" w:rsidP="009A0383">
            <w:pPr>
              <w:pStyle w:val="TableTextRight"/>
            </w:pPr>
            <w:r w:rsidRPr="00717004">
              <w:t>186.2</w:t>
            </w:r>
          </w:p>
        </w:tc>
        <w:tc>
          <w:tcPr>
            <w:tcW w:w="1021" w:type="dxa"/>
            <w:hideMark/>
          </w:tcPr>
          <w:p w14:paraId="391B9488" w14:textId="77777777" w:rsidR="00856406" w:rsidRPr="00717004" w:rsidRDefault="00856406" w:rsidP="009A0383">
            <w:pPr>
              <w:pStyle w:val="TableTextRight"/>
            </w:pPr>
            <w:r>
              <w:t>134.4</w:t>
            </w:r>
          </w:p>
        </w:tc>
        <w:tc>
          <w:tcPr>
            <w:tcW w:w="1021" w:type="dxa"/>
            <w:hideMark/>
          </w:tcPr>
          <w:p w14:paraId="721DFD25" w14:textId="77777777" w:rsidR="00856406" w:rsidRPr="00717004" w:rsidRDefault="00856406" w:rsidP="009A0383">
            <w:pPr>
              <w:pStyle w:val="TableTextRight"/>
            </w:pPr>
            <w:r>
              <w:t xml:space="preserve"> 176.1</w:t>
            </w:r>
          </w:p>
        </w:tc>
      </w:tr>
    </w:tbl>
    <w:p w14:paraId="78C669E4" w14:textId="02E56EC2" w:rsidR="00856406" w:rsidRPr="00B25EAA" w:rsidRDefault="00856406" w:rsidP="00B71C68">
      <w:pPr>
        <w:pStyle w:val="Heading1"/>
      </w:pPr>
      <w:bookmarkStart w:id="31" w:name="_Toc204243149"/>
      <w:bookmarkStart w:id="32" w:name="_Toc211518575"/>
      <w:bookmarkStart w:id="33" w:name="_Toc212562061"/>
      <w:r w:rsidRPr="00B25EAA">
        <w:t>Our</w:t>
      </w:r>
      <w:r>
        <w:t xml:space="preserve"> </w:t>
      </w:r>
      <w:r w:rsidRPr="00B25EAA">
        <w:t>achievements</w:t>
      </w:r>
      <w:bookmarkEnd w:id="31"/>
      <w:bookmarkEnd w:id="32"/>
      <w:bookmarkEnd w:id="33"/>
    </w:p>
    <w:p w14:paraId="6ED94F94" w14:textId="77777777" w:rsidR="00856406" w:rsidRDefault="00856406" w:rsidP="00447322">
      <w:pPr>
        <w:pStyle w:val="Heading2"/>
      </w:pPr>
      <w:bookmarkStart w:id="34" w:name="_Toc204243150"/>
      <w:bookmarkStart w:id="35" w:name="_Toc211518576"/>
      <w:bookmarkStart w:id="36" w:name="_Toc212562062"/>
      <w:r w:rsidRPr="00CA4A70">
        <w:t>Victorians</w:t>
      </w:r>
      <w:r>
        <w:t xml:space="preserve"> </w:t>
      </w:r>
      <w:r w:rsidRPr="00CA4A70">
        <w:t>exercise</w:t>
      </w:r>
      <w:r>
        <w:t xml:space="preserve"> </w:t>
      </w:r>
      <w:r w:rsidRPr="00CA4A70">
        <w:t>their</w:t>
      </w:r>
      <w:r>
        <w:t xml:space="preserve"> </w:t>
      </w:r>
      <w:r w:rsidRPr="00CA4A70">
        <w:t>consumer</w:t>
      </w:r>
      <w:r>
        <w:t xml:space="preserve"> </w:t>
      </w:r>
      <w:r w:rsidRPr="00CA4A70">
        <w:t>rights</w:t>
      </w:r>
      <w:bookmarkEnd w:id="34"/>
      <w:bookmarkEnd w:id="35"/>
      <w:bookmarkEnd w:id="36"/>
    </w:p>
    <w:p w14:paraId="21CED56E" w14:textId="77777777" w:rsidR="00856406" w:rsidRDefault="00856406" w:rsidP="00447322">
      <w:pPr>
        <w:pStyle w:val="Heading3"/>
      </w:pPr>
      <w:r w:rsidRPr="0074720C">
        <w:t>Frontline</w:t>
      </w:r>
      <w:r>
        <w:t xml:space="preserve"> </w:t>
      </w:r>
      <w:r w:rsidRPr="0074720C">
        <w:t>help</w:t>
      </w:r>
      <w:r>
        <w:t xml:space="preserve"> </w:t>
      </w:r>
      <w:r w:rsidRPr="0074720C">
        <w:t>for</w:t>
      </w:r>
      <w:r>
        <w:t xml:space="preserve"> </w:t>
      </w:r>
      <w:r w:rsidRPr="0074720C">
        <w:t>Victorians</w:t>
      </w:r>
    </w:p>
    <w:p w14:paraId="16DEAFC2" w14:textId="77777777" w:rsidR="00856406" w:rsidRPr="00447322" w:rsidRDefault="00856406" w:rsidP="00447322">
      <w:pPr>
        <w:pStyle w:val="Heading4"/>
      </w:pPr>
      <w:r w:rsidRPr="00447322">
        <w:t>Information, advice and frontline response</w:t>
      </w:r>
    </w:p>
    <w:p w14:paraId="7809744C" w14:textId="77777777" w:rsidR="00856406" w:rsidRDefault="00856406" w:rsidP="00F45F3A">
      <w:pPr>
        <w:pStyle w:val="BodyText"/>
        <w:rPr>
          <w:lang w:eastAsia="ja-JP"/>
        </w:rPr>
      </w:pPr>
      <w:r w:rsidDel="000F0992">
        <w:t>CAV</w:t>
      </w:r>
      <w:r>
        <w:t xml:space="preserve"> </w:t>
      </w:r>
      <w:r w:rsidRPr="00FA6B51">
        <w:t>help</w:t>
      </w:r>
      <w:r>
        <w:t xml:space="preserve">s </w:t>
      </w:r>
      <w:r w:rsidRPr="00FA6B51">
        <w:t>individuals,</w:t>
      </w:r>
      <w:r>
        <w:t xml:space="preserve"> </w:t>
      </w:r>
      <w:r w:rsidRPr="00FA6B51">
        <w:t>businesses</w:t>
      </w:r>
      <w:r>
        <w:t xml:space="preserve"> </w:t>
      </w:r>
      <w:r w:rsidRPr="00FA6B51">
        <w:t>and</w:t>
      </w:r>
      <w:r>
        <w:t xml:space="preserve"> </w:t>
      </w:r>
      <w:r w:rsidRPr="00FA6B51">
        <w:t>organisations</w:t>
      </w:r>
      <w:r>
        <w:t xml:space="preserve"> </w:t>
      </w:r>
      <w:r w:rsidRPr="00FA6B51">
        <w:t>better</w:t>
      </w:r>
      <w:r>
        <w:t xml:space="preserve"> </w:t>
      </w:r>
      <w:r w:rsidRPr="00FA6B51">
        <w:t>understand</w:t>
      </w:r>
      <w:r>
        <w:t xml:space="preserve"> </w:t>
      </w:r>
      <w:r w:rsidRPr="00FA6B51">
        <w:t>their</w:t>
      </w:r>
      <w:r>
        <w:t xml:space="preserve"> </w:t>
      </w:r>
      <w:r w:rsidRPr="00FA6B51">
        <w:t>rights</w:t>
      </w:r>
      <w:r>
        <w:t xml:space="preserve"> </w:t>
      </w:r>
      <w:r w:rsidRPr="00FA6B51">
        <w:t>and</w:t>
      </w:r>
      <w:r>
        <w:t xml:space="preserve"> </w:t>
      </w:r>
      <w:r w:rsidRPr="00FA6B51">
        <w:t>responsibilities</w:t>
      </w:r>
      <w:r>
        <w:t xml:space="preserve"> through our website, contact centre and regional services</w:t>
      </w:r>
      <w:r w:rsidRPr="00FA6B51">
        <w:t>,</w:t>
      </w:r>
      <w:r>
        <w:t xml:space="preserve"> </w:t>
      </w:r>
      <w:r w:rsidRPr="00FA6B51">
        <w:t>empowering</w:t>
      </w:r>
      <w:r>
        <w:t xml:space="preserve"> </w:t>
      </w:r>
      <w:r w:rsidRPr="00FA6B51">
        <w:t>them</w:t>
      </w:r>
      <w:r>
        <w:t xml:space="preserve"> </w:t>
      </w:r>
      <w:r w:rsidRPr="00FA6B51">
        <w:t>to</w:t>
      </w:r>
      <w:r>
        <w:t xml:space="preserve"> </w:t>
      </w:r>
      <w:r w:rsidRPr="00FA6B51">
        <w:t>make</w:t>
      </w:r>
      <w:r>
        <w:t xml:space="preserve"> </w:t>
      </w:r>
      <w:r w:rsidRPr="00FA6B51">
        <w:t>informed</w:t>
      </w:r>
      <w:r>
        <w:t xml:space="preserve"> </w:t>
      </w:r>
      <w:r w:rsidRPr="00FA6B51">
        <w:t>decisions.</w:t>
      </w:r>
      <w:r>
        <w:t xml:space="preserve"> This year o</w:t>
      </w:r>
      <w:r w:rsidRPr="00717004">
        <w:rPr>
          <w:lang w:eastAsia="ja-JP"/>
        </w:rPr>
        <w:t>ur</w:t>
      </w:r>
      <w:r>
        <w:rPr>
          <w:lang w:eastAsia="ja-JP"/>
        </w:rPr>
        <w:t xml:space="preserve"> </w:t>
      </w:r>
      <w:r w:rsidRPr="00717004">
        <w:rPr>
          <w:lang w:eastAsia="ja-JP"/>
        </w:rPr>
        <w:t>website</w:t>
      </w:r>
      <w:r>
        <w:rPr>
          <w:lang w:eastAsia="ja-JP"/>
        </w:rPr>
        <w:t xml:space="preserve"> </w:t>
      </w:r>
      <w:r w:rsidRPr="00717004">
        <w:rPr>
          <w:lang w:eastAsia="ja-JP"/>
        </w:rPr>
        <w:t>attracted</w:t>
      </w:r>
      <w:r>
        <w:rPr>
          <w:lang w:eastAsia="ja-JP"/>
        </w:rPr>
        <w:t xml:space="preserve"> nearly 7 million</w:t>
      </w:r>
      <w:r>
        <w:t xml:space="preserve"> </w:t>
      </w:r>
      <w:r w:rsidRPr="00717004">
        <w:rPr>
          <w:lang w:eastAsia="ja-JP"/>
        </w:rPr>
        <w:t>visits</w:t>
      </w:r>
      <w:r>
        <w:rPr>
          <w:lang w:eastAsia="ja-JP"/>
        </w:rPr>
        <w:t xml:space="preserve"> </w:t>
      </w:r>
      <w:r w:rsidRPr="00717004">
        <w:rPr>
          <w:lang w:eastAsia="ja-JP"/>
        </w:rPr>
        <w:t>and</w:t>
      </w:r>
      <w:r>
        <w:rPr>
          <w:lang w:eastAsia="ja-JP"/>
        </w:rPr>
        <w:t xml:space="preserve"> </w:t>
      </w:r>
      <w:r w:rsidRPr="00717004">
        <w:rPr>
          <w:lang w:eastAsia="ja-JP"/>
        </w:rPr>
        <w:t>we</w:t>
      </w:r>
      <w:r>
        <w:rPr>
          <w:lang w:eastAsia="ja-JP"/>
        </w:rPr>
        <w:t xml:space="preserve"> </w:t>
      </w:r>
      <w:r w:rsidRPr="00717004">
        <w:rPr>
          <w:lang w:eastAsia="ja-JP"/>
        </w:rPr>
        <w:t>handled</w:t>
      </w:r>
      <w:r>
        <w:rPr>
          <w:lang w:eastAsia="ja-JP"/>
        </w:rPr>
        <w:t xml:space="preserve"> over 226,000 </w:t>
      </w:r>
      <w:r w:rsidRPr="00717004">
        <w:rPr>
          <w:lang w:eastAsia="ja-JP"/>
        </w:rPr>
        <w:t>calls</w:t>
      </w:r>
      <w:r>
        <w:rPr>
          <w:lang w:eastAsia="ja-JP"/>
        </w:rPr>
        <w:t xml:space="preserve"> </w:t>
      </w:r>
      <w:r w:rsidRPr="00717004">
        <w:rPr>
          <w:lang w:eastAsia="ja-JP"/>
        </w:rPr>
        <w:t>seeking</w:t>
      </w:r>
      <w:r>
        <w:rPr>
          <w:lang w:eastAsia="ja-JP"/>
        </w:rPr>
        <w:t xml:space="preserve"> </w:t>
      </w:r>
      <w:r w:rsidRPr="00717004">
        <w:rPr>
          <w:lang w:eastAsia="ja-JP"/>
        </w:rPr>
        <w:t>assistance</w:t>
      </w:r>
      <w:r>
        <w:rPr>
          <w:lang w:eastAsia="ja-JP"/>
        </w:rPr>
        <w:t xml:space="preserve"> </w:t>
      </w:r>
      <w:r w:rsidRPr="00717004">
        <w:rPr>
          <w:lang w:eastAsia="ja-JP"/>
        </w:rPr>
        <w:t>and</w:t>
      </w:r>
      <w:r>
        <w:rPr>
          <w:lang w:eastAsia="ja-JP"/>
        </w:rPr>
        <w:t xml:space="preserve"> </w:t>
      </w:r>
      <w:r w:rsidRPr="00717004">
        <w:rPr>
          <w:lang w:eastAsia="ja-JP"/>
        </w:rPr>
        <w:t>advice.</w:t>
      </w:r>
    </w:p>
    <w:p w14:paraId="1DBF8B1C" w14:textId="77777777" w:rsidR="00856406" w:rsidRDefault="00856406" w:rsidP="00F45F3A">
      <w:pPr>
        <w:pStyle w:val="BodyText"/>
      </w:pPr>
      <w:r>
        <w:t xml:space="preserve">We also help resolve </w:t>
      </w:r>
      <w:r w:rsidDel="00F86F38">
        <w:t>minor</w:t>
      </w:r>
      <w:r>
        <w:t xml:space="preserve"> </w:t>
      </w:r>
      <w:r w:rsidRPr="00FA6B51" w:rsidDel="00F86F38">
        <w:t>disputes</w:t>
      </w:r>
      <w:r>
        <w:t xml:space="preserve"> by providing information and advice on rights and obligations, and encouraging compliance and </w:t>
      </w:r>
      <w:r w:rsidRPr="00FA6B51">
        <w:t>conflict-resolution.</w:t>
      </w:r>
      <w:r>
        <w:t xml:space="preserve"> This year, we increased our frontline compliance response to disputes involving potential breaches of the law. As a result, our frontline compliance services increased by more than 40 per cent, significantly enhancing responsiveness to consumer and renting disputes.</w:t>
      </w:r>
    </w:p>
    <w:p w14:paraId="5848829E" w14:textId="77777777" w:rsidR="00856406" w:rsidRDefault="00856406" w:rsidP="00F45F3A">
      <w:pPr>
        <w:pStyle w:val="BodyText"/>
      </w:pPr>
      <w:r w:rsidRPr="00717004">
        <w:rPr>
          <w:lang w:eastAsia="ja-JP"/>
        </w:rPr>
        <w:t>We</w:t>
      </w:r>
      <w:r>
        <w:rPr>
          <w:lang w:eastAsia="ja-JP"/>
        </w:rPr>
        <w:t xml:space="preserve"> </w:t>
      </w:r>
      <w:r w:rsidRPr="00717004">
        <w:rPr>
          <w:lang w:eastAsia="ja-JP"/>
        </w:rPr>
        <w:t>support</w:t>
      </w:r>
      <w:r>
        <w:rPr>
          <w:lang w:eastAsia="ja-JP"/>
        </w:rPr>
        <w:t xml:space="preserve"> </w:t>
      </w:r>
      <w:r w:rsidRPr="00717004">
        <w:rPr>
          <w:lang w:eastAsia="ja-JP"/>
        </w:rPr>
        <w:t>those</w:t>
      </w:r>
      <w:r>
        <w:rPr>
          <w:lang w:eastAsia="ja-JP"/>
        </w:rPr>
        <w:t xml:space="preserve"> </w:t>
      </w:r>
      <w:r w:rsidRPr="00717004">
        <w:rPr>
          <w:lang w:eastAsia="ja-JP"/>
        </w:rPr>
        <w:t>experiencing</w:t>
      </w:r>
      <w:r>
        <w:rPr>
          <w:lang w:eastAsia="ja-JP"/>
        </w:rPr>
        <w:t xml:space="preserve"> </w:t>
      </w:r>
      <w:r w:rsidRPr="00717004">
        <w:rPr>
          <w:lang w:eastAsia="ja-JP"/>
        </w:rPr>
        <w:t>financial</w:t>
      </w:r>
      <w:r>
        <w:rPr>
          <w:lang w:eastAsia="ja-JP"/>
        </w:rPr>
        <w:t xml:space="preserve"> </w:t>
      </w:r>
      <w:r w:rsidRPr="00717004">
        <w:rPr>
          <w:lang w:eastAsia="ja-JP"/>
        </w:rPr>
        <w:t>hardship</w:t>
      </w:r>
      <w:r>
        <w:rPr>
          <w:lang w:eastAsia="ja-JP"/>
        </w:rPr>
        <w:t xml:space="preserve"> </w:t>
      </w:r>
      <w:r w:rsidRPr="00717004">
        <w:rPr>
          <w:lang w:eastAsia="ja-JP"/>
        </w:rPr>
        <w:t>with</w:t>
      </w:r>
      <w:r>
        <w:rPr>
          <w:lang w:eastAsia="ja-JP"/>
        </w:rPr>
        <w:t xml:space="preserve"> </w:t>
      </w:r>
      <w:r w:rsidRPr="00717004">
        <w:rPr>
          <w:lang w:eastAsia="ja-JP"/>
        </w:rPr>
        <w:t>prompt</w:t>
      </w:r>
      <w:r>
        <w:rPr>
          <w:lang w:eastAsia="ja-JP"/>
        </w:rPr>
        <w:t xml:space="preserve"> </w:t>
      </w:r>
      <w:r w:rsidRPr="00717004">
        <w:rPr>
          <w:lang w:eastAsia="ja-JP"/>
        </w:rPr>
        <w:t>and</w:t>
      </w:r>
      <w:r>
        <w:rPr>
          <w:lang w:eastAsia="ja-JP"/>
        </w:rPr>
        <w:t xml:space="preserve"> </w:t>
      </w:r>
      <w:r w:rsidRPr="00717004">
        <w:rPr>
          <w:lang w:eastAsia="ja-JP"/>
        </w:rPr>
        <w:t>targeted</w:t>
      </w:r>
      <w:r>
        <w:rPr>
          <w:lang w:eastAsia="ja-JP"/>
        </w:rPr>
        <w:t xml:space="preserve"> </w:t>
      </w:r>
      <w:r w:rsidRPr="00717004">
        <w:rPr>
          <w:lang w:eastAsia="ja-JP"/>
        </w:rPr>
        <w:t>measures.</w:t>
      </w:r>
      <w:r>
        <w:rPr>
          <w:lang w:eastAsia="ja-JP"/>
        </w:rPr>
        <w:t xml:space="preserve"> </w:t>
      </w:r>
      <w:r w:rsidRPr="00717004">
        <w:rPr>
          <w:lang w:eastAsia="ja-JP"/>
        </w:rPr>
        <w:t>Through</w:t>
      </w:r>
      <w:r>
        <w:rPr>
          <w:lang w:eastAsia="ja-JP"/>
        </w:rPr>
        <w:t xml:space="preserve"> </w:t>
      </w:r>
      <w:r w:rsidRPr="00717004">
        <w:rPr>
          <w:lang w:eastAsia="ja-JP"/>
        </w:rPr>
        <w:t>our</w:t>
      </w:r>
      <w:r>
        <w:rPr>
          <w:lang w:eastAsia="ja-JP"/>
        </w:rPr>
        <w:t xml:space="preserve"> </w:t>
      </w:r>
      <w:r w:rsidRPr="00717004">
        <w:rPr>
          <w:lang w:eastAsia="ja-JP"/>
        </w:rPr>
        <w:t>funded</w:t>
      </w:r>
      <w:r>
        <w:rPr>
          <w:lang w:eastAsia="ja-JP"/>
        </w:rPr>
        <w:t xml:space="preserve"> </w:t>
      </w:r>
      <w:r w:rsidRPr="00717004">
        <w:rPr>
          <w:lang w:eastAsia="ja-JP"/>
        </w:rPr>
        <w:t>community</w:t>
      </w:r>
      <w:r>
        <w:rPr>
          <w:lang w:eastAsia="ja-JP"/>
        </w:rPr>
        <w:t xml:space="preserve"> </w:t>
      </w:r>
      <w:r w:rsidRPr="00717004">
        <w:rPr>
          <w:lang w:eastAsia="ja-JP"/>
        </w:rPr>
        <w:t>services,</w:t>
      </w:r>
      <w:r>
        <w:rPr>
          <w:lang w:eastAsia="ja-JP"/>
        </w:rPr>
        <w:t xml:space="preserve"> </w:t>
      </w:r>
      <w:r w:rsidRPr="00717004">
        <w:rPr>
          <w:lang w:eastAsia="ja-JP"/>
        </w:rPr>
        <w:t>we</w:t>
      </w:r>
      <w:r>
        <w:rPr>
          <w:lang w:eastAsia="ja-JP"/>
        </w:rPr>
        <w:t xml:space="preserve"> </w:t>
      </w:r>
      <w:r w:rsidRPr="00717004">
        <w:rPr>
          <w:lang w:eastAsia="ja-JP"/>
        </w:rPr>
        <w:t>delivered</w:t>
      </w:r>
      <w:r>
        <w:rPr>
          <w:lang w:eastAsia="ja-JP"/>
        </w:rPr>
        <w:t xml:space="preserve"> </w:t>
      </w:r>
      <w:r w:rsidRPr="00717004">
        <w:rPr>
          <w:lang w:eastAsia="ja-JP"/>
        </w:rPr>
        <w:t>face-to-face</w:t>
      </w:r>
      <w:r>
        <w:rPr>
          <w:lang w:eastAsia="ja-JP"/>
        </w:rPr>
        <w:t xml:space="preserve"> </w:t>
      </w:r>
      <w:r w:rsidRPr="00717004">
        <w:rPr>
          <w:lang w:eastAsia="ja-JP"/>
        </w:rPr>
        <w:t>support</w:t>
      </w:r>
      <w:r>
        <w:rPr>
          <w:lang w:eastAsia="ja-JP"/>
        </w:rPr>
        <w:t xml:space="preserve"> </w:t>
      </w:r>
      <w:r w:rsidRPr="00717004">
        <w:rPr>
          <w:lang w:eastAsia="ja-JP"/>
        </w:rPr>
        <w:t>to</w:t>
      </w:r>
      <w:r>
        <w:rPr>
          <w:lang w:eastAsia="ja-JP"/>
        </w:rPr>
        <w:t xml:space="preserve"> </w:t>
      </w:r>
      <w:r w:rsidRPr="00717004">
        <w:rPr>
          <w:lang w:eastAsia="ja-JP"/>
        </w:rPr>
        <w:t>thousands</w:t>
      </w:r>
      <w:r>
        <w:rPr>
          <w:lang w:eastAsia="ja-JP"/>
        </w:rPr>
        <w:t xml:space="preserve"> </w:t>
      </w:r>
      <w:r w:rsidRPr="00717004">
        <w:rPr>
          <w:lang w:eastAsia="ja-JP"/>
        </w:rPr>
        <w:t>of</w:t>
      </w:r>
      <w:r>
        <w:rPr>
          <w:lang w:eastAsia="ja-JP"/>
        </w:rPr>
        <w:t xml:space="preserve"> </w:t>
      </w:r>
      <w:r w:rsidRPr="00717004">
        <w:rPr>
          <w:lang w:eastAsia="ja-JP"/>
        </w:rPr>
        <w:t>Victorians,</w:t>
      </w:r>
      <w:r>
        <w:rPr>
          <w:lang w:eastAsia="ja-JP"/>
        </w:rPr>
        <w:t xml:space="preserve"> </w:t>
      </w:r>
      <w:r w:rsidRPr="00717004">
        <w:rPr>
          <w:lang w:eastAsia="ja-JP"/>
        </w:rPr>
        <w:t>striving</w:t>
      </w:r>
      <w:r>
        <w:rPr>
          <w:lang w:eastAsia="ja-JP"/>
        </w:rPr>
        <w:t xml:space="preserve"> </w:t>
      </w:r>
      <w:r w:rsidRPr="00717004">
        <w:rPr>
          <w:lang w:eastAsia="ja-JP"/>
        </w:rPr>
        <w:t>to</w:t>
      </w:r>
      <w:r>
        <w:rPr>
          <w:lang w:eastAsia="ja-JP"/>
        </w:rPr>
        <w:t xml:space="preserve"> </w:t>
      </w:r>
      <w:r w:rsidRPr="00717004">
        <w:rPr>
          <w:lang w:eastAsia="ja-JP"/>
        </w:rPr>
        <w:t>create</w:t>
      </w:r>
      <w:r>
        <w:rPr>
          <w:lang w:eastAsia="ja-JP"/>
        </w:rPr>
        <w:t xml:space="preserve"> </w:t>
      </w:r>
      <w:r w:rsidRPr="00717004">
        <w:rPr>
          <w:lang w:eastAsia="ja-JP"/>
        </w:rPr>
        <w:t>a</w:t>
      </w:r>
      <w:r>
        <w:rPr>
          <w:lang w:eastAsia="ja-JP"/>
        </w:rPr>
        <w:t xml:space="preserve"> </w:t>
      </w:r>
      <w:r w:rsidRPr="00717004">
        <w:rPr>
          <w:lang w:eastAsia="ja-JP"/>
        </w:rPr>
        <w:t>fair,</w:t>
      </w:r>
      <w:r>
        <w:rPr>
          <w:lang w:eastAsia="ja-JP"/>
        </w:rPr>
        <w:t xml:space="preserve"> </w:t>
      </w:r>
      <w:r w:rsidRPr="00717004">
        <w:rPr>
          <w:lang w:eastAsia="ja-JP"/>
        </w:rPr>
        <w:t>safe</w:t>
      </w:r>
      <w:r>
        <w:rPr>
          <w:lang w:eastAsia="ja-JP"/>
        </w:rPr>
        <w:t xml:space="preserve"> </w:t>
      </w:r>
      <w:r w:rsidRPr="00717004">
        <w:rPr>
          <w:lang w:eastAsia="ja-JP"/>
        </w:rPr>
        <w:t>and</w:t>
      </w:r>
      <w:r>
        <w:rPr>
          <w:lang w:eastAsia="ja-JP"/>
        </w:rPr>
        <w:t xml:space="preserve"> </w:t>
      </w:r>
      <w:r w:rsidRPr="00717004">
        <w:rPr>
          <w:lang w:eastAsia="ja-JP"/>
        </w:rPr>
        <w:t>competitive</w:t>
      </w:r>
      <w:r>
        <w:rPr>
          <w:lang w:eastAsia="ja-JP"/>
        </w:rPr>
        <w:t xml:space="preserve"> </w:t>
      </w:r>
      <w:r w:rsidRPr="00717004">
        <w:rPr>
          <w:lang w:eastAsia="ja-JP"/>
        </w:rPr>
        <w:t>marketplace</w:t>
      </w:r>
      <w:r>
        <w:rPr>
          <w:lang w:eastAsia="ja-JP"/>
        </w:rPr>
        <w:t xml:space="preserve"> </w:t>
      </w:r>
      <w:r w:rsidRPr="00717004">
        <w:rPr>
          <w:lang w:eastAsia="ja-JP"/>
        </w:rPr>
        <w:t>across</w:t>
      </w:r>
      <w:r>
        <w:rPr>
          <w:lang w:eastAsia="ja-JP"/>
        </w:rPr>
        <w:t xml:space="preserve"> </w:t>
      </w:r>
      <w:r w:rsidRPr="00717004">
        <w:rPr>
          <w:lang w:eastAsia="ja-JP"/>
        </w:rPr>
        <w:t>the</w:t>
      </w:r>
      <w:r>
        <w:rPr>
          <w:lang w:eastAsia="ja-JP"/>
        </w:rPr>
        <w:t xml:space="preserve"> </w:t>
      </w:r>
      <w:r w:rsidRPr="00717004">
        <w:rPr>
          <w:lang w:eastAsia="ja-JP"/>
        </w:rPr>
        <w:t>state.</w:t>
      </w:r>
    </w:p>
    <w:p w14:paraId="70C7D23E" w14:textId="77777777" w:rsidR="00856406" w:rsidRDefault="00856406" w:rsidP="00F45F3A">
      <w:pPr>
        <w:pStyle w:val="BodyText"/>
      </w:pPr>
      <w:r>
        <w:t>Our contact centre manages multiple lines dedicated to specific topics, such as consumer and residential accommodation issues. In March 2025, CAV enhanced its service offering by opening a dedicated phone channel for owners corporation enquiries, complementing our website and online enquiries services in this area. This new line ensures that apartment and unit owners and residents across Victoria can access timely advice and support when they need it.</w:t>
      </w:r>
    </w:p>
    <w:p w14:paraId="3CD9957A" w14:textId="54052EA3" w:rsidR="00856406" w:rsidRDefault="00856406" w:rsidP="00F45F3A">
      <w:pPr>
        <w:pStyle w:val="BodyText"/>
      </w:pPr>
      <w:r>
        <w:t xml:space="preserve">In another key development for </w:t>
      </w:r>
      <w:r w:rsidR="00EE79C3">
        <w:t>2024–25</w:t>
      </w:r>
      <w:r>
        <w:t xml:space="preserve">, the government launched Rental </w:t>
      </w:r>
      <w:r w:rsidRPr="007D3F64">
        <w:t>Dispute</w:t>
      </w:r>
      <w:r>
        <w:t xml:space="preserve"> </w:t>
      </w:r>
      <w:r w:rsidRPr="007D3F64">
        <w:t>Resolution</w:t>
      </w:r>
      <w:r>
        <w:t xml:space="preserve"> </w:t>
      </w:r>
      <w:r w:rsidRPr="007D3F64">
        <w:t>Victoria</w:t>
      </w:r>
      <w:r>
        <w:t xml:space="preserve"> </w:t>
      </w:r>
      <w:r w:rsidRPr="007D3F64">
        <w:t>(RDRV)</w:t>
      </w:r>
      <w:r>
        <w:t xml:space="preserve"> in June 2025. This is a free service for renters and rental providers that aims </w:t>
      </w:r>
      <w:r w:rsidRPr="007D3F64">
        <w:t>to</w:t>
      </w:r>
      <w:r>
        <w:t xml:space="preserve"> </w:t>
      </w:r>
      <w:r w:rsidRPr="007D3F64">
        <w:t>help</w:t>
      </w:r>
      <w:r>
        <w:t xml:space="preserve"> </w:t>
      </w:r>
      <w:r w:rsidRPr="007D3F64">
        <w:t>settle</w:t>
      </w:r>
      <w:r>
        <w:t xml:space="preserve"> </w:t>
      </w:r>
      <w:r w:rsidRPr="007D3F64">
        <w:t>disputes</w:t>
      </w:r>
      <w:r>
        <w:t xml:space="preserve"> </w:t>
      </w:r>
      <w:r w:rsidRPr="007D3F64">
        <w:t>over</w:t>
      </w:r>
      <w:r>
        <w:t xml:space="preserve"> </w:t>
      </w:r>
      <w:r w:rsidRPr="007D3F64">
        <w:t>bonds,</w:t>
      </w:r>
      <w:r>
        <w:t xml:space="preserve"> </w:t>
      </w:r>
      <w:r w:rsidRPr="007D3F64">
        <w:t>compensation,</w:t>
      </w:r>
      <w:r>
        <w:t xml:space="preserve"> </w:t>
      </w:r>
      <w:r w:rsidRPr="007D3F64">
        <w:t>repairs,</w:t>
      </w:r>
      <w:r>
        <w:t xml:space="preserve"> </w:t>
      </w:r>
      <w:r w:rsidRPr="007D3F64">
        <w:t>and</w:t>
      </w:r>
      <w:r>
        <w:t xml:space="preserve"> </w:t>
      </w:r>
      <w:r w:rsidRPr="007D3F64">
        <w:t>excessive</w:t>
      </w:r>
      <w:r>
        <w:t xml:space="preserve"> </w:t>
      </w:r>
      <w:r w:rsidRPr="007D3F64">
        <w:t>rents.</w:t>
      </w:r>
      <w:r>
        <w:t xml:space="preserve"> CAV </w:t>
      </w:r>
      <w:r w:rsidRPr="007D3F64">
        <w:t>remains</w:t>
      </w:r>
      <w:r>
        <w:t xml:space="preserve"> </w:t>
      </w:r>
      <w:r w:rsidRPr="007D3F64">
        <w:t>the</w:t>
      </w:r>
      <w:r>
        <w:t xml:space="preserve"> </w:t>
      </w:r>
      <w:r w:rsidRPr="007D3F64">
        <w:t>first</w:t>
      </w:r>
      <w:r>
        <w:t xml:space="preserve"> </w:t>
      </w:r>
      <w:r w:rsidRPr="007D3F64">
        <w:t>stop</w:t>
      </w:r>
      <w:r>
        <w:t xml:space="preserve"> </w:t>
      </w:r>
      <w:r w:rsidRPr="007D3F64">
        <w:t>for</w:t>
      </w:r>
      <w:r>
        <w:t xml:space="preserve"> </w:t>
      </w:r>
      <w:r w:rsidRPr="007D3F64">
        <w:t>anyone</w:t>
      </w:r>
      <w:r>
        <w:t xml:space="preserve"> </w:t>
      </w:r>
      <w:r w:rsidRPr="007D3F64">
        <w:t>seeking</w:t>
      </w:r>
      <w:r>
        <w:t xml:space="preserve"> </w:t>
      </w:r>
      <w:r w:rsidRPr="007D3F64">
        <w:t>information</w:t>
      </w:r>
      <w:r>
        <w:t xml:space="preserve"> </w:t>
      </w:r>
      <w:r w:rsidRPr="007D3F64">
        <w:t>about</w:t>
      </w:r>
      <w:r>
        <w:t xml:space="preserve"> </w:t>
      </w:r>
      <w:r w:rsidRPr="007D3F64">
        <w:t>their</w:t>
      </w:r>
      <w:r>
        <w:t xml:space="preserve"> </w:t>
      </w:r>
      <w:r w:rsidRPr="007D3F64">
        <w:t>rental</w:t>
      </w:r>
      <w:r>
        <w:t xml:space="preserve"> </w:t>
      </w:r>
      <w:r w:rsidRPr="007D3F64">
        <w:t>rights</w:t>
      </w:r>
      <w:r>
        <w:t xml:space="preserve"> </w:t>
      </w:r>
      <w:r w:rsidRPr="007D3F64">
        <w:t>and</w:t>
      </w:r>
      <w:r>
        <w:t xml:space="preserve"> </w:t>
      </w:r>
      <w:r w:rsidRPr="007D3F64">
        <w:t>responsibilities</w:t>
      </w:r>
      <w:r>
        <w:t xml:space="preserve">. When renters and rental providers need more intensive support to help resolve disputes, CAV can help them </w:t>
      </w:r>
      <w:r w:rsidRPr="007D3F64">
        <w:t>find</w:t>
      </w:r>
      <w:r>
        <w:t xml:space="preserve"> </w:t>
      </w:r>
      <w:r w:rsidRPr="007D3F64">
        <w:t>their</w:t>
      </w:r>
      <w:r>
        <w:t xml:space="preserve"> </w:t>
      </w:r>
      <w:r w:rsidRPr="007D3F64">
        <w:t>way</w:t>
      </w:r>
      <w:r>
        <w:t xml:space="preserve"> </w:t>
      </w:r>
      <w:r w:rsidRPr="007D3F64">
        <w:t>to</w:t>
      </w:r>
      <w:r>
        <w:t xml:space="preserve"> </w:t>
      </w:r>
      <w:r w:rsidRPr="007D3F64">
        <w:t>RDRV</w:t>
      </w:r>
      <w:r>
        <w:t>.</w:t>
      </w:r>
    </w:p>
    <w:p w14:paraId="02483407" w14:textId="77777777" w:rsidR="00856406" w:rsidRPr="00316793" w:rsidRDefault="00856406" w:rsidP="00F45F3A">
      <w:pPr>
        <w:pStyle w:val="BodyText"/>
      </w:pPr>
      <w:r w:rsidRPr="00717004">
        <w:t>The</w:t>
      </w:r>
      <w:r>
        <w:t xml:space="preserve"> </w:t>
      </w:r>
      <w:r w:rsidRPr="00717004">
        <w:t>table</w:t>
      </w:r>
      <w:r>
        <w:t xml:space="preserve"> </w:t>
      </w:r>
      <w:r w:rsidRPr="00717004">
        <w:t>below</w:t>
      </w:r>
      <w:r>
        <w:t xml:space="preserve"> </w:t>
      </w:r>
      <w:r w:rsidRPr="00717004">
        <w:t>demonstrates</w:t>
      </w:r>
      <w:r>
        <w:t xml:space="preserve"> </w:t>
      </w:r>
      <w:r w:rsidRPr="00717004" w:rsidDel="00E47537">
        <w:t>the</w:t>
      </w:r>
      <w:r>
        <w:t xml:space="preserve"> </w:t>
      </w:r>
      <w:r w:rsidRPr="00717004">
        <w:t>wide</w:t>
      </w:r>
      <w:r>
        <w:t xml:space="preserve"> </w:t>
      </w:r>
      <w:r w:rsidRPr="00717004">
        <w:t>range</w:t>
      </w:r>
      <w:r>
        <w:t xml:space="preserve"> </w:t>
      </w:r>
      <w:r w:rsidRPr="00717004">
        <w:t>of</w:t>
      </w:r>
      <w:r>
        <w:t xml:space="preserve"> </w:t>
      </w:r>
      <w:r w:rsidRPr="00717004">
        <w:t>services</w:t>
      </w:r>
      <w:r>
        <w:t xml:space="preserve"> </w:t>
      </w:r>
      <w:r w:rsidRPr="00717004">
        <w:t>we</w:t>
      </w:r>
      <w:r>
        <w:t xml:space="preserve"> </w:t>
      </w:r>
      <w:r w:rsidRPr="00717004">
        <w:t>provide</w:t>
      </w:r>
      <w:r>
        <w:t xml:space="preserve">, </w:t>
      </w:r>
      <w:r w:rsidRPr="00717004">
        <w:t>and</w:t>
      </w:r>
      <w:r>
        <w:t xml:space="preserve"> </w:t>
      </w:r>
      <w:r w:rsidRPr="00717004">
        <w:t>the</w:t>
      </w:r>
      <w:r>
        <w:t xml:space="preserve"> </w:t>
      </w:r>
      <w:r w:rsidRPr="00717004">
        <w:t>increasing</w:t>
      </w:r>
      <w:r>
        <w:t xml:space="preserve"> </w:t>
      </w:r>
      <w:r w:rsidRPr="00717004">
        <w:t>number</w:t>
      </w:r>
      <w:r>
        <w:t xml:space="preserve"> </w:t>
      </w:r>
      <w:r w:rsidRPr="00717004">
        <w:t>of</w:t>
      </w:r>
      <w:r>
        <w:t xml:space="preserve"> </w:t>
      </w:r>
      <w:r w:rsidRPr="00717004">
        <w:t>Victorians</w:t>
      </w:r>
      <w:r>
        <w:t xml:space="preserve"> </w:t>
      </w:r>
      <w:r w:rsidRPr="00717004">
        <w:t>receiving</w:t>
      </w:r>
      <w:r>
        <w:t xml:space="preserve"> our </w:t>
      </w:r>
      <w:r w:rsidRPr="00717004">
        <w:t>advice</w:t>
      </w:r>
      <w:r>
        <w:t xml:space="preserve"> </w:t>
      </w:r>
      <w:r w:rsidRPr="00717004">
        <w:t>and</w:t>
      </w:r>
      <w:r>
        <w:t xml:space="preserve"> </w:t>
      </w:r>
      <w:r w:rsidRPr="00717004">
        <w:t>assistance.</w:t>
      </w:r>
    </w:p>
    <w:p w14:paraId="462C0FC6" w14:textId="77777777" w:rsidR="008838D7" w:rsidRPr="008838D7" w:rsidRDefault="008838D7" w:rsidP="008838D7">
      <w:pPr>
        <w:pStyle w:val="BodyText"/>
      </w:pPr>
      <w:bookmarkStart w:id="37" w:name="_Toc199142524"/>
      <w:r w:rsidRPr="008838D7">
        <w:br w:type="page"/>
      </w:r>
    </w:p>
    <w:p w14:paraId="2700A7B1" w14:textId="5C4B0C84" w:rsidR="00856406" w:rsidRPr="00A4404F" w:rsidRDefault="00856406" w:rsidP="008838D7">
      <w:pPr>
        <w:pStyle w:val="Caption"/>
      </w:pPr>
      <w:bookmarkStart w:id="38" w:name="_Toc212562069"/>
      <w:r w:rsidRPr="00A4404F">
        <w:t>Table</w:t>
      </w:r>
      <w:r>
        <w:t xml:space="preserve"> 2: </w:t>
      </w:r>
      <w:r w:rsidRPr="00A4404F">
        <w:t>Information,</w:t>
      </w:r>
      <w:r>
        <w:t xml:space="preserve"> </w:t>
      </w:r>
      <w:r w:rsidRPr="00A4404F">
        <w:t>advice</w:t>
      </w:r>
      <w:r>
        <w:t xml:space="preserve"> </w:t>
      </w:r>
      <w:r w:rsidRPr="00A4404F">
        <w:t>and</w:t>
      </w:r>
      <w:r>
        <w:t xml:space="preserve"> </w:t>
      </w:r>
      <w:r w:rsidRPr="00A4404F">
        <w:t>assistance</w:t>
      </w:r>
      <w:r>
        <w:t xml:space="preserve"> </w:t>
      </w:r>
      <w:r w:rsidRPr="00A4404F">
        <w:t>provided</w:t>
      </w:r>
      <w:bookmarkEnd w:id="37"/>
      <w:bookmarkEnd w:id="38"/>
    </w:p>
    <w:tbl>
      <w:tblPr>
        <w:tblStyle w:val="TableGrid"/>
        <w:tblW w:w="9072" w:type="dxa"/>
        <w:tblLayout w:type="fixed"/>
        <w:tblLook w:val="06A0" w:firstRow="1" w:lastRow="0" w:firstColumn="1" w:lastColumn="0" w:noHBand="1" w:noVBand="1"/>
      </w:tblPr>
      <w:tblGrid>
        <w:gridCol w:w="4989"/>
        <w:gridCol w:w="1361"/>
        <w:gridCol w:w="1361"/>
        <w:gridCol w:w="1361"/>
      </w:tblGrid>
      <w:tr w:rsidR="00856406" w:rsidRPr="00433E85" w14:paraId="380DA2E2" w14:textId="77777777" w:rsidTr="007B053F">
        <w:trPr>
          <w:cnfStyle w:val="100000000000" w:firstRow="1" w:lastRow="0" w:firstColumn="0" w:lastColumn="0" w:oddVBand="0" w:evenVBand="0" w:oddHBand="0" w:evenHBand="0" w:firstRowFirstColumn="0" w:firstRowLastColumn="0" w:lastRowFirstColumn="0" w:lastRowLastColumn="0"/>
          <w:tblHeader/>
        </w:trPr>
        <w:tc>
          <w:tcPr>
            <w:tcW w:w="4990" w:type="dxa"/>
          </w:tcPr>
          <w:p w14:paraId="5F2DFF27" w14:textId="77777777" w:rsidR="00856406" w:rsidRPr="00316793" w:rsidRDefault="00856406" w:rsidP="008838D7">
            <w:pPr>
              <w:pStyle w:val="TableColHead"/>
            </w:pPr>
            <w:r w:rsidRPr="00316793">
              <w:t>Information,</w:t>
            </w:r>
            <w:r>
              <w:t xml:space="preserve"> </w:t>
            </w:r>
            <w:r w:rsidRPr="00316793">
              <w:t>advice</w:t>
            </w:r>
            <w:r>
              <w:t xml:space="preserve"> </w:t>
            </w:r>
            <w:r w:rsidRPr="00316793">
              <w:t>and</w:t>
            </w:r>
            <w:r>
              <w:t xml:space="preserve"> </w:t>
            </w:r>
            <w:r w:rsidRPr="00316793">
              <w:t>frontline</w:t>
            </w:r>
            <w:r>
              <w:t xml:space="preserve"> </w:t>
            </w:r>
            <w:r w:rsidRPr="00316793">
              <w:t>assistance</w:t>
            </w:r>
          </w:p>
        </w:tc>
        <w:tc>
          <w:tcPr>
            <w:tcW w:w="1361" w:type="dxa"/>
          </w:tcPr>
          <w:p w14:paraId="02A26173" w14:textId="1286892B" w:rsidR="00856406" w:rsidRPr="00316793" w:rsidRDefault="00856406" w:rsidP="008838D7">
            <w:pPr>
              <w:pStyle w:val="TableColHeadRight"/>
              <w:rPr>
                <w:sz w:val="16"/>
                <w:szCs w:val="16"/>
              </w:rPr>
            </w:pPr>
            <w:r>
              <w:t xml:space="preserve">Full year </w:t>
            </w:r>
            <w:r w:rsidR="00EE79C3">
              <w:t>2022–23</w:t>
            </w:r>
          </w:p>
        </w:tc>
        <w:tc>
          <w:tcPr>
            <w:tcW w:w="1361" w:type="dxa"/>
          </w:tcPr>
          <w:p w14:paraId="38326F4C" w14:textId="42E44D91" w:rsidR="00856406" w:rsidRPr="00316793" w:rsidRDefault="00856406" w:rsidP="008838D7">
            <w:pPr>
              <w:pStyle w:val="TableColHeadRight"/>
            </w:pPr>
            <w:r w:rsidRPr="00316793">
              <w:t>Full</w:t>
            </w:r>
            <w:r>
              <w:t xml:space="preserve"> year</w:t>
            </w:r>
            <w:r w:rsidR="008838D7">
              <w:br/>
            </w:r>
            <w:r w:rsidR="00EE79C3">
              <w:t>2023–24</w:t>
            </w:r>
          </w:p>
        </w:tc>
        <w:tc>
          <w:tcPr>
            <w:tcW w:w="1361" w:type="dxa"/>
          </w:tcPr>
          <w:p w14:paraId="01E48D4E" w14:textId="2094AC72" w:rsidR="00856406" w:rsidRPr="00316793" w:rsidRDefault="00856406" w:rsidP="008838D7">
            <w:pPr>
              <w:pStyle w:val="TableColHeadRight"/>
            </w:pPr>
            <w:r>
              <w:t xml:space="preserve">Full year </w:t>
            </w:r>
            <w:r>
              <w:br/>
            </w:r>
            <w:r w:rsidR="00EE79C3">
              <w:t>2024–25</w:t>
            </w:r>
          </w:p>
        </w:tc>
      </w:tr>
      <w:tr w:rsidR="00856406" w:rsidRPr="00433E85" w14:paraId="58C1D455" w14:textId="77777777" w:rsidTr="00A02E61">
        <w:tc>
          <w:tcPr>
            <w:tcW w:w="1361" w:type="dxa"/>
            <w:gridSpan w:val="4"/>
            <w:shd w:val="clear" w:color="auto" w:fill="BCCAE5"/>
          </w:tcPr>
          <w:p w14:paraId="7E2E7EC2" w14:textId="77777777" w:rsidR="00856406" w:rsidRPr="00316793" w:rsidRDefault="00856406" w:rsidP="00A27A3B">
            <w:pPr>
              <w:pStyle w:val="TableTextBold"/>
            </w:pPr>
            <w:r w:rsidRPr="00316793">
              <w:t>Information</w:t>
            </w:r>
            <w:r>
              <w:t xml:space="preserve"> </w:t>
            </w:r>
            <w:r w:rsidRPr="00316793">
              <w:t>and</w:t>
            </w:r>
            <w:r>
              <w:t xml:space="preserve"> </w:t>
            </w:r>
            <w:r w:rsidRPr="00316793">
              <w:t>advice</w:t>
            </w:r>
          </w:p>
        </w:tc>
      </w:tr>
      <w:tr w:rsidR="00856406" w:rsidRPr="00433E85" w14:paraId="77AB0508" w14:textId="77777777" w:rsidTr="00323FD5">
        <w:tc>
          <w:tcPr>
            <w:tcW w:w="4990" w:type="dxa"/>
          </w:tcPr>
          <w:p w14:paraId="1EFBA476" w14:textId="77777777" w:rsidR="00856406" w:rsidRPr="00316793" w:rsidRDefault="00856406" w:rsidP="00A27A3B">
            <w:pPr>
              <w:pStyle w:val="TableText"/>
            </w:pPr>
            <w:r w:rsidRPr="00316793">
              <w:t>Calls</w:t>
            </w:r>
            <w:r>
              <w:t xml:space="preserve"> </w:t>
            </w:r>
            <w:r w:rsidRPr="00316793">
              <w:t>answered</w:t>
            </w:r>
          </w:p>
        </w:tc>
        <w:tc>
          <w:tcPr>
            <w:tcW w:w="1361" w:type="dxa"/>
          </w:tcPr>
          <w:p w14:paraId="36E105B4" w14:textId="77777777" w:rsidR="00856406" w:rsidRPr="00316793" w:rsidRDefault="00856406" w:rsidP="00A27A3B">
            <w:pPr>
              <w:pStyle w:val="TableTextRight"/>
            </w:pPr>
            <w:r>
              <w:t>206,025</w:t>
            </w:r>
          </w:p>
        </w:tc>
        <w:tc>
          <w:tcPr>
            <w:tcW w:w="1361" w:type="dxa"/>
          </w:tcPr>
          <w:p w14:paraId="71A4A520" w14:textId="77777777" w:rsidR="00856406" w:rsidRPr="00316793" w:rsidRDefault="00856406" w:rsidP="00A27A3B">
            <w:pPr>
              <w:pStyle w:val="TableTextRight"/>
            </w:pPr>
            <w:r w:rsidRPr="00316793">
              <w:t>220,741</w:t>
            </w:r>
          </w:p>
        </w:tc>
        <w:tc>
          <w:tcPr>
            <w:tcW w:w="1361" w:type="dxa"/>
          </w:tcPr>
          <w:p w14:paraId="545FBB8D" w14:textId="77777777" w:rsidR="00856406" w:rsidRPr="00316793" w:rsidRDefault="00856406" w:rsidP="00A27A3B">
            <w:pPr>
              <w:pStyle w:val="TableTextRight"/>
            </w:pPr>
            <w:r>
              <w:t>226,102</w:t>
            </w:r>
          </w:p>
        </w:tc>
      </w:tr>
      <w:tr w:rsidR="00856406" w:rsidRPr="00433E85" w14:paraId="160A664F" w14:textId="77777777" w:rsidTr="00323FD5">
        <w:tc>
          <w:tcPr>
            <w:tcW w:w="4990" w:type="dxa"/>
          </w:tcPr>
          <w:p w14:paraId="76ED0AED" w14:textId="77777777" w:rsidR="00856406" w:rsidRPr="00316793" w:rsidRDefault="00856406" w:rsidP="00A27A3B">
            <w:pPr>
              <w:pStyle w:val="TableText"/>
            </w:pPr>
            <w:r w:rsidRPr="00316793">
              <w:t>Website</w:t>
            </w:r>
            <w:r>
              <w:t xml:space="preserve"> </w:t>
            </w:r>
            <w:r w:rsidRPr="00316793">
              <w:t>visits</w:t>
            </w:r>
          </w:p>
        </w:tc>
        <w:tc>
          <w:tcPr>
            <w:tcW w:w="1361" w:type="dxa"/>
          </w:tcPr>
          <w:p w14:paraId="7EC90C39" w14:textId="77777777" w:rsidR="00856406" w:rsidRPr="00316793" w:rsidRDefault="00856406" w:rsidP="00A27A3B">
            <w:pPr>
              <w:pStyle w:val="TableTextRight"/>
            </w:pPr>
            <w:r>
              <w:t>5,664,114</w:t>
            </w:r>
          </w:p>
        </w:tc>
        <w:tc>
          <w:tcPr>
            <w:tcW w:w="1361" w:type="dxa"/>
          </w:tcPr>
          <w:p w14:paraId="01E6D6BB" w14:textId="77777777" w:rsidR="00856406" w:rsidRPr="00316793" w:rsidRDefault="00856406" w:rsidP="00A27A3B">
            <w:pPr>
              <w:pStyle w:val="TableTextRight"/>
            </w:pPr>
            <w:r w:rsidRPr="00316793">
              <w:t>7,211,581</w:t>
            </w:r>
          </w:p>
        </w:tc>
        <w:tc>
          <w:tcPr>
            <w:tcW w:w="1361" w:type="dxa"/>
          </w:tcPr>
          <w:p w14:paraId="0FC86654" w14:textId="77777777" w:rsidR="00856406" w:rsidRPr="00316793" w:rsidRDefault="00856406" w:rsidP="00A27A3B">
            <w:pPr>
              <w:pStyle w:val="TableTextRight"/>
            </w:pPr>
            <w:r>
              <w:t>6,994,741</w:t>
            </w:r>
          </w:p>
        </w:tc>
      </w:tr>
      <w:tr w:rsidR="00856406" w:rsidRPr="00433E85" w14:paraId="216024A4" w14:textId="77777777" w:rsidTr="00323FD5">
        <w:tc>
          <w:tcPr>
            <w:tcW w:w="4990" w:type="dxa"/>
          </w:tcPr>
          <w:p w14:paraId="28039B40" w14:textId="77777777" w:rsidR="00856406" w:rsidRPr="00316793" w:rsidRDefault="00856406" w:rsidP="00A27A3B">
            <w:pPr>
              <w:pStyle w:val="TableText"/>
            </w:pPr>
            <w:r w:rsidRPr="00316793">
              <w:t>Letters,</w:t>
            </w:r>
            <w:r>
              <w:t xml:space="preserve"> </w:t>
            </w:r>
            <w:r w:rsidRPr="00316793">
              <w:t>emails</w:t>
            </w:r>
            <w:r>
              <w:t xml:space="preserve"> </w:t>
            </w:r>
            <w:r w:rsidRPr="00316793">
              <w:t>and</w:t>
            </w:r>
            <w:r>
              <w:t xml:space="preserve"> </w:t>
            </w:r>
            <w:r w:rsidRPr="00316793">
              <w:t>online</w:t>
            </w:r>
            <w:r>
              <w:t xml:space="preserve"> </w:t>
            </w:r>
            <w:r w:rsidRPr="00316793">
              <w:t>enquiry</w:t>
            </w:r>
            <w:r>
              <w:t xml:space="preserve"> </w:t>
            </w:r>
            <w:r w:rsidRPr="00316793">
              <w:t>form</w:t>
            </w:r>
            <w:r>
              <w:t xml:space="preserve"> </w:t>
            </w:r>
            <w:r w:rsidRPr="00316793">
              <w:t>contacts</w:t>
            </w:r>
          </w:p>
        </w:tc>
        <w:tc>
          <w:tcPr>
            <w:tcW w:w="1361" w:type="dxa"/>
          </w:tcPr>
          <w:p w14:paraId="2D67A2B8" w14:textId="77777777" w:rsidR="00856406" w:rsidRPr="00316793" w:rsidRDefault="00856406" w:rsidP="00A27A3B">
            <w:pPr>
              <w:pStyle w:val="TableTextRight"/>
            </w:pPr>
            <w:r>
              <w:t>75,797</w:t>
            </w:r>
          </w:p>
        </w:tc>
        <w:tc>
          <w:tcPr>
            <w:tcW w:w="1361" w:type="dxa"/>
          </w:tcPr>
          <w:p w14:paraId="7BDA36B8" w14:textId="77777777" w:rsidR="00856406" w:rsidRPr="00316793" w:rsidRDefault="00856406" w:rsidP="00A27A3B">
            <w:pPr>
              <w:pStyle w:val="TableTextRight"/>
            </w:pPr>
            <w:r w:rsidRPr="00316793">
              <w:t>80,040</w:t>
            </w:r>
          </w:p>
        </w:tc>
        <w:tc>
          <w:tcPr>
            <w:tcW w:w="1361" w:type="dxa"/>
          </w:tcPr>
          <w:p w14:paraId="7D7234CA" w14:textId="77777777" w:rsidR="00856406" w:rsidRPr="00316793" w:rsidRDefault="00856406" w:rsidP="00A27A3B">
            <w:pPr>
              <w:pStyle w:val="TableTextRight"/>
            </w:pPr>
            <w:r>
              <w:t>84,825</w:t>
            </w:r>
          </w:p>
        </w:tc>
      </w:tr>
      <w:tr w:rsidR="00856406" w:rsidRPr="00433E85" w14:paraId="0FCE84BD" w14:textId="77777777" w:rsidTr="00A02E61">
        <w:tc>
          <w:tcPr>
            <w:tcW w:w="1361" w:type="dxa"/>
            <w:gridSpan w:val="4"/>
            <w:shd w:val="clear" w:color="auto" w:fill="BCCAE5"/>
          </w:tcPr>
          <w:p w14:paraId="006A79C7" w14:textId="77777777" w:rsidR="00856406" w:rsidRPr="00316793" w:rsidRDefault="00856406" w:rsidP="00A27A3B">
            <w:pPr>
              <w:pStyle w:val="TableTextBold"/>
            </w:pPr>
            <w:r w:rsidRPr="00316793">
              <w:t>Advice</w:t>
            </w:r>
            <w:r>
              <w:t xml:space="preserve"> </w:t>
            </w:r>
            <w:r w:rsidRPr="00316793">
              <w:t>provided</w:t>
            </w:r>
            <w:r>
              <w:t xml:space="preserve"> </w:t>
            </w:r>
            <w:r w:rsidRPr="00316793">
              <w:t>to</w:t>
            </w:r>
            <w:r>
              <w:t xml:space="preserve"> </w:t>
            </w:r>
            <w:r w:rsidRPr="00316793">
              <w:t>resolve</w:t>
            </w:r>
            <w:r>
              <w:t xml:space="preserve"> </w:t>
            </w:r>
            <w:r w:rsidRPr="00316793">
              <w:t>disputes</w:t>
            </w:r>
          </w:p>
        </w:tc>
      </w:tr>
      <w:tr w:rsidR="00856406" w:rsidRPr="00433E85" w14:paraId="71AE5F36" w14:textId="77777777" w:rsidTr="00323FD5">
        <w:tc>
          <w:tcPr>
            <w:tcW w:w="4990" w:type="dxa"/>
          </w:tcPr>
          <w:p w14:paraId="00C6F80B" w14:textId="77777777" w:rsidR="00856406" w:rsidRPr="00316793" w:rsidRDefault="00856406" w:rsidP="00A27A3B">
            <w:pPr>
              <w:pStyle w:val="TableText"/>
            </w:pPr>
            <w:r w:rsidRPr="00316793">
              <w:t>Disputes</w:t>
            </w:r>
            <w:r>
              <w:t xml:space="preserve"> </w:t>
            </w:r>
            <w:r w:rsidRPr="00316793">
              <w:t>finalised</w:t>
            </w:r>
          </w:p>
        </w:tc>
        <w:tc>
          <w:tcPr>
            <w:tcW w:w="1361" w:type="dxa"/>
          </w:tcPr>
          <w:p w14:paraId="6C267182" w14:textId="77777777" w:rsidR="00856406" w:rsidRPr="00316793" w:rsidRDefault="00856406" w:rsidP="00A27A3B">
            <w:pPr>
              <w:pStyle w:val="TableTextRight"/>
            </w:pPr>
            <w:r>
              <w:t>4,730</w:t>
            </w:r>
          </w:p>
        </w:tc>
        <w:tc>
          <w:tcPr>
            <w:tcW w:w="1361" w:type="dxa"/>
          </w:tcPr>
          <w:p w14:paraId="19DD7091" w14:textId="77777777" w:rsidR="00856406" w:rsidRPr="001811D7" w:rsidRDefault="00856406" w:rsidP="00A27A3B">
            <w:pPr>
              <w:pStyle w:val="TableTextRight"/>
            </w:pPr>
            <w:r w:rsidRPr="001811D7">
              <w:t>4,499</w:t>
            </w:r>
          </w:p>
        </w:tc>
        <w:tc>
          <w:tcPr>
            <w:tcW w:w="1361" w:type="dxa"/>
          </w:tcPr>
          <w:p w14:paraId="5F343A53" w14:textId="77777777" w:rsidR="00856406" w:rsidRPr="001811D7" w:rsidRDefault="00856406" w:rsidP="00A27A3B">
            <w:pPr>
              <w:pStyle w:val="TableTextRight"/>
            </w:pPr>
            <w:r w:rsidRPr="69966EFB">
              <w:t>6,537</w:t>
            </w:r>
          </w:p>
        </w:tc>
      </w:tr>
      <w:tr w:rsidR="00856406" w:rsidRPr="00433E85" w14:paraId="6FFB16AD" w14:textId="77777777" w:rsidTr="00A02E61">
        <w:trPr>
          <w:trHeight w:val="34"/>
        </w:trPr>
        <w:tc>
          <w:tcPr>
            <w:tcW w:w="1361" w:type="dxa"/>
            <w:gridSpan w:val="4"/>
            <w:shd w:val="clear" w:color="auto" w:fill="BCCAE5"/>
          </w:tcPr>
          <w:p w14:paraId="49878B62" w14:textId="77777777" w:rsidR="00856406" w:rsidRPr="00316793" w:rsidRDefault="00856406" w:rsidP="00A27A3B">
            <w:pPr>
              <w:pStyle w:val="TableTextBold"/>
            </w:pPr>
            <w:r w:rsidRPr="00316793">
              <w:t>Face-to-face</w:t>
            </w:r>
            <w:r>
              <w:t xml:space="preserve"> </w:t>
            </w:r>
            <w:r w:rsidRPr="00316793">
              <w:t>or</w:t>
            </w:r>
            <w:r>
              <w:t xml:space="preserve"> </w:t>
            </w:r>
            <w:r w:rsidRPr="00316793">
              <w:t>intensive</w:t>
            </w:r>
            <w:r>
              <w:t xml:space="preserve"> </w:t>
            </w:r>
            <w:r w:rsidRPr="00316793">
              <w:t>assistance</w:t>
            </w:r>
          </w:p>
        </w:tc>
      </w:tr>
      <w:tr w:rsidR="00856406" w:rsidRPr="00433E85" w14:paraId="0CAF2996" w14:textId="77777777" w:rsidTr="00323FD5">
        <w:trPr>
          <w:trHeight w:val="34"/>
        </w:trPr>
        <w:tc>
          <w:tcPr>
            <w:tcW w:w="4990" w:type="dxa"/>
          </w:tcPr>
          <w:p w14:paraId="0EA1D027" w14:textId="77777777" w:rsidR="00856406" w:rsidRPr="00316793" w:rsidRDefault="00856406" w:rsidP="00A27A3B">
            <w:pPr>
              <w:pStyle w:val="TableText"/>
            </w:pPr>
            <w:r w:rsidRPr="00316793">
              <w:t>Clients</w:t>
            </w:r>
            <w:r>
              <w:t xml:space="preserve"> </w:t>
            </w:r>
            <w:r w:rsidRPr="00316793">
              <w:t>assisted</w:t>
            </w:r>
            <w:r>
              <w:t xml:space="preserve"> </w:t>
            </w:r>
            <w:r w:rsidRPr="00316793">
              <w:t>under</w:t>
            </w:r>
            <w:r>
              <w:t xml:space="preserve"> </w:t>
            </w:r>
            <w:r w:rsidRPr="00316793">
              <w:t>the</w:t>
            </w:r>
            <w:r>
              <w:t xml:space="preserve"> </w:t>
            </w:r>
            <w:r w:rsidRPr="00316793">
              <w:t>Consumer</w:t>
            </w:r>
            <w:r>
              <w:t xml:space="preserve"> </w:t>
            </w:r>
            <w:r w:rsidRPr="00316793">
              <w:t>Assistance</w:t>
            </w:r>
            <w:r>
              <w:t xml:space="preserve"> </w:t>
            </w:r>
            <w:r w:rsidRPr="00316793">
              <w:t>and</w:t>
            </w:r>
            <w:r>
              <w:t xml:space="preserve"> </w:t>
            </w:r>
            <w:r w:rsidRPr="00316793">
              <w:t>Advocacy</w:t>
            </w:r>
            <w:r>
              <w:t xml:space="preserve"> </w:t>
            </w:r>
            <w:r w:rsidRPr="00316793">
              <w:t>Program</w:t>
            </w:r>
          </w:p>
        </w:tc>
        <w:tc>
          <w:tcPr>
            <w:tcW w:w="1361" w:type="dxa"/>
          </w:tcPr>
          <w:p w14:paraId="70BB31D2" w14:textId="77777777" w:rsidR="00856406" w:rsidRPr="00316793" w:rsidRDefault="00856406" w:rsidP="00A27A3B">
            <w:pPr>
              <w:pStyle w:val="TableTextRight"/>
            </w:pPr>
            <w:r>
              <w:t>270</w:t>
            </w:r>
          </w:p>
        </w:tc>
        <w:tc>
          <w:tcPr>
            <w:tcW w:w="1361" w:type="dxa"/>
          </w:tcPr>
          <w:p w14:paraId="58733455" w14:textId="77777777" w:rsidR="00856406" w:rsidRPr="00316793" w:rsidRDefault="00856406" w:rsidP="00A27A3B">
            <w:pPr>
              <w:pStyle w:val="TableTextRight"/>
            </w:pPr>
            <w:r w:rsidRPr="00316793">
              <w:t>241</w:t>
            </w:r>
          </w:p>
        </w:tc>
        <w:tc>
          <w:tcPr>
            <w:tcW w:w="1361" w:type="dxa"/>
          </w:tcPr>
          <w:p w14:paraId="56AB8236" w14:textId="77777777" w:rsidR="00856406" w:rsidRPr="00316793" w:rsidRDefault="00856406" w:rsidP="00A27A3B">
            <w:pPr>
              <w:pStyle w:val="TableTextRight"/>
            </w:pPr>
            <w:r>
              <w:t>269</w:t>
            </w:r>
            <w:r>
              <w:rPr>
                <w:highlight w:val="yellow"/>
              </w:rPr>
              <w:t xml:space="preserve"> </w:t>
            </w:r>
          </w:p>
        </w:tc>
      </w:tr>
      <w:tr w:rsidR="00856406" w:rsidRPr="00433E85" w14:paraId="6BFA93A8" w14:textId="77777777" w:rsidTr="00323FD5">
        <w:trPr>
          <w:trHeight w:val="34"/>
        </w:trPr>
        <w:tc>
          <w:tcPr>
            <w:tcW w:w="4990" w:type="dxa"/>
          </w:tcPr>
          <w:p w14:paraId="36DB1C69" w14:textId="77777777" w:rsidR="00856406" w:rsidRPr="00316793" w:rsidRDefault="00856406" w:rsidP="00A27A3B">
            <w:pPr>
              <w:pStyle w:val="TableText"/>
            </w:pPr>
            <w:r w:rsidRPr="00316793">
              <w:t>Clients</w:t>
            </w:r>
            <w:r>
              <w:t xml:space="preserve"> </w:t>
            </w:r>
            <w:r w:rsidRPr="00316793">
              <w:t>assisted</w:t>
            </w:r>
            <w:r>
              <w:t xml:space="preserve"> </w:t>
            </w:r>
            <w:r w:rsidRPr="00316793">
              <w:t>with</w:t>
            </w:r>
            <w:r>
              <w:t xml:space="preserve"> </w:t>
            </w:r>
            <w:r w:rsidRPr="00316793">
              <w:t>financial</w:t>
            </w:r>
            <w:r>
              <w:t xml:space="preserve"> </w:t>
            </w:r>
            <w:r w:rsidRPr="00316793">
              <w:t>counselling</w:t>
            </w:r>
          </w:p>
        </w:tc>
        <w:tc>
          <w:tcPr>
            <w:tcW w:w="1361" w:type="dxa"/>
          </w:tcPr>
          <w:p w14:paraId="0EDDB579" w14:textId="77777777" w:rsidR="00856406" w:rsidRPr="00316793" w:rsidRDefault="00856406" w:rsidP="00A27A3B">
            <w:pPr>
              <w:pStyle w:val="TableTextRight"/>
            </w:pPr>
            <w:r>
              <w:t>22,794</w:t>
            </w:r>
          </w:p>
        </w:tc>
        <w:tc>
          <w:tcPr>
            <w:tcW w:w="1361" w:type="dxa"/>
          </w:tcPr>
          <w:p w14:paraId="6A87A7D0" w14:textId="77777777" w:rsidR="00856406" w:rsidRPr="00316793" w:rsidRDefault="00856406" w:rsidP="00A27A3B">
            <w:pPr>
              <w:pStyle w:val="TableTextRight"/>
            </w:pPr>
            <w:r w:rsidRPr="00316793">
              <w:t>23,192</w:t>
            </w:r>
          </w:p>
        </w:tc>
        <w:tc>
          <w:tcPr>
            <w:tcW w:w="1361" w:type="dxa"/>
          </w:tcPr>
          <w:p w14:paraId="713DD3FD" w14:textId="77777777" w:rsidR="00856406" w:rsidRPr="00316793" w:rsidRDefault="00856406" w:rsidP="00A27A3B">
            <w:pPr>
              <w:pStyle w:val="TableTextRight"/>
            </w:pPr>
            <w:r>
              <w:t xml:space="preserve">21,545 </w:t>
            </w:r>
          </w:p>
        </w:tc>
      </w:tr>
    </w:tbl>
    <w:p w14:paraId="15B2D5E0" w14:textId="09C72FCA" w:rsidR="00856406" w:rsidRPr="0074720C" w:rsidRDefault="00856406" w:rsidP="00945164">
      <w:pPr>
        <w:pStyle w:val="Heading4"/>
      </w:pPr>
      <w:r w:rsidRPr="0074720C">
        <w:t>Supporting</w:t>
      </w:r>
      <w:r>
        <w:t xml:space="preserve"> </w:t>
      </w:r>
      <w:r w:rsidRPr="0074720C">
        <w:t>Victorians</w:t>
      </w:r>
      <w:r>
        <w:t xml:space="preserve"> </w:t>
      </w:r>
      <w:r w:rsidRPr="0074720C">
        <w:t>with</w:t>
      </w:r>
      <w:r>
        <w:t xml:space="preserve"> </w:t>
      </w:r>
      <w:r w:rsidRPr="0074720C">
        <w:t>renting</w:t>
      </w:r>
      <w:r>
        <w:t xml:space="preserve"> </w:t>
      </w:r>
      <w:r w:rsidRPr="0074720C">
        <w:t>issues</w:t>
      </w:r>
    </w:p>
    <w:p w14:paraId="08C3A9D3" w14:textId="77777777" w:rsidR="00856406" w:rsidRPr="00316793" w:rsidRDefault="00856406" w:rsidP="00F45F3A">
      <w:pPr>
        <w:pStyle w:val="BodyText"/>
      </w:pPr>
      <w:r>
        <w:t xml:space="preserve">Assistance with renting issues remains a top priority for CAV, as </w:t>
      </w:r>
      <w:r w:rsidRPr="000247DB">
        <w:t>Victorians</w:t>
      </w:r>
      <w:r>
        <w:t xml:space="preserve"> continue to </w:t>
      </w:r>
      <w:r w:rsidRPr="000247DB">
        <w:t>fac</w:t>
      </w:r>
      <w:r>
        <w:t xml:space="preserve">e housing and </w:t>
      </w:r>
      <w:r w:rsidRPr="000247DB">
        <w:t>cost</w:t>
      </w:r>
      <w:r>
        <w:t xml:space="preserve"> </w:t>
      </w:r>
      <w:r w:rsidRPr="000247DB">
        <w:t>of</w:t>
      </w:r>
      <w:r>
        <w:t xml:space="preserve"> </w:t>
      </w:r>
      <w:r w:rsidRPr="000247DB">
        <w:t>living</w:t>
      </w:r>
      <w:r>
        <w:t xml:space="preserve"> </w:t>
      </w:r>
      <w:r w:rsidRPr="000247DB">
        <w:t>pressures</w:t>
      </w:r>
      <w:r>
        <w:t>. The government also progressed important reforms to Victoria’s renting laws in the past year</w:t>
      </w:r>
      <w:r w:rsidRPr="000247DB">
        <w:t>.</w:t>
      </w:r>
    </w:p>
    <w:p w14:paraId="5556C703" w14:textId="77777777" w:rsidR="00856406" w:rsidRDefault="00856406" w:rsidP="00F45F3A">
      <w:pPr>
        <w:pStyle w:val="BodyText"/>
      </w:pPr>
      <w:r>
        <w:t xml:space="preserve">CAV’s renting investigations help renters struggling with rent increase or repairs issues. Under the </w:t>
      </w:r>
      <w:r w:rsidRPr="00614D80">
        <w:rPr>
          <w:i/>
          <w:iCs/>
        </w:rPr>
        <w:t>Residential</w:t>
      </w:r>
      <w:r>
        <w:rPr>
          <w:i/>
          <w:iCs/>
        </w:rPr>
        <w:t xml:space="preserve"> </w:t>
      </w:r>
      <w:r w:rsidRPr="00614D80">
        <w:rPr>
          <w:i/>
          <w:iCs/>
        </w:rPr>
        <w:t>Tenancies</w:t>
      </w:r>
      <w:r>
        <w:rPr>
          <w:i/>
          <w:iCs/>
        </w:rPr>
        <w:t xml:space="preserve"> </w:t>
      </w:r>
      <w:r w:rsidRPr="00614D80">
        <w:rPr>
          <w:i/>
          <w:iCs/>
        </w:rPr>
        <w:t>Act</w:t>
      </w:r>
      <w:r>
        <w:rPr>
          <w:i/>
          <w:iCs/>
        </w:rPr>
        <w:t xml:space="preserve"> </w:t>
      </w:r>
      <w:r w:rsidRPr="00614D80">
        <w:rPr>
          <w:i/>
          <w:iCs/>
        </w:rPr>
        <w:t>1997</w:t>
      </w:r>
      <w:r w:rsidRPr="00614D80">
        <w:t>,</w:t>
      </w:r>
      <w:r>
        <w:t xml:space="preserve"> r</w:t>
      </w:r>
      <w:r w:rsidRPr="00697298">
        <w:t>enters</w:t>
      </w:r>
      <w:r>
        <w:t xml:space="preserve"> </w:t>
      </w:r>
      <w:r w:rsidRPr="00697298">
        <w:t>can</w:t>
      </w:r>
      <w:r>
        <w:t xml:space="preserve"> </w:t>
      </w:r>
      <w:r w:rsidRPr="00697298">
        <w:t>ask</w:t>
      </w:r>
      <w:r>
        <w:t xml:space="preserve"> </w:t>
      </w:r>
      <w:r w:rsidRPr="00697298">
        <w:t>us</w:t>
      </w:r>
      <w:r>
        <w:t xml:space="preserve"> </w:t>
      </w:r>
      <w:r w:rsidRPr="00697298">
        <w:t>to</w:t>
      </w:r>
      <w:r>
        <w:t xml:space="preserve"> </w:t>
      </w:r>
      <w:r w:rsidRPr="00697298">
        <w:t>conduct</w:t>
      </w:r>
      <w:r>
        <w:t xml:space="preserve"> </w:t>
      </w:r>
      <w:r w:rsidRPr="00697298">
        <w:t>an</w:t>
      </w:r>
      <w:r>
        <w:t xml:space="preserve"> </w:t>
      </w:r>
      <w:r w:rsidRPr="00697298">
        <w:t>inspection</w:t>
      </w:r>
      <w:r>
        <w:t xml:space="preserve"> when </w:t>
      </w:r>
      <w:r w:rsidRPr="00697298">
        <w:t>there</w:t>
      </w:r>
      <w:r>
        <w:t xml:space="preserve"> </w:t>
      </w:r>
      <w:r w:rsidRPr="00697298">
        <w:t>is</w:t>
      </w:r>
      <w:r>
        <w:t xml:space="preserve"> </w:t>
      </w:r>
      <w:r w:rsidRPr="00697298">
        <w:t>a</w:t>
      </w:r>
      <w:r>
        <w:t xml:space="preserve"> </w:t>
      </w:r>
      <w:r w:rsidRPr="00697298">
        <w:t>dispute</w:t>
      </w:r>
      <w:r>
        <w:t xml:space="preserve"> </w:t>
      </w:r>
      <w:r w:rsidRPr="00697298">
        <w:t>over</w:t>
      </w:r>
      <w:r>
        <w:t xml:space="preserve"> </w:t>
      </w:r>
      <w:r w:rsidRPr="00697298">
        <w:t>non-urgent</w:t>
      </w:r>
      <w:r>
        <w:t xml:space="preserve"> </w:t>
      </w:r>
      <w:r w:rsidRPr="00697298">
        <w:t>repairs</w:t>
      </w:r>
      <w:r>
        <w:t xml:space="preserve">. They </w:t>
      </w:r>
      <w:r w:rsidRPr="00614D80">
        <w:t>can</w:t>
      </w:r>
      <w:r>
        <w:t xml:space="preserve"> also </w:t>
      </w:r>
      <w:r w:rsidRPr="00614D80">
        <w:t>ask</w:t>
      </w:r>
      <w:r>
        <w:t xml:space="preserve"> </w:t>
      </w:r>
      <w:r w:rsidRPr="00614D80">
        <w:t>us</w:t>
      </w:r>
      <w:r>
        <w:t xml:space="preserve"> </w:t>
      </w:r>
      <w:r w:rsidRPr="00614D80">
        <w:t>to</w:t>
      </w:r>
      <w:r>
        <w:t xml:space="preserve"> </w:t>
      </w:r>
      <w:r w:rsidRPr="00614D80">
        <w:t>carry</w:t>
      </w:r>
      <w:r>
        <w:t xml:space="preserve"> </w:t>
      </w:r>
      <w:r w:rsidRPr="00614D80">
        <w:t>out</w:t>
      </w:r>
      <w:r>
        <w:t xml:space="preserve"> </w:t>
      </w:r>
      <w:r w:rsidRPr="00614D80">
        <w:t>an</w:t>
      </w:r>
      <w:r>
        <w:t xml:space="preserve"> </w:t>
      </w:r>
      <w:r w:rsidRPr="00614D80">
        <w:t>investigation</w:t>
      </w:r>
      <w:r>
        <w:t xml:space="preserve"> </w:t>
      </w:r>
      <w:r w:rsidRPr="00614D80">
        <w:t>if</w:t>
      </w:r>
      <w:r>
        <w:t xml:space="preserve"> </w:t>
      </w:r>
      <w:r w:rsidRPr="00614D80">
        <w:t>they</w:t>
      </w:r>
      <w:r>
        <w:t xml:space="preserve"> </w:t>
      </w:r>
      <w:r w:rsidRPr="00614D80">
        <w:t>think</w:t>
      </w:r>
      <w:r>
        <w:t xml:space="preserve"> </w:t>
      </w:r>
      <w:r w:rsidRPr="00614D80">
        <w:t>a</w:t>
      </w:r>
      <w:r>
        <w:t xml:space="preserve"> </w:t>
      </w:r>
      <w:r w:rsidRPr="00614D80">
        <w:t>proposed</w:t>
      </w:r>
      <w:r>
        <w:t xml:space="preserve"> </w:t>
      </w:r>
      <w:r w:rsidRPr="00614D80">
        <w:t>rent</w:t>
      </w:r>
      <w:r>
        <w:t xml:space="preserve"> </w:t>
      </w:r>
      <w:r w:rsidRPr="00614D80">
        <w:t>increase</w:t>
      </w:r>
      <w:r>
        <w:t xml:space="preserve"> </w:t>
      </w:r>
      <w:r w:rsidRPr="00614D80">
        <w:t>is</w:t>
      </w:r>
      <w:r>
        <w:t xml:space="preserve"> </w:t>
      </w:r>
      <w:r w:rsidRPr="00614D80">
        <w:t>excessive</w:t>
      </w:r>
      <w:r>
        <w:t xml:space="preserve">. </w:t>
      </w:r>
      <w:r w:rsidRPr="00614D80">
        <w:t>We</w:t>
      </w:r>
      <w:r>
        <w:t xml:space="preserve"> </w:t>
      </w:r>
      <w:r w:rsidRPr="00614D80">
        <w:t>assess</w:t>
      </w:r>
      <w:r>
        <w:t xml:space="preserve"> </w:t>
      </w:r>
      <w:r w:rsidRPr="00614D80">
        <w:t>the</w:t>
      </w:r>
      <w:r>
        <w:t xml:space="preserve"> </w:t>
      </w:r>
      <w:r w:rsidRPr="00614D80">
        <w:t>proposed</w:t>
      </w:r>
      <w:r>
        <w:t xml:space="preserve"> </w:t>
      </w:r>
      <w:r w:rsidRPr="00614D80">
        <w:t>rent</w:t>
      </w:r>
      <w:r>
        <w:t xml:space="preserve"> </w:t>
      </w:r>
      <w:r w:rsidRPr="00614D80">
        <w:t>against</w:t>
      </w:r>
      <w:r>
        <w:t xml:space="preserve"> </w:t>
      </w:r>
      <w:r w:rsidRPr="00614D80">
        <w:t>a</w:t>
      </w:r>
      <w:r>
        <w:t xml:space="preserve"> </w:t>
      </w:r>
      <w:r w:rsidRPr="00614D80">
        <w:t>set</w:t>
      </w:r>
      <w:r>
        <w:t xml:space="preserve"> </w:t>
      </w:r>
      <w:r w:rsidRPr="00614D80">
        <w:t>of</w:t>
      </w:r>
      <w:r>
        <w:t xml:space="preserve"> </w:t>
      </w:r>
      <w:r w:rsidRPr="00614D80">
        <w:t>criteria</w:t>
      </w:r>
      <w:r>
        <w:t xml:space="preserve"> </w:t>
      </w:r>
      <w:r w:rsidRPr="00614D80">
        <w:t>under</w:t>
      </w:r>
      <w:r>
        <w:t xml:space="preserve"> </w:t>
      </w:r>
      <w:r w:rsidRPr="00614D80">
        <w:t>the</w:t>
      </w:r>
      <w:r>
        <w:t xml:space="preserve"> </w:t>
      </w:r>
      <w:r w:rsidRPr="00614D80">
        <w:t>law</w:t>
      </w:r>
      <w:r>
        <w:t xml:space="preserve"> </w:t>
      </w:r>
      <w:r w:rsidRPr="00614D80">
        <w:t>and</w:t>
      </w:r>
      <w:r>
        <w:t xml:space="preserve"> </w:t>
      </w:r>
      <w:r w:rsidRPr="00614D80">
        <w:t>if</w:t>
      </w:r>
      <w:r>
        <w:t xml:space="preserve"> </w:t>
      </w:r>
      <w:r w:rsidRPr="00614D80">
        <w:t>we</w:t>
      </w:r>
      <w:r>
        <w:t xml:space="preserve"> </w:t>
      </w:r>
      <w:r w:rsidRPr="00614D80">
        <w:t>find</w:t>
      </w:r>
      <w:r>
        <w:t xml:space="preserve"> </w:t>
      </w:r>
      <w:r w:rsidRPr="00614D80">
        <w:t>it</w:t>
      </w:r>
      <w:r>
        <w:t xml:space="preserve"> </w:t>
      </w:r>
      <w:r w:rsidRPr="00614D80">
        <w:t>is</w:t>
      </w:r>
      <w:r>
        <w:t xml:space="preserve"> </w:t>
      </w:r>
      <w:r w:rsidRPr="00614D80">
        <w:t>excessive,</w:t>
      </w:r>
      <w:r>
        <w:t xml:space="preserve"> </w:t>
      </w:r>
      <w:r w:rsidRPr="00614D80">
        <w:t>we</w:t>
      </w:r>
      <w:r>
        <w:t xml:space="preserve"> </w:t>
      </w:r>
      <w:r w:rsidRPr="00614D80">
        <w:t>can</w:t>
      </w:r>
      <w:r>
        <w:t xml:space="preserve"> </w:t>
      </w:r>
      <w:r w:rsidRPr="00614D80">
        <w:t>help</w:t>
      </w:r>
      <w:r>
        <w:t xml:space="preserve"> </w:t>
      </w:r>
      <w:r w:rsidRPr="00614D80">
        <w:t>renters</w:t>
      </w:r>
      <w:r>
        <w:t xml:space="preserve"> </w:t>
      </w:r>
      <w:r w:rsidRPr="00614D80">
        <w:t>and</w:t>
      </w:r>
      <w:r>
        <w:t xml:space="preserve"> </w:t>
      </w:r>
      <w:r w:rsidRPr="00614D80">
        <w:t>rental</w:t>
      </w:r>
      <w:r>
        <w:t xml:space="preserve"> </w:t>
      </w:r>
      <w:r w:rsidRPr="00614D80">
        <w:t>providers</w:t>
      </w:r>
      <w:r>
        <w:t xml:space="preserve"> </w:t>
      </w:r>
      <w:r w:rsidRPr="00614D80">
        <w:t>reach</w:t>
      </w:r>
      <w:r>
        <w:t xml:space="preserve"> </w:t>
      </w:r>
      <w:r w:rsidRPr="00614D80">
        <w:t>an</w:t>
      </w:r>
      <w:r>
        <w:t xml:space="preserve"> </w:t>
      </w:r>
      <w:r w:rsidRPr="00614D80">
        <w:t>agreed</w:t>
      </w:r>
      <w:r>
        <w:t xml:space="preserve"> </w:t>
      </w:r>
      <w:r w:rsidRPr="00614D80">
        <w:t>price</w:t>
      </w:r>
      <w:r>
        <w:t xml:space="preserve">. </w:t>
      </w:r>
      <w:r w:rsidRPr="00614D80">
        <w:t>If</w:t>
      </w:r>
      <w:r>
        <w:t xml:space="preserve"> </w:t>
      </w:r>
      <w:r w:rsidRPr="00614D80">
        <w:t>they</w:t>
      </w:r>
      <w:r>
        <w:t xml:space="preserve"> </w:t>
      </w:r>
      <w:r w:rsidRPr="00614D80">
        <w:t>can</w:t>
      </w:r>
      <w:r>
        <w:t>’</w:t>
      </w:r>
      <w:r w:rsidRPr="00614D80">
        <w:t>t</w:t>
      </w:r>
      <w:r>
        <w:t xml:space="preserve"> </w:t>
      </w:r>
      <w:r w:rsidRPr="00614D80">
        <w:t>agree</w:t>
      </w:r>
      <w:r>
        <w:t xml:space="preserve"> </w:t>
      </w:r>
      <w:r w:rsidRPr="00614D80">
        <w:t>on</w:t>
      </w:r>
      <w:r>
        <w:t xml:space="preserve"> </w:t>
      </w:r>
      <w:r w:rsidRPr="00614D80">
        <w:t>a</w:t>
      </w:r>
      <w:r>
        <w:t xml:space="preserve"> </w:t>
      </w:r>
      <w:r w:rsidRPr="00614D80">
        <w:t>new</w:t>
      </w:r>
      <w:r>
        <w:t xml:space="preserve"> </w:t>
      </w:r>
      <w:r w:rsidRPr="00614D80">
        <w:t>rent,</w:t>
      </w:r>
      <w:r>
        <w:t xml:space="preserve"> </w:t>
      </w:r>
      <w:r w:rsidRPr="00614D80">
        <w:t>renters</w:t>
      </w:r>
      <w:r>
        <w:t xml:space="preserve"> </w:t>
      </w:r>
      <w:r w:rsidRPr="00614D80">
        <w:t>can</w:t>
      </w:r>
      <w:r>
        <w:t xml:space="preserve"> </w:t>
      </w:r>
      <w:r w:rsidRPr="00614D80">
        <w:t>use</w:t>
      </w:r>
      <w:r>
        <w:t xml:space="preserve"> </w:t>
      </w:r>
      <w:r w:rsidRPr="00614D80">
        <w:t>our</w:t>
      </w:r>
      <w:r>
        <w:t xml:space="preserve"> </w:t>
      </w:r>
      <w:r w:rsidRPr="00614D80">
        <w:t>report</w:t>
      </w:r>
      <w:r>
        <w:t xml:space="preserve"> </w:t>
      </w:r>
      <w:r w:rsidRPr="00614D80">
        <w:t>to</w:t>
      </w:r>
      <w:r>
        <w:t xml:space="preserve"> </w:t>
      </w:r>
      <w:r w:rsidRPr="00614D80">
        <w:t>apply</w:t>
      </w:r>
      <w:r>
        <w:t xml:space="preserve"> </w:t>
      </w:r>
      <w:r w:rsidRPr="00614D80">
        <w:t>to</w:t>
      </w:r>
      <w:r>
        <w:t xml:space="preserve"> RDRV. RDRV can also help people seek an order from </w:t>
      </w:r>
      <w:r w:rsidRPr="00614D80">
        <w:t>the</w:t>
      </w:r>
      <w:r>
        <w:t xml:space="preserve"> </w:t>
      </w:r>
      <w:r w:rsidRPr="00614D80">
        <w:t>Victorian</w:t>
      </w:r>
      <w:r>
        <w:t xml:space="preserve"> </w:t>
      </w:r>
      <w:r w:rsidRPr="00614D80">
        <w:t>Civil</w:t>
      </w:r>
      <w:r>
        <w:t xml:space="preserve"> </w:t>
      </w:r>
      <w:r w:rsidRPr="00614D80">
        <w:t>and</w:t>
      </w:r>
      <w:r>
        <w:t xml:space="preserve"> </w:t>
      </w:r>
      <w:r w:rsidRPr="00614D80">
        <w:t>Administrative</w:t>
      </w:r>
      <w:r>
        <w:t xml:space="preserve"> </w:t>
      </w:r>
      <w:r w:rsidRPr="00614D80">
        <w:t>Tribunal</w:t>
      </w:r>
      <w:r>
        <w:t xml:space="preserve"> </w:t>
      </w:r>
      <w:r w:rsidRPr="00614D80">
        <w:t>(VCAT)</w:t>
      </w:r>
      <w:r>
        <w:t xml:space="preserve"> </w:t>
      </w:r>
      <w:r w:rsidRPr="00614D80">
        <w:t>set</w:t>
      </w:r>
      <w:r>
        <w:t xml:space="preserve">ting </w:t>
      </w:r>
      <w:r w:rsidRPr="00614D80">
        <w:t>a</w:t>
      </w:r>
      <w:r>
        <w:t xml:space="preserve"> </w:t>
      </w:r>
      <w:r w:rsidRPr="00614D80">
        <w:t>maximum</w:t>
      </w:r>
      <w:r>
        <w:t xml:space="preserve"> </w:t>
      </w:r>
      <w:r w:rsidRPr="00614D80">
        <w:t>rent</w:t>
      </w:r>
      <w:r>
        <w:t>.</w:t>
      </w:r>
    </w:p>
    <w:p w14:paraId="7D1DA33D" w14:textId="0E505A85" w:rsidR="00856406" w:rsidRDefault="00856406" w:rsidP="00F45F3A">
      <w:pPr>
        <w:pStyle w:val="BodyText"/>
      </w:pPr>
      <w:r w:rsidDel="00426D2C">
        <w:t>The</w:t>
      </w:r>
      <w:r>
        <w:t xml:space="preserve"> </w:t>
      </w:r>
      <w:r w:rsidDel="00426D2C">
        <w:t>table</w:t>
      </w:r>
      <w:r>
        <w:t xml:space="preserve"> </w:t>
      </w:r>
      <w:r w:rsidDel="00426D2C">
        <w:t>below</w:t>
      </w:r>
      <w:r>
        <w:t xml:space="preserve"> provides an overview of </w:t>
      </w:r>
      <w:r w:rsidDel="00426D2C">
        <w:t>the</w:t>
      </w:r>
      <w:r>
        <w:t xml:space="preserve"> </w:t>
      </w:r>
      <w:r w:rsidDel="00426D2C">
        <w:t>information,</w:t>
      </w:r>
      <w:r>
        <w:t xml:space="preserve"> </w:t>
      </w:r>
      <w:r w:rsidDel="00426D2C">
        <w:t>advice,</w:t>
      </w:r>
      <w:r>
        <w:t xml:space="preserve"> </w:t>
      </w:r>
      <w:r w:rsidDel="00426D2C">
        <w:t>and</w:t>
      </w:r>
      <w:r>
        <w:t xml:space="preserve"> </w:t>
      </w:r>
      <w:r w:rsidDel="00426D2C">
        <w:t>assistance</w:t>
      </w:r>
      <w:r>
        <w:t xml:space="preserve"> </w:t>
      </w:r>
      <w:r w:rsidDel="00426D2C">
        <w:t>provided</w:t>
      </w:r>
      <w:r>
        <w:t xml:space="preserve"> </w:t>
      </w:r>
      <w:r w:rsidDel="00426D2C">
        <w:t>to</w:t>
      </w:r>
      <w:r>
        <w:t xml:space="preserve"> </w:t>
      </w:r>
      <w:r w:rsidDel="00426D2C">
        <w:t>renters,</w:t>
      </w:r>
      <w:r>
        <w:t xml:space="preserve"> </w:t>
      </w:r>
      <w:r w:rsidDel="00426D2C">
        <w:t>rental</w:t>
      </w:r>
      <w:r>
        <w:t xml:space="preserve"> </w:t>
      </w:r>
      <w:r w:rsidDel="00426D2C">
        <w:t>providers</w:t>
      </w:r>
      <w:r>
        <w:t xml:space="preserve"> </w:t>
      </w:r>
      <w:r w:rsidDel="00426D2C">
        <w:t>and</w:t>
      </w:r>
      <w:r>
        <w:t xml:space="preserve"> agents</w:t>
      </w:r>
      <w:r w:rsidDel="00426D2C">
        <w:t>.</w:t>
      </w:r>
      <w:r>
        <w:t xml:space="preserve"> Over the previous three financial years, there was </w:t>
      </w:r>
      <w:r w:rsidRPr="00F01D2B">
        <w:t>a</w:t>
      </w:r>
      <w:r>
        <w:t xml:space="preserve"> </w:t>
      </w:r>
      <w:r w:rsidRPr="00F01D2B">
        <w:t>significant</w:t>
      </w:r>
      <w:r>
        <w:t xml:space="preserve"> </w:t>
      </w:r>
      <w:r w:rsidRPr="00F01D2B">
        <w:t>increase</w:t>
      </w:r>
      <w:r>
        <w:t xml:space="preserve"> </w:t>
      </w:r>
      <w:r w:rsidRPr="00F01D2B">
        <w:t>in</w:t>
      </w:r>
      <w:r>
        <w:t xml:space="preserve"> requests for rent investigations. This reduced in </w:t>
      </w:r>
      <w:r w:rsidR="00EE79C3">
        <w:t>2024–25</w:t>
      </w:r>
      <w:r>
        <w:t xml:space="preserve"> but demand remained strong, with over 5,400 requests received</w:t>
      </w:r>
      <w:r w:rsidRPr="00F01D2B">
        <w:t>.</w:t>
      </w:r>
      <w:r>
        <w:t xml:space="preserve"> </w:t>
      </w:r>
      <w:r w:rsidRPr="00900B62">
        <w:t>Laws</w:t>
      </w:r>
      <w:r>
        <w:t xml:space="preserve"> </w:t>
      </w:r>
      <w:r w:rsidRPr="00900B62">
        <w:t>passed</w:t>
      </w:r>
      <w:r>
        <w:t xml:space="preserve"> </w:t>
      </w:r>
      <w:r w:rsidRPr="00900B62">
        <w:t>by</w:t>
      </w:r>
      <w:r>
        <w:t xml:space="preserve"> the Victorian </w:t>
      </w:r>
      <w:r w:rsidRPr="00900B62">
        <w:t>Parliament</w:t>
      </w:r>
      <w:r>
        <w:t xml:space="preserve"> </w:t>
      </w:r>
      <w:r w:rsidRPr="00900B62">
        <w:t>in</w:t>
      </w:r>
      <w:r>
        <w:t xml:space="preserve"> </w:t>
      </w:r>
      <w:r w:rsidRPr="00900B62">
        <w:t>March</w:t>
      </w:r>
      <w:r>
        <w:t xml:space="preserve"> </w:t>
      </w:r>
      <w:r w:rsidRPr="00900B62">
        <w:t>2025</w:t>
      </w:r>
      <w:r>
        <w:t xml:space="preserve"> </w:t>
      </w:r>
      <w:r w:rsidRPr="00900B62">
        <w:t>will</w:t>
      </w:r>
      <w:r>
        <w:t xml:space="preserve"> </w:t>
      </w:r>
      <w:r w:rsidRPr="00900B62">
        <w:t>allow</w:t>
      </w:r>
      <w:r>
        <w:t xml:space="preserve"> </w:t>
      </w:r>
      <w:r w:rsidRPr="00900B62">
        <w:t>for</w:t>
      </w:r>
      <w:r>
        <w:t xml:space="preserve"> </w:t>
      </w:r>
      <w:r w:rsidRPr="00900B62">
        <w:t>additional</w:t>
      </w:r>
      <w:r>
        <w:t xml:space="preserve"> </w:t>
      </w:r>
      <w:r w:rsidRPr="00900B62">
        <w:t>criteria</w:t>
      </w:r>
      <w:r>
        <w:t xml:space="preserve"> </w:t>
      </w:r>
      <w:r w:rsidRPr="00900B62">
        <w:t>to</w:t>
      </w:r>
      <w:r>
        <w:t xml:space="preserve"> </w:t>
      </w:r>
      <w:r w:rsidRPr="00900B62">
        <w:t>be</w:t>
      </w:r>
      <w:r>
        <w:t xml:space="preserve"> </w:t>
      </w:r>
      <w:r w:rsidRPr="00900B62">
        <w:t>prescribed</w:t>
      </w:r>
      <w:r>
        <w:t xml:space="preserve"> </w:t>
      </w:r>
      <w:r w:rsidRPr="00900B62">
        <w:t>under</w:t>
      </w:r>
      <w:r>
        <w:t xml:space="preserve"> </w:t>
      </w:r>
      <w:r w:rsidRPr="00900B62">
        <w:t>regulations,</w:t>
      </w:r>
      <w:r>
        <w:t xml:space="preserve"> </w:t>
      </w:r>
      <w:r w:rsidRPr="00900B62">
        <w:t>which</w:t>
      </w:r>
      <w:r>
        <w:t xml:space="preserve"> </w:t>
      </w:r>
      <w:r w:rsidRPr="00900B62">
        <w:t>CAV</w:t>
      </w:r>
      <w:r>
        <w:t xml:space="preserve"> </w:t>
      </w:r>
      <w:r w:rsidRPr="00900B62">
        <w:t>and</w:t>
      </w:r>
      <w:r>
        <w:t xml:space="preserve"> </w:t>
      </w:r>
      <w:r w:rsidRPr="00900B62">
        <w:t>VCAT</w:t>
      </w:r>
      <w:r>
        <w:t xml:space="preserve"> </w:t>
      </w:r>
      <w:r w:rsidRPr="00900B62">
        <w:t>will</w:t>
      </w:r>
      <w:r>
        <w:t xml:space="preserve"> </w:t>
      </w:r>
      <w:r w:rsidRPr="00900B62">
        <w:t>be</w:t>
      </w:r>
      <w:r>
        <w:t xml:space="preserve"> </w:t>
      </w:r>
      <w:r w:rsidRPr="00900B62">
        <w:t>able</w:t>
      </w:r>
      <w:r>
        <w:t xml:space="preserve"> </w:t>
      </w:r>
      <w:r w:rsidRPr="00900B62">
        <w:t>to</w:t>
      </w:r>
      <w:r>
        <w:t xml:space="preserve"> </w:t>
      </w:r>
      <w:r w:rsidRPr="00900B62">
        <w:t>consider</w:t>
      </w:r>
      <w:r>
        <w:t xml:space="preserve"> </w:t>
      </w:r>
      <w:r w:rsidRPr="00900B62">
        <w:t>when</w:t>
      </w:r>
      <w:r>
        <w:t xml:space="preserve"> </w:t>
      </w:r>
      <w:r w:rsidRPr="00900B62">
        <w:t>assessing</w:t>
      </w:r>
      <w:r>
        <w:t xml:space="preserve"> </w:t>
      </w:r>
      <w:r w:rsidRPr="00900B62">
        <w:t>whether</w:t>
      </w:r>
      <w:r>
        <w:t xml:space="preserve"> </w:t>
      </w:r>
      <w:r w:rsidRPr="00900B62">
        <w:t>a</w:t>
      </w:r>
      <w:r>
        <w:t xml:space="preserve"> </w:t>
      </w:r>
      <w:r w:rsidRPr="00900B62">
        <w:t>proposed</w:t>
      </w:r>
      <w:r>
        <w:t xml:space="preserve"> </w:t>
      </w:r>
      <w:r w:rsidRPr="00900B62">
        <w:t>rent</w:t>
      </w:r>
      <w:r>
        <w:t xml:space="preserve"> </w:t>
      </w:r>
      <w:r w:rsidRPr="00900B62">
        <w:t>increase</w:t>
      </w:r>
      <w:r>
        <w:t xml:space="preserve"> </w:t>
      </w:r>
      <w:r w:rsidRPr="00900B62">
        <w:t>is</w:t>
      </w:r>
      <w:r>
        <w:t xml:space="preserve"> </w:t>
      </w:r>
      <w:r w:rsidRPr="00900B62">
        <w:t>excessive.</w:t>
      </w:r>
      <w:r>
        <w:t xml:space="preserve"> </w:t>
      </w:r>
      <w:r w:rsidRPr="00900B62">
        <w:t>The</w:t>
      </w:r>
      <w:r>
        <w:t xml:space="preserve"> </w:t>
      </w:r>
      <w:r w:rsidRPr="00900B62">
        <w:t>new</w:t>
      </w:r>
      <w:r>
        <w:t xml:space="preserve"> </w:t>
      </w:r>
      <w:r w:rsidRPr="00900B62">
        <w:t>laws</w:t>
      </w:r>
      <w:r>
        <w:t xml:space="preserve"> </w:t>
      </w:r>
      <w:r w:rsidRPr="00900B62">
        <w:t>will</w:t>
      </w:r>
      <w:r>
        <w:t xml:space="preserve"> </w:t>
      </w:r>
      <w:r w:rsidRPr="00900B62">
        <w:t>come</w:t>
      </w:r>
      <w:r>
        <w:t xml:space="preserve"> </w:t>
      </w:r>
      <w:r w:rsidRPr="00900B62">
        <w:t>into</w:t>
      </w:r>
      <w:r>
        <w:t xml:space="preserve"> </w:t>
      </w:r>
      <w:r w:rsidRPr="00900B62">
        <w:t>force</w:t>
      </w:r>
      <w:r>
        <w:t xml:space="preserve"> in </w:t>
      </w:r>
      <w:r w:rsidRPr="00900B62">
        <w:t>November</w:t>
      </w:r>
      <w:r>
        <w:t xml:space="preserve"> </w:t>
      </w:r>
      <w:r w:rsidRPr="00900B62">
        <w:t>2025.</w:t>
      </w:r>
    </w:p>
    <w:p w14:paraId="77913444" w14:textId="77777777" w:rsidR="00A27A3B" w:rsidRPr="00A27A3B" w:rsidRDefault="00A27A3B" w:rsidP="00A27A3B">
      <w:pPr>
        <w:pStyle w:val="BodyText"/>
      </w:pPr>
      <w:r w:rsidRPr="00A27A3B">
        <w:br w:type="page"/>
      </w:r>
    </w:p>
    <w:p w14:paraId="750C639A" w14:textId="1025072E" w:rsidR="00856406" w:rsidRPr="00A4404F" w:rsidRDefault="00856406" w:rsidP="00A27A3B">
      <w:pPr>
        <w:pStyle w:val="Caption"/>
      </w:pPr>
      <w:bookmarkStart w:id="39" w:name="_Toc212562070"/>
      <w:r w:rsidRPr="00A4404F">
        <w:t>Table</w:t>
      </w:r>
      <w:r>
        <w:t xml:space="preserve"> 3</w:t>
      </w:r>
      <w:r w:rsidRPr="00A4404F">
        <w:t>:</w:t>
      </w:r>
      <w:r>
        <w:t xml:space="preserve"> </w:t>
      </w:r>
      <w:r w:rsidRPr="00A4404F">
        <w:t>Information,</w:t>
      </w:r>
      <w:r>
        <w:t xml:space="preserve"> </w:t>
      </w:r>
      <w:r w:rsidRPr="00A4404F">
        <w:t>advice</w:t>
      </w:r>
      <w:r>
        <w:t xml:space="preserve"> </w:t>
      </w:r>
      <w:r w:rsidRPr="00A4404F">
        <w:t>and</w:t>
      </w:r>
      <w:r>
        <w:t xml:space="preserve"> </w:t>
      </w:r>
      <w:r w:rsidRPr="00A4404F">
        <w:t>service</w:t>
      </w:r>
      <w:r>
        <w:t xml:space="preserve"> </w:t>
      </w:r>
      <w:r w:rsidRPr="00A4404F">
        <w:t>delivery</w:t>
      </w:r>
      <w:r>
        <w:t xml:space="preserve"> </w:t>
      </w:r>
      <w:r w:rsidRPr="00A4404F">
        <w:t>to</w:t>
      </w:r>
      <w:r>
        <w:t xml:space="preserve"> </w:t>
      </w:r>
      <w:r w:rsidRPr="00A4404F">
        <w:t>renters,</w:t>
      </w:r>
      <w:r>
        <w:t xml:space="preserve"> </w:t>
      </w:r>
      <w:r w:rsidRPr="00A4404F">
        <w:t>rental</w:t>
      </w:r>
      <w:r>
        <w:t xml:space="preserve"> </w:t>
      </w:r>
      <w:r w:rsidRPr="00A4404F">
        <w:t>providers</w:t>
      </w:r>
      <w:r>
        <w:t xml:space="preserve"> </w:t>
      </w:r>
      <w:r w:rsidRPr="00A4404F">
        <w:t>and</w:t>
      </w:r>
      <w:r>
        <w:t xml:space="preserve"> </w:t>
      </w:r>
      <w:r w:rsidRPr="00A4404F">
        <w:t>agents</w:t>
      </w:r>
      <w:bookmarkStart w:id="40" w:name="_Toc204243151"/>
      <w:bookmarkEnd w:id="39"/>
    </w:p>
    <w:tbl>
      <w:tblPr>
        <w:tblStyle w:val="TableGrid"/>
        <w:tblW w:w="9072" w:type="dxa"/>
        <w:tblLayout w:type="fixed"/>
        <w:tblLook w:val="06A0" w:firstRow="1" w:lastRow="0" w:firstColumn="1" w:lastColumn="0" w:noHBand="1" w:noVBand="1"/>
      </w:tblPr>
      <w:tblGrid>
        <w:gridCol w:w="4989"/>
        <w:gridCol w:w="1361"/>
        <w:gridCol w:w="1361"/>
        <w:gridCol w:w="1361"/>
      </w:tblGrid>
      <w:tr w:rsidR="00856406" w:rsidRPr="00CA257B" w14:paraId="173F2747" w14:textId="77777777" w:rsidTr="002D4081">
        <w:trPr>
          <w:cnfStyle w:val="100000000000" w:firstRow="1" w:lastRow="0" w:firstColumn="0" w:lastColumn="0" w:oddVBand="0" w:evenVBand="0" w:oddHBand="0" w:evenHBand="0" w:firstRowFirstColumn="0" w:firstRowLastColumn="0" w:lastRowFirstColumn="0" w:lastRowLastColumn="0"/>
          <w:tblHeader/>
        </w:trPr>
        <w:tc>
          <w:tcPr>
            <w:tcW w:w="4990" w:type="dxa"/>
          </w:tcPr>
          <w:p w14:paraId="7756024E" w14:textId="77777777" w:rsidR="00856406" w:rsidRPr="00A27A3B" w:rsidRDefault="00856406" w:rsidP="00A27A3B">
            <w:pPr>
              <w:pStyle w:val="TableColHead"/>
            </w:pPr>
          </w:p>
        </w:tc>
        <w:tc>
          <w:tcPr>
            <w:tcW w:w="1361" w:type="dxa"/>
          </w:tcPr>
          <w:p w14:paraId="39A351D0" w14:textId="5CB724DC" w:rsidR="00856406" w:rsidRPr="00A27A3B" w:rsidRDefault="00EE79C3" w:rsidP="00A27A3B">
            <w:pPr>
              <w:pStyle w:val="TableColHeadRight"/>
            </w:pPr>
            <w:r>
              <w:t>2022–23</w:t>
            </w:r>
          </w:p>
        </w:tc>
        <w:tc>
          <w:tcPr>
            <w:tcW w:w="1361" w:type="dxa"/>
          </w:tcPr>
          <w:p w14:paraId="49866C8F" w14:textId="1F9EFD29" w:rsidR="00856406" w:rsidRPr="00A27A3B" w:rsidRDefault="00EE79C3" w:rsidP="00A27A3B">
            <w:pPr>
              <w:pStyle w:val="TableColHeadRight"/>
            </w:pPr>
            <w:r>
              <w:t>2023–24</w:t>
            </w:r>
          </w:p>
        </w:tc>
        <w:tc>
          <w:tcPr>
            <w:tcW w:w="1361" w:type="dxa"/>
          </w:tcPr>
          <w:p w14:paraId="44FF752D" w14:textId="01E20D88" w:rsidR="00856406" w:rsidRPr="00A27A3B" w:rsidRDefault="00EE79C3" w:rsidP="00A27A3B">
            <w:pPr>
              <w:pStyle w:val="TableColHeadRight"/>
            </w:pPr>
            <w:r>
              <w:t>2024–25</w:t>
            </w:r>
          </w:p>
        </w:tc>
      </w:tr>
      <w:tr w:rsidR="00856406" w:rsidRPr="00CA257B" w14:paraId="627D8701" w14:textId="77777777" w:rsidTr="002D4081">
        <w:tc>
          <w:tcPr>
            <w:tcW w:w="1361" w:type="dxa"/>
            <w:gridSpan w:val="4"/>
            <w:shd w:val="clear" w:color="auto" w:fill="BCCAE5"/>
          </w:tcPr>
          <w:p w14:paraId="6CD27FCB" w14:textId="4EEC1DFE" w:rsidR="00856406" w:rsidRPr="00717004" w:rsidRDefault="00856406" w:rsidP="004A6BB2">
            <w:pPr>
              <w:pStyle w:val="TableTextBold"/>
            </w:pPr>
            <w:r w:rsidRPr="00717004">
              <w:t>Information</w:t>
            </w:r>
            <w:r>
              <w:t xml:space="preserve"> </w:t>
            </w:r>
            <w:r w:rsidRPr="00717004">
              <w:t>and</w:t>
            </w:r>
            <w:r>
              <w:t xml:space="preserve"> </w:t>
            </w:r>
            <w:r w:rsidR="00935175">
              <w:t>a</w:t>
            </w:r>
            <w:r w:rsidRPr="00717004">
              <w:t>dvice</w:t>
            </w:r>
          </w:p>
        </w:tc>
      </w:tr>
      <w:tr w:rsidR="00856406" w:rsidRPr="00CA257B" w14:paraId="2906E342" w14:textId="77777777" w:rsidTr="002D4081">
        <w:tc>
          <w:tcPr>
            <w:tcW w:w="4990" w:type="dxa"/>
          </w:tcPr>
          <w:p w14:paraId="04B11FBD" w14:textId="77777777" w:rsidR="00856406" w:rsidRPr="00717004" w:rsidRDefault="00856406" w:rsidP="004A6BB2">
            <w:pPr>
              <w:pStyle w:val="TableText"/>
            </w:pPr>
            <w:r w:rsidRPr="00717004">
              <w:t>Website</w:t>
            </w:r>
            <w:r>
              <w:t xml:space="preserve"> </w:t>
            </w:r>
            <w:r w:rsidRPr="00717004">
              <w:t>page</w:t>
            </w:r>
            <w:r>
              <w:t xml:space="preserve"> </w:t>
            </w:r>
            <w:r w:rsidRPr="00717004">
              <w:t>views</w:t>
            </w:r>
            <w:r>
              <w:t xml:space="preserve"> </w:t>
            </w:r>
            <w:r w:rsidRPr="00717004">
              <w:t>–</w:t>
            </w:r>
            <w:r>
              <w:t xml:space="preserve"> </w:t>
            </w:r>
            <w:r w:rsidRPr="00717004">
              <w:t>renting</w:t>
            </w:r>
            <w:r>
              <w:t xml:space="preserve"> </w:t>
            </w:r>
            <w:r w:rsidRPr="00717004">
              <w:t>section</w:t>
            </w:r>
          </w:p>
        </w:tc>
        <w:tc>
          <w:tcPr>
            <w:tcW w:w="1361" w:type="dxa"/>
          </w:tcPr>
          <w:p w14:paraId="1A1B3821" w14:textId="77777777" w:rsidR="00856406" w:rsidRPr="00717004" w:rsidRDefault="00856406" w:rsidP="004A6BB2">
            <w:pPr>
              <w:pStyle w:val="TableTextRight"/>
            </w:pPr>
            <w:r w:rsidRPr="00717004">
              <w:t>4,261,483</w:t>
            </w:r>
          </w:p>
        </w:tc>
        <w:tc>
          <w:tcPr>
            <w:tcW w:w="1361" w:type="dxa"/>
          </w:tcPr>
          <w:p w14:paraId="214512BF" w14:textId="77777777" w:rsidR="00856406" w:rsidRPr="00717004" w:rsidRDefault="00856406" w:rsidP="004A6BB2">
            <w:pPr>
              <w:pStyle w:val="TableTextRight"/>
            </w:pPr>
            <w:r w:rsidRPr="00717004">
              <w:t>4,983,695</w:t>
            </w:r>
          </w:p>
        </w:tc>
        <w:tc>
          <w:tcPr>
            <w:tcW w:w="1361" w:type="dxa"/>
          </w:tcPr>
          <w:p w14:paraId="71ECEB2C" w14:textId="77777777" w:rsidR="00856406" w:rsidRPr="00717004" w:rsidRDefault="00856406" w:rsidP="004A6BB2">
            <w:pPr>
              <w:pStyle w:val="TableTextRight"/>
            </w:pPr>
            <w:r w:rsidRPr="00717004">
              <w:t>4,701</w:t>
            </w:r>
            <w:r>
              <w:t>,</w:t>
            </w:r>
            <w:r w:rsidRPr="00717004">
              <w:t>057</w:t>
            </w:r>
          </w:p>
        </w:tc>
      </w:tr>
      <w:tr w:rsidR="00856406" w:rsidRPr="00CA257B" w14:paraId="75583E91" w14:textId="77777777" w:rsidTr="002D4081">
        <w:tc>
          <w:tcPr>
            <w:tcW w:w="4990" w:type="dxa"/>
          </w:tcPr>
          <w:p w14:paraId="08492097" w14:textId="77777777" w:rsidR="00856406" w:rsidRPr="00717004" w:rsidRDefault="00856406" w:rsidP="004A6BB2">
            <w:pPr>
              <w:pStyle w:val="TableText"/>
            </w:pPr>
            <w:r w:rsidRPr="00717004">
              <w:t>Calls</w:t>
            </w:r>
            <w:r>
              <w:t xml:space="preserve"> </w:t>
            </w:r>
            <w:r w:rsidRPr="00717004">
              <w:t>answered</w:t>
            </w:r>
            <w:r>
              <w:t xml:space="preserve"> </w:t>
            </w:r>
            <w:r w:rsidRPr="00717004">
              <w:t>–</w:t>
            </w:r>
            <w:r>
              <w:t xml:space="preserve"> </w:t>
            </w:r>
            <w:r w:rsidRPr="00717004">
              <w:t>residential</w:t>
            </w:r>
            <w:r>
              <w:t xml:space="preserve"> </w:t>
            </w:r>
            <w:r w:rsidRPr="00717004">
              <w:t>tenancies</w:t>
            </w:r>
          </w:p>
        </w:tc>
        <w:tc>
          <w:tcPr>
            <w:tcW w:w="1361" w:type="dxa"/>
          </w:tcPr>
          <w:p w14:paraId="7873EA83" w14:textId="77777777" w:rsidR="00856406" w:rsidRPr="00717004" w:rsidRDefault="00856406" w:rsidP="004A6BB2">
            <w:pPr>
              <w:pStyle w:val="TableTextRight"/>
            </w:pPr>
            <w:r w:rsidRPr="00717004">
              <w:t>63,200</w:t>
            </w:r>
          </w:p>
        </w:tc>
        <w:tc>
          <w:tcPr>
            <w:tcW w:w="1361" w:type="dxa"/>
          </w:tcPr>
          <w:p w14:paraId="11F8A37F" w14:textId="77777777" w:rsidR="00856406" w:rsidRPr="00717004" w:rsidRDefault="00856406" w:rsidP="004A6BB2">
            <w:pPr>
              <w:pStyle w:val="TableTextRight"/>
            </w:pPr>
            <w:r w:rsidRPr="00717004">
              <w:t>66,231</w:t>
            </w:r>
          </w:p>
        </w:tc>
        <w:tc>
          <w:tcPr>
            <w:tcW w:w="1361" w:type="dxa"/>
          </w:tcPr>
          <w:p w14:paraId="0AA4F504" w14:textId="77777777" w:rsidR="00856406" w:rsidRPr="00717004" w:rsidRDefault="00856406" w:rsidP="004A6BB2">
            <w:pPr>
              <w:pStyle w:val="TableTextRight"/>
            </w:pPr>
            <w:r w:rsidRPr="00717004">
              <w:t>64,116</w:t>
            </w:r>
          </w:p>
        </w:tc>
      </w:tr>
      <w:tr w:rsidR="00856406" w:rsidRPr="00CA257B" w14:paraId="48839EB9" w14:textId="77777777" w:rsidTr="002D4081">
        <w:tc>
          <w:tcPr>
            <w:tcW w:w="4990" w:type="dxa"/>
          </w:tcPr>
          <w:p w14:paraId="55652FA5" w14:textId="77777777" w:rsidR="00856406" w:rsidRPr="00717004" w:rsidRDefault="00856406" w:rsidP="004A6BB2">
            <w:pPr>
              <w:pStyle w:val="TableText"/>
            </w:pPr>
            <w:r w:rsidRPr="00717004">
              <w:t>Calls</w:t>
            </w:r>
            <w:r>
              <w:t xml:space="preserve"> </w:t>
            </w:r>
            <w:r w:rsidRPr="00717004">
              <w:t>answered</w:t>
            </w:r>
            <w:r>
              <w:t xml:space="preserve"> </w:t>
            </w:r>
            <w:r w:rsidRPr="00717004">
              <w:t>–</w:t>
            </w:r>
            <w:r>
              <w:t xml:space="preserve"> </w:t>
            </w:r>
            <w:r w:rsidRPr="00717004">
              <w:t>RTBA</w:t>
            </w:r>
          </w:p>
        </w:tc>
        <w:tc>
          <w:tcPr>
            <w:tcW w:w="1361" w:type="dxa"/>
          </w:tcPr>
          <w:p w14:paraId="25E1A73B" w14:textId="77777777" w:rsidR="00856406" w:rsidRPr="00717004" w:rsidRDefault="00856406" w:rsidP="004A6BB2">
            <w:pPr>
              <w:pStyle w:val="TableTextRight"/>
            </w:pPr>
            <w:r w:rsidRPr="00717004">
              <w:t>44,574</w:t>
            </w:r>
          </w:p>
        </w:tc>
        <w:tc>
          <w:tcPr>
            <w:tcW w:w="1361" w:type="dxa"/>
          </w:tcPr>
          <w:p w14:paraId="5CD9578D" w14:textId="77777777" w:rsidR="00856406" w:rsidRPr="00717004" w:rsidRDefault="00856406" w:rsidP="004A6BB2">
            <w:pPr>
              <w:pStyle w:val="TableTextRight"/>
            </w:pPr>
            <w:r w:rsidRPr="00717004">
              <w:t>52,048</w:t>
            </w:r>
          </w:p>
        </w:tc>
        <w:tc>
          <w:tcPr>
            <w:tcW w:w="1361" w:type="dxa"/>
          </w:tcPr>
          <w:p w14:paraId="1900A340" w14:textId="77777777" w:rsidR="00856406" w:rsidRPr="00717004" w:rsidRDefault="00856406" w:rsidP="004A6BB2">
            <w:pPr>
              <w:pStyle w:val="TableTextRight"/>
            </w:pPr>
            <w:r w:rsidRPr="00717004">
              <w:t>55,272</w:t>
            </w:r>
          </w:p>
        </w:tc>
      </w:tr>
      <w:tr w:rsidR="00856406" w:rsidRPr="00CA257B" w14:paraId="7C13CD99" w14:textId="77777777" w:rsidTr="002D4081">
        <w:tc>
          <w:tcPr>
            <w:tcW w:w="1361" w:type="dxa"/>
            <w:gridSpan w:val="4"/>
            <w:shd w:val="clear" w:color="auto" w:fill="BCCAE5"/>
          </w:tcPr>
          <w:p w14:paraId="7C6CFC31" w14:textId="77777777" w:rsidR="00856406" w:rsidRPr="00717004" w:rsidRDefault="00856406" w:rsidP="004A6BB2">
            <w:pPr>
              <w:pStyle w:val="TableTextBold"/>
            </w:pPr>
            <w:r w:rsidRPr="00717004">
              <w:t>Face-to-face</w:t>
            </w:r>
            <w:r>
              <w:t xml:space="preserve"> </w:t>
            </w:r>
            <w:r w:rsidRPr="00717004">
              <w:t>or</w:t>
            </w:r>
            <w:r>
              <w:t xml:space="preserve"> </w:t>
            </w:r>
            <w:r w:rsidRPr="00717004">
              <w:t>intensive</w:t>
            </w:r>
            <w:r>
              <w:t xml:space="preserve"> </w:t>
            </w:r>
            <w:r w:rsidRPr="00717004">
              <w:t>assistance</w:t>
            </w:r>
          </w:p>
        </w:tc>
      </w:tr>
      <w:tr w:rsidR="00856406" w:rsidRPr="00CA257B" w14:paraId="4648A16D" w14:textId="77777777" w:rsidTr="002D4081">
        <w:tc>
          <w:tcPr>
            <w:tcW w:w="1361" w:type="dxa"/>
            <w:gridSpan w:val="4"/>
            <w:shd w:val="clear" w:color="auto" w:fill="D3DBEE"/>
          </w:tcPr>
          <w:p w14:paraId="1EC352B5" w14:textId="77777777" w:rsidR="00856406" w:rsidRPr="00717004" w:rsidRDefault="00856406" w:rsidP="004A6BB2">
            <w:pPr>
              <w:pStyle w:val="TableTextBold"/>
            </w:pPr>
            <w:r w:rsidRPr="00717004">
              <w:t>Funded</w:t>
            </w:r>
            <w:r>
              <w:t xml:space="preserve"> </w:t>
            </w:r>
            <w:r w:rsidRPr="00717004">
              <w:t>community</w:t>
            </w:r>
            <w:r>
              <w:t xml:space="preserve"> </w:t>
            </w:r>
            <w:r w:rsidRPr="00717004">
              <w:t>services</w:t>
            </w:r>
          </w:p>
        </w:tc>
      </w:tr>
      <w:tr w:rsidR="00856406" w:rsidRPr="00CA257B" w14:paraId="5FCBE547" w14:textId="77777777" w:rsidTr="002D4081">
        <w:tc>
          <w:tcPr>
            <w:tcW w:w="4990" w:type="dxa"/>
          </w:tcPr>
          <w:p w14:paraId="6B65AADC" w14:textId="77777777" w:rsidR="00856406" w:rsidRPr="00717004" w:rsidRDefault="00856406" w:rsidP="004A6BB2">
            <w:pPr>
              <w:pStyle w:val="TableText"/>
            </w:pPr>
            <w:r>
              <w:t xml:space="preserve">Clients assisted </w:t>
            </w:r>
            <w:r w:rsidRPr="00717004">
              <w:t>under</w:t>
            </w:r>
            <w:r>
              <w:t xml:space="preserve"> </w:t>
            </w:r>
            <w:r w:rsidRPr="00717004">
              <w:t>the</w:t>
            </w:r>
            <w:r>
              <w:t xml:space="preserve"> </w:t>
            </w:r>
            <w:r w:rsidRPr="00717004">
              <w:t>Tenancy</w:t>
            </w:r>
            <w:r>
              <w:t xml:space="preserve"> </w:t>
            </w:r>
            <w:r w:rsidRPr="00717004">
              <w:t>Assistance</w:t>
            </w:r>
            <w:r>
              <w:t xml:space="preserve"> </w:t>
            </w:r>
            <w:r w:rsidRPr="00717004">
              <w:t>and</w:t>
            </w:r>
            <w:r>
              <w:t xml:space="preserve"> </w:t>
            </w:r>
            <w:r w:rsidRPr="00717004">
              <w:t>Advocacy</w:t>
            </w:r>
            <w:r>
              <w:t xml:space="preserve"> </w:t>
            </w:r>
            <w:r w:rsidRPr="00717004">
              <w:t>Program</w:t>
            </w:r>
          </w:p>
        </w:tc>
        <w:tc>
          <w:tcPr>
            <w:tcW w:w="1361" w:type="dxa"/>
          </w:tcPr>
          <w:p w14:paraId="3658B913" w14:textId="571CE047" w:rsidR="00856406" w:rsidRPr="00717004" w:rsidRDefault="00856406" w:rsidP="004A6BB2">
            <w:pPr>
              <w:pStyle w:val="TableTextRight"/>
            </w:pPr>
            <w:r w:rsidRPr="00717004">
              <w:t>8</w:t>
            </w:r>
            <w:r w:rsidR="006B09DF">
              <w:t>,</w:t>
            </w:r>
            <w:r w:rsidRPr="00717004">
              <w:t>410</w:t>
            </w:r>
          </w:p>
        </w:tc>
        <w:tc>
          <w:tcPr>
            <w:tcW w:w="1361" w:type="dxa"/>
          </w:tcPr>
          <w:p w14:paraId="04C0F130" w14:textId="77777777" w:rsidR="00856406" w:rsidRPr="00717004" w:rsidRDefault="00856406" w:rsidP="004A6BB2">
            <w:pPr>
              <w:pStyle w:val="TableTextRight"/>
            </w:pPr>
            <w:r w:rsidRPr="00717004">
              <w:t>8,625</w:t>
            </w:r>
          </w:p>
        </w:tc>
        <w:tc>
          <w:tcPr>
            <w:tcW w:w="1361" w:type="dxa"/>
          </w:tcPr>
          <w:p w14:paraId="78F16566" w14:textId="77777777" w:rsidR="00856406" w:rsidRPr="00717004" w:rsidRDefault="00856406" w:rsidP="004A6BB2">
            <w:pPr>
              <w:pStyle w:val="TableTextRight"/>
            </w:pPr>
            <w:r w:rsidRPr="00717004">
              <w:t>8,</w:t>
            </w:r>
            <w:r>
              <w:t>093</w:t>
            </w:r>
          </w:p>
        </w:tc>
      </w:tr>
      <w:tr w:rsidR="00856406" w:rsidRPr="00CA257B" w14:paraId="0A9EC5AD" w14:textId="77777777" w:rsidTr="002D4081">
        <w:tc>
          <w:tcPr>
            <w:tcW w:w="4990" w:type="dxa"/>
          </w:tcPr>
          <w:p w14:paraId="2C27ABF0" w14:textId="77777777" w:rsidR="00856406" w:rsidRDefault="00856406" w:rsidP="004A6BB2">
            <w:pPr>
              <w:pStyle w:val="TableText"/>
            </w:pPr>
            <w:r w:rsidRPr="0075088C">
              <w:t>Clients</w:t>
            </w:r>
            <w:r>
              <w:t xml:space="preserve"> </w:t>
            </w:r>
            <w:r w:rsidRPr="0075088C">
              <w:t>assisted</w:t>
            </w:r>
            <w:r>
              <w:t xml:space="preserve"> </w:t>
            </w:r>
            <w:r w:rsidRPr="0075088C">
              <w:t>under</w:t>
            </w:r>
            <w:r>
              <w:t xml:space="preserve"> </w:t>
            </w:r>
            <w:r w:rsidRPr="0075088C">
              <w:t>the</w:t>
            </w:r>
            <w:r>
              <w:t xml:space="preserve"> </w:t>
            </w:r>
            <w:r w:rsidRPr="0075088C">
              <w:t>Retirement</w:t>
            </w:r>
            <w:r>
              <w:t xml:space="preserve"> </w:t>
            </w:r>
            <w:r w:rsidRPr="0075088C">
              <w:t>Housing</w:t>
            </w:r>
            <w:r>
              <w:t xml:space="preserve"> </w:t>
            </w:r>
            <w:r w:rsidRPr="0075088C">
              <w:t>Assistance</w:t>
            </w:r>
            <w:r>
              <w:t xml:space="preserve"> </w:t>
            </w:r>
            <w:r w:rsidRPr="0075088C">
              <w:t>and</w:t>
            </w:r>
            <w:r>
              <w:t xml:space="preserve"> </w:t>
            </w:r>
            <w:r w:rsidRPr="0075088C">
              <w:t>Advocacy</w:t>
            </w:r>
            <w:r>
              <w:t xml:space="preserve"> </w:t>
            </w:r>
            <w:r w:rsidRPr="0075088C">
              <w:t>Program</w:t>
            </w:r>
          </w:p>
        </w:tc>
        <w:tc>
          <w:tcPr>
            <w:tcW w:w="1361" w:type="dxa"/>
          </w:tcPr>
          <w:p w14:paraId="08FBD32F" w14:textId="77777777" w:rsidR="00856406" w:rsidRPr="00717004" w:rsidRDefault="00856406" w:rsidP="004A6BB2">
            <w:pPr>
              <w:pStyle w:val="TableTextRight"/>
            </w:pPr>
            <w:r>
              <w:t>437</w:t>
            </w:r>
          </w:p>
        </w:tc>
        <w:tc>
          <w:tcPr>
            <w:tcW w:w="1361" w:type="dxa"/>
          </w:tcPr>
          <w:p w14:paraId="3FE16001" w14:textId="77777777" w:rsidR="00856406" w:rsidRPr="00717004" w:rsidRDefault="00856406" w:rsidP="004A6BB2">
            <w:pPr>
              <w:pStyle w:val="TableTextRight"/>
            </w:pPr>
            <w:r>
              <w:t>468</w:t>
            </w:r>
          </w:p>
        </w:tc>
        <w:tc>
          <w:tcPr>
            <w:tcW w:w="1361" w:type="dxa"/>
          </w:tcPr>
          <w:p w14:paraId="442CED77" w14:textId="77777777" w:rsidR="00856406" w:rsidRPr="00717004" w:rsidRDefault="00856406" w:rsidP="004A6BB2">
            <w:pPr>
              <w:pStyle w:val="TableTextRight"/>
            </w:pPr>
            <w:r>
              <w:t>476</w:t>
            </w:r>
          </w:p>
        </w:tc>
      </w:tr>
      <w:tr w:rsidR="00856406" w:rsidRPr="00CA257B" w14:paraId="3CD5B082" w14:textId="77777777" w:rsidTr="002D4081">
        <w:tc>
          <w:tcPr>
            <w:tcW w:w="1361" w:type="dxa"/>
            <w:gridSpan w:val="4"/>
            <w:shd w:val="clear" w:color="auto" w:fill="D3DBEE"/>
          </w:tcPr>
          <w:p w14:paraId="0812305A" w14:textId="77777777" w:rsidR="00856406" w:rsidRPr="00A02E61" w:rsidRDefault="00856406" w:rsidP="00A02E61">
            <w:pPr>
              <w:pStyle w:val="TableTextBold"/>
            </w:pPr>
            <w:r w:rsidRPr="00A02E61">
              <w:t>Residential tenancy inspection advice provided</w:t>
            </w:r>
          </w:p>
        </w:tc>
      </w:tr>
      <w:tr w:rsidR="00856406" w:rsidRPr="00CA257B" w14:paraId="3004F13C" w14:textId="77777777" w:rsidTr="002D4081">
        <w:tc>
          <w:tcPr>
            <w:tcW w:w="4990" w:type="dxa"/>
          </w:tcPr>
          <w:p w14:paraId="6CE12D76" w14:textId="77777777" w:rsidR="00856406" w:rsidRPr="00717004" w:rsidRDefault="00856406" w:rsidP="004A6BB2">
            <w:pPr>
              <w:pStyle w:val="TableText"/>
            </w:pPr>
            <w:r w:rsidRPr="00316793">
              <w:t>Excessive</w:t>
            </w:r>
            <w:r>
              <w:t xml:space="preserve"> </w:t>
            </w:r>
            <w:r w:rsidRPr="00316793">
              <w:t>rent</w:t>
            </w:r>
            <w:r>
              <w:t xml:space="preserve"> </w:t>
            </w:r>
            <w:r w:rsidRPr="00316793">
              <w:t>applications</w:t>
            </w:r>
          </w:p>
        </w:tc>
        <w:tc>
          <w:tcPr>
            <w:tcW w:w="1361" w:type="dxa"/>
          </w:tcPr>
          <w:p w14:paraId="1599F797" w14:textId="77777777" w:rsidR="00856406" w:rsidRPr="00717004" w:rsidRDefault="00856406" w:rsidP="004A6BB2">
            <w:pPr>
              <w:pStyle w:val="TableTextRight"/>
            </w:pPr>
            <w:r>
              <w:t>5,448</w:t>
            </w:r>
          </w:p>
        </w:tc>
        <w:tc>
          <w:tcPr>
            <w:tcW w:w="1361" w:type="dxa"/>
          </w:tcPr>
          <w:p w14:paraId="4EBC08BD" w14:textId="77777777" w:rsidR="00856406" w:rsidRPr="00717004" w:rsidRDefault="00856406" w:rsidP="004A6BB2">
            <w:pPr>
              <w:pStyle w:val="TableTextRight"/>
            </w:pPr>
            <w:r w:rsidRPr="00316793">
              <w:t>7,469</w:t>
            </w:r>
          </w:p>
        </w:tc>
        <w:tc>
          <w:tcPr>
            <w:tcW w:w="1361" w:type="dxa"/>
          </w:tcPr>
          <w:p w14:paraId="1EA80CEF" w14:textId="77777777" w:rsidR="00856406" w:rsidRPr="00717004" w:rsidRDefault="00856406" w:rsidP="004A6BB2">
            <w:pPr>
              <w:pStyle w:val="TableTextRight"/>
            </w:pPr>
            <w:r>
              <w:t>5,442</w:t>
            </w:r>
          </w:p>
        </w:tc>
      </w:tr>
      <w:tr w:rsidR="00856406" w:rsidRPr="00CA257B" w14:paraId="52353938" w14:textId="77777777" w:rsidTr="002D4081">
        <w:tc>
          <w:tcPr>
            <w:tcW w:w="4990" w:type="dxa"/>
          </w:tcPr>
          <w:p w14:paraId="48A75E6B" w14:textId="77777777" w:rsidR="00856406" w:rsidRPr="00717004" w:rsidRDefault="00856406" w:rsidP="004A6BB2">
            <w:pPr>
              <w:pStyle w:val="TableText"/>
            </w:pPr>
            <w:r w:rsidRPr="00316793">
              <w:t>Non-urgent</w:t>
            </w:r>
            <w:r>
              <w:t xml:space="preserve"> repair </w:t>
            </w:r>
            <w:r w:rsidRPr="00316793">
              <w:t>applications</w:t>
            </w:r>
          </w:p>
        </w:tc>
        <w:tc>
          <w:tcPr>
            <w:tcW w:w="1361" w:type="dxa"/>
          </w:tcPr>
          <w:p w14:paraId="57DDFD9F" w14:textId="77777777" w:rsidR="00856406" w:rsidRPr="00717004" w:rsidRDefault="00856406" w:rsidP="004A6BB2">
            <w:pPr>
              <w:pStyle w:val="TableTextRight"/>
            </w:pPr>
            <w:r>
              <w:t>560</w:t>
            </w:r>
          </w:p>
        </w:tc>
        <w:tc>
          <w:tcPr>
            <w:tcW w:w="1361" w:type="dxa"/>
          </w:tcPr>
          <w:p w14:paraId="7A5792ED" w14:textId="77777777" w:rsidR="00856406" w:rsidRPr="00717004" w:rsidRDefault="00856406" w:rsidP="004A6BB2">
            <w:pPr>
              <w:pStyle w:val="TableTextRight"/>
            </w:pPr>
            <w:r w:rsidRPr="00316793">
              <w:t>576</w:t>
            </w:r>
          </w:p>
        </w:tc>
        <w:tc>
          <w:tcPr>
            <w:tcW w:w="1361" w:type="dxa"/>
          </w:tcPr>
          <w:p w14:paraId="0CAC89F5" w14:textId="77777777" w:rsidR="00856406" w:rsidRPr="00717004" w:rsidRDefault="00856406" w:rsidP="004A6BB2">
            <w:pPr>
              <w:pStyle w:val="TableTextRight"/>
            </w:pPr>
            <w:r>
              <w:t>476</w:t>
            </w:r>
          </w:p>
        </w:tc>
      </w:tr>
    </w:tbl>
    <w:p w14:paraId="792B693B" w14:textId="77777777" w:rsidR="00856406" w:rsidRPr="00B25EAA" w:rsidRDefault="00856406" w:rsidP="00945164">
      <w:pPr>
        <w:pStyle w:val="Heading4"/>
      </w:pPr>
      <w:r w:rsidRPr="00B25EAA">
        <w:t>Community</w:t>
      </w:r>
      <w:r>
        <w:t xml:space="preserve"> </w:t>
      </w:r>
      <w:r w:rsidRPr="00B25EAA">
        <w:t>Programs</w:t>
      </w:r>
      <w:bookmarkEnd w:id="40"/>
    </w:p>
    <w:p w14:paraId="1170FB5E" w14:textId="77777777" w:rsidR="00856406" w:rsidRPr="00B25EAA" w:rsidRDefault="00856406" w:rsidP="00F45F3A">
      <w:pPr>
        <w:pStyle w:val="BodyText"/>
      </w:pPr>
      <w:r>
        <w:t>CAV manages a number of community-based programs, providing services and support to Victorians facing debt, renting, consumer and domestic building issues. Not-for-profit organisations across the state provide this help through a combination of local, place-based services and phone or web-based statewide delivery. Frontline workers are supported with professional development and worker advice services to ensure that they are equipped to respond to client needs.</w:t>
      </w:r>
    </w:p>
    <w:p w14:paraId="3667ED3C" w14:textId="77777777" w:rsidR="00856406" w:rsidRPr="00B25EAA" w:rsidRDefault="00856406" w:rsidP="00F45F3A">
      <w:pPr>
        <w:pStyle w:val="Heading5"/>
        <w:rPr>
          <w:i/>
        </w:rPr>
      </w:pPr>
      <w:r w:rsidRPr="00B25EAA">
        <w:t>Financial</w:t>
      </w:r>
      <w:r>
        <w:t xml:space="preserve"> </w:t>
      </w:r>
      <w:r w:rsidRPr="00B25EAA">
        <w:t>counselling</w:t>
      </w:r>
    </w:p>
    <w:p w14:paraId="4C04F774" w14:textId="77777777" w:rsidR="00856406" w:rsidRDefault="00856406" w:rsidP="00F45F3A">
      <w:pPr>
        <w:pStyle w:val="BodyText"/>
      </w:pPr>
      <w:r w:rsidRPr="00717004">
        <w:t>Financial</w:t>
      </w:r>
      <w:r>
        <w:t xml:space="preserve"> </w:t>
      </w:r>
      <w:r w:rsidRPr="00717004">
        <w:t>counsellors</w:t>
      </w:r>
      <w:r>
        <w:t xml:space="preserve"> provide free, independent and confidential services to </w:t>
      </w:r>
      <w:r w:rsidRPr="00717004">
        <w:t>help</w:t>
      </w:r>
      <w:r>
        <w:t xml:space="preserve"> </w:t>
      </w:r>
      <w:r w:rsidRPr="00717004">
        <w:t>people</w:t>
      </w:r>
      <w:r>
        <w:t xml:space="preserve"> </w:t>
      </w:r>
      <w:r w:rsidRPr="00717004">
        <w:t>understand</w:t>
      </w:r>
      <w:r>
        <w:t xml:space="preserve"> </w:t>
      </w:r>
      <w:r w:rsidRPr="00717004">
        <w:t>and</w:t>
      </w:r>
      <w:r>
        <w:t xml:space="preserve"> </w:t>
      </w:r>
      <w:r w:rsidRPr="00717004">
        <w:t>manage</w:t>
      </w:r>
      <w:r>
        <w:t xml:space="preserve"> </w:t>
      </w:r>
      <w:r w:rsidRPr="00717004">
        <w:t>their</w:t>
      </w:r>
      <w:r>
        <w:t xml:space="preserve"> </w:t>
      </w:r>
      <w:r w:rsidRPr="00717004">
        <w:t>debt</w:t>
      </w:r>
      <w:r>
        <w:t>s</w:t>
      </w:r>
      <w:r w:rsidRPr="00717004">
        <w:t>,</w:t>
      </w:r>
      <w:r>
        <w:t xml:space="preserve"> </w:t>
      </w:r>
      <w:r w:rsidRPr="00717004">
        <w:t>budget</w:t>
      </w:r>
      <w:r>
        <w:t xml:space="preserve"> </w:t>
      </w:r>
      <w:r w:rsidRPr="00717004">
        <w:t>effectively,</w:t>
      </w:r>
      <w:r>
        <w:t xml:space="preserve"> </w:t>
      </w:r>
      <w:r w:rsidRPr="00717004">
        <w:t>and</w:t>
      </w:r>
      <w:r>
        <w:t xml:space="preserve"> </w:t>
      </w:r>
      <w:r w:rsidRPr="00717004">
        <w:t>work</w:t>
      </w:r>
      <w:r>
        <w:t xml:space="preserve"> </w:t>
      </w:r>
      <w:r w:rsidRPr="00717004">
        <w:t>towards</w:t>
      </w:r>
      <w:r>
        <w:t xml:space="preserve"> </w:t>
      </w:r>
      <w:r w:rsidRPr="00717004">
        <w:t>financial</w:t>
      </w:r>
      <w:r>
        <w:t xml:space="preserve"> </w:t>
      </w:r>
      <w:r w:rsidRPr="00717004">
        <w:t>stability.</w:t>
      </w:r>
      <w:r>
        <w:t xml:space="preserve"> </w:t>
      </w:r>
      <w:r w:rsidRPr="00717004">
        <w:t>They</w:t>
      </w:r>
      <w:r>
        <w:t xml:space="preserve"> help </w:t>
      </w:r>
      <w:r w:rsidRPr="00717004">
        <w:t>negotiat</w:t>
      </w:r>
      <w:r>
        <w:t xml:space="preserve">e </w:t>
      </w:r>
      <w:r w:rsidRPr="00717004">
        <w:t>with</w:t>
      </w:r>
      <w:r>
        <w:t xml:space="preserve"> creditors </w:t>
      </w:r>
      <w:r w:rsidRPr="00717004">
        <w:t>and</w:t>
      </w:r>
      <w:r>
        <w:t xml:space="preserve"> </w:t>
      </w:r>
      <w:r w:rsidRPr="00717004">
        <w:t>insurers</w:t>
      </w:r>
      <w:r>
        <w:t xml:space="preserve">, work out payment plans and </w:t>
      </w:r>
      <w:r w:rsidRPr="00717004">
        <w:t>connect</w:t>
      </w:r>
      <w:r>
        <w:t xml:space="preserve"> people </w:t>
      </w:r>
      <w:r w:rsidRPr="00717004">
        <w:t>to</w:t>
      </w:r>
      <w:r>
        <w:t xml:space="preserve"> </w:t>
      </w:r>
      <w:r w:rsidRPr="00717004">
        <w:t>additional</w:t>
      </w:r>
      <w:r>
        <w:t xml:space="preserve"> </w:t>
      </w:r>
      <w:r w:rsidRPr="00717004">
        <w:t>support</w:t>
      </w:r>
      <w:r>
        <w:t xml:space="preserve"> </w:t>
      </w:r>
      <w:r w:rsidRPr="00717004">
        <w:t>services,</w:t>
      </w:r>
      <w:r>
        <w:t xml:space="preserve"> </w:t>
      </w:r>
      <w:r w:rsidRPr="00717004">
        <w:t>including</w:t>
      </w:r>
      <w:r>
        <w:t xml:space="preserve"> </w:t>
      </w:r>
      <w:r w:rsidRPr="00717004">
        <w:t>legal</w:t>
      </w:r>
      <w:r>
        <w:t xml:space="preserve"> </w:t>
      </w:r>
      <w:r w:rsidRPr="00717004">
        <w:t>or</w:t>
      </w:r>
      <w:r>
        <w:t xml:space="preserve"> </w:t>
      </w:r>
      <w:r w:rsidRPr="00717004">
        <w:t>mental</w:t>
      </w:r>
      <w:r>
        <w:t xml:space="preserve"> </w:t>
      </w:r>
      <w:r w:rsidRPr="00717004">
        <w:t>health</w:t>
      </w:r>
      <w:r>
        <w:t xml:space="preserve"> </w:t>
      </w:r>
      <w:r w:rsidRPr="00717004">
        <w:t>support.</w:t>
      </w:r>
      <w:r>
        <w:t xml:space="preserve"> F</w:t>
      </w:r>
      <w:r w:rsidRPr="00717004">
        <w:t>inancial</w:t>
      </w:r>
      <w:r>
        <w:t xml:space="preserve"> </w:t>
      </w:r>
      <w:r w:rsidRPr="00717004">
        <w:t>counselling</w:t>
      </w:r>
      <w:r>
        <w:t xml:space="preserve"> </w:t>
      </w:r>
      <w:r w:rsidRPr="00717004">
        <w:t>can</w:t>
      </w:r>
      <w:r>
        <w:t xml:space="preserve"> </w:t>
      </w:r>
      <w:r w:rsidRPr="00717004">
        <w:t>significantly</w:t>
      </w:r>
      <w:r>
        <w:t xml:space="preserve"> </w:t>
      </w:r>
      <w:r w:rsidRPr="00717004">
        <w:t>reduce</w:t>
      </w:r>
      <w:r>
        <w:t xml:space="preserve"> </w:t>
      </w:r>
      <w:r w:rsidRPr="00717004">
        <w:t>emotional</w:t>
      </w:r>
      <w:r>
        <w:t xml:space="preserve"> </w:t>
      </w:r>
      <w:r w:rsidRPr="00717004">
        <w:t>and</w:t>
      </w:r>
      <w:r>
        <w:t xml:space="preserve"> </w:t>
      </w:r>
      <w:r w:rsidRPr="00717004">
        <w:t>financial</w:t>
      </w:r>
      <w:r>
        <w:t xml:space="preserve"> </w:t>
      </w:r>
      <w:r w:rsidRPr="00717004">
        <w:t>stress</w:t>
      </w:r>
      <w:r>
        <w:t xml:space="preserve"> and is a critical support f</w:t>
      </w:r>
      <w:r w:rsidRPr="00717004">
        <w:t>or</w:t>
      </w:r>
      <w:r>
        <w:t xml:space="preserve"> </w:t>
      </w:r>
      <w:r w:rsidRPr="00717004">
        <w:t>many</w:t>
      </w:r>
      <w:r>
        <w:t xml:space="preserve"> </w:t>
      </w:r>
      <w:r w:rsidRPr="00717004">
        <w:t>struggling</w:t>
      </w:r>
      <w:r>
        <w:t xml:space="preserve"> </w:t>
      </w:r>
      <w:r w:rsidRPr="00717004">
        <w:t>with</w:t>
      </w:r>
      <w:r>
        <w:t xml:space="preserve"> </w:t>
      </w:r>
      <w:r w:rsidRPr="00717004">
        <w:t>the</w:t>
      </w:r>
      <w:r>
        <w:t xml:space="preserve"> </w:t>
      </w:r>
      <w:r w:rsidRPr="00717004">
        <w:t>rising</w:t>
      </w:r>
      <w:r>
        <w:t xml:space="preserve"> </w:t>
      </w:r>
      <w:r w:rsidRPr="00717004">
        <w:t>cost</w:t>
      </w:r>
      <w:r>
        <w:t xml:space="preserve"> </w:t>
      </w:r>
      <w:r w:rsidRPr="00717004">
        <w:t>of</w:t>
      </w:r>
      <w:r>
        <w:t xml:space="preserve"> </w:t>
      </w:r>
      <w:r w:rsidRPr="00717004">
        <w:t>living</w:t>
      </w:r>
      <w:r>
        <w:t xml:space="preserve"> </w:t>
      </w:r>
      <w:r w:rsidRPr="00717004">
        <w:t>and</w:t>
      </w:r>
      <w:r>
        <w:t xml:space="preserve"> </w:t>
      </w:r>
      <w:r w:rsidRPr="00717004">
        <w:t>housing</w:t>
      </w:r>
      <w:r>
        <w:t xml:space="preserve"> </w:t>
      </w:r>
      <w:r w:rsidRPr="00717004">
        <w:t>instability.</w:t>
      </w:r>
    </w:p>
    <w:p w14:paraId="7596031D" w14:textId="0D503D09" w:rsidR="00856406" w:rsidRDefault="00856406" w:rsidP="00F45F3A">
      <w:pPr>
        <w:pStyle w:val="BodyText"/>
        <w:rPr>
          <w:rFonts w:eastAsia="Calibri"/>
          <w:lang w:eastAsia="en-AU"/>
        </w:rPr>
      </w:pPr>
      <w:r w:rsidRPr="00717004">
        <w:rPr>
          <w:rFonts w:eastAsia="Calibri"/>
          <w:lang w:eastAsia="en-AU"/>
        </w:rPr>
        <w:t>In</w:t>
      </w:r>
      <w:r>
        <w:rPr>
          <w:rFonts w:eastAsia="Calibri"/>
          <w:lang w:eastAsia="en-AU"/>
        </w:rPr>
        <w:t xml:space="preserve"> </w:t>
      </w:r>
      <w:r w:rsidR="00EE79C3">
        <w:rPr>
          <w:rFonts w:eastAsia="Calibri"/>
          <w:lang w:eastAsia="en-AU"/>
        </w:rPr>
        <w:t>2024–25</w:t>
      </w:r>
      <w:r w:rsidRPr="00717004">
        <w:rPr>
          <w:rFonts w:eastAsia="Calibri"/>
          <w:lang w:eastAsia="en-AU"/>
        </w:rPr>
        <w:t>,</w:t>
      </w:r>
      <w:r>
        <w:rPr>
          <w:rFonts w:eastAsia="Calibri"/>
          <w:lang w:eastAsia="en-AU"/>
        </w:rPr>
        <w:t xml:space="preserve"> CAV provided over </w:t>
      </w:r>
      <w:r w:rsidRPr="00717004">
        <w:rPr>
          <w:rFonts w:eastAsia="Calibri"/>
          <w:lang w:eastAsia="en-AU"/>
        </w:rPr>
        <w:t>$1</w:t>
      </w:r>
      <w:r>
        <w:rPr>
          <w:rFonts w:eastAsia="Calibri"/>
          <w:lang w:eastAsia="en-AU"/>
        </w:rPr>
        <w:t xml:space="preserve">6 </w:t>
      </w:r>
      <w:r w:rsidRPr="00717004">
        <w:rPr>
          <w:rFonts w:eastAsia="Calibri"/>
          <w:lang w:eastAsia="en-AU"/>
        </w:rPr>
        <w:t>million</w:t>
      </w:r>
      <w:r>
        <w:rPr>
          <w:rFonts w:eastAsia="Calibri"/>
          <w:lang w:eastAsia="en-AU"/>
        </w:rPr>
        <w:t xml:space="preserve"> </w:t>
      </w:r>
      <w:r w:rsidRPr="00717004">
        <w:rPr>
          <w:rFonts w:eastAsia="Calibri"/>
          <w:lang w:eastAsia="en-AU"/>
        </w:rPr>
        <w:t>in</w:t>
      </w:r>
      <w:r>
        <w:rPr>
          <w:rFonts w:eastAsia="Calibri"/>
          <w:lang w:eastAsia="en-AU"/>
        </w:rPr>
        <w:t xml:space="preserve"> </w:t>
      </w:r>
      <w:r w:rsidRPr="00717004">
        <w:rPr>
          <w:rFonts w:eastAsia="Calibri"/>
          <w:lang w:eastAsia="en-AU"/>
        </w:rPr>
        <w:t>funding</w:t>
      </w:r>
      <w:r>
        <w:rPr>
          <w:rFonts w:eastAsia="Calibri"/>
          <w:lang w:eastAsia="en-AU"/>
        </w:rPr>
        <w:t xml:space="preserve"> to community service organisations to deliver free and independent financial counselling services across the state, supporting 21,545 clients.</w:t>
      </w:r>
    </w:p>
    <w:p w14:paraId="170277E8" w14:textId="260CC315" w:rsidR="00856406" w:rsidRDefault="00856406" w:rsidP="00F45F3A">
      <w:pPr>
        <w:pStyle w:val="BodyText"/>
      </w:pPr>
      <w:r>
        <w:t xml:space="preserve">The </w:t>
      </w:r>
      <w:r w:rsidR="00EE79C3">
        <w:t>2024–25</w:t>
      </w:r>
      <w:r>
        <w:t xml:space="preserve"> Victorian State Budget allocated an additional $6.8 million over four years to continue specialist family violence financial counselling, maintaining the government</w:t>
      </w:r>
      <w:r w:rsidR="00AC7BCD">
        <w:t>’</w:t>
      </w:r>
      <w:r>
        <w:t xml:space="preserve">s long-standing commitment to supporting victim survivors. In </w:t>
      </w:r>
      <w:r w:rsidR="00EE79C3">
        <w:t>2024–25</w:t>
      </w:r>
      <w:r>
        <w:t>, 3,728 Victorians were supported through specialist family violence financial counselling services.</w:t>
      </w:r>
    </w:p>
    <w:p w14:paraId="54BEC93C" w14:textId="77777777" w:rsidR="00856406" w:rsidRDefault="00856406" w:rsidP="00F45F3A">
      <w:pPr>
        <w:pStyle w:val="Heading5"/>
        <w:rPr>
          <w:i/>
        </w:rPr>
      </w:pPr>
      <w:r w:rsidRPr="00EB0C9A">
        <w:t>Financial</w:t>
      </w:r>
      <w:r>
        <w:t xml:space="preserve"> C</w:t>
      </w:r>
      <w:r w:rsidRPr="00EB0C9A">
        <w:t>ounselling</w:t>
      </w:r>
      <w:r>
        <w:t xml:space="preserve"> F</w:t>
      </w:r>
      <w:r w:rsidRPr="00EB0C9A">
        <w:t>unding</w:t>
      </w:r>
      <w:r>
        <w:t xml:space="preserve"> R</w:t>
      </w:r>
      <w:r w:rsidRPr="00EB0C9A">
        <w:t>ound</w:t>
      </w:r>
    </w:p>
    <w:p w14:paraId="363AE75A" w14:textId="3142C03C" w:rsidR="00856406" w:rsidRDefault="00856406" w:rsidP="00F45F3A">
      <w:pPr>
        <w:pStyle w:val="BodyText"/>
      </w:pPr>
      <w:r>
        <w:t xml:space="preserve">Financial counsellors have faced high demand for their services with the rising cost of living and housing pressures. </w:t>
      </w:r>
      <w:r w:rsidRPr="006E22AA">
        <w:t>In</w:t>
      </w:r>
      <w:r>
        <w:t xml:space="preserve"> </w:t>
      </w:r>
      <w:r w:rsidR="00EE79C3">
        <w:t>2024–25</w:t>
      </w:r>
      <w:r w:rsidRPr="006E22AA">
        <w:t>,</w:t>
      </w:r>
      <w:r>
        <w:t xml:space="preserve"> </w:t>
      </w:r>
      <w:r w:rsidRPr="006E22AA">
        <w:t>the</w:t>
      </w:r>
      <w:r>
        <w:t xml:space="preserve"> </w:t>
      </w:r>
      <w:r w:rsidRPr="006E22AA">
        <w:t>Government</w:t>
      </w:r>
      <w:r>
        <w:t xml:space="preserve"> announced it would provide an additional $15 million in funding over three years to meet demand for financial counselling help, for people experiencing financial hardship due to mortgage or rental stress.</w:t>
      </w:r>
    </w:p>
    <w:p w14:paraId="0CCA3866" w14:textId="77777777" w:rsidR="00856406" w:rsidRDefault="00856406" w:rsidP="00F45F3A">
      <w:pPr>
        <w:pStyle w:val="BodyText"/>
      </w:pPr>
      <w:r>
        <w:t xml:space="preserve">CAV managed the roll-out of this new funding package. </w:t>
      </w:r>
      <w:r w:rsidRPr="006E22AA">
        <w:t>In</w:t>
      </w:r>
      <w:r>
        <w:t xml:space="preserve"> </w:t>
      </w:r>
      <w:r w:rsidRPr="006E22AA">
        <w:t>January</w:t>
      </w:r>
      <w:r>
        <w:t xml:space="preserve"> </w:t>
      </w:r>
      <w:r w:rsidRPr="006E22AA">
        <w:t>2025,</w:t>
      </w:r>
      <w:r>
        <w:t xml:space="preserve"> </w:t>
      </w:r>
      <w:r w:rsidRPr="006E22AA">
        <w:t>16</w:t>
      </w:r>
      <w:r>
        <w:t xml:space="preserve"> </w:t>
      </w:r>
      <w:r w:rsidRPr="006E22AA">
        <w:t>organisations</w:t>
      </w:r>
      <w:r>
        <w:t xml:space="preserve"> </w:t>
      </w:r>
      <w:r w:rsidRPr="006E22AA">
        <w:t>across</w:t>
      </w:r>
      <w:r>
        <w:t xml:space="preserve"> </w:t>
      </w:r>
      <w:r w:rsidRPr="006E22AA">
        <w:t>Victoria</w:t>
      </w:r>
      <w:r>
        <w:t xml:space="preserve"> </w:t>
      </w:r>
      <w:r w:rsidRPr="006E22AA">
        <w:t>were</w:t>
      </w:r>
      <w:r>
        <w:t xml:space="preserve"> </w:t>
      </w:r>
      <w:r w:rsidRPr="006E22AA">
        <w:t>awarded</w:t>
      </w:r>
      <w:r>
        <w:t xml:space="preserve"> </w:t>
      </w:r>
      <w:r w:rsidRPr="006E22AA">
        <w:t>grants</w:t>
      </w:r>
      <w:r>
        <w:t xml:space="preserve"> </w:t>
      </w:r>
      <w:r w:rsidRPr="006E22AA">
        <w:t>to</w:t>
      </w:r>
      <w:r>
        <w:t xml:space="preserve"> </w:t>
      </w:r>
      <w:r w:rsidRPr="006E22AA">
        <w:t>expand</w:t>
      </w:r>
      <w:r>
        <w:t xml:space="preserve"> </w:t>
      </w:r>
      <w:r w:rsidRPr="006E22AA">
        <w:t>access</w:t>
      </w:r>
      <w:r>
        <w:t xml:space="preserve"> </w:t>
      </w:r>
      <w:r w:rsidRPr="006E22AA">
        <w:t>to</w:t>
      </w:r>
      <w:r>
        <w:t xml:space="preserve"> </w:t>
      </w:r>
      <w:r w:rsidRPr="006E22AA">
        <w:t>financial</w:t>
      </w:r>
      <w:r>
        <w:t xml:space="preserve"> </w:t>
      </w:r>
      <w:r w:rsidRPr="006E22AA">
        <w:t>counselling</w:t>
      </w:r>
      <w:r>
        <w:t xml:space="preserve"> </w:t>
      </w:r>
      <w:r w:rsidRPr="006E22AA">
        <w:t>services.</w:t>
      </w:r>
      <w:r>
        <w:t xml:space="preserve"> </w:t>
      </w:r>
      <w:r w:rsidRPr="006E22AA">
        <w:t>The</w:t>
      </w:r>
      <w:r>
        <w:t xml:space="preserve"> </w:t>
      </w:r>
      <w:r w:rsidRPr="006E22AA">
        <w:t>grants</w:t>
      </w:r>
      <w:r>
        <w:t xml:space="preserve"> </w:t>
      </w:r>
      <w:r w:rsidRPr="006E22AA">
        <w:t>support</w:t>
      </w:r>
      <w:r>
        <w:t xml:space="preserve"> </w:t>
      </w:r>
      <w:r w:rsidRPr="006E22AA">
        <w:t>tailored</w:t>
      </w:r>
      <w:r>
        <w:t xml:space="preserve"> </w:t>
      </w:r>
      <w:r w:rsidRPr="006E22AA">
        <w:t>service</w:t>
      </w:r>
      <w:r>
        <w:t xml:space="preserve"> </w:t>
      </w:r>
      <w:r w:rsidRPr="006E22AA">
        <w:t>delivery</w:t>
      </w:r>
      <w:r>
        <w:t xml:space="preserve"> </w:t>
      </w:r>
      <w:r w:rsidRPr="006E22AA">
        <w:t>initiatives,</w:t>
      </w:r>
      <w:r>
        <w:t xml:space="preserve"> </w:t>
      </w:r>
      <w:r w:rsidRPr="006E22AA">
        <w:t>including</w:t>
      </w:r>
      <w:r>
        <w:t>;</w:t>
      </w:r>
    </w:p>
    <w:p w14:paraId="44E24638" w14:textId="77777777" w:rsidR="00856406" w:rsidRDefault="00856406" w:rsidP="00F45F3A">
      <w:pPr>
        <w:pStyle w:val="ListBullet"/>
      </w:pPr>
      <w:r w:rsidRPr="006E22AA">
        <w:t>those</w:t>
      </w:r>
      <w:r>
        <w:t xml:space="preserve"> </w:t>
      </w:r>
      <w:r w:rsidRPr="006E22AA">
        <w:t>delivered</w:t>
      </w:r>
      <w:r>
        <w:t xml:space="preserve"> </w:t>
      </w:r>
      <w:r w:rsidRPr="006E22AA">
        <w:t>through</w:t>
      </w:r>
      <w:r>
        <w:t xml:space="preserve"> </w:t>
      </w:r>
      <w:r w:rsidRPr="006E22AA">
        <w:t>health</w:t>
      </w:r>
      <w:r>
        <w:t xml:space="preserve"> </w:t>
      </w:r>
      <w:r w:rsidRPr="006E22AA">
        <w:t>settings,</w:t>
      </w:r>
    </w:p>
    <w:p w14:paraId="37ACAFC8" w14:textId="77777777" w:rsidR="00856406" w:rsidRDefault="00856406" w:rsidP="00F45F3A">
      <w:pPr>
        <w:pStyle w:val="ListBullet"/>
      </w:pPr>
      <w:r w:rsidRPr="006E22AA">
        <w:t>dedicated</w:t>
      </w:r>
      <w:r>
        <w:t xml:space="preserve"> </w:t>
      </w:r>
      <w:r w:rsidRPr="006E22AA">
        <w:t>First</w:t>
      </w:r>
      <w:r>
        <w:t xml:space="preserve"> </w:t>
      </w:r>
      <w:r w:rsidRPr="006E22AA">
        <w:t>Nations</w:t>
      </w:r>
      <w:r>
        <w:t xml:space="preserve"> </w:t>
      </w:r>
      <w:r w:rsidRPr="006E22AA">
        <w:t>services</w:t>
      </w:r>
      <w:r>
        <w:t xml:space="preserve"> </w:t>
      </w:r>
      <w:r w:rsidRPr="006E22AA">
        <w:t>provided</w:t>
      </w:r>
      <w:r>
        <w:t xml:space="preserve"> </w:t>
      </w:r>
      <w:r w:rsidRPr="006E22AA">
        <w:t>by</w:t>
      </w:r>
      <w:r>
        <w:t xml:space="preserve"> </w:t>
      </w:r>
      <w:r w:rsidRPr="006E22AA">
        <w:t>Aboriginal</w:t>
      </w:r>
      <w:r>
        <w:t xml:space="preserve"> </w:t>
      </w:r>
      <w:r w:rsidRPr="006E22AA">
        <w:t>Community</w:t>
      </w:r>
      <w:r>
        <w:t xml:space="preserve"> </w:t>
      </w:r>
      <w:r w:rsidRPr="006E22AA">
        <w:t>Controlled</w:t>
      </w:r>
      <w:r>
        <w:t xml:space="preserve"> </w:t>
      </w:r>
      <w:r w:rsidRPr="006E22AA">
        <w:t>Organisations</w:t>
      </w:r>
      <w:r>
        <w:t>,</w:t>
      </w:r>
    </w:p>
    <w:p w14:paraId="76E05289" w14:textId="77777777" w:rsidR="00856406" w:rsidRDefault="00856406" w:rsidP="00F45F3A">
      <w:pPr>
        <w:pStyle w:val="ListBullet"/>
      </w:pPr>
      <w:r w:rsidRPr="006E22AA">
        <w:t>support</w:t>
      </w:r>
      <w:r>
        <w:t xml:space="preserve"> </w:t>
      </w:r>
      <w:r w:rsidRPr="006E22AA">
        <w:t>for</w:t>
      </w:r>
      <w:r>
        <w:t xml:space="preserve"> </w:t>
      </w:r>
      <w:r w:rsidRPr="006E22AA">
        <w:t>primary</w:t>
      </w:r>
      <w:r>
        <w:t xml:space="preserve"> </w:t>
      </w:r>
      <w:r w:rsidRPr="006E22AA">
        <w:t>producers</w:t>
      </w:r>
      <w:r>
        <w:t xml:space="preserve"> </w:t>
      </w:r>
      <w:r w:rsidRPr="006E22AA">
        <w:t>and</w:t>
      </w:r>
      <w:r>
        <w:t xml:space="preserve"> </w:t>
      </w:r>
      <w:r w:rsidRPr="006E22AA">
        <w:t>small</w:t>
      </w:r>
      <w:r>
        <w:t xml:space="preserve"> </w:t>
      </w:r>
      <w:r w:rsidRPr="006E22AA">
        <w:t>businesses</w:t>
      </w:r>
      <w:r>
        <w:t xml:space="preserve"> </w:t>
      </w:r>
      <w:r w:rsidRPr="006E22AA">
        <w:t>across</w:t>
      </w:r>
      <w:r>
        <w:t xml:space="preserve"> w</w:t>
      </w:r>
      <w:r w:rsidRPr="006E22AA">
        <w:t>estern</w:t>
      </w:r>
      <w:r>
        <w:t xml:space="preserve"> </w:t>
      </w:r>
      <w:r w:rsidRPr="006E22AA">
        <w:t>and</w:t>
      </w:r>
      <w:r>
        <w:t xml:space="preserve"> n</w:t>
      </w:r>
      <w:r w:rsidRPr="006E22AA">
        <w:t>orthern</w:t>
      </w:r>
      <w:r>
        <w:t xml:space="preserve"> </w:t>
      </w:r>
      <w:r w:rsidRPr="006E22AA">
        <w:t>Victoria.</w:t>
      </w:r>
    </w:p>
    <w:p w14:paraId="16CB4B88" w14:textId="77777777" w:rsidR="00856406" w:rsidRPr="006E22AA" w:rsidRDefault="00856406" w:rsidP="00F45F3A">
      <w:pPr>
        <w:pStyle w:val="BodyText"/>
      </w:pPr>
      <w:r>
        <w:t>A</w:t>
      </w:r>
      <w:r w:rsidRPr="006E22AA">
        <w:t>dditional</w:t>
      </w:r>
      <w:r>
        <w:t xml:space="preserve"> </w:t>
      </w:r>
      <w:r w:rsidRPr="006E22AA">
        <w:t>support</w:t>
      </w:r>
      <w:r>
        <w:t xml:space="preserve"> </w:t>
      </w:r>
      <w:r w:rsidRPr="006E22AA">
        <w:t>services</w:t>
      </w:r>
      <w:r>
        <w:t xml:space="preserve"> </w:t>
      </w:r>
      <w:r w:rsidRPr="006E22AA">
        <w:t>for</w:t>
      </w:r>
      <w:r>
        <w:t xml:space="preserve"> the new frontline </w:t>
      </w:r>
      <w:r w:rsidRPr="006E22AA">
        <w:t>workers</w:t>
      </w:r>
      <w:r>
        <w:t xml:space="preserve"> will also be provided.</w:t>
      </w:r>
    </w:p>
    <w:p w14:paraId="101D5A54" w14:textId="77777777" w:rsidR="00856406" w:rsidRPr="00653AB3" w:rsidRDefault="00856406" w:rsidP="00945164">
      <w:pPr>
        <w:pStyle w:val="Heading4"/>
      </w:pPr>
      <w:r w:rsidRPr="00653AB3">
        <w:t>Renting</w:t>
      </w:r>
      <w:r>
        <w:t xml:space="preserve"> </w:t>
      </w:r>
      <w:r w:rsidRPr="00653AB3">
        <w:t>and</w:t>
      </w:r>
      <w:r>
        <w:t xml:space="preserve"> </w:t>
      </w:r>
      <w:r w:rsidRPr="00653AB3">
        <w:t>retirement</w:t>
      </w:r>
      <w:r>
        <w:t xml:space="preserve"> </w:t>
      </w:r>
      <w:r w:rsidRPr="00653AB3">
        <w:t>housing</w:t>
      </w:r>
      <w:r>
        <w:t xml:space="preserve"> </w:t>
      </w:r>
      <w:r w:rsidRPr="00653AB3">
        <w:t>services</w:t>
      </w:r>
    </w:p>
    <w:p w14:paraId="511F0BA7" w14:textId="77777777" w:rsidR="00856406" w:rsidRDefault="00856406" w:rsidP="00F45F3A">
      <w:pPr>
        <w:pStyle w:val="BodyText"/>
      </w:pPr>
      <w:r>
        <w:t xml:space="preserve">Our renting </w:t>
      </w:r>
      <w:r w:rsidRPr="0098343C">
        <w:t>programs</w:t>
      </w:r>
      <w:r>
        <w:t xml:space="preserve"> </w:t>
      </w:r>
      <w:r w:rsidRPr="0098343C">
        <w:t>play</w:t>
      </w:r>
      <w:r>
        <w:t xml:space="preserve"> </w:t>
      </w:r>
      <w:r w:rsidRPr="0098343C">
        <w:t>an</w:t>
      </w:r>
      <w:r>
        <w:t xml:space="preserve"> </w:t>
      </w:r>
      <w:r w:rsidRPr="0098343C">
        <w:t>important</w:t>
      </w:r>
      <w:r>
        <w:t xml:space="preserve"> </w:t>
      </w:r>
      <w:r w:rsidRPr="0098343C">
        <w:t>role</w:t>
      </w:r>
      <w:r>
        <w:t xml:space="preserve"> </w:t>
      </w:r>
      <w:r w:rsidRPr="0098343C">
        <w:t>in</w:t>
      </w:r>
      <w:r>
        <w:t xml:space="preserve"> </w:t>
      </w:r>
      <w:r w:rsidRPr="0098343C">
        <w:t>safeguarding</w:t>
      </w:r>
      <w:r>
        <w:t xml:space="preserve"> </w:t>
      </w:r>
      <w:r w:rsidRPr="0098343C">
        <w:t>the</w:t>
      </w:r>
      <w:r>
        <w:t xml:space="preserve"> </w:t>
      </w:r>
      <w:r w:rsidRPr="0098343C">
        <w:t>rights</w:t>
      </w:r>
      <w:r>
        <w:t xml:space="preserve"> </w:t>
      </w:r>
      <w:r w:rsidRPr="0098343C">
        <w:t>and</w:t>
      </w:r>
      <w:r>
        <w:t xml:space="preserve"> </w:t>
      </w:r>
      <w:r w:rsidRPr="0098343C">
        <w:t>wellbeing</w:t>
      </w:r>
      <w:r>
        <w:t xml:space="preserve"> </w:t>
      </w:r>
      <w:r w:rsidRPr="0098343C">
        <w:t>of</w:t>
      </w:r>
      <w:r>
        <w:t xml:space="preserve"> </w:t>
      </w:r>
      <w:r w:rsidRPr="0098343C">
        <w:t>Victorian</w:t>
      </w:r>
      <w:r>
        <w:t xml:space="preserve"> </w:t>
      </w:r>
      <w:r w:rsidRPr="0098343C">
        <w:t>renters</w:t>
      </w:r>
      <w:r>
        <w:t xml:space="preserve"> </w:t>
      </w:r>
      <w:r w:rsidRPr="0098343C">
        <w:t>and</w:t>
      </w:r>
      <w:r>
        <w:t xml:space="preserve"> </w:t>
      </w:r>
      <w:r w:rsidRPr="0098343C">
        <w:t>those</w:t>
      </w:r>
      <w:r>
        <w:t xml:space="preserve"> </w:t>
      </w:r>
      <w:r w:rsidRPr="0098343C">
        <w:t>living</w:t>
      </w:r>
      <w:r>
        <w:t xml:space="preserve"> </w:t>
      </w:r>
      <w:r w:rsidRPr="0098343C">
        <w:t>in</w:t>
      </w:r>
      <w:r>
        <w:t xml:space="preserve"> </w:t>
      </w:r>
      <w:r w:rsidRPr="0098343C">
        <w:t>retirement</w:t>
      </w:r>
      <w:r>
        <w:t xml:space="preserve"> </w:t>
      </w:r>
      <w:r w:rsidRPr="0098343C">
        <w:t>housing.</w:t>
      </w:r>
    </w:p>
    <w:p w14:paraId="2F0ED5EB" w14:textId="6407A6D1" w:rsidR="00856406" w:rsidRPr="00F45F3A" w:rsidRDefault="00856406" w:rsidP="00F45F3A">
      <w:pPr>
        <w:pStyle w:val="BodyText"/>
        <w:rPr>
          <w:rFonts w:eastAsiaTheme="majorEastAsia"/>
        </w:rPr>
      </w:pPr>
      <w:r w:rsidRPr="00F72BCB">
        <w:rPr>
          <w:rFonts w:eastAsiaTheme="majorEastAsia"/>
        </w:rPr>
        <w:t>The</w:t>
      </w:r>
      <w:r>
        <w:rPr>
          <w:rFonts w:eastAsiaTheme="majorEastAsia"/>
        </w:rPr>
        <w:t xml:space="preserve"> </w:t>
      </w:r>
      <w:r w:rsidRPr="00F72BCB">
        <w:rPr>
          <w:rFonts w:eastAsiaTheme="majorEastAsia"/>
        </w:rPr>
        <w:t>Tenancy</w:t>
      </w:r>
      <w:r>
        <w:rPr>
          <w:rFonts w:eastAsiaTheme="majorEastAsia"/>
        </w:rPr>
        <w:t xml:space="preserve"> </w:t>
      </w:r>
      <w:r w:rsidRPr="00F72BCB">
        <w:rPr>
          <w:rFonts w:eastAsiaTheme="majorEastAsia"/>
        </w:rPr>
        <w:t>Assistance</w:t>
      </w:r>
      <w:r>
        <w:rPr>
          <w:rFonts w:eastAsiaTheme="majorEastAsia"/>
        </w:rPr>
        <w:t xml:space="preserve"> </w:t>
      </w:r>
      <w:r w:rsidRPr="00F72BCB">
        <w:rPr>
          <w:rFonts w:eastAsiaTheme="majorEastAsia"/>
        </w:rPr>
        <w:t>and</w:t>
      </w:r>
      <w:r>
        <w:rPr>
          <w:rFonts w:eastAsiaTheme="majorEastAsia"/>
        </w:rPr>
        <w:t xml:space="preserve"> </w:t>
      </w:r>
      <w:r w:rsidRPr="00F72BCB">
        <w:rPr>
          <w:rFonts w:eastAsiaTheme="majorEastAsia"/>
        </w:rPr>
        <w:t>Advocacy</w:t>
      </w:r>
      <w:r>
        <w:rPr>
          <w:rFonts w:eastAsiaTheme="majorEastAsia"/>
        </w:rPr>
        <w:t xml:space="preserve"> </w:t>
      </w:r>
      <w:r w:rsidRPr="00F72BCB">
        <w:rPr>
          <w:rFonts w:eastAsiaTheme="majorEastAsia"/>
        </w:rPr>
        <w:t>Program</w:t>
      </w:r>
      <w:r>
        <w:rPr>
          <w:rFonts w:eastAsiaTheme="majorEastAsia"/>
        </w:rPr>
        <w:t xml:space="preserve"> </w:t>
      </w:r>
      <w:r w:rsidRPr="00F72BCB">
        <w:rPr>
          <w:rFonts w:eastAsiaTheme="majorEastAsia"/>
        </w:rPr>
        <w:t>(TAAP)</w:t>
      </w:r>
      <w:r>
        <w:rPr>
          <w:rFonts w:eastAsiaTheme="majorEastAsia"/>
        </w:rPr>
        <w:t xml:space="preserve"> </w:t>
      </w:r>
      <w:r w:rsidRPr="00F72BCB">
        <w:rPr>
          <w:rFonts w:eastAsiaTheme="majorEastAsia"/>
        </w:rPr>
        <w:t>delivers</w:t>
      </w:r>
      <w:r>
        <w:rPr>
          <w:rFonts w:eastAsiaTheme="majorEastAsia"/>
        </w:rPr>
        <w:t xml:space="preserve"> </w:t>
      </w:r>
      <w:r w:rsidRPr="00F72BCB">
        <w:rPr>
          <w:rFonts w:eastAsiaTheme="majorEastAsia"/>
        </w:rPr>
        <w:t>local,</w:t>
      </w:r>
      <w:r>
        <w:rPr>
          <w:rFonts w:eastAsiaTheme="majorEastAsia"/>
        </w:rPr>
        <w:t xml:space="preserve"> </w:t>
      </w:r>
      <w:r w:rsidRPr="00F72BCB">
        <w:rPr>
          <w:rFonts w:eastAsiaTheme="majorEastAsia"/>
        </w:rPr>
        <w:t>place-based</w:t>
      </w:r>
      <w:r>
        <w:rPr>
          <w:rFonts w:eastAsiaTheme="majorEastAsia"/>
        </w:rPr>
        <w:t xml:space="preserve"> </w:t>
      </w:r>
      <w:r w:rsidRPr="00F72BCB">
        <w:rPr>
          <w:rFonts w:eastAsiaTheme="majorEastAsia"/>
        </w:rPr>
        <w:t>support</w:t>
      </w:r>
      <w:r>
        <w:rPr>
          <w:rFonts w:eastAsiaTheme="majorEastAsia"/>
        </w:rPr>
        <w:t xml:space="preserve"> to </w:t>
      </w:r>
      <w:r w:rsidRPr="00F72BCB">
        <w:rPr>
          <w:rFonts w:eastAsiaTheme="majorEastAsia"/>
        </w:rPr>
        <w:t>renters</w:t>
      </w:r>
      <w:r>
        <w:rPr>
          <w:rFonts w:eastAsiaTheme="majorEastAsia"/>
        </w:rPr>
        <w:t xml:space="preserve"> </w:t>
      </w:r>
      <w:r w:rsidRPr="00F72BCB">
        <w:rPr>
          <w:rFonts w:eastAsiaTheme="majorEastAsia"/>
        </w:rPr>
        <w:t>across</w:t>
      </w:r>
      <w:r>
        <w:rPr>
          <w:rFonts w:eastAsiaTheme="majorEastAsia"/>
        </w:rPr>
        <w:t xml:space="preserve"> </w:t>
      </w:r>
      <w:r w:rsidRPr="00F72BCB">
        <w:rPr>
          <w:rFonts w:eastAsiaTheme="majorEastAsia"/>
        </w:rPr>
        <w:t>Victoria</w:t>
      </w:r>
      <w:r>
        <w:rPr>
          <w:rFonts w:eastAsiaTheme="majorEastAsia"/>
        </w:rPr>
        <w:t xml:space="preserve"> th</w:t>
      </w:r>
      <w:r w:rsidRPr="00F45F3A">
        <w:rPr>
          <w:rFonts w:eastAsiaTheme="majorEastAsia"/>
        </w:rPr>
        <w:t xml:space="preserve">rough specialist support workers. In </w:t>
      </w:r>
      <w:r w:rsidR="00EE79C3">
        <w:rPr>
          <w:rFonts w:eastAsiaTheme="majorEastAsia"/>
        </w:rPr>
        <w:t>2024–25</w:t>
      </w:r>
      <w:r w:rsidRPr="00F45F3A">
        <w:rPr>
          <w:rFonts w:eastAsiaTheme="majorEastAsia"/>
        </w:rPr>
        <w:t>, TAAP agencies received $3.52 million and assisted 8,093 clients, providing information, advice, referrals to support services, negotiating with estate agents or rental providers, and offering support at VCAT. The program is supported by the Tenancy Central Service, delivered by Tenants Victoria, providing TAAP workers with access to professional development, expert advice, and complex casework services.</w:t>
      </w:r>
    </w:p>
    <w:p w14:paraId="67316073" w14:textId="165A3583" w:rsidR="00856406" w:rsidRPr="00F45F3A" w:rsidRDefault="00856406" w:rsidP="00F45F3A">
      <w:pPr>
        <w:pStyle w:val="BodyText"/>
        <w:rPr>
          <w:rFonts w:eastAsiaTheme="majorEastAsia"/>
        </w:rPr>
      </w:pPr>
      <w:r w:rsidRPr="00F45F3A">
        <w:rPr>
          <w:rFonts w:eastAsiaTheme="majorEastAsia"/>
        </w:rPr>
        <w:t xml:space="preserve">The Retirement Housing Assistance and Advocacy Program (RHAAP) provides specialist support for people over 55 living in retirement housing. Delivered by Housing for the Aged Action Group, in </w:t>
      </w:r>
      <w:r w:rsidR="00EE79C3">
        <w:rPr>
          <w:rFonts w:eastAsiaTheme="majorEastAsia"/>
        </w:rPr>
        <w:t>2024–25</w:t>
      </w:r>
      <w:r w:rsidRPr="00F45F3A">
        <w:rPr>
          <w:rFonts w:eastAsiaTheme="majorEastAsia"/>
        </w:rPr>
        <w:t xml:space="preserve"> the program received $360,000 and supported 476 clients through the Retirement Housing Assistance Service, worker advice line, and campaign, media and policy activities.</w:t>
      </w:r>
    </w:p>
    <w:p w14:paraId="6C4E11F0" w14:textId="724CE843" w:rsidR="00856406" w:rsidRPr="00F45F3A" w:rsidRDefault="00856406" w:rsidP="00F45F3A">
      <w:pPr>
        <w:pStyle w:val="BodyText"/>
        <w:rPr>
          <w:rFonts w:eastAsiaTheme="majorEastAsia"/>
        </w:rPr>
      </w:pPr>
      <w:r w:rsidRPr="00F45F3A">
        <w:rPr>
          <w:rFonts w:eastAsiaTheme="majorEastAsia"/>
        </w:rPr>
        <w:t xml:space="preserve">Through the Registered Accommodation Association of Victoria (RAAV), CAV funding supports the promotion of best practice in managing registered rooming houses by developing operational guides and online teaching resources. In </w:t>
      </w:r>
      <w:r w:rsidR="00EE79C3">
        <w:rPr>
          <w:rFonts w:eastAsiaTheme="majorEastAsia"/>
        </w:rPr>
        <w:t>2024–25</w:t>
      </w:r>
      <w:r w:rsidRPr="00F45F3A">
        <w:rPr>
          <w:rFonts w:eastAsiaTheme="majorEastAsia"/>
        </w:rPr>
        <w:t>, RAAV received $800,000 for these activities from CAV.</w:t>
      </w:r>
    </w:p>
    <w:p w14:paraId="0A130F30" w14:textId="77A15E8A" w:rsidR="00856406" w:rsidRDefault="00856406" w:rsidP="00F45F3A">
      <w:pPr>
        <w:pStyle w:val="BodyText"/>
        <w:rPr>
          <w:rFonts w:eastAsiaTheme="majorEastAsia"/>
        </w:rPr>
      </w:pPr>
      <w:r w:rsidRPr="00F45F3A">
        <w:rPr>
          <w:rFonts w:eastAsiaTheme="majorEastAsia"/>
        </w:rPr>
        <w:t xml:space="preserve">CAV provided $670,000 to continue Tenancy Stress Victoria (TSV) in </w:t>
      </w:r>
      <w:r w:rsidR="00EE79C3">
        <w:rPr>
          <w:rFonts w:eastAsiaTheme="majorEastAsia"/>
        </w:rPr>
        <w:t>2024–25</w:t>
      </w:r>
      <w:r w:rsidRPr="00F45F3A">
        <w:rPr>
          <w:rFonts w:eastAsiaTheme="majorEastAsia"/>
        </w:rPr>
        <w:t>, with 280 renters receiving support. TSV provides integrated social work, legal, and financial counselling support for renters. It was initially established in the Loddon and W</w:t>
      </w:r>
      <w:r>
        <w:rPr>
          <w:rFonts w:eastAsiaTheme="majorEastAsia"/>
        </w:rPr>
        <w:t xml:space="preserve">estern Melbourne service areas in response to the </w:t>
      </w:r>
      <w:r w:rsidRPr="00717004">
        <w:rPr>
          <w:rFonts w:eastAsiaTheme="majorEastAsia"/>
        </w:rPr>
        <w:t>October</w:t>
      </w:r>
      <w:r>
        <w:rPr>
          <w:rFonts w:eastAsiaTheme="majorEastAsia"/>
        </w:rPr>
        <w:t xml:space="preserve"> </w:t>
      </w:r>
      <w:r w:rsidRPr="00717004">
        <w:rPr>
          <w:rFonts w:eastAsiaTheme="majorEastAsia"/>
        </w:rPr>
        <w:t>2022</w:t>
      </w:r>
      <w:r>
        <w:rPr>
          <w:rFonts w:eastAsiaTheme="majorEastAsia"/>
        </w:rPr>
        <w:t xml:space="preserve"> </w:t>
      </w:r>
      <w:r w:rsidRPr="00717004">
        <w:rPr>
          <w:rFonts w:eastAsiaTheme="majorEastAsia"/>
        </w:rPr>
        <w:t>floods,</w:t>
      </w:r>
      <w:r>
        <w:rPr>
          <w:rFonts w:eastAsiaTheme="majorEastAsia"/>
        </w:rPr>
        <w:t xml:space="preserve"> </w:t>
      </w:r>
      <w:r w:rsidRPr="00717004">
        <w:rPr>
          <w:rFonts w:eastAsiaTheme="majorEastAsia"/>
        </w:rPr>
        <w:t>helping</w:t>
      </w:r>
      <w:r>
        <w:rPr>
          <w:rFonts w:eastAsiaTheme="majorEastAsia"/>
        </w:rPr>
        <w:t xml:space="preserve"> people to </w:t>
      </w:r>
      <w:r w:rsidRPr="00717004">
        <w:rPr>
          <w:rFonts w:eastAsiaTheme="majorEastAsia"/>
        </w:rPr>
        <w:t>sustain</w:t>
      </w:r>
      <w:r>
        <w:rPr>
          <w:rFonts w:eastAsiaTheme="majorEastAsia"/>
        </w:rPr>
        <w:t xml:space="preserve"> </w:t>
      </w:r>
      <w:r w:rsidRPr="00717004">
        <w:rPr>
          <w:rFonts w:eastAsiaTheme="majorEastAsia"/>
        </w:rPr>
        <w:t>their</w:t>
      </w:r>
      <w:r>
        <w:rPr>
          <w:rFonts w:eastAsiaTheme="majorEastAsia"/>
        </w:rPr>
        <w:t xml:space="preserve"> </w:t>
      </w:r>
      <w:r w:rsidRPr="00717004">
        <w:rPr>
          <w:rFonts w:eastAsiaTheme="majorEastAsia"/>
        </w:rPr>
        <w:t>tenancies</w:t>
      </w:r>
      <w:r>
        <w:rPr>
          <w:rFonts w:eastAsiaTheme="majorEastAsia"/>
        </w:rPr>
        <w:t xml:space="preserve"> </w:t>
      </w:r>
      <w:r w:rsidRPr="00717004">
        <w:rPr>
          <w:rFonts w:eastAsiaTheme="majorEastAsia"/>
        </w:rPr>
        <w:t>and</w:t>
      </w:r>
      <w:r>
        <w:rPr>
          <w:rFonts w:eastAsiaTheme="majorEastAsia"/>
        </w:rPr>
        <w:t xml:space="preserve"> </w:t>
      </w:r>
      <w:r w:rsidRPr="00717004">
        <w:rPr>
          <w:rFonts w:eastAsiaTheme="majorEastAsia"/>
        </w:rPr>
        <w:t>avoid</w:t>
      </w:r>
      <w:r>
        <w:rPr>
          <w:rFonts w:eastAsiaTheme="majorEastAsia"/>
        </w:rPr>
        <w:t xml:space="preserve"> </w:t>
      </w:r>
      <w:r w:rsidRPr="00717004">
        <w:rPr>
          <w:rFonts w:eastAsiaTheme="majorEastAsia"/>
        </w:rPr>
        <w:t>homelessness.</w:t>
      </w:r>
    </w:p>
    <w:p w14:paraId="183A669A" w14:textId="77777777" w:rsidR="00856406" w:rsidRPr="00E270EE" w:rsidRDefault="00856406" w:rsidP="00945164">
      <w:pPr>
        <w:pStyle w:val="Heading4"/>
      </w:pPr>
      <w:r w:rsidRPr="009E3FB2">
        <w:t>Rental</w:t>
      </w:r>
      <w:r>
        <w:t xml:space="preserve"> S</w:t>
      </w:r>
      <w:r w:rsidRPr="009E3FB2">
        <w:t>tress</w:t>
      </w:r>
      <w:r>
        <w:t xml:space="preserve"> S</w:t>
      </w:r>
      <w:r w:rsidRPr="009E3FB2">
        <w:t>upport</w:t>
      </w:r>
      <w:r>
        <w:t xml:space="preserve"> P</w:t>
      </w:r>
      <w:r w:rsidRPr="009E3FB2">
        <w:t>ackage</w:t>
      </w:r>
    </w:p>
    <w:p w14:paraId="137EE456" w14:textId="77777777" w:rsidR="00856406" w:rsidRPr="00F45F3A" w:rsidRDefault="00856406" w:rsidP="00F45F3A">
      <w:pPr>
        <w:pStyle w:val="BodyText"/>
      </w:pPr>
      <w:r w:rsidRPr="00E308A0">
        <w:t>Under</w:t>
      </w:r>
      <w:r>
        <w:t xml:space="preserve"> </w:t>
      </w:r>
      <w:r w:rsidRPr="00E308A0">
        <w:t>its</w:t>
      </w:r>
      <w:r>
        <w:t xml:space="preserve"> </w:t>
      </w:r>
      <w:r w:rsidRPr="00E308A0">
        <w:t>Housing</w:t>
      </w:r>
      <w:r>
        <w:t xml:space="preserve"> </w:t>
      </w:r>
      <w:r w:rsidRPr="00E308A0">
        <w:t>Statement</w:t>
      </w:r>
      <w:r>
        <w:t xml:space="preserve"> </w:t>
      </w:r>
      <w:r w:rsidRPr="00E308A0">
        <w:t>released</w:t>
      </w:r>
      <w:r>
        <w:t xml:space="preserve"> </w:t>
      </w:r>
      <w:r w:rsidRPr="00E308A0">
        <w:t>in</w:t>
      </w:r>
      <w:r>
        <w:t xml:space="preserve"> </w:t>
      </w:r>
      <w:r w:rsidRPr="00E308A0">
        <w:t>September</w:t>
      </w:r>
      <w:r>
        <w:t xml:space="preserve"> </w:t>
      </w:r>
      <w:r w:rsidRPr="00E308A0">
        <w:t>2023,</w:t>
      </w:r>
      <w:r>
        <w:t xml:space="preserve"> </w:t>
      </w:r>
      <w:r w:rsidRPr="00E308A0">
        <w:t>the</w:t>
      </w:r>
      <w:r>
        <w:t xml:space="preserve"> </w:t>
      </w:r>
      <w:r w:rsidRPr="00E308A0">
        <w:t>Victorian</w:t>
      </w:r>
      <w:r>
        <w:t xml:space="preserve"> </w:t>
      </w:r>
      <w:r w:rsidRPr="00E308A0">
        <w:t>Government</w:t>
      </w:r>
      <w:r>
        <w:t xml:space="preserve"> </w:t>
      </w:r>
      <w:r w:rsidRPr="00E308A0">
        <w:t>announced</w:t>
      </w:r>
      <w:r>
        <w:t xml:space="preserve"> </w:t>
      </w:r>
      <w:r w:rsidRPr="00E308A0">
        <w:t>a</w:t>
      </w:r>
      <w:r>
        <w:t xml:space="preserve"> </w:t>
      </w:r>
      <w:r w:rsidRPr="00E308A0">
        <w:t>new</w:t>
      </w:r>
      <w:r>
        <w:t xml:space="preserve"> R</w:t>
      </w:r>
      <w:r w:rsidRPr="00E308A0">
        <w:t>ental</w:t>
      </w:r>
      <w:r>
        <w:t xml:space="preserve"> S</w:t>
      </w:r>
      <w:r w:rsidRPr="00E308A0">
        <w:t>tress</w:t>
      </w:r>
      <w:r>
        <w:t xml:space="preserve"> S</w:t>
      </w:r>
      <w:r w:rsidRPr="00E308A0">
        <w:t>upport</w:t>
      </w:r>
      <w:r>
        <w:t xml:space="preserve"> P</w:t>
      </w:r>
      <w:r w:rsidRPr="00E308A0">
        <w:t>ackage</w:t>
      </w:r>
      <w:r>
        <w:t>.</w:t>
      </w:r>
      <w:r w:rsidRPr="00F45F3A">
        <w:t xml:space="preserve"> The package helps address the high demand for rental assistance that organisations that work to prevent homelessness and help renters stay in their homes are seeing, while the government works to boost social, affordable and market housing supply across the state.</w:t>
      </w:r>
    </w:p>
    <w:p w14:paraId="060A682D" w14:textId="261DB19E" w:rsidR="00856406" w:rsidRDefault="00856406" w:rsidP="00F45F3A">
      <w:pPr>
        <w:pStyle w:val="BodyText"/>
        <w:rPr>
          <w:rFonts w:eastAsiaTheme="majorEastAsia" w:cstheme="majorBidi"/>
        </w:rPr>
      </w:pPr>
      <w:r w:rsidRPr="00F45F3A">
        <w:t>Community organisations were funded $4</w:t>
      </w:r>
      <w:r>
        <w:t xml:space="preserve">.1 million in </w:t>
      </w:r>
      <w:r w:rsidR="00EE79C3">
        <w:t>2024–25</w:t>
      </w:r>
      <w:r>
        <w:t xml:space="preserve"> to deliver services under t</w:t>
      </w:r>
      <w:r w:rsidRPr="00E934A5">
        <w:t>he</w:t>
      </w:r>
      <w:r>
        <w:t xml:space="preserve"> package, supporting 4,094 clients through the provision of rental advocacy, financial counselling, and legal services.</w:t>
      </w:r>
    </w:p>
    <w:p w14:paraId="584B2AE9" w14:textId="77777777" w:rsidR="00856406" w:rsidRPr="00B25EAA" w:rsidRDefault="00856406" w:rsidP="00945164">
      <w:pPr>
        <w:pStyle w:val="Heading4"/>
      </w:pPr>
      <w:r w:rsidRPr="00B25EAA">
        <w:t>Consumer</w:t>
      </w:r>
      <w:r>
        <w:t xml:space="preserve"> assistance</w:t>
      </w:r>
    </w:p>
    <w:p w14:paraId="56BA1F0F" w14:textId="488ABA8D" w:rsidR="00856406" w:rsidRDefault="00856406" w:rsidP="00856406">
      <w:pPr>
        <w:pStyle w:val="BodyText"/>
        <w:spacing w:before="120"/>
        <w:rPr>
          <w:rFonts w:eastAsiaTheme="majorEastAsia" w:cstheme="majorBidi"/>
        </w:rPr>
      </w:pPr>
      <w:r>
        <w:rPr>
          <w:rFonts w:eastAsiaTheme="majorEastAsia" w:cstheme="majorBidi"/>
        </w:rPr>
        <w:t>T</w:t>
      </w:r>
      <w:r w:rsidRPr="008A1C61">
        <w:rPr>
          <w:rFonts w:eastAsiaTheme="majorEastAsia" w:cstheme="majorBidi"/>
        </w:rPr>
        <w:t>he</w:t>
      </w:r>
      <w:r>
        <w:rPr>
          <w:rFonts w:eastAsiaTheme="majorEastAsia" w:cstheme="majorBidi"/>
        </w:rPr>
        <w:t xml:space="preserve"> </w:t>
      </w:r>
      <w:r w:rsidRPr="008A1C61">
        <w:rPr>
          <w:rFonts w:eastAsiaTheme="majorEastAsia" w:cstheme="majorBidi"/>
        </w:rPr>
        <w:t>Consumer</w:t>
      </w:r>
      <w:r>
        <w:rPr>
          <w:rFonts w:eastAsiaTheme="majorEastAsia" w:cstheme="majorBidi"/>
        </w:rPr>
        <w:t xml:space="preserve"> </w:t>
      </w:r>
      <w:r w:rsidRPr="008A1C61">
        <w:rPr>
          <w:rFonts w:eastAsiaTheme="majorEastAsia" w:cstheme="majorBidi"/>
        </w:rPr>
        <w:t>Assistance</w:t>
      </w:r>
      <w:r>
        <w:rPr>
          <w:rFonts w:eastAsiaTheme="majorEastAsia" w:cstheme="majorBidi"/>
        </w:rPr>
        <w:t xml:space="preserve"> </w:t>
      </w:r>
      <w:r w:rsidRPr="008A1C61">
        <w:rPr>
          <w:rFonts w:eastAsiaTheme="majorEastAsia" w:cstheme="majorBidi"/>
        </w:rPr>
        <w:t>and</w:t>
      </w:r>
      <w:r>
        <w:rPr>
          <w:rFonts w:eastAsiaTheme="majorEastAsia" w:cstheme="majorBidi"/>
        </w:rPr>
        <w:t xml:space="preserve"> </w:t>
      </w:r>
      <w:r w:rsidRPr="008A1C61">
        <w:rPr>
          <w:rFonts w:eastAsiaTheme="majorEastAsia" w:cstheme="majorBidi"/>
        </w:rPr>
        <w:t>Advocacy</w:t>
      </w:r>
      <w:r>
        <w:rPr>
          <w:rFonts w:eastAsiaTheme="majorEastAsia" w:cstheme="majorBidi"/>
        </w:rPr>
        <w:t xml:space="preserve"> </w:t>
      </w:r>
      <w:r w:rsidRPr="008A1C61">
        <w:rPr>
          <w:rFonts w:eastAsiaTheme="majorEastAsia" w:cstheme="majorBidi"/>
        </w:rPr>
        <w:t>Program</w:t>
      </w:r>
      <w:r>
        <w:rPr>
          <w:rFonts w:eastAsiaTheme="majorEastAsia" w:cstheme="majorBidi"/>
        </w:rPr>
        <w:t xml:space="preserve"> </w:t>
      </w:r>
      <w:r w:rsidRPr="008A1C61">
        <w:rPr>
          <w:rFonts w:eastAsiaTheme="majorEastAsia" w:cstheme="majorBidi"/>
        </w:rPr>
        <w:t>(CAAP)</w:t>
      </w:r>
      <w:r>
        <w:rPr>
          <w:rFonts w:eastAsiaTheme="majorEastAsia" w:cstheme="majorBidi"/>
        </w:rPr>
        <w:t xml:space="preserve"> provides s</w:t>
      </w:r>
      <w:r w:rsidRPr="008A1C61">
        <w:rPr>
          <w:rFonts w:eastAsiaTheme="majorEastAsia" w:cstheme="majorBidi"/>
        </w:rPr>
        <w:t>upport</w:t>
      </w:r>
      <w:r>
        <w:rPr>
          <w:rFonts w:eastAsiaTheme="majorEastAsia" w:cstheme="majorBidi"/>
        </w:rPr>
        <w:t xml:space="preserve"> to </w:t>
      </w:r>
      <w:r w:rsidRPr="008A1C61">
        <w:rPr>
          <w:rFonts w:eastAsiaTheme="majorEastAsia" w:cstheme="majorBidi"/>
        </w:rPr>
        <w:t>financially</w:t>
      </w:r>
      <w:r>
        <w:rPr>
          <w:rFonts w:eastAsiaTheme="majorEastAsia" w:cstheme="majorBidi"/>
        </w:rPr>
        <w:t xml:space="preserve"> </w:t>
      </w:r>
      <w:r w:rsidRPr="008A1C61">
        <w:rPr>
          <w:rFonts w:eastAsiaTheme="majorEastAsia" w:cstheme="majorBidi"/>
        </w:rPr>
        <w:t>disadvantaged</w:t>
      </w:r>
      <w:r>
        <w:rPr>
          <w:rFonts w:eastAsiaTheme="majorEastAsia" w:cstheme="majorBidi"/>
        </w:rPr>
        <w:t xml:space="preserve"> </w:t>
      </w:r>
      <w:r w:rsidRPr="008A1C61">
        <w:rPr>
          <w:rFonts w:eastAsiaTheme="majorEastAsia" w:cstheme="majorBidi"/>
        </w:rPr>
        <w:t>Victorians</w:t>
      </w:r>
      <w:r>
        <w:rPr>
          <w:rFonts w:eastAsiaTheme="majorEastAsia" w:cstheme="majorBidi"/>
        </w:rPr>
        <w:t xml:space="preserve"> facing </w:t>
      </w:r>
      <w:r w:rsidRPr="008A1C61">
        <w:rPr>
          <w:rFonts w:eastAsiaTheme="majorEastAsia" w:cstheme="majorBidi"/>
        </w:rPr>
        <w:t>complex</w:t>
      </w:r>
      <w:r>
        <w:rPr>
          <w:rFonts w:eastAsiaTheme="majorEastAsia" w:cstheme="majorBidi"/>
        </w:rPr>
        <w:t xml:space="preserve"> </w:t>
      </w:r>
      <w:r w:rsidRPr="008A1C61">
        <w:rPr>
          <w:rFonts w:eastAsiaTheme="majorEastAsia" w:cstheme="majorBidi"/>
        </w:rPr>
        <w:t>consumer</w:t>
      </w:r>
      <w:r>
        <w:rPr>
          <w:rFonts w:eastAsiaTheme="majorEastAsia" w:cstheme="majorBidi"/>
        </w:rPr>
        <w:t xml:space="preserve"> </w:t>
      </w:r>
      <w:r w:rsidRPr="008A1C61">
        <w:rPr>
          <w:rFonts w:eastAsiaTheme="majorEastAsia" w:cstheme="majorBidi"/>
        </w:rPr>
        <w:t>issues</w:t>
      </w:r>
      <w:r>
        <w:rPr>
          <w:rFonts w:eastAsiaTheme="majorEastAsia" w:cstheme="majorBidi"/>
        </w:rPr>
        <w:t xml:space="preserve">, offering advice, casework, and advocacy services. It also provides expert advice to other frontline workers helping consumers. Delivered by the Consumer Action Law Centre, in </w:t>
      </w:r>
      <w:r w:rsidR="00EE79C3">
        <w:rPr>
          <w:rFonts w:eastAsiaTheme="majorEastAsia" w:cstheme="majorBidi"/>
        </w:rPr>
        <w:t>2024–25</w:t>
      </w:r>
      <w:r>
        <w:rPr>
          <w:rFonts w:eastAsiaTheme="majorEastAsia" w:cstheme="majorBidi"/>
        </w:rPr>
        <w:t xml:space="preserve"> the CAAP </w:t>
      </w:r>
      <w:r w:rsidRPr="008A1C61">
        <w:rPr>
          <w:rFonts w:eastAsiaTheme="majorEastAsia" w:cstheme="majorBidi"/>
        </w:rPr>
        <w:t>received</w:t>
      </w:r>
      <w:r>
        <w:rPr>
          <w:rFonts w:eastAsiaTheme="majorEastAsia" w:cstheme="majorBidi"/>
        </w:rPr>
        <w:t xml:space="preserve"> $990,000 in funding </w:t>
      </w:r>
      <w:r w:rsidRPr="008A1C61">
        <w:rPr>
          <w:rFonts w:eastAsiaTheme="majorEastAsia" w:cstheme="majorBidi"/>
        </w:rPr>
        <w:t>and</w:t>
      </w:r>
      <w:r>
        <w:rPr>
          <w:rFonts w:eastAsiaTheme="majorEastAsia" w:cstheme="majorBidi"/>
        </w:rPr>
        <w:t xml:space="preserve"> </w:t>
      </w:r>
      <w:r w:rsidRPr="008A1C61">
        <w:rPr>
          <w:rFonts w:eastAsiaTheme="majorEastAsia" w:cstheme="majorBidi"/>
        </w:rPr>
        <w:t>assisted</w:t>
      </w:r>
      <w:r>
        <w:rPr>
          <w:rFonts w:eastAsiaTheme="majorEastAsia" w:cstheme="majorBidi"/>
        </w:rPr>
        <w:t xml:space="preserve"> </w:t>
      </w:r>
      <w:r w:rsidRPr="008A1C61">
        <w:rPr>
          <w:rFonts w:eastAsiaTheme="majorEastAsia" w:cstheme="majorBidi"/>
        </w:rPr>
        <w:t>2</w:t>
      </w:r>
      <w:r>
        <w:rPr>
          <w:rFonts w:eastAsiaTheme="majorEastAsia" w:cstheme="majorBidi"/>
        </w:rPr>
        <w:t xml:space="preserve">69 </w:t>
      </w:r>
      <w:r w:rsidRPr="008A1C61">
        <w:rPr>
          <w:rFonts w:eastAsiaTheme="majorEastAsia" w:cstheme="majorBidi"/>
        </w:rPr>
        <w:t>clients.</w:t>
      </w:r>
    </w:p>
    <w:p w14:paraId="3D466A4D" w14:textId="28DBC57E" w:rsidR="00856406" w:rsidRDefault="00856406" w:rsidP="00856406">
      <w:pPr>
        <w:pStyle w:val="BodyText"/>
        <w:spacing w:before="120"/>
        <w:rPr>
          <w:rFonts w:eastAsiaTheme="majorEastAsia" w:cstheme="majorBidi"/>
        </w:rPr>
      </w:pPr>
      <w:r>
        <w:rPr>
          <w:rFonts w:eastAsiaTheme="majorEastAsia" w:cstheme="majorBidi"/>
        </w:rPr>
        <w:t xml:space="preserve">In </w:t>
      </w:r>
      <w:r w:rsidR="00EE79C3">
        <w:rPr>
          <w:rFonts w:eastAsiaTheme="majorEastAsia" w:cstheme="majorBidi"/>
        </w:rPr>
        <w:t>2024–25</w:t>
      </w:r>
      <w:r>
        <w:rPr>
          <w:rFonts w:eastAsiaTheme="majorEastAsia" w:cstheme="majorBidi"/>
        </w:rPr>
        <w:t xml:space="preserve">, $770,000 </w:t>
      </w:r>
      <w:r w:rsidRPr="008A1C61">
        <w:rPr>
          <w:rFonts w:eastAsiaTheme="majorEastAsia" w:cstheme="majorBidi"/>
        </w:rPr>
        <w:t>was</w:t>
      </w:r>
      <w:r>
        <w:rPr>
          <w:rFonts w:eastAsiaTheme="majorEastAsia" w:cstheme="majorBidi"/>
        </w:rPr>
        <w:t xml:space="preserve"> also </w:t>
      </w:r>
      <w:r w:rsidRPr="008A1C61">
        <w:rPr>
          <w:rFonts w:eastAsiaTheme="majorEastAsia" w:cstheme="majorBidi"/>
        </w:rPr>
        <w:t>allocated</w:t>
      </w:r>
      <w:r>
        <w:rPr>
          <w:rFonts w:eastAsiaTheme="majorEastAsia" w:cstheme="majorBidi"/>
        </w:rPr>
        <w:t xml:space="preserve"> </w:t>
      </w:r>
      <w:r w:rsidRPr="008A1C61">
        <w:rPr>
          <w:rFonts w:eastAsiaTheme="majorEastAsia" w:cstheme="majorBidi"/>
        </w:rPr>
        <w:t>to</w:t>
      </w:r>
      <w:r>
        <w:rPr>
          <w:rFonts w:eastAsiaTheme="majorEastAsia" w:cstheme="majorBidi"/>
        </w:rPr>
        <w:t xml:space="preserve"> </w:t>
      </w:r>
      <w:r w:rsidRPr="008A1C61">
        <w:rPr>
          <w:rFonts w:eastAsiaTheme="majorEastAsia" w:cstheme="majorBidi"/>
        </w:rPr>
        <w:t>the</w:t>
      </w:r>
      <w:r>
        <w:rPr>
          <w:rFonts w:eastAsiaTheme="majorEastAsia" w:cstheme="majorBidi"/>
        </w:rPr>
        <w:t xml:space="preserve"> </w:t>
      </w:r>
      <w:r w:rsidRPr="008A1C61">
        <w:rPr>
          <w:rFonts w:eastAsiaTheme="majorEastAsia" w:cstheme="majorBidi"/>
        </w:rPr>
        <w:t>Consumer</w:t>
      </w:r>
      <w:r>
        <w:rPr>
          <w:rFonts w:eastAsiaTheme="majorEastAsia" w:cstheme="majorBidi"/>
        </w:rPr>
        <w:t xml:space="preserve"> </w:t>
      </w:r>
      <w:r w:rsidRPr="008A1C61">
        <w:rPr>
          <w:rFonts w:eastAsiaTheme="majorEastAsia" w:cstheme="majorBidi"/>
        </w:rPr>
        <w:t>Policy</w:t>
      </w:r>
      <w:r>
        <w:rPr>
          <w:rFonts w:eastAsiaTheme="majorEastAsia" w:cstheme="majorBidi"/>
        </w:rPr>
        <w:t xml:space="preserve"> </w:t>
      </w:r>
      <w:r w:rsidRPr="008A1C61">
        <w:rPr>
          <w:rFonts w:eastAsiaTheme="majorEastAsia" w:cstheme="majorBidi"/>
        </w:rPr>
        <w:t>Research</w:t>
      </w:r>
      <w:r>
        <w:rPr>
          <w:rFonts w:eastAsiaTheme="majorEastAsia" w:cstheme="majorBidi"/>
        </w:rPr>
        <w:t xml:space="preserve"> </w:t>
      </w:r>
      <w:r w:rsidRPr="008A1C61">
        <w:rPr>
          <w:rFonts w:eastAsiaTheme="majorEastAsia" w:cstheme="majorBidi"/>
        </w:rPr>
        <w:t>Centre</w:t>
      </w:r>
      <w:r>
        <w:rPr>
          <w:rFonts w:eastAsiaTheme="majorEastAsia" w:cstheme="majorBidi"/>
        </w:rPr>
        <w:t xml:space="preserve"> for important research into emerging consumer harms and issues in the renting, consumer and residential parks sectors.</w:t>
      </w:r>
    </w:p>
    <w:p w14:paraId="5168DC5F" w14:textId="77777777" w:rsidR="00856406" w:rsidRPr="00B25EAA" w:rsidRDefault="00856406" w:rsidP="00945164">
      <w:pPr>
        <w:pStyle w:val="Heading4"/>
      </w:pPr>
      <w:r w:rsidRPr="00B25EAA">
        <w:t>Domestic</w:t>
      </w:r>
      <w:r>
        <w:t xml:space="preserve"> </w:t>
      </w:r>
      <w:r w:rsidRPr="00B25EAA">
        <w:t>building</w:t>
      </w:r>
      <w:bookmarkStart w:id="41" w:name="_Hlk175299221"/>
      <w:r>
        <w:t xml:space="preserve"> support</w:t>
      </w:r>
    </w:p>
    <w:p w14:paraId="3EDAFE88" w14:textId="7A9A1E25" w:rsidR="00856406" w:rsidRPr="00717004" w:rsidRDefault="00856406" w:rsidP="00856406">
      <w:pPr>
        <w:pStyle w:val="BodyText"/>
        <w:spacing w:before="120"/>
        <w:rPr>
          <w:rFonts w:eastAsiaTheme="majorEastAsia" w:cstheme="majorBidi"/>
        </w:rPr>
      </w:pPr>
      <w:r w:rsidRPr="00717004">
        <w:rPr>
          <w:rFonts w:eastAsiaTheme="majorEastAsia" w:cstheme="majorBidi"/>
        </w:rPr>
        <w:t>CAV</w:t>
      </w:r>
      <w:r>
        <w:rPr>
          <w:rFonts w:eastAsiaTheme="majorEastAsia" w:cstheme="majorBidi"/>
        </w:rPr>
        <w:t xml:space="preserve"> provided $730,000 </w:t>
      </w:r>
      <w:r w:rsidRPr="008A1C61">
        <w:rPr>
          <w:rFonts w:eastAsiaTheme="majorEastAsia" w:cstheme="majorBidi"/>
        </w:rPr>
        <w:t>in</w:t>
      </w:r>
      <w:r>
        <w:rPr>
          <w:rFonts w:eastAsiaTheme="majorEastAsia" w:cstheme="majorBidi"/>
        </w:rPr>
        <w:t xml:space="preserve"> </w:t>
      </w:r>
      <w:r w:rsidR="00EE79C3">
        <w:rPr>
          <w:rFonts w:eastAsiaTheme="majorEastAsia" w:cstheme="majorBidi"/>
        </w:rPr>
        <w:t>2024–25</w:t>
      </w:r>
      <w:r>
        <w:rPr>
          <w:rFonts w:eastAsiaTheme="majorEastAsia" w:cstheme="majorBidi"/>
        </w:rPr>
        <w:t xml:space="preserve"> for the </w:t>
      </w:r>
      <w:r w:rsidRPr="00717004">
        <w:rPr>
          <w:rFonts w:eastAsiaTheme="majorEastAsia" w:cstheme="majorBidi"/>
        </w:rPr>
        <w:t>Domestic</w:t>
      </w:r>
      <w:r>
        <w:rPr>
          <w:rFonts w:eastAsiaTheme="majorEastAsia" w:cstheme="majorBidi"/>
        </w:rPr>
        <w:t xml:space="preserve"> </w:t>
      </w:r>
      <w:r w:rsidRPr="00717004">
        <w:rPr>
          <w:rFonts w:eastAsiaTheme="majorEastAsia" w:cstheme="majorBidi"/>
        </w:rPr>
        <w:t>Building</w:t>
      </w:r>
      <w:r>
        <w:rPr>
          <w:rFonts w:eastAsiaTheme="majorEastAsia" w:cstheme="majorBidi"/>
        </w:rPr>
        <w:t xml:space="preserve"> </w:t>
      </w:r>
      <w:r w:rsidRPr="00717004">
        <w:rPr>
          <w:rFonts w:eastAsiaTheme="majorEastAsia" w:cstheme="majorBidi"/>
        </w:rPr>
        <w:t>Legal</w:t>
      </w:r>
      <w:r>
        <w:rPr>
          <w:rFonts w:eastAsiaTheme="majorEastAsia" w:cstheme="majorBidi"/>
        </w:rPr>
        <w:t xml:space="preserve"> </w:t>
      </w:r>
      <w:r w:rsidRPr="00717004">
        <w:rPr>
          <w:rFonts w:eastAsiaTheme="majorEastAsia" w:cstheme="majorBidi"/>
        </w:rPr>
        <w:t>Service</w:t>
      </w:r>
      <w:r>
        <w:rPr>
          <w:rFonts w:eastAsiaTheme="majorEastAsia" w:cstheme="majorBidi"/>
        </w:rPr>
        <w:t xml:space="preserve"> </w:t>
      </w:r>
      <w:r w:rsidRPr="00717004">
        <w:rPr>
          <w:rFonts w:eastAsiaTheme="majorEastAsia" w:cstheme="majorBidi"/>
        </w:rPr>
        <w:t>(DBLS)</w:t>
      </w:r>
      <w:r>
        <w:rPr>
          <w:rFonts w:eastAsiaTheme="majorEastAsia" w:cstheme="majorBidi"/>
        </w:rPr>
        <w:t>, which supports Victorian homeowners facing domestic building disputes</w:t>
      </w:r>
      <w:r w:rsidRPr="00717004">
        <w:rPr>
          <w:rFonts w:eastAsiaTheme="majorEastAsia" w:cstheme="majorBidi"/>
        </w:rPr>
        <w:t>.</w:t>
      </w:r>
      <w:r>
        <w:rPr>
          <w:rFonts w:eastAsiaTheme="majorEastAsia" w:cstheme="majorBidi"/>
        </w:rPr>
        <w:t xml:space="preserve"> </w:t>
      </w:r>
      <w:r w:rsidRPr="00717004">
        <w:rPr>
          <w:rFonts w:eastAsiaTheme="majorEastAsia" w:cstheme="majorBidi"/>
        </w:rPr>
        <w:t>The</w:t>
      </w:r>
      <w:r>
        <w:rPr>
          <w:rFonts w:eastAsiaTheme="majorEastAsia" w:cstheme="majorBidi"/>
        </w:rPr>
        <w:t xml:space="preserve"> </w:t>
      </w:r>
      <w:r w:rsidRPr="00717004">
        <w:rPr>
          <w:rFonts w:eastAsiaTheme="majorEastAsia" w:cstheme="majorBidi"/>
        </w:rPr>
        <w:t>DBLS</w:t>
      </w:r>
      <w:r>
        <w:rPr>
          <w:rFonts w:eastAsiaTheme="majorEastAsia" w:cstheme="majorBidi"/>
        </w:rPr>
        <w:t xml:space="preserve"> </w:t>
      </w:r>
      <w:r w:rsidRPr="00717004">
        <w:rPr>
          <w:rFonts w:eastAsiaTheme="majorEastAsia" w:cstheme="majorBidi"/>
        </w:rPr>
        <w:t>provided</w:t>
      </w:r>
      <w:r>
        <w:rPr>
          <w:rFonts w:eastAsiaTheme="majorEastAsia" w:cstheme="majorBidi"/>
        </w:rPr>
        <w:t xml:space="preserve"> </w:t>
      </w:r>
      <w:r w:rsidRPr="00717004">
        <w:rPr>
          <w:rFonts w:eastAsiaTheme="majorEastAsia" w:cstheme="majorBidi"/>
        </w:rPr>
        <w:t>support</w:t>
      </w:r>
      <w:r>
        <w:rPr>
          <w:rFonts w:eastAsiaTheme="majorEastAsia" w:cstheme="majorBidi"/>
        </w:rPr>
        <w:t xml:space="preserve"> </w:t>
      </w:r>
      <w:r w:rsidRPr="00717004">
        <w:rPr>
          <w:rFonts w:eastAsiaTheme="majorEastAsia" w:cstheme="majorBidi"/>
        </w:rPr>
        <w:t>to</w:t>
      </w:r>
      <w:r>
        <w:rPr>
          <w:rFonts w:eastAsiaTheme="majorEastAsia" w:cstheme="majorBidi"/>
        </w:rPr>
        <w:t xml:space="preserve"> </w:t>
      </w:r>
      <w:r w:rsidRPr="00717004">
        <w:rPr>
          <w:rFonts w:eastAsiaTheme="majorEastAsia" w:cstheme="majorBidi"/>
        </w:rPr>
        <w:t>1</w:t>
      </w:r>
      <w:r>
        <w:rPr>
          <w:rFonts w:eastAsiaTheme="majorEastAsia" w:cstheme="majorBidi"/>
        </w:rPr>
        <w:t xml:space="preserve">50 </w:t>
      </w:r>
      <w:r w:rsidRPr="00717004">
        <w:rPr>
          <w:rFonts w:eastAsiaTheme="majorEastAsia" w:cstheme="majorBidi"/>
        </w:rPr>
        <w:t>clients</w:t>
      </w:r>
      <w:r>
        <w:rPr>
          <w:rFonts w:eastAsiaTheme="majorEastAsia" w:cstheme="majorBidi"/>
        </w:rPr>
        <w:t xml:space="preserve"> </w:t>
      </w:r>
      <w:r w:rsidRPr="00717004">
        <w:rPr>
          <w:rFonts w:eastAsiaTheme="majorEastAsia" w:cstheme="majorBidi"/>
        </w:rPr>
        <w:t>by</w:t>
      </w:r>
      <w:r>
        <w:rPr>
          <w:rFonts w:eastAsiaTheme="majorEastAsia" w:cstheme="majorBidi"/>
        </w:rPr>
        <w:t xml:space="preserve"> </w:t>
      </w:r>
      <w:r w:rsidRPr="00717004">
        <w:rPr>
          <w:rFonts w:eastAsiaTheme="majorEastAsia" w:cstheme="majorBidi"/>
        </w:rPr>
        <w:t>offering</w:t>
      </w:r>
      <w:r>
        <w:rPr>
          <w:rFonts w:eastAsiaTheme="majorEastAsia" w:cstheme="majorBidi"/>
        </w:rPr>
        <w:t xml:space="preserve"> </w:t>
      </w:r>
      <w:r w:rsidRPr="00717004">
        <w:rPr>
          <w:rFonts w:eastAsiaTheme="majorEastAsia" w:cstheme="majorBidi"/>
        </w:rPr>
        <w:t>advice</w:t>
      </w:r>
      <w:r>
        <w:rPr>
          <w:rFonts w:eastAsiaTheme="majorEastAsia" w:cstheme="majorBidi"/>
        </w:rPr>
        <w:t xml:space="preserve"> </w:t>
      </w:r>
      <w:r w:rsidRPr="00717004">
        <w:rPr>
          <w:rFonts w:eastAsiaTheme="majorEastAsia" w:cstheme="majorBidi"/>
        </w:rPr>
        <w:t>and</w:t>
      </w:r>
      <w:r>
        <w:rPr>
          <w:rFonts w:eastAsiaTheme="majorEastAsia" w:cstheme="majorBidi"/>
        </w:rPr>
        <w:t xml:space="preserve"> </w:t>
      </w:r>
      <w:r w:rsidRPr="00717004">
        <w:rPr>
          <w:rFonts w:eastAsiaTheme="majorEastAsia" w:cstheme="majorBidi"/>
        </w:rPr>
        <w:t>assistance</w:t>
      </w:r>
      <w:r>
        <w:rPr>
          <w:rFonts w:eastAsiaTheme="majorEastAsia" w:cstheme="majorBidi"/>
        </w:rPr>
        <w:t xml:space="preserve"> </w:t>
      </w:r>
      <w:r w:rsidRPr="00717004">
        <w:rPr>
          <w:rFonts w:eastAsiaTheme="majorEastAsia" w:cstheme="majorBidi"/>
        </w:rPr>
        <w:t>to</w:t>
      </w:r>
      <w:r>
        <w:rPr>
          <w:rFonts w:eastAsiaTheme="majorEastAsia" w:cstheme="majorBidi"/>
        </w:rPr>
        <w:t xml:space="preserve"> </w:t>
      </w:r>
      <w:r w:rsidRPr="00717004">
        <w:rPr>
          <w:rFonts w:eastAsiaTheme="majorEastAsia" w:cstheme="majorBidi"/>
        </w:rPr>
        <w:t>resolve</w:t>
      </w:r>
      <w:r>
        <w:rPr>
          <w:rFonts w:eastAsiaTheme="majorEastAsia" w:cstheme="majorBidi"/>
        </w:rPr>
        <w:t xml:space="preserve"> </w:t>
      </w:r>
      <w:r w:rsidRPr="00717004">
        <w:rPr>
          <w:rFonts w:eastAsiaTheme="majorEastAsia" w:cstheme="majorBidi"/>
        </w:rPr>
        <w:t>disputes</w:t>
      </w:r>
      <w:r>
        <w:rPr>
          <w:rFonts w:eastAsiaTheme="majorEastAsia" w:cstheme="majorBidi"/>
        </w:rPr>
        <w:t xml:space="preserve"> </w:t>
      </w:r>
      <w:r w:rsidRPr="00717004">
        <w:rPr>
          <w:rFonts w:eastAsiaTheme="majorEastAsia" w:cstheme="majorBidi"/>
        </w:rPr>
        <w:t>that</w:t>
      </w:r>
      <w:r>
        <w:rPr>
          <w:rFonts w:eastAsiaTheme="majorEastAsia" w:cstheme="majorBidi"/>
        </w:rPr>
        <w:t xml:space="preserve"> could not be </w:t>
      </w:r>
      <w:r w:rsidRPr="00717004">
        <w:rPr>
          <w:rFonts w:eastAsiaTheme="majorEastAsia" w:cstheme="majorBidi"/>
        </w:rPr>
        <w:t>successfully</w:t>
      </w:r>
      <w:r>
        <w:rPr>
          <w:rFonts w:eastAsiaTheme="majorEastAsia" w:cstheme="majorBidi"/>
        </w:rPr>
        <w:t xml:space="preserve"> conciliated </w:t>
      </w:r>
      <w:r w:rsidRPr="00717004">
        <w:rPr>
          <w:rFonts w:eastAsiaTheme="majorEastAsia" w:cstheme="majorBidi"/>
        </w:rPr>
        <w:t>through</w:t>
      </w:r>
      <w:r>
        <w:rPr>
          <w:rFonts w:eastAsiaTheme="majorEastAsia" w:cstheme="majorBidi"/>
        </w:rPr>
        <w:t xml:space="preserve"> </w:t>
      </w:r>
      <w:r w:rsidRPr="00717004">
        <w:rPr>
          <w:rFonts w:eastAsiaTheme="majorEastAsia" w:cstheme="majorBidi"/>
        </w:rPr>
        <w:t>Domestic</w:t>
      </w:r>
      <w:r>
        <w:rPr>
          <w:rFonts w:eastAsiaTheme="majorEastAsia" w:cstheme="majorBidi"/>
        </w:rPr>
        <w:t xml:space="preserve"> </w:t>
      </w:r>
      <w:r w:rsidRPr="00717004">
        <w:rPr>
          <w:rFonts w:eastAsiaTheme="majorEastAsia" w:cstheme="majorBidi"/>
        </w:rPr>
        <w:t>Building</w:t>
      </w:r>
      <w:r>
        <w:rPr>
          <w:rFonts w:eastAsiaTheme="majorEastAsia" w:cstheme="majorBidi"/>
        </w:rPr>
        <w:t xml:space="preserve"> </w:t>
      </w:r>
      <w:r w:rsidRPr="00717004">
        <w:rPr>
          <w:rFonts w:eastAsiaTheme="majorEastAsia" w:cstheme="majorBidi"/>
        </w:rPr>
        <w:t>Dispute</w:t>
      </w:r>
      <w:r>
        <w:rPr>
          <w:rFonts w:eastAsiaTheme="majorEastAsia" w:cstheme="majorBidi"/>
        </w:rPr>
        <w:t xml:space="preserve"> </w:t>
      </w:r>
      <w:r w:rsidRPr="00717004">
        <w:rPr>
          <w:rFonts w:eastAsiaTheme="majorEastAsia" w:cstheme="majorBidi"/>
        </w:rPr>
        <w:t>Resolution</w:t>
      </w:r>
      <w:r>
        <w:rPr>
          <w:rFonts w:eastAsiaTheme="majorEastAsia" w:cstheme="majorBidi"/>
        </w:rPr>
        <w:t xml:space="preserve"> </w:t>
      </w:r>
      <w:r w:rsidRPr="00717004">
        <w:rPr>
          <w:rFonts w:eastAsiaTheme="majorEastAsia" w:cstheme="majorBidi"/>
        </w:rPr>
        <w:t>Victoria.</w:t>
      </w:r>
    </w:p>
    <w:bookmarkEnd w:id="41"/>
    <w:p w14:paraId="72636EF6" w14:textId="77777777" w:rsidR="00856406" w:rsidRPr="00B25EAA" w:rsidRDefault="00856406" w:rsidP="00945164">
      <w:pPr>
        <w:pStyle w:val="Heading4"/>
      </w:pPr>
      <w:r w:rsidRPr="00B25EAA">
        <w:t>Funded</w:t>
      </w:r>
      <w:r>
        <w:t xml:space="preserve"> s</w:t>
      </w:r>
      <w:r w:rsidRPr="00B25EAA">
        <w:t>ervices</w:t>
      </w:r>
      <w:r>
        <w:t xml:space="preserve"> p</w:t>
      </w:r>
      <w:r w:rsidRPr="00B25EAA">
        <w:t>rogram</w:t>
      </w:r>
      <w:r>
        <w:t xml:space="preserve"> r</w:t>
      </w:r>
      <w:r w:rsidRPr="00B25EAA">
        <w:t>eviews</w:t>
      </w:r>
    </w:p>
    <w:p w14:paraId="6BA4BF1D" w14:textId="40C5972B" w:rsidR="00856406" w:rsidRPr="00EA1A5F" w:rsidRDefault="00856406" w:rsidP="00856406">
      <w:pPr>
        <w:pStyle w:val="BodyText"/>
        <w:spacing w:before="120"/>
        <w:rPr>
          <w:rFonts w:eastAsiaTheme="majorEastAsia" w:cstheme="majorBidi"/>
        </w:rPr>
      </w:pPr>
      <w:r>
        <w:rPr>
          <w:rFonts w:eastAsiaTheme="majorEastAsia" w:cstheme="majorBidi"/>
        </w:rPr>
        <w:t xml:space="preserve">Comprehensive </w:t>
      </w:r>
      <w:r w:rsidRPr="00EA1A5F">
        <w:rPr>
          <w:rFonts w:eastAsiaTheme="majorEastAsia" w:cstheme="majorBidi"/>
        </w:rPr>
        <w:t>review</w:t>
      </w:r>
      <w:r>
        <w:rPr>
          <w:rFonts w:eastAsiaTheme="majorEastAsia" w:cstheme="majorBidi"/>
        </w:rPr>
        <w:t xml:space="preserve">s </w:t>
      </w:r>
      <w:r w:rsidRPr="00EA1A5F">
        <w:rPr>
          <w:rFonts w:eastAsiaTheme="majorEastAsia" w:cstheme="majorBidi"/>
        </w:rPr>
        <w:t>of</w:t>
      </w:r>
      <w:r>
        <w:rPr>
          <w:rFonts w:eastAsiaTheme="majorEastAsia" w:cstheme="majorBidi"/>
        </w:rPr>
        <w:t xml:space="preserve"> </w:t>
      </w:r>
      <w:r w:rsidRPr="00EA1A5F">
        <w:rPr>
          <w:rFonts w:eastAsiaTheme="majorEastAsia" w:cstheme="majorBidi"/>
        </w:rPr>
        <w:t>the</w:t>
      </w:r>
      <w:r>
        <w:rPr>
          <w:rFonts w:eastAsiaTheme="majorEastAsia" w:cstheme="majorBidi"/>
        </w:rPr>
        <w:t xml:space="preserve"> DBLS </w:t>
      </w:r>
      <w:r w:rsidRPr="00EA1A5F">
        <w:rPr>
          <w:rFonts w:eastAsiaTheme="majorEastAsia" w:cstheme="majorBidi"/>
        </w:rPr>
        <w:t>and</w:t>
      </w:r>
      <w:r>
        <w:rPr>
          <w:rFonts w:eastAsiaTheme="majorEastAsia" w:cstheme="majorBidi"/>
        </w:rPr>
        <w:t xml:space="preserve"> </w:t>
      </w:r>
      <w:r w:rsidRPr="00EA1A5F">
        <w:rPr>
          <w:rFonts w:eastAsiaTheme="majorEastAsia" w:cstheme="majorBidi"/>
        </w:rPr>
        <w:t>renter</w:t>
      </w:r>
      <w:r>
        <w:rPr>
          <w:rFonts w:eastAsiaTheme="majorEastAsia" w:cstheme="majorBidi"/>
        </w:rPr>
        <w:t xml:space="preserve"> </w:t>
      </w:r>
      <w:r w:rsidRPr="00EA1A5F">
        <w:rPr>
          <w:rFonts w:eastAsiaTheme="majorEastAsia" w:cstheme="majorBidi"/>
        </w:rPr>
        <w:t>and</w:t>
      </w:r>
      <w:r>
        <w:rPr>
          <w:rFonts w:eastAsiaTheme="majorEastAsia" w:cstheme="majorBidi"/>
        </w:rPr>
        <w:t xml:space="preserve"> </w:t>
      </w:r>
      <w:r w:rsidRPr="00EA1A5F">
        <w:rPr>
          <w:rFonts w:eastAsiaTheme="majorEastAsia" w:cstheme="majorBidi"/>
        </w:rPr>
        <w:t>financial</w:t>
      </w:r>
      <w:r>
        <w:rPr>
          <w:rFonts w:eastAsiaTheme="majorEastAsia" w:cstheme="majorBidi"/>
        </w:rPr>
        <w:t xml:space="preserve"> </w:t>
      </w:r>
      <w:r w:rsidRPr="00EA1A5F">
        <w:rPr>
          <w:rFonts w:eastAsiaTheme="majorEastAsia" w:cstheme="majorBidi"/>
        </w:rPr>
        <w:t>counselling</w:t>
      </w:r>
      <w:r>
        <w:rPr>
          <w:rFonts w:eastAsiaTheme="majorEastAsia" w:cstheme="majorBidi"/>
        </w:rPr>
        <w:t xml:space="preserve"> </w:t>
      </w:r>
      <w:r w:rsidRPr="00EA1A5F">
        <w:rPr>
          <w:rFonts w:eastAsiaTheme="majorEastAsia" w:cstheme="majorBidi"/>
        </w:rPr>
        <w:t>services</w:t>
      </w:r>
      <w:r>
        <w:rPr>
          <w:rFonts w:eastAsiaTheme="majorEastAsia" w:cstheme="majorBidi"/>
        </w:rPr>
        <w:t xml:space="preserve"> progressed </w:t>
      </w:r>
      <w:r w:rsidRPr="00EA1A5F">
        <w:rPr>
          <w:rFonts w:eastAsiaTheme="majorEastAsia" w:cstheme="majorBidi"/>
        </w:rPr>
        <w:t>in</w:t>
      </w:r>
      <w:r>
        <w:rPr>
          <w:rFonts w:eastAsiaTheme="majorEastAsia" w:cstheme="majorBidi"/>
        </w:rPr>
        <w:t xml:space="preserve"> </w:t>
      </w:r>
      <w:r w:rsidR="00EE79C3">
        <w:rPr>
          <w:rFonts w:eastAsiaTheme="majorEastAsia" w:cstheme="majorBidi"/>
        </w:rPr>
        <w:t>2024–25</w:t>
      </w:r>
      <w:r w:rsidRPr="00EA1A5F">
        <w:rPr>
          <w:rFonts w:eastAsiaTheme="majorEastAsia" w:cstheme="majorBidi"/>
        </w:rPr>
        <w:t>.</w:t>
      </w:r>
      <w:r>
        <w:rPr>
          <w:rFonts w:eastAsiaTheme="majorEastAsia" w:cstheme="majorBidi"/>
        </w:rPr>
        <w:t xml:space="preserve"> </w:t>
      </w:r>
      <w:r w:rsidRPr="00EA1A5F">
        <w:rPr>
          <w:rFonts w:eastAsiaTheme="majorEastAsia" w:cstheme="majorBidi"/>
        </w:rPr>
        <w:t>The</w:t>
      </w:r>
      <w:r>
        <w:rPr>
          <w:rFonts w:eastAsiaTheme="majorEastAsia" w:cstheme="majorBidi"/>
        </w:rPr>
        <w:t xml:space="preserve"> </w:t>
      </w:r>
      <w:r w:rsidRPr="00EA1A5F">
        <w:rPr>
          <w:rFonts w:eastAsiaTheme="majorEastAsia" w:cstheme="majorBidi"/>
        </w:rPr>
        <w:t>reviews</w:t>
      </w:r>
      <w:r>
        <w:rPr>
          <w:rFonts w:eastAsiaTheme="majorEastAsia" w:cstheme="majorBidi"/>
        </w:rPr>
        <w:t xml:space="preserve"> </w:t>
      </w:r>
      <w:r w:rsidRPr="00EA1A5F">
        <w:rPr>
          <w:rFonts w:eastAsiaTheme="majorEastAsia" w:cstheme="majorBidi"/>
        </w:rPr>
        <w:t>are</w:t>
      </w:r>
      <w:r>
        <w:rPr>
          <w:rFonts w:eastAsiaTheme="majorEastAsia" w:cstheme="majorBidi"/>
        </w:rPr>
        <w:t xml:space="preserve"> </w:t>
      </w:r>
      <w:r w:rsidRPr="00EA1A5F">
        <w:rPr>
          <w:rFonts w:eastAsiaTheme="majorEastAsia" w:cstheme="majorBidi"/>
        </w:rPr>
        <w:t>focused</w:t>
      </w:r>
      <w:r>
        <w:rPr>
          <w:rFonts w:eastAsiaTheme="majorEastAsia" w:cstheme="majorBidi"/>
        </w:rPr>
        <w:t xml:space="preserve"> </w:t>
      </w:r>
      <w:r w:rsidRPr="00EA1A5F">
        <w:rPr>
          <w:rFonts w:eastAsiaTheme="majorEastAsia" w:cstheme="majorBidi"/>
        </w:rPr>
        <w:t>on</w:t>
      </w:r>
      <w:r>
        <w:rPr>
          <w:rFonts w:eastAsiaTheme="majorEastAsia" w:cstheme="majorBidi"/>
        </w:rPr>
        <w:t xml:space="preserve"> </w:t>
      </w:r>
      <w:r w:rsidRPr="00EA1A5F">
        <w:rPr>
          <w:rFonts w:eastAsiaTheme="majorEastAsia" w:cstheme="majorBidi"/>
        </w:rPr>
        <w:t>ensuring</w:t>
      </w:r>
      <w:r>
        <w:rPr>
          <w:rFonts w:eastAsiaTheme="majorEastAsia" w:cstheme="majorBidi"/>
        </w:rPr>
        <w:t xml:space="preserve"> </w:t>
      </w:r>
      <w:r w:rsidRPr="00EA1A5F">
        <w:rPr>
          <w:rFonts w:eastAsiaTheme="majorEastAsia" w:cstheme="majorBidi"/>
        </w:rPr>
        <w:t>that</w:t>
      </w:r>
      <w:r>
        <w:rPr>
          <w:rFonts w:eastAsiaTheme="majorEastAsia" w:cstheme="majorBidi"/>
        </w:rPr>
        <w:t xml:space="preserve"> </w:t>
      </w:r>
      <w:r w:rsidRPr="00EA1A5F" w:rsidDel="00E71573">
        <w:rPr>
          <w:rFonts w:eastAsiaTheme="majorEastAsia" w:cstheme="majorBidi"/>
        </w:rPr>
        <w:t>CAV</w:t>
      </w:r>
      <w:r w:rsidRPr="00EA1A5F">
        <w:rPr>
          <w:rFonts w:eastAsiaTheme="majorEastAsia" w:cstheme="majorBidi"/>
        </w:rPr>
        <w:t>-funded</w:t>
      </w:r>
      <w:r>
        <w:rPr>
          <w:rFonts w:eastAsiaTheme="majorEastAsia" w:cstheme="majorBidi"/>
        </w:rPr>
        <w:t xml:space="preserve"> </w:t>
      </w:r>
      <w:r w:rsidRPr="00EA1A5F">
        <w:rPr>
          <w:rFonts w:eastAsiaTheme="majorEastAsia" w:cstheme="majorBidi"/>
        </w:rPr>
        <w:t>community</w:t>
      </w:r>
      <w:r>
        <w:rPr>
          <w:rFonts w:eastAsiaTheme="majorEastAsia" w:cstheme="majorBidi"/>
        </w:rPr>
        <w:t xml:space="preserve"> </w:t>
      </w:r>
      <w:r w:rsidRPr="00EA1A5F">
        <w:rPr>
          <w:rFonts w:eastAsiaTheme="majorEastAsia" w:cstheme="majorBidi"/>
        </w:rPr>
        <w:t>programs</w:t>
      </w:r>
      <w:r>
        <w:rPr>
          <w:rFonts w:eastAsiaTheme="majorEastAsia" w:cstheme="majorBidi"/>
        </w:rPr>
        <w:t xml:space="preserve"> </w:t>
      </w:r>
      <w:r w:rsidRPr="00EA1A5F">
        <w:rPr>
          <w:rFonts w:eastAsiaTheme="majorEastAsia" w:cstheme="majorBidi"/>
        </w:rPr>
        <w:t>are</w:t>
      </w:r>
      <w:r>
        <w:rPr>
          <w:rFonts w:eastAsiaTheme="majorEastAsia" w:cstheme="majorBidi"/>
        </w:rPr>
        <w:t xml:space="preserve"> </w:t>
      </w:r>
      <w:r w:rsidRPr="00EA1A5F">
        <w:rPr>
          <w:rFonts w:eastAsiaTheme="majorEastAsia" w:cstheme="majorBidi"/>
        </w:rPr>
        <w:t>aligned</w:t>
      </w:r>
      <w:r>
        <w:rPr>
          <w:rFonts w:eastAsiaTheme="majorEastAsia" w:cstheme="majorBidi"/>
        </w:rPr>
        <w:t xml:space="preserve"> </w:t>
      </w:r>
      <w:r w:rsidRPr="00EA1A5F">
        <w:rPr>
          <w:rFonts w:eastAsiaTheme="majorEastAsia" w:cstheme="majorBidi"/>
        </w:rPr>
        <w:t>with</w:t>
      </w:r>
      <w:r>
        <w:rPr>
          <w:rFonts w:eastAsiaTheme="majorEastAsia" w:cstheme="majorBidi"/>
        </w:rPr>
        <w:t xml:space="preserve"> </w:t>
      </w:r>
      <w:r w:rsidRPr="00EA1A5F">
        <w:rPr>
          <w:rFonts w:eastAsiaTheme="majorEastAsia" w:cstheme="majorBidi"/>
        </w:rPr>
        <w:t>the</w:t>
      </w:r>
      <w:r>
        <w:rPr>
          <w:rFonts w:eastAsiaTheme="majorEastAsia" w:cstheme="majorBidi"/>
        </w:rPr>
        <w:t xml:space="preserve"> </w:t>
      </w:r>
      <w:r w:rsidRPr="00EA1A5F">
        <w:rPr>
          <w:rFonts w:eastAsiaTheme="majorEastAsia" w:cstheme="majorBidi"/>
        </w:rPr>
        <w:t>changing</w:t>
      </w:r>
      <w:r>
        <w:rPr>
          <w:rFonts w:eastAsiaTheme="majorEastAsia" w:cstheme="majorBidi"/>
        </w:rPr>
        <w:t xml:space="preserve"> </w:t>
      </w:r>
      <w:r w:rsidRPr="00EA1A5F">
        <w:rPr>
          <w:rFonts w:eastAsiaTheme="majorEastAsia" w:cstheme="majorBidi"/>
        </w:rPr>
        <w:t>needs</w:t>
      </w:r>
      <w:r>
        <w:rPr>
          <w:rFonts w:eastAsiaTheme="majorEastAsia" w:cstheme="majorBidi"/>
        </w:rPr>
        <w:t xml:space="preserve"> </w:t>
      </w:r>
      <w:r w:rsidRPr="00EA1A5F">
        <w:rPr>
          <w:rFonts w:eastAsiaTheme="majorEastAsia" w:cstheme="majorBidi"/>
        </w:rPr>
        <w:t>of</w:t>
      </w:r>
      <w:r>
        <w:rPr>
          <w:rFonts w:eastAsiaTheme="majorEastAsia" w:cstheme="majorBidi"/>
        </w:rPr>
        <w:t xml:space="preserve"> </w:t>
      </w:r>
      <w:r w:rsidRPr="00EA1A5F">
        <w:rPr>
          <w:rFonts w:eastAsiaTheme="majorEastAsia" w:cstheme="majorBidi"/>
        </w:rPr>
        <w:t>service</w:t>
      </w:r>
      <w:r>
        <w:rPr>
          <w:rFonts w:eastAsiaTheme="majorEastAsia" w:cstheme="majorBidi"/>
        </w:rPr>
        <w:t xml:space="preserve"> </w:t>
      </w:r>
      <w:r w:rsidRPr="00EA1A5F">
        <w:rPr>
          <w:rFonts w:eastAsiaTheme="majorEastAsia" w:cstheme="majorBidi"/>
        </w:rPr>
        <w:t>users,</w:t>
      </w:r>
      <w:r>
        <w:rPr>
          <w:rFonts w:eastAsiaTheme="majorEastAsia" w:cstheme="majorBidi"/>
        </w:rPr>
        <w:t xml:space="preserve"> </w:t>
      </w:r>
      <w:r w:rsidRPr="00EA1A5F">
        <w:rPr>
          <w:rFonts w:eastAsiaTheme="majorEastAsia" w:cstheme="majorBidi"/>
        </w:rPr>
        <w:t>with</w:t>
      </w:r>
      <w:r>
        <w:rPr>
          <w:rFonts w:eastAsiaTheme="majorEastAsia" w:cstheme="majorBidi"/>
        </w:rPr>
        <w:t xml:space="preserve"> </w:t>
      </w:r>
      <w:r w:rsidRPr="00EA1A5F">
        <w:rPr>
          <w:rFonts w:eastAsiaTheme="majorEastAsia" w:cstheme="majorBidi"/>
        </w:rPr>
        <w:t>stakeholder</w:t>
      </w:r>
      <w:r>
        <w:rPr>
          <w:rFonts w:eastAsiaTheme="majorEastAsia" w:cstheme="majorBidi"/>
        </w:rPr>
        <w:t xml:space="preserve"> </w:t>
      </w:r>
      <w:r w:rsidRPr="00EA1A5F">
        <w:rPr>
          <w:rFonts w:eastAsiaTheme="majorEastAsia" w:cstheme="majorBidi"/>
        </w:rPr>
        <w:t>and</w:t>
      </w:r>
      <w:r>
        <w:rPr>
          <w:rFonts w:eastAsiaTheme="majorEastAsia" w:cstheme="majorBidi"/>
        </w:rPr>
        <w:t xml:space="preserve"> </w:t>
      </w:r>
      <w:r w:rsidRPr="00EA1A5F">
        <w:rPr>
          <w:rFonts w:eastAsiaTheme="majorEastAsia" w:cstheme="majorBidi"/>
        </w:rPr>
        <w:t>client</w:t>
      </w:r>
      <w:r>
        <w:rPr>
          <w:rFonts w:eastAsiaTheme="majorEastAsia" w:cstheme="majorBidi"/>
        </w:rPr>
        <w:t xml:space="preserve"> </w:t>
      </w:r>
      <w:r w:rsidRPr="00EA1A5F">
        <w:rPr>
          <w:rFonts w:eastAsiaTheme="majorEastAsia" w:cstheme="majorBidi"/>
        </w:rPr>
        <w:t>feedback</w:t>
      </w:r>
      <w:r>
        <w:rPr>
          <w:rFonts w:eastAsiaTheme="majorEastAsia" w:cstheme="majorBidi"/>
        </w:rPr>
        <w:t xml:space="preserve"> </w:t>
      </w:r>
      <w:r w:rsidRPr="00EA1A5F">
        <w:rPr>
          <w:rFonts w:eastAsiaTheme="majorEastAsia" w:cstheme="majorBidi"/>
        </w:rPr>
        <w:t>a</w:t>
      </w:r>
      <w:r>
        <w:rPr>
          <w:rFonts w:eastAsiaTheme="majorEastAsia" w:cstheme="majorBidi"/>
        </w:rPr>
        <w:t xml:space="preserve"> </w:t>
      </w:r>
      <w:r w:rsidRPr="00EA1A5F">
        <w:rPr>
          <w:rFonts w:eastAsiaTheme="majorEastAsia" w:cstheme="majorBidi"/>
        </w:rPr>
        <w:t>key</w:t>
      </w:r>
      <w:r>
        <w:rPr>
          <w:rFonts w:eastAsiaTheme="majorEastAsia" w:cstheme="majorBidi"/>
        </w:rPr>
        <w:t xml:space="preserve"> </w:t>
      </w:r>
      <w:r w:rsidRPr="00EA1A5F">
        <w:rPr>
          <w:rFonts w:eastAsiaTheme="majorEastAsia" w:cstheme="majorBidi"/>
        </w:rPr>
        <w:t>focus</w:t>
      </w:r>
      <w:r>
        <w:rPr>
          <w:rFonts w:eastAsiaTheme="majorEastAsia" w:cstheme="majorBidi"/>
        </w:rPr>
        <w:t xml:space="preserve"> </w:t>
      </w:r>
      <w:r w:rsidRPr="00EA1A5F">
        <w:rPr>
          <w:rFonts w:eastAsiaTheme="majorEastAsia" w:cstheme="majorBidi"/>
        </w:rPr>
        <w:t>of</w:t>
      </w:r>
      <w:r>
        <w:rPr>
          <w:rFonts w:eastAsiaTheme="majorEastAsia" w:cstheme="majorBidi"/>
        </w:rPr>
        <w:t xml:space="preserve"> </w:t>
      </w:r>
      <w:r w:rsidRPr="00EA1A5F">
        <w:rPr>
          <w:rFonts w:eastAsiaTheme="majorEastAsia" w:cstheme="majorBidi"/>
        </w:rPr>
        <w:t>each</w:t>
      </w:r>
      <w:r>
        <w:rPr>
          <w:rFonts w:eastAsiaTheme="majorEastAsia" w:cstheme="majorBidi"/>
        </w:rPr>
        <w:t xml:space="preserve"> </w:t>
      </w:r>
      <w:r w:rsidRPr="00EA1A5F">
        <w:rPr>
          <w:rFonts w:eastAsiaTheme="majorEastAsia" w:cstheme="majorBidi"/>
        </w:rPr>
        <w:t>review.</w:t>
      </w:r>
    </w:p>
    <w:p w14:paraId="2A449D2B" w14:textId="489A48FA" w:rsidR="00856406" w:rsidRPr="00EA1A5F" w:rsidRDefault="00856406" w:rsidP="00856406">
      <w:pPr>
        <w:pStyle w:val="BodyText"/>
        <w:spacing w:before="120"/>
        <w:rPr>
          <w:rFonts w:eastAsiaTheme="majorEastAsia" w:cstheme="majorBidi"/>
        </w:rPr>
      </w:pPr>
      <w:r>
        <w:rPr>
          <w:rFonts w:eastAsiaTheme="majorEastAsia" w:cstheme="majorBidi"/>
        </w:rPr>
        <w:t>D</w:t>
      </w:r>
      <w:r w:rsidRPr="00EA1A5F">
        <w:rPr>
          <w:rFonts w:eastAsiaTheme="majorEastAsia" w:cstheme="majorBidi"/>
        </w:rPr>
        <w:t>iscussion</w:t>
      </w:r>
      <w:r>
        <w:rPr>
          <w:rFonts w:eastAsiaTheme="majorEastAsia" w:cstheme="majorBidi"/>
        </w:rPr>
        <w:t xml:space="preserve"> </w:t>
      </w:r>
      <w:r w:rsidRPr="00EA1A5F">
        <w:rPr>
          <w:rFonts w:eastAsiaTheme="majorEastAsia" w:cstheme="majorBidi"/>
        </w:rPr>
        <w:t>papers</w:t>
      </w:r>
      <w:r>
        <w:rPr>
          <w:rFonts w:eastAsiaTheme="majorEastAsia" w:cstheme="majorBidi"/>
        </w:rPr>
        <w:t xml:space="preserve"> </w:t>
      </w:r>
      <w:r w:rsidRPr="00EA1A5F">
        <w:rPr>
          <w:rFonts w:eastAsiaTheme="majorEastAsia" w:cstheme="majorBidi"/>
        </w:rPr>
        <w:t>were</w:t>
      </w:r>
      <w:r>
        <w:rPr>
          <w:rFonts w:eastAsiaTheme="majorEastAsia" w:cstheme="majorBidi"/>
        </w:rPr>
        <w:t xml:space="preserve"> </w:t>
      </w:r>
      <w:r w:rsidRPr="00EA1A5F">
        <w:rPr>
          <w:rFonts w:eastAsiaTheme="majorEastAsia" w:cstheme="majorBidi"/>
        </w:rPr>
        <w:t>released</w:t>
      </w:r>
      <w:r>
        <w:rPr>
          <w:rFonts w:eastAsiaTheme="majorEastAsia" w:cstheme="majorBidi"/>
        </w:rPr>
        <w:t xml:space="preserve"> </w:t>
      </w:r>
      <w:r w:rsidRPr="00EA1A5F">
        <w:rPr>
          <w:rFonts w:eastAsiaTheme="majorEastAsia" w:cstheme="majorBidi"/>
        </w:rPr>
        <w:t>through</w:t>
      </w:r>
      <w:r>
        <w:rPr>
          <w:rFonts w:eastAsiaTheme="majorEastAsia" w:cstheme="majorBidi"/>
        </w:rPr>
        <w:t xml:space="preserve"> </w:t>
      </w:r>
      <w:r w:rsidRPr="00EA1A5F">
        <w:rPr>
          <w:rFonts w:eastAsiaTheme="majorEastAsia" w:cstheme="majorBidi"/>
        </w:rPr>
        <w:t>Engage</w:t>
      </w:r>
      <w:r>
        <w:rPr>
          <w:rFonts w:eastAsiaTheme="majorEastAsia" w:cstheme="majorBidi"/>
        </w:rPr>
        <w:t xml:space="preserve"> </w:t>
      </w:r>
      <w:r w:rsidRPr="00EA1A5F">
        <w:rPr>
          <w:rFonts w:eastAsiaTheme="majorEastAsia" w:cstheme="majorBidi"/>
        </w:rPr>
        <w:t>Victoria</w:t>
      </w:r>
      <w:r>
        <w:rPr>
          <w:rFonts w:eastAsiaTheme="majorEastAsia" w:cstheme="majorBidi"/>
        </w:rPr>
        <w:t xml:space="preserve"> </w:t>
      </w:r>
      <w:r w:rsidRPr="00EA1A5F">
        <w:rPr>
          <w:rFonts w:eastAsiaTheme="majorEastAsia" w:cstheme="majorBidi"/>
        </w:rPr>
        <w:t>in</w:t>
      </w:r>
      <w:r>
        <w:rPr>
          <w:rFonts w:eastAsiaTheme="majorEastAsia" w:cstheme="majorBidi"/>
        </w:rPr>
        <w:t xml:space="preserve"> </w:t>
      </w:r>
      <w:r w:rsidRPr="00EA1A5F">
        <w:rPr>
          <w:rFonts w:eastAsiaTheme="majorEastAsia" w:cstheme="majorBidi"/>
        </w:rPr>
        <w:t>October</w:t>
      </w:r>
      <w:r>
        <w:rPr>
          <w:rFonts w:eastAsiaTheme="majorEastAsia" w:cstheme="majorBidi"/>
        </w:rPr>
        <w:t xml:space="preserve"> </w:t>
      </w:r>
      <w:r w:rsidRPr="00EA1A5F">
        <w:rPr>
          <w:rFonts w:eastAsiaTheme="majorEastAsia" w:cstheme="majorBidi"/>
        </w:rPr>
        <w:t>2024.</w:t>
      </w:r>
      <w:r>
        <w:rPr>
          <w:rFonts w:eastAsiaTheme="majorEastAsia" w:cstheme="majorBidi"/>
        </w:rPr>
        <w:t xml:space="preserve"> </w:t>
      </w:r>
      <w:r w:rsidRPr="00EA1A5F">
        <w:rPr>
          <w:rFonts w:eastAsiaTheme="majorEastAsia" w:cstheme="majorBidi"/>
        </w:rPr>
        <w:t>Feedback</w:t>
      </w:r>
      <w:r>
        <w:rPr>
          <w:rFonts w:eastAsiaTheme="majorEastAsia" w:cstheme="majorBidi"/>
        </w:rPr>
        <w:t xml:space="preserve"> </w:t>
      </w:r>
      <w:r w:rsidRPr="00EA1A5F">
        <w:rPr>
          <w:rFonts w:eastAsiaTheme="majorEastAsia" w:cstheme="majorBidi"/>
        </w:rPr>
        <w:t>provided</w:t>
      </w:r>
      <w:r>
        <w:rPr>
          <w:rFonts w:eastAsiaTheme="majorEastAsia" w:cstheme="majorBidi"/>
        </w:rPr>
        <w:t xml:space="preserve"> </w:t>
      </w:r>
      <w:r w:rsidRPr="00EA1A5F">
        <w:rPr>
          <w:rFonts w:eastAsiaTheme="majorEastAsia" w:cstheme="majorBidi"/>
        </w:rPr>
        <w:t>in</w:t>
      </w:r>
      <w:r>
        <w:rPr>
          <w:rFonts w:eastAsiaTheme="majorEastAsia" w:cstheme="majorBidi"/>
        </w:rPr>
        <w:t xml:space="preserve"> </w:t>
      </w:r>
      <w:r w:rsidRPr="00EA1A5F">
        <w:rPr>
          <w:rFonts w:eastAsiaTheme="majorEastAsia" w:cstheme="majorBidi"/>
        </w:rPr>
        <w:t>response</w:t>
      </w:r>
      <w:r>
        <w:rPr>
          <w:rFonts w:eastAsiaTheme="majorEastAsia" w:cstheme="majorBidi"/>
        </w:rPr>
        <w:t xml:space="preserve"> </w:t>
      </w:r>
      <w:r w:rsidRPr="00EA1A5F">
        <w:rPr>
          <w:rFonts w:eastAsiaTheme="majorEastAsia" w:cstheme="majorBidi"/>
        </w:rPr>
        <w:t>to</w:t>
      </w:r>
      <w:r>
        <w:rPr>
          <w:rFonts w:eastAsiaTheme="majorEastAsia" w:cstheme="majorBidi"/>
        </w:rPr>
        <w:t xml:space="preserve"> </w:t>
      </w:r>
      <w:r w:rsidRPr="00EA1A5F">
        <w:rPr>
          <w:rFonts w:eastAsiaTheme="majorEastAsia" w:cstheme="majorBidi"/>
        </w:rPr>
        <w:t>these</w:t>
      </w:r>
      <w:r>
        <w:rPr>
          <w:rFonts w:eastAsiaTheme="majorEastAsia" w:cstheme="majorBidi"/>
        </w:rPr>
        <w:t xml:space="preserve"> </w:t>
      </w:r>
      <w:r w:rsidRPr="00EA1A5F">
        <w:rPr>
          <w:rFonts w:eastAsiaTheme="majorEastAsia" w:cstheme="majorBidi"/>
        </w:rPr>
        <w:t>papers</w:t>
      </w:r>
      <w:r>
        <w:rPr>
          <w:rFonts w:eastAsiaTheme="majorEastAsia" w:cstheme="majorBidi"/>
        </w:rPr>
        <w:t xml:space="preserve"> </w:t>
      </w:r>
      <w:r w:rsidRPr="00EA1A5F">
        <w:rPr>
          <w:rFonts w:eastAsiaTheme="majorEastAsia" w:cstheme="majorBidi"/>
        </w:rPr>
        <w:t>informed</w:t>
      </w:r>
      <w:r>
        <w:rPr>
          <w:rFonts w:eastAsiaTheme="majorEastAsia" w:cstheme="majorBidi"/>
        </w:rPr>
        <w:t xml:space="preserve"> </w:t>
      </w:r>
      <w:r w:rsidRPr="00EA1A5F">
        <w:rPr>
          <w:rFonts w:eastAsiaTheme="majorEastAsia" w:cstheme="majorBidi"/>
        </w:rPr>
        <w:t>options</w:t>
      </w:r>
      <w:r>
        <w:rPr>
          <w:rFonts w:eastAsiaTheme="majorEastAsia" w:cstheme="majorBidi"/>
        </w:rPr>
        <w:t xml:space="preserve"> </w:t>
      </w:r>
      <w:r w:rsidRPr="00EA1A5F">
        <w:rPr>
          <w:rFonts w:eastAsiaTheme="majorEastAsia" w:cstheme="majorBidi"/>
        </w:rPr>
        <w:t>for</w:t>
      </w:r>
      <w:r>
        <w:rPr>
          <w:rFonts w:eastAsiaTheme="majorEastAsia" w:cstheme="majorBidi"/>
        </w:rPr>
        <w:t xml:space="preserve"> </w:t>
      </w:r>
      <w:r w:rsidRPr="00EA1A5F">
        <w:rPr>
          <w:rFonts w:eastAsiaTheme="majorEastAsia" w:cstheme="majorBidi"/>
        </w:rPr>
        <w:t>future</w:t>
      </w:r>
      <w:r>
        <w:rPr>
          <w:rFonts w:eastAsiaTheme="majorEastAsia" w:cstheme="majorBidi"/>
        </w:rPr>
        <w:t xml:space="preserve"> </w:t>
      </w:r>
      <w:r w:rsidRPr="00EA1A5F">
        <w:rPr>
          <w:rFonts w:eastAsiaTheme="majorEastAsia" w:cstheme="majorBidi"/>
        </w:rPr>
        <w:t>service</w:t>
      </w:r>
      <w:r>
        <w:rPr>
          <w:rFonts w:eastAsiaTheme="majorEastAsia" w:cstheme="majorBidi"/>
        </w:rPr>
        <w:t xml:space="preserve"> </w:t>
      </w:r>
      <w:r w:rsidRPr="00EA1A5F">
        <w:rPr>
          <w:rFonts w:eastAsiaTheme="majorEastAsia" w:cstheme="majorBidi"/>
        </w:rPr>
        <w:t>redesign</w:t>
      </w:r>
      <w:r>
        <w:rPr>
          <w:rFonts w:eastAsiaTheme="majorEastAsia" w:cstheme="majorBidi"/>
        </w:rPr>
        <w:t xml:space="preserve"> </w:t>
      </w:r>
      <w:r w:rsidRPr="00EA1A5F">
        <w:rPr>
          <w:rFonts w:eastAsiaTheme="majorEastAsia" w:cstheme="majorBidi"/>
        </w:rPr>
        <w:t>that</w:t>
      </w:r>
      <w:r>
        <w:rPr>
          <w:rFonts w:eastAsiaTheme="majorEastAsia" w:cstheme="majorBidi"/>
        </w:rPr>
        <w:t xml:space="preserve"> </w:t>
      </w:r>
      <w:r w:rsidRPr="00EA1A5F">
        <w:rPr>
          <w:rFonts w:eastAsiaTheme="majorEastAsia" w:cstheme="majorBidi"/>
        </w:rPr>
        <w:t>were</w:t>
      </w:r>
      <w:r>
        <w:rPr>
          <w:rFonts w:eastAsiaTheme="majorEastAsia" w:cstheme="majorBidi"/>
        </w:rPr>
        <w:t xml:space="preserve"> </w:t>
      </w:r>
      <w:r w:rsidRPr="00EA1A5F">
        <w:rPr>
          <w:rFonts w:eastAsiaTheme="majorEastAsia" w:cstheme="majorBidi"/>
        </w:rPr>
        <w:t>tested</w:t>
      </w:r>
      <w:r>
        <w:rPr>
          <w:rFonts w:eastAsiaTheme="majorEastAsia" w:cstheme="majorBidi"/>
        </w:rPr>
        <w:t xml:space="preserve"> </w:t>
      </w:r>
      <w:r w:rsidRPr="00EA1A5F">
        <w:rPr>
          <w:rFonts w:eastAsiaTheme="majorEastAsia" w:cstheme="majorBidi"/>
        </w:rPr>
        <w:t>with</w:t>
      </w:r>
      <w:r>
        <w:rPr>
          <w:rFonts w:eastAsiaTheme="majorEastAsia" w:cstheme="majorBidi"/>
        </w:rPr>
        <w:t xml:space="preserve"> </w:t>
      </w:r>
      <w:r w:rsidRPr="00EA1A5F">
        <w:rPr>
          <w:rFonts w:eastAsiaTheme="majorEastAsia" w:cstheme="majorBidi"/>
        </w:rPr>
        <w:t>stakeholders</w:t>
      </w:r>
      <w:r>
        <w:rPr>
          <w:rFonts w:eastAsiaTheme="majorEastAsia" w:cstheme="majorBidi"/>
        </w:rPr>
        <w:t xml:space="preserve"> </w:t>
      </w:r>
      <w:r w:rsidRPr="00EA1A5F">
        <w:rPr>
          <w:rFonts w:eastAsiaTheme="majorEastAsia" w:cstheme="majorBidi"/>
        </w:rPr>
        <w:t>and</w:t>
      </w:r>
      <w:r>
        <w:rPr>
          <w:rFonts w:eastAsiaTheme="majorEastAsia" w:cstheme="majorBidi"/>
        </w:rPr>
        <w:t xml:space="preserve"> </w:t>
      </w:r>
      <w:r w:rsidRPr="00EA1A5F">
        <w:rPr>
          <w:rFonts w:eastAsiaTheme="majorEastAsia" w:cstheme="majorBidi"/>
        </w:rPr>
        <w:t>service</w:t>
      </w:r>
      <w:r>
        <w:rPr>
          <w:rFonts w:eastAsiaTheme="majorEastAsia" w:cstheme="majorBidi"/>
        </w:rPr>
        <w:t xml:space="preserve"> </w:t>
      </w:r>
      <w:r w:rsidRPr="00EA1A5F">
        <w:rPr>
          <w:rFonts w:eastAsiaTheme="majorEastAsia" w:cstheme="majorBidi"/>
        </w:rPr>
        <w:t>users</w:t>
      </w:r>
      <w:r>
        <w:rPr>
          <w:rFonts w:eastAsiaTheme="majorEastAsia" w:cstheme="majorBidi"/>
        </w:rPr>
        <w:t xml:space="preserve"> </w:t>
      </w:r>
      <w:r w:rsidRPr="00EA1A5F">
        <w:rPr>
          <w:rFonts w:eastAsiaTheme="majorEastAsia" w:cstheme="majorBidi"/>
        </w:rPr>
        <w:t>in</w:t>
      </w:r>
      <w:r>
        <w:rPr>
          <w:rFonts w:eastAsiaTheme="majorEastAsia" w:cstheme="majorBidi"/>
        </w:rPr>
        <w:t xml:space="preserve"> </w:t>
      </w:r>
      <w:r w:rsidRPr="00EA1A5F">
        <w:rPr>
          <w:rFonts w:eastAsiaTheme="majorEastAsia" w:cstheme="majorBidi"/>
        </w:rPr>
        <w:t>2025.</w:t>
      </w:r>
      <w:r>
        <w:rPr>
          <w:rFonts w:eastAsiaTheme="majorEastAsia" w:cstheme="majorBidi"/>
        </w:rPr>
        <w:t xml:space="preserve"> Decisions and future service arrangements will be finalised in </w:t>
      </w:r>
      <w:r w:rsidR="00EE79C3">
        <w:rPr>
          <w:rFonts w:eastAsiaTheme="majorEastAsia" w:cstheme="majorBidi"/>
        </w:rPr>
        <w:t>2025–26</w:t>
      </w:r>
      <w:r>
        <w:rPr>
          <w:rFonts w:eastAsiaTheme="majorEastAsia" w:cstheme="majorBidi"/>
        </w:rPr>
        <w:t>.</w:t>
      </w:r>
    </w:p>
    <w:p w14:paraId="254E482D" w14:textId="77777777" w:rsidR="00856406" w:rsidRPr="00F45F3A" w:rsidRDefault="00856406" w:rsidP="00447322">
      <w:pPr>
        <w:pStyle w:val="Heading3"/>
      </w:pPr>
      <w:r w:rsidRPr="00F45F3A">
        <w:t>Victorian Property Fund grants</w:t>
      </w:r>
    </w:p>
    <w:p w14:paraId="473399C0" w14:textId="77777777" w:rsidR="00856406" w:rsidRDefault="00856406" w:rsidP="00F45F3A">
      <w:pPr>
        <w:pStyle w:val="BodyText"/>
      </w:pPr>
      <w:r w:rsidRPr="00717004">
        <w:t>The</w:t>
      </w:r>
      <w:r>
        <w:rPr>
          <w:i/>
        </w:rPr>
        <w:t xml:space="preserve"> </w:t>
      </w:r>
      <w:r w:rsidRPr="00717004">
        <w:rPr>
          <w:i/>
        </w:rPr>
        <w:t>Estate</w:t>
      </w:r>
      <w:r>
        <w:rPr>
          <w:i/>
        </w:rPr>
        <w:t xml:space="preserve"> </w:t>
      </w:r>
      <w:r w:rsidRPr="00717004">
        <w:rPr>
          <w:i/>
        </w:rPr>
        <w:t>Agents</w:t>
      </w:r>
      <w:r>
        <w:rPr>
          <w:i/>
        </w:rPr>
        <w:t xml:space="preserve"> </w:t>
      </w:r>
      <w:r w:rsidRPr="00717004">
        <w:rPr>
          <w:i/>
        </w:rPr>
        <w:t>Act</w:t>
      </w:r>
      <w:r>
        <w:rPr>
          <w:i/>
        </w:rPr>
        <w:t xml:space="preserve"> </w:t>
      </w:r>
      <w:r w:rsidRPr="00717004">
        <w:rPr>
          <w:i/>
        </w:rPr>
        <w:t>1980</w:t>
      </w:r>
      <w:r>
        <w:t xml:space="preserve"> </w:t>
      </w:r>
      <w:r w:rsidRPr="00717004">
        <w:t>allows</w:t>
      </w:r>
      <w:r>
        <w:t xml:space="preserve"> </w:t>
      </w:r>
      <w:r w:rsidRPr="00717004">
        <w:t>the</w:t>
      </w:r>
      <w:r>
        <w:t xml:space="preserve"> </w:t>
      </w:r>
      <w:r w:rsidRPr="00717004">
        <w:t>responsible</w:t>
      </w:r>
      <w:r>
        <w:t xml:space="preserve"> m</w:t>
      </w:r>
      <w:r w:rsidRPr="00717004">
        <w:t>inister</w:t>
      </w:r>
      <w:r>
        <w:t xml:space="preserve"> </w:t>
      </w:r>
      <w:r w:rsidRPr="00717004">
        <w:t>to</w:t>
      </w:r>
      <w:r>
        <w:t xml:space="preserve"> </w:t>
      </w:r>
      <w:r w:rsidRPr="00717004">
        <w:t>award</w:t>
      </w:r>
      <w:r>
        <w:t xml:space="preserve"> </w:t>
      </w:r>
      <w:r w:rsidRPr="00717004">
        <w:t>grants</w:t>
      </w:r>
      <w:r>
        <w:t xml:space="preserve"> </w:t>
      </w:r>
      <w:r w:rsidRPr="00717004">
        <w:t>from</w:t>
      </w:r>
      <w:r>
        <w:t xml:space="preserve"> </w:t>
      </w:r>
      <w:r w:rsidRPr="00717004">
        <w:t>the</w:t>
      </w:r>
      <w:r>
        <w:t xml:space="preserve"> </w:t>
      </w:r>
      <w:r w:rsidRPr="00717004">
        <w:t>Victorian</w:t>
      </w:r>
      <w:r>
        <w:t xml:space="preserve"> </w:t>
      </w:r>
      <w:r w:rsidRPr="00717004">
        <w:t>Property</w:t>
      </w:r>
      <w:r>
        <w:t xml:space="preserve"> </w:t>
      </w:r>
      <w:r w:rsidRPr="00717004">
        <w:t>Fund</w:t>
      </w:r>
      <w:r>
        <w:t xml:space="preserve"> </w:t>
      </w:r>
      <w:r w:rsidRPr="00717004">
        <w:t>(VPF)</w:t>
      </w:r>
      <w:r>
        <w:t xml:space="preserve"> </w:t>
      </w:r>
      <w:r w:rsidRPr="00717004">
        <w:t>for</w:t>
      </w:r>
      <w:r>
        <w:t xml:space="preserve"> </w:t>
      </w:r>
      <w:r w:rsidRPr="00717004">
        <w:t>various</w:t>
      </w:r>
      <w:r>
        <w:t xml:space="preserve"> </w:t>
      </w:r>
      <w:r w:rsidRPr="00717004">
        <w:t>legislated</w:t>
      </w:r>
      <w:r>
        <w:t xml:space="preserve"> </w:t>
      </w:r>
      <w:r w:rsidRPr="00717004">
        <w:t>purposes</w:t>
      </w:r>
      <w:r>
        <w:t>, i</w:t>
      </w:r>
      <w:r w:rsidRPr="00547D1A">
        <w:t>ncluding</w:t>
      </w:r>
      <w:r>
        <w:t xml:space="preserve"> </w:t>
      </w:r>
      <w:r w:rsidRPr="00547D1A">
        <w:t>housing</w:t>
      </w:r>
      <w:r>
        <w:t xml:space="preserve"> </w:t>
      </w:r>
      <w:r w:rsidRPr="00547D1A">
        <w:t>assistance,</w:t>
      </w:r>
      <w:r>
        <w:t xml:space="preserve"> </w:t>
      </w:r>
      <w:r w:rsidRPr="00547D1A">
        <w:t>community</w:t>
      </w:r>
      <w:r>
        <w:t xml:space="preserve"> </w:t>
      </w:r>
      <w:r w:rsidRPr="00547D1A">
        <w:t>information,</w:t>
      </w:r>
      <w:r>
        <w:t xml:space="preserve"> </w:t>
      </w:r>
      <w:r w:rsidRPr="00547D1A">
        <w:t>education</w:t>
      </w:r>
      <w:r>
        <w:t xml:space="preserve"> </w:t>
      </w:r>
      <w:r w:rsidRPr="00547D1A">
        <w:t>and</w:t>
      </w:r>
      <w:r>
        <w:t xml:space="preserve"> </w:t>
      </w:r>
      <w:r w:rsidRPr="00547D1A">
        <w:t>advocacy</w:t>
      </w:r>
      <w:r>
        <w:t xml:space="preserve"> </w:t>
      </w:r>
      <w:r w:rsidRPr="00547D1A">
        <w:t>services,</w:t>
      </w:r>
      <w:r>
        <w:t xml:space="preserve"> </w:t>
      </w:r>
      <w:r w:rsidRPr="00547D1A">
        <w:t>estate</w:t>
      </w:r>
      <w:r>
        <w:t xml:space="preserve"> </w:t>
      </w:r>
      <w:r w:rsidRPr="00547D1A">
        <w:t>agent</w:t>
      </w:r>
      <w:r>
        <w:t xml:space="preserve"> </w:t>
      </w:r>
      <w:r w:rsidRPr="00547D1A">
        <w:t>training,</w:t>
      </w:r>
      <w:r>
        <w:t xml:space="preserve"> and </w:t>
      </w:r>
      <w:r w:rsidRPr="00547D1A">
        <w:t>dispute</w:t>
      </w:r>
      <w:r>
        <w:t xml:space="preserve"> </w:t>
      </w:r>
      <w:r w:rsidRPr="00547D1A">
        <w:t>resolution</w:t>
      </w:r>
      <w:r>
        <w:t>.</w:t>
      </w:r>
    </w:p>
    <w:p w14:paraId="219E2575" w14:textId="77777777" w:rsidR="00856406" w:rsidRPr="00717004" w:rsidRDefault="00856406" w:rsidP="00F45F3A">
      <w:pPr>
        <w:pStyle w:val="BodyText"/>
      </w:pPr>
      <w:r w:rsidRPr="00717004">
        <w:t>CAV</w:t>
      </w:r>
      <w:r>
        <w:t xml:space="preserve"> </w:t>
      </w:r>
      <w:r w:rsidRPr="00717004">
        <w:t>administers</w:t>
      </w:r>
      <w:r>
        <w:t xml:space="preserve"> </w:t>
      </w:r>
      <w:r w:rsidRPr="00717004">
        <w:t>the</w:t>
      </w:r>
      <w:r>
        <w:t xml:space="preserve"> </w:t>
      </w:r>
      <w:r w:rsidRPr="00717004">
        <w:t>VPF</w:t>
      </w:r>
      <w:r>
        <w:t xml:space="preserve"> g</w:t>
      </w:r>
      <w:r w:rsidRPr="00717004">
        <w:t>rants</w:t>
      </w:r>
      <w:r>
        <w:t xml:space="preserve"> p</w:t>
      </w:r>
      <w:r w:rsidRPr="00717004">
        <w:t>rogram,</w:t>
      </w:r>
      <w:r>
        <w:t xml:space="preserve"> </w:t>
      </w:r>
      <w:r w:rsidRPr="00717004">
        <w:t>including</w:t>
      </w:r>
      <w:r>
        <w:t xml:space="preserve"> </w:t>
      </w:r>
      <w:r w:rsidRPr="00717004">
        <w:t>evaluating</w:t>
      </w:r>
      <w:r>
        <w:t xml:space="preserve"> </w:t>
      </w:r>
      <w:r w:rsidRPr="00717004">
        <w:t>applications,</w:t>
      </w:r>
      <w:r>
        <w:t xml:space="preserve"> </w:t>
      </w:r>
      <w:r w:rsidRPr="00717004">
        <w:t>making</w:t>
      </w:r>
      <w:r>
        <w:t xml:space="preserve"> </w:t>
      </w:r>
      <w:r w:rsidRPr="00717004">
        <w:t>recommendations</w:t>
      </w:r>
      <w:r>
        <w:t xml:space="preserve"> </w:t>
      </w:r>
      <w:r w:rsidRPr="00717004" w:rsidDel="0014227B">
        <w:t>to</w:t>
      </w:r>
      <w:r>
        <w:t xml:space="preserve"> </w:t>
      </w:r>
      <w:r w:rsidRPr="00717004" w:rsidDel="0014227B">
        <w:t>the</w:t>
      </w:r>
      <w:r>
        <w:t xml:space="preserve"> m</w:t>
      </w:r>
      <w:r w:rsidRPr="00717004" w:rsidDel="0014227B">
        <w:t>inister</w:t>
      </w:r>
      <w:r>
        <w:t xml:space="preserve"> regarding proposals</w:t>
      </w:r>
      <w:r w:rsidRPr="00717004">
        <w:t>,</w:t>
      </w:r>
      <w:r>
        <w:t xml:space="preserve"> </w:t>
      </w:r>
      <w:r w:rsidRPr="00717004">
        <w:t>and</w:t>
      </w:r>
      <w:r>
        <w:t xml:space="preserve"> </w:t>
      </w:r>
      <w:r w:rsidRPr="00717004">
        <w:t>administering</w:t>
      </w:r>
      <w:r>
        <w:t xml:space="preserve"> </w:t>
      </w:r>
      <w:r w:rsidRPr="00717004">
        <w:t>the</w:t>
      </w:r>
      <w:r>
        <w:t xml:space="preserve"> </w:t>
      </w:r>
      <w:r w:rsidRPr="00717004">
        <w:t>grants</w:t>
      </w:r>
      <w:r>
        <w:t xml:space="preserve"> </w:t>
      </w:r>
      <w:r w:rsidRPr="00717004">
        <w:t>following</w:t>
      </w:r>
      <w:r>
        <w:t xml:space="preserve"> </w:t>
      </w:r>
      <w:r w:rsidRPr="00717004">
        <w:t>approval.</w:t>
      </w:r>
    </w:p>
    <w:p w14:paraId="4B0FB0A7" w14:textId="312C6233" w:rsidR="00856406" w:rsidRDefault="00856406" w:rsidP="00F45F3A">
      <w:pPr>
        <w:pStyle w:val="BodyText"/>
      </w:pPr>
      <w:r w:rsidRPr="00717004">
        <w:t>In</w:t>
      </w:r>
      <w:r>
        <w:t xml:space="preserve"> </w:t>
      </w:r>
      <w:r w:rsidR="00EE79C3">
        <w:t>2024–25</w:t>
      </w:r>
      <w:r>
        <w:t xml:space="preserve">, </w:t>
      </w:r>
      <w:r w:rsidRPr="00717004">
        <w:t>28</w:t>
      </w:r>
      <w:r>
        <w:t xml:space="preserve"> </w:t>
      </w:r>
      <w:r w:rsidRPr="00717004">
        <w:t>grants</w:t>
      </w:r>
      <w:r>
        <w:t xml:space="preserve"> </w:t>
      </w:r>
      <w:r w:rsidRPr="00717004">
        <w:t>were</w:t>
      </w:r>
      <w:r>
        <w:t xml:space="preserve"> </w:t>
      </w:r>
      <w:r w:rsidRPr="00717004">
        <w:t>awarded</w:t>
      </w:r>
      <w:r>
        <w:t xml:space="preserve"> with a total of $8.8 million. This </w:t>
      </w:r>
      <w:r w:rsidRPr="00717004">
        <w:t>includ</w:t>
      </w:r>
      <w:r>
        <w:t xml:space="preserve">ed the </w:t>
      </w:r>
      <w:r w:rsidRPr="00717004">
        <w:t>16</w:t>
      </w:r>
      <w:r>
        <w:t xml:space="preserve"> grants awarded through the Financial Counselling Funding Round noted above.</w:t>
      </w:r>
    </w:p>
    <w:p w14:paraId="33F8C485" w14:textId="768B4CD3" w:rsidR="00856406" w:rsidRPr="00717004" w:rsidRDefault="00856406" w:rsidP="00F45F3A">
      <w:pPr>
        <w:pStyle w:val="BodyText"/>
      </w:pPr>
      <w:r w:rsidRPr="00717004">
        <w:t>The</w:t>
      </w:r>
      <w:r>
        <w:t xml:space="preserve"> </w:t>
      </w:r>
      <w:r w:rsidRPr="00717004">
        <w:t>table</w:t>
      </w:r>
      <w:r>
        <w:t xml:space="preserve"> </w:t>
      </w:r>
      <w:r w:rsidRPr="00717004">
        <w:t>below</w:t>
      </w:r>
      <w:r>
        <w:t xml:space="preserve"> </w:t>
      </w:r>
      <w:r w:rsidRPr="00717004">
        <w:t>represents</w:t>
      </w:r>
      <w:r>
        <w:t xml:space="preserve"> </w:t>
      </w:r>
      <w:r w:rsidRPr="00717004">
        <w:t>active</w:t>
      </w:r>
      <w:r>
        <w:t xml:space="preserve"> </w:t>
      </w:r>
      <w:r w:rsidRPr="00717004">
        <w:t>grants</w:t>
      </w:r>
      <w:r>
        <w:t xml:space="preserve"> </w:t>
      </w:r>
      <w:r w:rsidRPr="00717004">
        <w:t>in</w:t>
      </w:r>
      <w:r>
        <w:t xml:space="preserve"> </w:t>
      </w:r>
      <w:r w:rsidR="00EE79C3">
        <w:t>2024–25</w:t>
      </w:r>
      <w:r>
        <w:t xml:space="preserve">, along with </w:t>
      </w:r>
      <w:r w:rsidRPr="00717004">
        <w:t>grant</w:t>
      </w:r>
      <w:r>
        <w:t xml:space="preserve"> </w:t>
      </w:r>
      <w:r w:rsidRPr="00717004">
        <w:t>expenditure</w:t>
      </w:r>
      <w:r>
        <w:t xml:space="preserve"> </w:t>
      </w:r>
      <w:r w:rsidRPr="00717004">
        <w:t>by</w:t>
      </w:r>
      <w:r>
        <w:t xml:space="preserve"> </w:t>
      </w:r>
      <w:r w:rsidRPr="00717004">
        <w:t>recipient</w:t>
      </w:r>
      <w:r>
        <w:t xml:space="preserve"> </w:t>
      </w:r>
      <w:r w:rsidRPr="00717004">
        <w:t>and</w:t>
      </w:r>
      <w:r>
        <w:t xml:space="preserve"> </w:t>
      </w:r>
      <w:r w:rsidRPr="00717004">
        <w:t>purpose.</w:t>
      </w:r>
    </w:p>
    <w:p w14:paraId="301DE247" w14:textId="77777777" w:rsidR="00323FD5" w:rsidRPr="00323FD5" w:rsidRDefault="00323FD5" w:rsidP="00323FD5">
      <w:pPr>
        <w:pStyle w:val="BodyText"/>
      </w:pPr>
      <w:r w:rsidRPr="00323FD5">
        <w:br w:type="page"/>
      </w:r>
    </w:p>
    <w:p w14:paraId="6997F197" w14:textId="34B41EF3" w:rsidR="00856406" w:rsidRPr="00A4404F" w:rsidRDefault="00856406" w:rsidP="00323FD5">
      <w:pPr>
        <w:pStyle w:val="Caption"/>
        <w:spacing w:after="80"/>
        <w:rPr>
          <w:i/>
        </w:rPr>
      </w:pPr>
      <w:bookmarkStart w:id="42" w:name="_Toc212562071"/>
      <w:r w:rsidRPr="00A4404F">
        <w:t>Table</w:t>
      </w:r>
      <w:r>
        <w:t xml:space="preserve"> 4</w:t>
      </w:r>
      <w:r w:rsidRPr="00A4404F">
        <w:t>:</w:t>
      </w:r>
      <w:r>
        <w:t xml:space="preserve"> </w:t>
      </w:r>
      <w:r w:rsidRPr="00A4404F">
        <w:t>Grants</w:t>
      </w:r>
      <w:r>
        <w:t xml:space="preserve"> </w:t>
      </w:r>
      <w:r w:rsidRPr="00A4404F">
        <w:t>in</w:t>
      </w:r>
      <w:r>
        <w:t xml:space="preserve"> </w:t>
      </w:r>
      <w:r w:rsidRPr="00A4404F">
        <w:t>progress</w:t>
      </w:r>
      <w:r>
        <w:t xml:space="preserve"> </w:t>
      </w:r>
      <w:r w:rsidR="00EE79C3">
        <w:t>2024–25</w:t>
      </w:r>
      <w:bookmarkEnd w:id="42"/>
    </w:p>
    <w:p w14:paraId="051C0E71" w14:textId="77777777" w:rsidR="00856406" w:rsidRDefault="00856406" w:rsidP="00323FD5">
      <w:pPr>
        <w:pStyle w:val="BodyText"/>
        <w:spacing w:before="80" w:after="0"/>
      </w:pPr>
      <w:r>
        <w:t>*</w:t>
      </w:r>
      <w:r w:rsidRPr="00717004">
        <w:t>All</w:t>
      </w:r>
      <w:r>
        <w:t xml:space="preserve"> </w:t>
      </w:r>
      <w:r w:rsidRPr="00717004">
        <w:t>values</w:t>
      </w:r>
      <w:r>
        <w:t xml:space="preserve"> </w:t>
      </w:r>
      <w:r w:rsidRPr="00717004">
        <w:t>are</w:t>
      </w:r>
      <w:r>
        <w:t xml:space="preserve"> </w:t>
      </w:r>
      <w:r w:rsidRPr="00717004">
        <w:t>excl.</w:t>
      </w:r>
      <w:r>
        <w:t xml:space="preserve"> </w:t>
      </w:r>
      <w:r w:rsidRPr="00717004">
        <w:t>GST</w:t>
      </w:r>
    </w:p>
    <w:tbl>
      <w:tblPr>
        <w:tblStyle w:val="TableGrid"/>
        <w:tblW w:w="9072" w:type="dxa"/>
        <w:tblLayout w:type="fixed"/>
        <w:tblLook w:val="06A0" w:firstRow="1" w:lastRow="0" w:firstColumn="1" w:lastColumn="0" w:noHBand="1" w:noVBand="1"/>
      </w:tblPr>
      <w:tblGrid>
        <w:gridCol w:w="2706"/>
        <w:gridCol w:w="1141"/>
        <w:gridCol w:w="2710"/>
        <w:gridCol w:w="1141"/>
        <w:gridCol w:w="1374"/>
      </w:tblGrid>
      <w:tr w:rsidR="00856406" w:rsidRPr="009C1F7F" w14:paraId="0E95F688" w14:textId="77777777" w:rsidTr="007B053F">
        <w:trPr>
          <w:cnfStyle w:val="100000000000" w:firstRow="1" w:lastRow="0" w:firstColumn="0" w:lastColumn="0" w:oddVBand="0" w:evenVBand="0" w:oddHBand="0" w:evenHBand="0" w:firstRowFirstColumn="0" w:firstRowLastColumn="0" w:lastRowFirstColumn="0" w:lastRowLastColumn="0"/>
          <w:tblHeader/>
        </w:trPr>
        <w:tc>
          <w:tcPr>
            <w:tcW w:w="2706" w:type="dxa"/>
          </w:tcPr>
          <w:p w14:paraId="2062BDB3" w14:textId="77777777" w:rsidR="00856406" w:rsidRPr="00717004" w:rsidRDefault="00856406" w:rsidP="00323FD5">
            <w:pPr>
              <w:pStyle w:val="TableColHead"/>
            </w:pPr>
            <w:r w:rsidRPr="00717004">
              <w:t>Recipient</w:t>
            </w:r>
          </w:p>
        </w:tc>
        <w:tc>
          <w:tcPr>
            <w:tcW w:w="1141" w:type="dxa"/>
          </w:tcPr>
          <w:p w14:paraId="07143BCC" w14:textId="77777777" w:rsidR="00856406" w:rsidRDefault="00856406" w:rsidP="00323FD5">
            <w:pPr>
              <w:pStyle w:val="TableColHead"/>
            </w:pPr>
            <w:r>
              <w:t>Year grant approved</w:t>
            </w:r>
          </w:p>
        </w:tc>
        <w:tc>
          <w:tcPr>
            <w:tcW w:w="2710" w:type="dxa"/>
          </w:tcPr>
          <w:p w14:paraId="2E46A454" w14:textId="77777777" w:rsidR="00856406" w:rsidRPr="00717004" w:rsidRDefault="00856406" w:rsidP="00323FD5">
            <w:pPr>
              <w:pStyle w:val="TableColHead"/>
            </w:pPr>
            <w:r w:rsidRPr="00717004">
              <w:t>Purpose</w:t>
            </w:r>
          </w:p>
        </w:tc>
        <w:tc>
          <w:tcPr>
            <w:tcW w:w="1141" w:type="dxa"/>
          </w:tcPr>
          <w:p w14:paraId="671AEC3A" w14:textId="77777777" w:rsidR="00856406" w:rsidRPr="00717004" w:rsidRDefault="00856406" w:rsidP="007B053F">
            <w:pPr>
              <w:pStyle w:val="TableColHeadRight"/>
            </w:pPr>
            <w:r w:rsidRPr="00717004">
              <w:t>Total</w:t>
            </w:r>
            <w:r>
              <w:t xml:space="preserve"> </w:t>
            </w:r>
            <w:r w:rsidRPr="00717004">
              <w:t>grant</w:t>
            </w:r>
            <w:r>
              <w:t xml:space="preserve"> amount</w:t>
            </w:r>
          </w:p>
        </w:tc>
        <w:tc>
          <w:tcPr>
            <w:tcW w:w="1374" w:type="dxa"/>
          </w:tcPr>
          <w:p w14:paraId="0EE55260" w14:textId="083F027B" w:rsidR="00856406" w:rsidRPr="00717004" w:rsidRDefault="00EE79C3" w:rsidP="007B053F">
            <w:pPr>
              <w:pStyle w:val="TableColHeadRight"/>
              <w:rPr>
                <w:szCs w:val="22"/>
              </w:rPr>
            </w:pPr>
            <w:r>
              <w:rPr>
                <w:szCs w:val="22"/>
              </w:rPr>
              <w:t>2024–25</w:t>
            </w:r>
            <w:r w:rsidR="00856406">
              <w:rPr>
                <w:szCs w:val="22"/>
              </w:rPr>
              <w:t xml:space="preserve"> </w:t>
            </w:r>
            <w:r w:rsidR="00856406" w:rsidRPr="00717004">
              <w:rPr>
                <w:szCs w:val="22"/>
              </w:rPr>
              <w:t>expenditure</w:t>
            </w:r>
          </w:p>
        </w:tc>
      </w:tr>
      <w:tr w:rsidR="00856406" w:rsidRPr="009C1F7F" w14:paraId="757F3EC0" w14:textId="77777777" w:rsidTr="007B053F">
        <w:tc>
          <w:tcPr>
            <w:tcW w:w="2706" w:type="dxa"/>
          </w:tcPr>
          <w:p w14:paraId="2A1F8817" w14:textId="77777777" w:rsidR="00856406" w:rsidRPr="00717004" w:rsidRDefault="00856406" w:rsidP="007B053F">
            <w:pPr>
              <w:pStyle w:val="TableText"/>
            </w:pPr>
            <w:r w:rsidRPr="00717004">
              <w:t>Heritage</w:t>
            </w:r>
            <w:r>
              <w:t xml:space="preserve"> </w:t>
            </w:r>
            <w:r w:rsidRPr="00717004">
              <w:t>Victoria</w:t>
            </w:r>
          </w:p>
        </w:tc>
        <w:tc>
          <w:tcPr>
            <w:tcW w:w="1141" w:type="dxa"/>
          </w:tcPr>
          <w:p w14:paraId="16B4952D" w14:textId="6331BE93" w:rsidR="00856406" w:rsidRDefault="00856406" w:rsidP="007B053F">
            <w:pPr>
              <w:pStyle w:val="TableText"/>
            </w:pPr>
            <w:r>
              <w:t>2016</w:t>
            </w:r>
            <w:r w:rsidR="00EE79C3">
              <w:t>–1</w:t>
            </w:r>
            <w:r>
              <w:t>7</w:t>
            </w:r>
          </w:p>
        </w:tc>
        <w:tc>
          <w:tcPr>
            <w:tcW w:w="2710" w:type="dxa"/>
          </w:tcPr>
          <w:p w14:paraId="28CBA961" w14:textId="77777777" w:rsidR="00856406" w:rsidRPr="00717004" w:rsidRDefault="00856406" w:rsidP="007B053F">
            <w:pPr>
              <w:pStyle w:val="TableText"/>
            </w:pPr>
            <w:r w:rsidRPr="00717004">
              <w:t>Boost</w:t>
            </w:r>
            <w:r>
              <w:t xml:space="preserve"> </w:t>
            </w:r>
            <w:r w:rsidRPr="00717004">
              <w:t>to</w:t>
            </w:r>
            <w:r>
              <w:t xml:space="preserve"> </w:t>
            </w:r>
            <w:r w:rsidRPr="00717004">
              <w:t>Living</w:t>
            </w:r>
            <w:r>
              <w:t xml:space="preserve"> </w:t>
            </w:r>
            <w:r w:rsidRPr="00717004">
              <w:t>Heritage</w:t>
            </w:r>
            <w:r>
              <w:t xml:space="preserve"> </w:t>
            </w:r>
            <w:r w:rsidRPr="00717004">
              <w:t>Grants</w:t>
            </w:r>
            <w:r>
              <w:t xml:space="preserve"> </w:t>
            </w:r>
            <w:r w:rsidRPr="00717004">
              <w:t>Program</w:t>
            </w:r>
          </w:p>
        </w:tc>
        <w:tc>
          <w:tcPr>
            <w:tcW w:w="1141" w:type="dxa"/>
          </w:tcPr>
          <w:p w14:paraId="282DB366" w14:textId="77777777" w:rsidR="00856406" w:rsidRPr="00717004" w:rsidRDefault="00856406" w:rsidP="007B053F">
            <w:pPr>
              <w:pStyle w:val="TableTextRight"/>
            </w:pPr>
            <w:r w:rsidRPr="00717004">
              <w:t>$1,500,000</w:t>
            </w:r>
          </w:p>
        </w:tc>
        <w:tc>
          <w:tcPr>
            <w:tcW w:w="1374" w:type="dxa"/>
          </w:tcPr>
          <w:p w14:paraId="7C481CA1" w14:textId="77777777" w:rsidR="00856406" w:rsidRPr="00717004" w:rsidRDefault="00856406" w:rsidP="007B053F">
            <w:pPr>
              <w:pStyle w:val="TableTextRight"/>
            </w:pPr>
            <w:r w:rsidRPr="00717004">
              <w:t>$</w:t>
            </w:r>
            <w:r w:rsidRPr="00893BDE">
              <w:t>0</w:t>
            </w:r>
          </w:p>
        </w:tc>
      </w:tr>
      <w:tr w:rsidR="00856406" w:rsidRPr="009C1F7F" w14:paraId="31A93608" w14:textId="77777777" w:rsidTr="007B053F">
        <w:tc>
          <w:tcPr>
            <w:tcW w:w="2706" w:type="dxa"/>
          </w:tcPr>
          <w:p w14:paraId="2D974C1B" w14:textId="77777777" w:rsidR="00856406" w:rsidRPr="00717004" w:rsidRDefault="00856406" w:rsidP="007B053F">
            <w:pPr>
              <w:pStyle w:val="TableText"/>
            </w:pPr>
            <w:r w:rsidRPr="00717004">
              <w:t>Community</w:t>
            </w:r>
            <w:r>
              <w:t xml:space="preserve"> </w:t>
            </w:r>
            <w:r w:rsidRPr="00717004">
              <w:t>Housing</w:t>
            </w:r>
            <w:r>
              <w:t xml:space="preserve"> </w:t>
            </w:r>
            <w:r w:rsidRPr="00717004">
              <w:t>(Vic)</w:t>
            </w:r>
            <w:r>
              <w:t xml:space="preserve"> </w:t>
            </w:r>
            <w:r w:rsidRPr="00717004">
              <w:t>Ltd</w:t>
            </w:r>
          </w:p>
        </w:tc>
        <w:tc>
          <w:tcPr>
            <w:tcW w:w="1141" w:type="dxa"/>
          </w:tcPr>
          <w:p w14:paraId="204F6122" w14:textId="049E031E" w:rsidR="00856406" w:rsidRDefault="00856406" w:rsidP="007B053F">
            <w:pPr>
              <w:pStyle w:val="TableText"/>
            </w:pPr>
            <w:r>
              <w:t>2017</w:t>
            </w:r>
            <w:r w:rsidR="00EE79C3">
              <w:t>–1</w:t>
            </w:r>
            <w:r>
              <w:t>8</w:t>
            </w:r>
          </w:p>
        </w:tc>
        <w:tc>
          <w:tcPr>
            <w:tcW w:w="2710" w:type="dxa"/>
          </w:tcPr>
          <w:p w14:paraId="204E071B" w14:textId="77777777" w:rsidR="00856406" w:rsidRPr="00717004" w:rsidRDefault="00856406" w:rsidP="007B053F">
            <w:pPr>
              <w:pStyle w:val="TableText"/>
            </w:pPr>
            <w:r w:rsidRPr="00717004">
              <w:t>Social</w:t>
            </w:r>
            <w:r>
              <w:t xml:space="preserve"> </w:t>
            </w:r>
            <w:r w:rsidRPr="00717004">
              <w:t>housing</w:t>
            </w:r>
            <w:r>
              <w:t xml:space="preserve"> </w:t>
            </w:r>
            <w:r w:rsidRPr="00717004">
              <w:t>development</w:t>
            </w:r>
          </w:p>
          <w:p w14:paraId="6C7361A9" w14:textId="77777777" w:rsidR="00856406" w:rsidRPr="00717004" w:rsidRDefault="00856406" w:rsidP="007B053F">
            <w:pPr>
              <w:pStyle w:val="TableText"/>
            </w:pPr>
            <w:r w:rsidRPr="00717004">
              <w:t>23</w:t>
            </w:r>
            <w:r>
              <w:t xml:space="preserve"> </w:t>
            </w:r>
            <w:r w:rsidRPr="00717004">
              <w:t>Cilento</w:t>
            </w:r>
            <w:r>
              <w:t xml:space="preserve"> </w:t>
            </w:r>
            <w:r w:rsidRPr="00717004">
              <w:t>Crescent,</w:t>
            </w:r>
            <w:r>
              <w:t xml:space="preserve"> </w:t>
            </w:r>
            <w:r w:rsidRPr="00717004">
              <w:t>Lynbrook</w:t>
            </w:r>
          </w:p>
        </w:tc>
        <w:tc>
          <w:tcPr>
            <w:tcW w:w="1141" w:type="dxa"/>
          </w:tcPr>
          <w:p w14:paraId="21767BD8" w14:textId="77777777" w:rsidR="00856406" w:rsidRPr="00717004" w:rsidRDefault="00856406" w:rsidP="007B053F">
            <w:pPr>
              <w:pStyle w:val="TableTextRight"/>
            </w:pPr>
            <w:r w:rsidRPr="00717004">
              <w:t>$2,800,000</w:t>
            </w:r>
          </w:p>
        </w:tc>
        <w:tc>
          <w:tcPr>
            <w:tcW w:w="1374" w:type="dxa"/>
          </w:tcPr>
          <w:p w14:paraId="5979D33A" w14:textId="77777777" w:rsidR="00856406" w:rsidRPr="00717004" w:rsidRDefault="00856406" w:rsidP="007B053F">
            <w:pPr>
              <w:pStyle w:val="TableTextRight"/>
            </w:pPr>
            <w:r w:rsidRPr="00717004">
              <w:t>$0</w:t>
            </w:r>
          </w:p>
        </w:tc>
      </w:tr>
      <w:tr w:rsidR="00856406" w:rsidRPr="009C1F7F" w14:paraId="0916534B" w14:textId="77777777" w:rsidTr="007B053F">
        <w:tc>
          <w:tcPr>
            <w:tcW w:w="2706" w:type="dxa"/>
          </w:tcPr>
          <w:p w14:paraId="438AA234" w14:textId="77777777" w:rsidR="00856406" w:rsidRPr="00717004" w:rsidRDefault="00856406" w:rsidP="007B053F">
            <w:pPr>
              <w:pStyle w:val="TableText"/>
            </w:pPr>
            <w:r w:rsidRPr="00717004">
              <w:t>Common</w:t>
            </w:r>
            <w:r>
              <w:t xml:space="preserve"> </w:t>
            </w:r>
            <w:r w:rsidRPr="00717004">
              <w:t>Equity</w:t>
            </w:r>
            <w:r>
              <w:t xml:space="preserve"> </w:t>
            </w:r>
            <w:r w:rsidRPr="00717004">
              <w:t>Housing</w:t>
            </w:r>
          </w:p>
        </w:tc>
        <w:tc>
          <w:tcPr>
            <w:tcW w:w="1141" w:type="dxa"/>
          </w:tcPr>
          <w:p w14:paraId="387D81CD" w14:textId="03279863" w:rsidR="00856406" w:rsidRDefault="00856406" w:rsidP="007B053F">
            <w:pPr>
              <w:pStyle w:val="TableText"/>
            </w:pPr>
            <w:r>
              <w:t>2018</w:t>
            </w:r>
            <w:r w:rsidR="00EE79C3">
              <w:t>–1</w:t>
            </w:r>
            <w:r>
              <w:t>9</w:t>
            </w:r>
          </w:p>
        </w:tc>
        <w:tc>
          <w:tcPr>
            <w:tcW w:w="2710" w:type="dxa"/>
          </w:tcPr>
          <w:p w14:paraId="41E9784E" w14:textId="77777777" w:rsidR="00856406" w:rsidRPr="00717004" w:rsidRDefault="00856406" w:rsidP="007B053F">
            <w:pPr>
              <w:pStyle w:val="TableText"/>
            </w:pPr>
            <w:r w:rsidRPr="00717004">
              <w:t>Social</w:t>
            </w:r>
            <w:r>
              <w:t xml:space="preserve"> </w:t>
            </w:r>
            <w:r w:rsidRPr="00717004">
              <w:t>housing</w:t>
            </w:r>
            <w:r>
              <w:t xml:space="preserve"> </w:t>
            </w:r>
            <w:r w:rsidRPr="00717004">
              <w:t>development</w:t>
            </w:r>
          </w:p>
          <w:p w14:paraId="34B91237" w14:textId="37A98DFC" w:rsidR="00856406" w:rsidRPr="00717004" w:rsidRDefault="00856406" w:rsidP="007B053F">
            <w:pPr>
              <w:pStyle w:val="TableText"/>
            </w:pPr>
            <w:r w:rsidRPr="00717004">
              <w:t>6</w:t>
            </w:r>
            <w:r w:rsidR="00EE79C3">
              <w:t>–8</w:t>
            </w:r>
            <w:r>
              <w:t xml:space="preserve"> </w:t>
            </w:r>
            <w:r w:rsidRPr="00717004">
              <w:t>Wilson</w:t>
            </w:r>
            <w:r>
              <w:t xml:space="preserve"> </w:t>
            </w:r>
            <w:r w:rsidRPr="00717004">
              <w:t>Avenue,</w:t>
            </w:r>
            <w:r>
              <w:t xml:space="preserve"> </w:t>
            </w:r>
            <w:r w:rsidRPr="00717004">
              <w:t>Brunswick</w:t>
            </w:r>
          </w:p>
        </w:tc>
        <w:tc>
          <w:tcPr>
            <w:tcW w:w="1141" w:type="dxa"/>
          </w:tcPr>
          <w:p w14:paraId="3AFCA591" w14:textId="77777777" w:rsidR="00856406" w:rsidRPr="00717004" w:rsidRDefault="00856406" w:rsidP="007B053F">
            <w:pPr>
              <w:pStyle w:val="TableTextRight"/>
            </w:pPr>
            <w:r w:rsidRPr="00717004">
              <w:t>$4,292,573</w:t>
            </w:r>
          </w:p>
        </w:tc>
        <w:tc>
          <w:tcPr>
            <w:tcW w:w="1374" w:type="dxa"/>
          </w:tcPr>
          <w:p w14:paraId="09688080" w14:textId="77777777" w:rsidR="00856406" w:rsidRPr="00717004" w:rsidRDefault="00856406" w:rsidP="007B053F">
            <w:pPr>
              <w:pStyle w:val="TableTextRight"/>
            </w:pPr>
            <w:r w:rsidRPr="00717004">
              <w:t>$</w:t>
            </w:r>
            <w:r>
              <w:t>100,000</w:t>
            </w:r>
          </w:p>
        </w:tc>
      </w:tr>
      <w:tr w:rsidR="00856406" w:rsidRPr="009C1F7F" w14:paraId="219F7B42" w14:textId="77777777" w:rsidTr="007B053F">
        <w:tc>
          <w:tcPr>
            <w:tcW w:w="2706" w:type="dxa"/>
          </w:tcPr>
          <w:p w14:paraId="38861ED7" w14:textId="77777777" w:rsidR="00856406" w:rsidRPr="00717004" w:rsidRDefault="00856406" w:rsidP="007B053F">
            <w:pPr>
              <w:pStyle w:val="TableText"/>
            </w:pPr>
            <w:r w:rsidRPr="00717004">
              <w:t>Strata</w:t>
            </w:r>
            <w:r>
              <w:t xml:space="preserve"> </w:t>
            </w:r>
            <w:r w:rsidRPr="00717004">
              <w:t>Community</w:t>
            </w:r>
            <w:r>
              <w:t xml:space="preserve"> </w:t>
            </w:r>
            <w:r w:rsidRPr="00717004">
              <w:t>Association</w:t>
            </w:r>
            <w:r>
              <w:t xml:space="preserve"> </w:t>
            </w:r>
            <w:r w:rsidRPr="00717004">
              <w:t>(Vic)</w:t>
            </w:r>
          </w:p>
        </w:tc>
        <w:tc>
          <w:tcPr>
            <w:tcW w:w="1141" w:type="dxa"/>
          </w:tcPr>
          <w:p w14:paraId="0C59F999" w14:textId="4956A853" w:rsidR="00856406" w:rsidRDefault="00EE79C3" w:rsidP="007B053F">
            <w:pPr>
              <w:pStyle w:val="TableText"/>
            </w:pPr>
            <w:r>
              <w:t>2022–23</w:t>
            </w:r>
          </w:p>
        </w:tc>
        <w:tc>
          <w:tcPr>
            <w:tcW w:w="2710" w:type="dxa"/>
          </w:tcPr>
          <w:p w14:paraId="72C90DBD" w14:textId="77777777" w:rsidR="00856406" w:rsidRPr="00717004" w:rsidRDefault="00856406" w:rsidP="007B053F">
            <w:pPr>
              <w:pStyle w:val="TableText"/>
            </w:pPr>
            <w:r w:rsidRPr="00717004">
              <w:t>Building</w:t>
            </w:r>
            <w:r>
              <w:t xml:space="preserve"> </w:t>
            </w:r>
            <w:r w:rsidRPr="00717004">
              <w:t>strata</w:t>
            </w:r>
            <w:r>
              <w:t xml:space="preserve"> </w:t>
            </w:r>
            <w:r w:rsidRPr="00717004">
              <w:t>sector</w:t>
            </w:r>
            <w:r>
              <w:t xml:space="preserve"> </w:t>
            </w:r>
            <w:r w:rsidRPr="00717004">
              <w:t>resources</w:t>
            </w:r>
          </w:p>
        </w:tc>
        <w:tc>
          <w:tcPr>
            <w:tcW w:w="1141" w:type="dxa"/>
          </w:tcPr>
          <w:p w14:paraId="2620FD7A" w14:textId="77777777" w:rsidR="00856406" w:rsidRPr="00717004" w:rsidRDefault="00856406" w:rsidP="007B053F">
            <w:pPr>
              <w:pStyle w:val="TableTextRight"/>
            </w:pPr>
            <w:r w:rsidRPr="00717004">
              <w:t>$69,600</w:t>
            </w:r>
          </w:p>
        </w:tc>
        <w:tc>
          <w:tcPr>
            <w:tcW w:w="1374" w:type="dxa"/>
          </w:tcPr>
          <w:p w14:paraId="5AA907DC" w14:textId="77777777" w:rsidR="00856406" w:rsidRPr="00717004" w:rsidRDefault="00856406" w:rsidP="007B053F">
            <w:pPr>
              <w:pStyle w:val="TableTextRight"/>
            </w:pPr>
            <w:r w:rsidRPr="00717004">
              <w:t>$22,000</w:t>
            </w:r>
          </w:p>
        </w:tc>
      </w:tr>
      <w:tr w:rsidR="00856406" w:rsidRPr="009C1F7F" w14:paraId="330E063B" w14:textId="77777777" w:rsidTr="007B053F">
        <w:tc>
          <w:tcPr>
            <w:tcW w:w="2706" w:type="dxa"/>
          </w:tcPr>
          <w:p w14:paraId="7E4861DF" w14:textId="77777777" w:rsidR="00856406" w:rsidRPr="00717004" w:rsidRDefault="00856406" w:rsidP="007B053F">
            <w:pPr>
              <w:pStyle w:val="TableText"/>
            </w:pPr>
            <w:r w:rsidRPr="00717004">
              <w:t>Tenants</w:t>
            </w:r>
            <w:r>
              <w:t xml:space="preserve"> </w:t>
            </w:r>
            <w:r w:rsidRPr="00717004">
              <w:t>Victoria</w:t>
            </w:r>
          </w:p>
        </w:tc>
        <w:tc>
          <w:tcPr>
            <w:tcW w:w="1141" w:type="dxa"/>
          </w:tcPr>
          <w:p w14:paraId="39DFB27B" w14:textId="1CF97B8D" w:rsidR="00856406" w:rsidRDefault="00EE79C3" w:rsidP="007B053F">
            <w:pPr>
              <w:pStyle w:val="TableText"/>
            </w:pPr>
            <w:r>
              <w:t>2022–23</w:t>
            </w:r>
          </w:p>
        </w:tc>
        <w:tc>
          <w:tcPr>
            <w:tcW w:w="2710" w:type="dxa"/>
          </w:tcPr>
          <w:p w14:paraId="55CEE5EF" w14:textId="77777777" w:rsidR="00856406" w:rsidRPr="00717004" w:rsidRDefault="00856406" w:rsidP="007B053F">
            <w:pPr>
              <w:pStyle w:val="TableText"/>
            </w:pPr>
            <w:r w:rsidRPr="00717004">
              <w:t>Educational</w:t>
            </w:r>
            <w:r>
              <w:t xml:space="preserve"> </w:t>
            </w:r>
            <w:r w:rsidRPr="00717004">
              <w:t>funding</w:t>
            </w:r>
            <w:r>
              <w:t xml:space="preserve"> </w:t>
            </w:r>
            <w:r w:rsidRPr="00717004">
              <w:t>–</w:t>
            </w:r>
            <w:r>
              <w:t xml:space="preserve"> </w:t>
            </w:r>
            <w:r w:rsidRPr="00717004">
              <w:t>‘my</w:t>
            </w:r>
            <w:r>
              <w:t xml:space="preserve"> </w:t>
            </w:r>
            <w:r w:rsidRPr="00717004">
              <w:t>tenancy</w:t>
            </w:r>
            <w:r>
              <w:t xml:space="preserve"> </w:t>
            </w:r>
            <w:r w:rsidRPr="00717004">
              <w:t>rights</w:t>
            </w:r>
            <w:r>
              <w:t xml:space="preserve"> </w:t>
            </w:r>
            <w:r w:rsidRPr="00717004">
              <w:t>and</w:t>
            </w:r>
            <w:r>
              <w:t xml:space="preserve"> </w:t>
            </w:r>
            <w:r w:rsidRPr="00717004">
              <w:t>responsibilities’</w:t>
            </w:r>
          </w:p>
        </w:tc>
        <w:tc>
          <w:tcPr>
            <w:tcW w:w="1141" w:type="dxa"/>
          </w:tcPr>
          <w:p w14:paraId="7D57E613" w14:textId="77777777" w:rsidR="00856406" w:rsidRPr="00717004" w:rsidRDefault="00856406" w:rsidP="007B053F">
            <w:pPr>
              <w:pStyle w:val="TableTextRight"/>
            </w:pPr>
            <w:r w:rsidRPr="00717004">
              <w:t>$865,000</w:t>
            </w:r>
          </w:p>
        </w:tc>
        <w:tc>
          <w:tcPr>
            <w:tcW w:w="1374" w:type="dxa"/>
          </w:tcPr>
          <w:p w14:paraId="30226874" w14:textId="77777777" w:rsidR="00856406" w:rsidRPr="00717004" w:rsidRDefault="00856406" w:rsidP="007B053F">
            <w:pPr>
              <w:pStyle w:val="TableTextRight"/>
            </w:pPr>
            <w:r w:rsidRPr="00717004">
              <w:t>$255,500</w:t>
            </w:r>
          </w:p>
        </w:tc>
      </w:tr>
      <w:tr w:rsidR="00856406" w:rsidRPr="009C1F7F" w14:paraId="0D42E065" w14:textId="77777777" w:rsidTr="007B053F">
        <w:tc>
          <w:tcPr>
            <w:tcW w:w="2706" w:type="dxa"/>
          </w:tcPr>
          <w:p w14:paraId="3C11C1FA" w14:textId="77777777" w:rsidR="00856406" w:rsidRPr="00717004" w:rsidRDefault="00856406" w:rsidP="007B053F">
            <w:pPr>
              <w:pStyle w:val="TableText"/>
              <w:rPr>
                <w:b/>
                <w:bCs/>
              </w:rPr>
            </w:pPr>
            <w:r w:rsidRPr="00717004">
              <w:t>Victorian</w:t>
            </w:r>
            <w:r>
              <w:t xml:space="preserve"> </w:t>
            </w:r>
            <w:r w:rsidRPr="00717004">
              <w:t>Council</w:t>
            </w:r>
            <w:r>
              <w:t xml:space="preserve"> </w:t>
            </w:r>
            <w:r w:rsidRPr="00717004">
              <w:t>of</w:t>
            </w:r>
            <w:r>
              <w:t xml:space="preserve"> </w:t>
            </w:r>
            <w:r w:rsidRPr="00717004">
              <w:t>Social</w:t>
            </w:r>
            <w:r>
              <w:t xml:space="preserve"> </w:t>
            </w:r>
            <w:r w:rsidRPr="00717004">
              <w:t>Service</w:t>
            </w:r>
          </w:p>
        </w:tc>
        <w:tc>
          <w:tcPr>
            <w:tcW w:w="1141" w:type="dxa"/>
          </w:tcPr>
          <w:p w14:paraId="104B64AC" w14:textId="2FE243FA" w:rsidR="00856406" w:rsidRDefault="00EE79C3" w:rsidP="007B053F">
            <w:pPr>
              <w:pStyle w:val="TableText"/>
            </w:pPr>
            <w:r>
              <w:t>2022–23</w:t>
            </w:r>
          </w:p>
        </w:tc>
        <w:tc>
          <w:tcPr>
            <w:tcW w:w="2710" w:type="dxa"/>
          </w:tcPr>
          <w:p w14:paraId="3761CD96" w14:textId="77777777" w:rsidR="00856406" w:rsidRPr="00717004" w:rsidRDefault="00856406" w:rsidP="007B053F">
            <w:pPr>
              <w:pStyle w:val="TableText"/>
            </w:pPr>
            <w:r w:rsidRPr="00717004">
              <w:t>Educational</w:t>
            </w:r>
            <w:r>
              <w:t xml:space="preserve"> </w:t>
            </w:r>
            <w:r w:rsidRPr="00717004">
              <w:t>funding</w:t>
            </w:r>
            <w:r>
              <w:t xml:space="preserve"> </w:t>
            </w:r>
            <w:r w:rsidRPr="00717004">
              <w:t>–</w:t>
            </w:r>
            <w:r>
              <w:t xml:space="preserve"> </w:t>
            </w:r>
            <w:r w:rsidRPr="00717004">
              <w:t>‘delivering</w:t>
            </w:r>
            <w:r>
              <w:t xml:space="preserve"> </w:t>
            </w:r>
            <w:r w:rsidRPr="00717004">
              <w:t>the</w:t>
            </w:r>
            <w:r>
              <w:t xml:space="preserve"> </w:t>
            </w:r>
            <w:r w:rsidRPr="00717004">
              <w:t>promise</w:t>
            </w:r>
            <w:r>
              <w:t xml:space="preserve"> </w:t>
            </w:r>
            <w:r w:rsidRPr="00717004">
              <w:t>of</w:t>
            </w:r>
            <w:r>
              <w:t xml:space="preserve"> </w:t>
            </w:r>
            <w:r w:rsidRPr="00717004">
              <w:t>rental</w:t>
            </w:r>
            <w:r>
              <w:t xml:space="preserve"> </w:t>
            </w:r>
            <w:r w:rsidRPr="00717004">
              <w:t>fairness’</w:t>
            </w:r>
            <w:r>
              <w:t xml:space="preserve"> </w:t>
            </w:r>
          </w:p>
        </w:tc>
        <w:tc>
          <w:tcPr>
            <w:tcW w:w="1141" w:type="dxa"/>
          </w:tcPr>
          <w:p w14:paraId="3E18C8B0" w14:textId="77777777" w:rsidR="00856406" w:rsidRPr="00717004" w:rsidRDefault="00856406" w:rsidP="007B053F">
            <w:pPr>
              <w:pStyle w:val="TableTextRight"/>
            </w:pPr>
            <w:r w:rsidRPr="00717004">
              <w:t>$265,337</w:t>
            </w:r>
          </w:p>
        </w:tc>
        <w:tc>
          <w:tcPr>
            <w:tcW w:w="1374" w:type="dxa"/>
          </w:tcPr>
          <w:p w14:paraId="57D7CF91" w14:textId="77777777" w:rsidR="00856406" w:rsidRPr="00717004" w:rsidRDefault="00856406" w:rsidP="007B053F">
            <w:pPr>
              <w:pStyle w:val="TableTextRight"/>
            </w:pPr>
            <w:r w:rsidRPr="00717004">
              <w:t>$</w:t>
            </w:r>
            <w:r w:rsidRPr="005E0DAD">
              <w:t>90,203</w:t>
            </w:r>
          </w:p>
        </w:tc>
      </w:tr>
      <w:tr w:rsidR="00856406" w:rsidRPr="009C1F7F" w14:paraId="2FF0F791" w14:textId="77777777" w:rsidTr="007B053F">
        <w:tc>
          <w:tcPr>
            <w:tcW w:w="2706" w:type="dxa"/>
          </w:tcPr>
          <w:p w14:paraId="59A739B0" w14:textId="77777777" w:rsidR="00856406" w:rsidRPr="00717004" w:rsidRDefault="00856406" w:rsidP="007B053F">
            <w:pPr>
              <w:pStyle w:val="TableText"/>
            </w:pPr>
            <w:r w:rsidRPr="00717004">
              <w:t>Australian</w:t>
            </w:r>
            <w:r>
              <w:t xml:space="preserve"> </w:t>
            </w:r>
            <w:r w:rsidRPr="00717004">
              <w:t>Livestock</w:t>
            </w:r>
            <w:r>
              <w:t xml:space="preserve"> </w:t>
            </w:r>
            <w:r w:rsidRPr="00717004">
              <w:t>and</w:t>
            </w:r>
            <w:r>
              <w:t xml:space="preserve"> </w:t>
            </w:r>
            <w:r w:rsidRPr="00717004">
              <w:t>Property</w:t>
            </w:r>
            <w:r>
              <w:t xml:space="preserve"> </w:t>
            </w:r>
            <w:r w:rsidRPr="00717004">
              <w:t>Agents</w:t>
            </w:r>
            <w:r>
              <w:t xml:space="preserve"> </w:t>
            </w:r>
            <w:r w:rsidRPr="00717004">
              <w:t>Association</w:t>
            </w:r>
          </w:p>
        </w:tc>
        <w:tc>
          <w:tcPr>
            <w:tcW w:w="1141" w:type="dxa"/>
          </w:tcPr>
          <w:p w14:paraId="7F5CFB36" w14:textId="358720D7" w:rsidR="00856406" w:rsidRDefault="00EE79C3" w:rsidP="007B053F">
            <w:pPr>
              <w:pStyle w:val="TableText"/>
            </w:pPr>
            <w:r>
              <w:t>2023–24</w:t>
            </w:r>
          </w:p>
        </w:tc>
        <w:tc>
          <w:tcPr>
            <w:tcW w:w="2710" w:type="dxa"/>
          </w:tcPr>
          <w:p w14:paraId="2D1E4480" w14:textId="4DDE14D6" w:rsidR="00856406" w:rsidRDefault="00856406" w:rsidP="007B053F">
            <w:pPr>
              <w:pStyle w:val="TableText"/>
            </w:pPr>
            <w:r w:rsidRPr="00717004">
              <w:t>Estate</w:t>
            </w:r>
            <w:r>
              <w:t xml:space="preserve"> </w:t>
            </w:r>
            <w:r w:rsidRPr="00717004">
              <w:t>Agent</w:t>
            </w:r>
            <w:r>
              <w:t xml:space="preserve"> </w:t>
            </w:r>
            <w:r w:rsidRPr="00717004">
              <w:t>Professional</w:t>
            </w:r>
            <w:r>
              <w:t xml:space="preserve"> </w:t>
            </w:r>
            <w:r w:rsidRPr="00717004">
              <w:t>Development</w:t>
            </w:r>
            <w:r>
              <w:t xml:space="preserve"> </w:t>
            </w:r>
            <w:r w:rsidRPr="00717004">
              <w:t>Program</w:t>
            </w:r>
            <w:r>
              <w:t xml:space="preserve"> </w:t>
            </w:r>
            <w:r w:rsidRPr="00717004">
              <w:t>2023</w:t>
            </w:r>
            <w:r w:rsidR="00EE79C3">
              <w:t>–2</w:t>
            </w:r>
            <w:r w:rsidRPr="00717004">
              <w:t>5</w:t>
            </w:r>
          </w:p>
        </w:tc>
        <w:tc>
          <w:tcPr>
            <w:tcW w:w="1141" w:type="dxa"/>
          </w:tcPr>
          <w:p w14:paraId="7D369BF7" w14:textId="77777777" w:rsidR="00856406" w:rsidRDefault="00856406" w:rsidP="007B053F">
            <w:pPr>
              <w:pStyle w:val="TableTextRight"/>
            </w:pPr>
            <w:r w:rsidRPr="00717004">
              <w:t>$269,40</w:t>
            </w:r>
            <w:r w:rsidRPr="00AF467F">
              <w:t>5</w:t>
            </w:r>
          </w:p>
        </w:tc>
        <w:tc>
          <w:tcPr>
            <w:tcW w:w="1374" w:type="dxa"/>
          </w:tcPr>
          <w:p w14:paraId="330A5F26" w14:textId="77777777" w:rsidR="00856406" w:rsidRDefault="00856406" w:rsidP="007B053F">
            <w:pPr>
              <w:pStyle w:val="TableTextRight"/>
            </w:pPr>
            <w:r w:rsidRPr="00717004">
              <w:t>$</w:t>
            </w:r>
            <w:r w:rsidRPr="00AF467F">
              <w:t>84,623</w:t>
            </w:r>
          </w:p>
        </w:tc>
      </w:tr>
      <w:tr w:rsidR="00856406" w:rsidRPr="009C1F7F" w14:paraId="390836A8" w14:textId="77777777" w:rsidTr="007B053F">
        <w:tc>
          <w:tcPr>
            <w:tcW w:w="2706" w:type="dxa"/>
          </w:tcPr>
          <w:p w14:paraId="4A564972" w14:textId="77777777" w:rsidR="00856406" w:rsidRPr="00717004" w:rsidRDefault="00856406" w:rsidP="007B053F">
            <w:pPr>
              <w:pStyle w:val="TableText"/>
            </w:pPr>
            <w:r w:rsidRPr="00717004">
              <w:t>Tenants</w:t>
            </w:r>
            <w:r>
              <w:t xml:space="preserve"> </w:t>
            </w:r>
            <w:r w:rsidRPr="00717004">
              <w:t>Victoria</w:t>
            </w:r>
          </w:p>
        </w:tc>
        <w:tc>
          <w:tcPr>
            <w:tcW w:w="1141" w:type="dxa"/>
          </w:tcPr>
          <w:p w14:paraId="6B4C7719" w14:textId="51534AAD" w:rsidR="00856406" w:rsidRDefault="00EE79C3" w:rsidP="007B053F">
            <w:pPr>
              <w:pStyle w:val="TableText"/>
            </w:pPr>
            <w:r>
              <w:t>2023–24</w:t>
            </w:r>
          </w:p>
        </w:tc>
        <w:tc>
          <w:tcPr>
            <w:tcW w:w="2710" w:type="dxa"/>
          </w:tcPr>
          <w:p w14:paraId="6F81EE5E" w14:textId="77777777" w:rsidR="00856406" w:rsidRPr="00717004" w:rsidRDefault="00856406" w:rsidP="007B053F">
            <w:pPr>
              <w:pStyle w:val="TableText"/>
            </w:pPr>
            <w:r>
              <w:t>RSSP Workers Support Service</w:t>
            </w:r>
          </w:p>
        </w:tc>
        <w:tc>
          <w:tcPr>
            <w:tcW w:w="1141" w:type="dxa"/>
          </w:tcPr>
          <w:p w14:paraId="66A288C1" w14:textId="77777777" w:rsidR="00856406" w:rsidRPr="00717004" w:rsidRDefault="00856406" w:rsidP="007B053F">
            <w:pPr>
              <w:pStyle w:val="TableTextRight"/>
            </w:pPr>
            <w:r>
              <w:t>$760,144</w:t>
            </w:r>
          </w:p>
        </w:tc>
        <w:tc>
          <w:tcPr>
            <w:tcW w:w="1374" w:type="dxa"/>
          </w:tcPr>
          <w:p w14:paraId="046530A7" w14:textId="77777777" w:rsidR="00856406" w:rsidRPr="00717004" w:rsidRDefault="00856406" w:rsidP="007B053F">
            <w:pPr>
              <w:pStyle w:val="TableTextRight"/>
            </w:pPr>
            <w:r>
              <w:t>$380,072</w:t>
            </w:r>
          </w:p>
        </w:tc>
      </w:tr>
      <w:tr w:rsidR="00856406" w:rsidRPr="009C1F7F" w14:paraId="0BA54F66" w14:textId="77777777" w:rsidTr="007B053F">
        <w:tc>
          <w:tcPr>
            <w:tcW w:w="2706" w:type="dxa"/>
          </w:tcPr>
          <w:p w14:paraId="0B25A985" w14:textId="77777777" w:rsidR="00856406" w:rsidRPr="00717004" w:rsidRDefault="00856406" w:rsidP="007B053F">
            <w:pPr>
              <w:pStyle w:val="TableText"/>
            </w:pPr>
            <w:r w:rsidRPr="00717004">
              <w:t>Tenants</w:t>
            </w:r>
            <w:r>
              <w:t xml:space="preserve"> </w:t>
            </w:r>
            <w:r w:rsidRPr="00717004">
              <w:t>Victoria</w:t>
            </w:r>
          </w:p>
        </w:tc>
        <w:tc>
          <w:tcPr>
            <w:tcW w:w="1141" w:type="dxa"/>
          </w:tcPr>
          <w:p w14:paraId="3EE508AA" w14:textId="4951A678" w:rsidR="00856406" w:rsidRDefault="00EE79C3" w:rsidP="007B053F">
            <w:pPr>
              <w:pStyle w:val="TableText"/>
            </w:pPr>
            <w:r>
              <w:t>2023–24</w:t>
            </w:r>
          </w:p>
        </w:tc>
        <w:tc>
          <w:tcPr>
            <w:tcW w:w="2710" w:type="dxa"/>
          </w:tcPr>
          <w:p w14:paraId="738A482F" w14:textId="77777777" w:rsidR="00856406" w:rsidRPr="00717004" w:rsidRDefault="00856406" w:rsidP="007B053F">
            <w:pPr>
              <w:pStyle w:val="TableText"/>
            </w:pPr>
            <w:r w:rsidRPr="00717004">
              <w:t>Renters</w:t>
            </w:r>
            <w:r>
              <w:t xml:space="preserve"> </w:t>
            </w:r>
            <w:r w:rsidRPr="00717004">
              <w:t>Digital</w:t>
            </w:r>
            <w:r>
              <w:t xml:space="preserve"> </w:t>
            </w:r>
            <w:r w:rsidRPr="00717004">
              <w:t>Front</w:t>
            </w:r>
            <w:r>
              <w:t xml:space="preserve"> </w:t>
            </w:r>
            <w:r w:rsidRPr="00717004">
              <w:t>Door</w:t>
            </w:r>
          </w:p>
        </w:tc>
        <w:tc>
          <w:tcPr>
            <w:tcW w:w="1141" w:type="dxa"/>
          </w:tcPr>
          <w:p w14:paraId="1B001888" w14:textId="77777777" w:rsidR="00856406" w:rsidRPr="00717004" w:rsidRDefault="00856406" w:rsidP="007B053F">
            <w:pPr>
              <w:pStyle w:val="TableTextRight"/>
            </w:pPr>
            <w:r w:rsidRPr="00717004">
              <w:t>$447,487</w:t>
            </w:r>
          </w:p>
        </w:tc>
        <w:tc>
          <w:tcPr>
            <w:tcW w:w="1374" w:type="dxa"/>
          </w:tcPr>
          <w:p w14:paraId="6DB9CAC8" w14:textId="77777777" w:rsidR="00856406" w:rsidRPr="00717004" w:rsidRDefault="00856406" w:rsidP="007B053F">
            <w:pPr>
              <w:pStyle w:val="TableTextRight"/>
            </w:pPr>
            <w:r w:rsidRPr="00717004">
              <w:t>$268,492</w:t>
            </w:r>
          </w:p>
        </w:tc>
      </w:tr>
      <w:tr w:rsidR="00856406" w:rsidRPr="009C1F7F" w14:paraId="2E7D55EA" w14:textId="77777777" w:rsidTr="007B053F">
        <w:tc>
          <w:tcPr>
            <w:tcW w:w="2706" w:type="dxa"/>
          </w:tcPr>
          <w:p w14:paraId="5FE3AF87" w14:textId="77777777" w:rsidR="00856406" w:rsidRPr="00717004" w:rsidRDefault="00856406" w:rsidP="007B053F">
            <w:pPr>
              <w:pStyle w:val="TableText"/>
            </w:pPr>
            <w:r w:rsidRPr="00717004">
              <w:t>Angli</w:t>
            </w:r>
            <w:r>
              <w:t>care Victoria</w:t>
            </w:r>
          </w:p>
        </w:tc>
        <w:tc>
          <w:tcPr>
            <w:tcW w:w="1141" w:type="dxa"/>
          </w:tcPr>
          <w:p w14:paraId="3CD1C614" w14:textId="118BD51F" w:rsidR="00856406" w:rsidRDefault="00EE79C3" w:rsidP="007B053F">
            <w:pPr>
              <w:pStyle w:val="TableText"/>
            </w:pPr>
            <w:r>
              <w:t>2024–25</w:t>
            </w:r>
          </w:p>
        </w:tc>
        <w:tc>
          <w:tcPr>
            <w:tcW w:w="2710" w:type="dxa"/>
          </w:tcPr>
          <w:p w14:paraId="56A8C6A7" w14:textId="2C91951C" w:rsidR="00856406" w:rsidRPr="00717004" w:rsidRDefault="00856406" w:rsidP="007B053F">
            <w:pPr>
              <w:pStyle w:val="TableText"/>
            </w:pPr>
            <w:r w:rsidRPr="008E2724">
              <w:t>Flood</w:t>
            </w:r>
            <w:r>
              <w:t xml:space="preserve"> </w:t>
            </w:r>
            <w:r w:rsidRPr="008E2724">
              <w:t>financial</w:t>
            </w:r>
            <w:r>
              <w:t xml:space="preserve"> </w:t>
            </w:r>
            <w:r w:rsidRPr="008E2724">
              <w:t>counselling</w:t>
            </w:r>
            <w:r>
              <w:t xml:space="preserve"> 24</w:t>
            </w:r>
            <w:r w:rsidR="00EE79C3">
              <w:t>–2</w:t>
            </w:r>
            <w:r>
              <w:t>5</w:t>
            </w:r>
          </w:p>
        </w:tc>
        <w:tc>
          <w:tcPr>
            <w:tcW w:w="1141" w:type="dxa"/>
          </w:tcPr>
          <w:p w14:paraId="23D9E942" w14:textId="77777777" w:rsidR="00856406" w:rsidRPr="00717004" w:rsidRDefault="00856406" w:rsidP="007B053F">
            <w:pPr>
              <w:pStyle w:val="TableTextRight"/>
            </w:pPr>
            <w:r>
              <w:t>$39,184</w:t>
            </w:r>
          </w:p>
        </w:tc>
        <w:tc>
          <w:tcPr>
            <w:tcW w:w="1374" w:type="dxa"/>
          </w:tcPr>
          <w:p w14:paraId="79D654BA" w14:textId="77777777" w:rsidR="00856406" w:rsidRPr="00717004" w:rsidRDefault="00856406" w:rsidP="007B053F">
            <w:pPr>
              <w:pStyle w:val="TableTextRight"/>
            </w:pPr>
            <w:r>
              <w:t>$39,184</w:t>
            </w:r>
          </w:p>
        </w:tc>
      </w:tr>
      <w:tr w:rsidR="00856406" w:rsidRPr="009C1F7F" w14:paraId="53CE4FD2" w14:textId="77777777" w:rsidTr="007B053F">
        <w:tc>
          <w:tcPr>
            <w:tcW w:w="2706" w:type="dxa"/>
          </w:tcPr>
          <w:p w14:paraId="1955ACAE" w14:textId="77777777" w:rsidR="00856406" w:rsidRPr="00730FB5" w:rsidRDefault="00856406" w:rsidP="007B053F">
            <w:pPr>
              <w:pStyle w:val="TableText"/>
            </w:pPr>
            <w:r w:rsidRPr="00580D9B">
              <w:t>Anglicare</w:t>
            </w:r>
            <w:r>
              <w:t xml:space="preserve"> </w:t>
            </w:r>
            <w:r w:rsidRPr="00580D9B">
              <w:t>Victoria</w:t>
            </w:r>
          </w:p>
        </w:tc>
        <w:tc>
          <w:tcPr>
            <w:tcW w:w="1141" w:type="dxa"/>
          </w:tcPr>
          <w:p w14:paraId="06CE4B4F" w14:textId="7088E53A" w:rsidR="00856406" w:rsidRDefault="00EE79C3" w:rsidP="007B053F">
            <w:pPr>
              <w:pStyle w:val="TableText"/>
            </w:pPr>
            <w:r>
              <w:t>2024–25</w:t>
            </w:r>
          </w:p>
        </w:tc>
        <w:tc>
          <w:tcPr>
            <w:tcW w:w="2710" w:type="dxa"/>
          </w:tcPr>
          <w:p w14:paraId="332BBCBD" w14:textId="188A097A" w:rsidR="00856406" w:rsidRPr="002C6A10" w:rsidRDefault="00856406" w:rsidP="007B053F">
            <w:pPr>
              <w:pStyle w:val="TableText"/>
            </w:pPr>
            <w:r w:rsidRPr="00580D9B">
              <w:t>Flood</w:t>
            </w:r>
            <w:r>
              <w:t xml:space="preserve"> </w:t>
            </w:r>
            <w:r w:rsidRPr="00580D9B">
              <w:t>financial</w:t>
            </w:r>
            <w:r>
              <w:t xml:space="preserve"> </w:t>
            </w:r>
            <w:r w:rsidRPr="00580D9B">
              <w:t>counselling</w:t>
            </w:r>
            <w:r>
              <w:t xml:space="preserve"> 25</w:t>
            </w:r>
            <w:r w:rsidR="00EE79C3">
              <w:t>–2</w:t>
            </w:r>
            <w:r>
              <w:t>6</w:t>
            </w:r>
          </w:p>
        </w:tc>
        <w:tc>
          <w:tcPr>
            <w:tcW w:w="1141" w:type="dxa"/>
          </w:tcPr>
          <w:p w14:paraId="2FF46A7D" w14:textId="77777777" w:rsidR="00856406" w:rsidRDefault="00856406" w:rsidP="007B053F">
            <w:pPr>
              <w:pStyle w:val="TableTextRight"/>
            </w:pPr>
            <w:r>
              <w:t>$</w:t>
            </w:r>
            <w:r w:rsidRPr="007B2675">
              <w:t>268</w:t>
            </w:r>
            <w:r>
              <w:t>,</w:t>
            </w:r>
            <w:r w:rsidRPr="007B2675">
              <w:t>302</w:t>
            </w:r>
          </w:p>
        </w:tc>
        <w:tc>
          <w:tcPr>
            <w:tcW w:w="1374" w:type="dxa"/>
          </w:tcPr>
          <w:p w14:paraId="4EA6105B" w14:textId="77777777" w:rsidR="00856406" w:rsidRDefault="00856406" w:rsidP="007B053F">
            <w:pPr>
              <w:pStyle w:val="TableTextRight"/>
            </w:pPr>
            <w:r>
              <w:t>$0</w:t>
            </w:r>
          </w:p>
        </w:tc>
      </w:tr>
      <w:tr w:rsidR="00856406" w:rsidRPr="009C1F7F" w14:paraId="751AB0BA" w14:textId="77777777" w:rsidTr="007B053F">
        <w:tc>
          <w:tcPr>
            <w:tcW w:w="2706" w:type="dxa"/>
          </w:tcPr>
          <w:p w14:paraId="2CD9002F" w14:textId="77777777" w:rsidR="00856406" w:rsidRPr="00730FB5" w:rsidRDefault="00856406" w:rsidP="007B053F">
            <w:pPr>
              <w:pStyle w:val="TableText"/>
            </w:pPr>
            <w:r>
              <w:t>ARC Justice</w:t>
            </w:r>
          </w:p>
        </w:tc>
        <w:tc>
          <w:tcPr>
            <w:tcW w:w="1141" w:type="dxa"/>
          </w:tcPr>
          <w:p w14:paraId="1BE8DD33" w14:textId="710DB1B6" w:rsidR="00856406" w:rsidRDefault="00EE79C3" w:rsidP="007B053F">
            <w:pPr>
              <w:pStyle w:val="TableText"/>
            </w:pPr>
            <w:r>
              <w:t>2024–25</w:t>
            </w:r>
          </w:p>
        </w:tc>
        <w:tc>
          <w:tcPr>
            <w:tcW w:w="2710" w:type="dxa"/>
          </w:tcPr>
          <w:p w14:paraId="4F7AA400" w14:textId="7469901F" w:rsidR="00856406" w:rsidRPr="002C6A10" w:rsidRDefault="00856406" w:rsidP="007B053F">
            <w:pPr>
              <w:pStyle w:val="TableText"/>
            </w:pPr>
            <w:r w:rsidRPr="00321ACF">
              <w:t>Tenancy</w:t>
            </w:r>
            <w:r>
              <w:t xml:space="preserve"> </w:t>
            </w:r>
            <w:r w:rsidRPr="00321ACF">
              <w:t>Stress</w:t>
            </w:r>
            <w:r>
              <w:t xml:space="preserve"> </w:t>
            </w:r>
            <w:r w:rsidRPr="00321ACF">
              <w:t>Victoria</w:t>
            </w:r>
            <w:r>
              <w:t xml:space="preserve"> 24</w:t>
            </w:r>
            <w:r w:rsidR="00EE79C3">
              <w:t>–2</w:t>
            </w:r>
            <w:r>
              <w:t>5</w:t>
            </w:r>
          </w:p>
        </w:tc>
        <w:tc>
          <w:tcPr>
            <w:tcW w:w="1141" w:type="dxa"/>
          </w:tcPr>
          <w:p w14:paraId="2EF26FDD" w14:textId="77777777" w:rsidR="00856406" w:rsidRDefault="00856406" w:rsidP="007B053F">
            <w:pPr>
              <w:pStyle w:val="TableTextRight"/>
            </w:pPr>
            <w:r>
              <w:t>$</w:t>
            </w:r>
            <w:r w:rsidRPr="00321ACF">
              <w:t>332</w:t>
            </w:r>
            <w:r>
              <w:t>,</w:t>
            </w:r>
            <w:r w:rsidRPr="00321ACF">
              <w:t>919</w:t>
            </w:r>
          </w:p>
        </w:tc>
        <w:tc>
          <w:tcPr>
            <w:tcW w:w="1374" w:type="dxa"/>
          </w:tcPr>
          <w:p w14:paraId="25BA3F4A" w14:textId="77777777" w:rsidR="00856406" w:rsidRDefault="00856406" w:rsidP="007B053F">
            <w:pPr>
              <w:pStyle w:val="TableTextRight"/>
            </w:pPr>
            <w:r>
              <w:t>$</w:t>
            </w:r>
            <w:r w:rsidRPr="00321ACF">
              <w:t>332</w:t>
            </w:r>
            <w:r>
              <w:t>,</w:t>
            </w:r>
            <w:r w:rsidRPr="00321ACF">
              <w:t>919</w:t>
            </w:r>
          </w:p>
        </w:tc>
      </w:tr>
      <w:tr w:rsidR="00856406" w:rsidRPr="009C1F7F" w14:paraId="2EE82855" w14:textId="77777777" w:rsidTr="007B053F">
        <w:tc>
          <w:tcPr>
            <w:tcW w:w="2706" w:type="dxa"/>
          </w:tcPr>
          <w:p w14:paraId="1BFACE47" w14:textId="77777777" w:rsidR="00856406" w:rsidRPr="00730FB5" w:rsidRDefault="00856406" w:rsidP="007B053F">
            <w:pPr>
              <w:pStyle w:val="TableText"/>
            </w:pPr>
            <w:r w:rsidRPr="00F925CE">
              <w:t>ARC</w:t>
            </w:r>
            <w:r>
              <w:t xml:space="preserve"> </w:t>
            </w:r>
            <w:r w:rsidRPr="00F925CE">
              <w:t>Justice</w:t>
            </w:r>
          </w:p>
        </w:tc>
        <w:tc>
          <w:tcPr>
            <w:tcW w:w="1141" w:type="dxa"/>
          </w:tcPr>
          <w:p w14:paraId="7FC83342" w14:textId="5D4A1379" w:rsidR="00856406" w:rsidRDefault="00EE79C3" w:rsidP="007B053F">
            <w:pPr>
              <w:pStyle w:val="TableText"/>
            </w:pPr>
            <w:r>
              <w:t>2024–25</w:t>
            </w:r>
          </w:p>
        </w:tc>
        <w:tc>
          <w:tcPr>
            <w:tcW w:w="2710" w:type="dxa"/>
          </w:tcPr>
          <w:p w14:paraId="3E637765" w14:textId="53439568" w:rsidR="00856406" w:rsidRPr="002C6A10" w:rsidRDefault="00856406" w:rsidP="007B053F">
            <w:pPr>
              <w:pStyle w:val="TableText"/>
            </w:pPr>
            <w:r w:rsidRPr="00F925CE">
              <w:t>Tenancy</w:t>
            </w:r>
            <w:r>
              <w:t xml:space="preserve"> </w:t>
            </w:r>
            <w:r w:rsidRPr="00F925CE">
              <w:t>Stress</w:t>
            </w:r>
            <w:r>
              <w:t xml:space="preserve"> </w:t>
            </w:r>
            <w:r w:rsidRPr="00F925CE">
              <w:t>Victoria</w:t>
            </w:r>
            <w:r>
              <w:t xml:space="preserve"> 25</w:t>
            </w:r>
            <w:r w:rsidR="00EE79C3">
              <w:t>–2</w:t>
            </w:r>
            <w:r>
              <w:t>6</w:t>
            </w:r>
          </w:p>
        </w:tc>
        <w:tc>
          <w:tcPr>
            <w:tcW w:w="1141" w:type="dxa"/>
          </w:tcPr>
          <w:p w14:paraId="08E82075" w14:textId="77777777" w:rsidR="00856406" w:rsidRDefault="00856406" w:rsidP="007B053F">
            <w:pPr>
              <w:pStyle w:val="TableTextRight"/>
            </w:pPr>
            <w:r>
              <w:t>$</w:t>
            </w:r>
            <w:r w:rsidRPr="00EF63C3">
              <w:t>340</w:t>
            </w:r>
            <w:r>
              <w:t>,</w:t>
            </w:r>
            <w:r w:rsidRPr="00EF63C3">
              <w:t>724</w:t>
            </w:r>
          </w:p>
        </w:tc>
        <w:tc>
          <w:tcPr>
            <w:tcW w:w="1374" w:type="dxa"/>
          </w:tcPr>
          <w:p w14:paraId="4C31D5E9" w14:textId="77777777" w:rsidR="00856406" w:rsidRDefault="00856406" w:rsidP="007B053F">
            <w:pPr>
              <w:pStyle w:val="TableTextRight"/>
            </w:pPr>
            <w:r>
              <w:t>$0</w:t>
            </w:r>
          </w:p>
        </w:tc>
      </w:tr>
      <w:tr w:rsidR="00856406" w:rsidRPr="009C1F7F" w14:paraId="6D73F739" w14:textId="77777777" w:rsidTr="007B053F">
        <w:tc>
          <w:tcPr>
            <w:tcW w:w="2706" w:type="dxa"/>
          </w:tcPr>
          <w:p w14:paraId="1B6012CF" w14:textId="77777777" w:rsidR="00856406" w:rsidRPr="00717004" w:rsidRDefault="00856406" w:rsidP="007B053F">
            <w:pPr>
              <w:pStyle w:val="TableText"/>
            </w:pPr>
            <w:r w:rsidRPr="00730FB5">
              <w:t>Consumer</w:t>
            </w:r>
            <w:r>
              <w:t xml:space="preserve"> </w:t>
            </w:r>
            <w:r w:rsidRPr="00730FB5">
              <w:t>Action</w:t>
            </w:r>
            <w:r>
              <w:t xml:space="preserve"> </w:t>
            </w:r>
            <w:r w:rsidRPr="00730FB5">
              <w:t>Law</w:t>
            </w:r>
            <w:r>
              <w:t xml:space="preserve"> </w:t>
            </w:r>
            <w:r w:rsidRPr="00730FB5">
              <w:t>Centre</w:t>
            </w:r>
          </w:p>
        </w:tc>
        <w:tc>
          <w:tcPr>
            <w:tcW w:w="1141" w:type="dxa"/>
          </w:tcPr>
          <w:p w14:paraId="4FBE3F14" w14:textId="2EE66F5B" w:rsidR="00856406" w:rsidRDefault="00EE79C3" w:rsidP="007B053F">
            <w:pPr>
              <w:pStyle w:val="TableText"/>
            </w:pPr>
            <w:r>
              <w:t>2024–25</w:t>
            </w:r>
          </w:p>
        </w:tc>
        <w:tc>
          <w:tcPr>
            <w:tcW w:w="2710" w:type="dxa"/>
          </w:tcPr>
          <w:p w14:paraId="5086BEBA" w14:textId="77777777" w:rsidR="00856406" w:rsidRPr="00717004" w:rsidRDefault="00856406" w:rsidP="007B053F">
            <w:pPr>
              <w:pStyle w:val="TableText"/>
            </w:pPr>
            <w:r w:rsidRPr="002C6A10">
              <w:t>FCFR</w:t>
            </w:r>
            <w:r>
              <w:t xml:space="preserve"> </w:t>
            </w:r>
            <w:r w:rsidRPr="002C6A10">
              <w:t>Worker</w:t>
            </w:r>
            <w:r>
              <w:t xml:space="preserve"> </w:t>
            </w:r>
            <w:r w:rsidRPr="002C6A10">
              <w:t>Support</w:t>
            </w:r>
            <w:r>
              <w:t xml:space="preserve"> </w:t>
            </w:r>
            <w:r w:rsidRPr="002C6A10">
              <w:t>Services</w:t>
            </w:r>
          </w:p>
        </w:tc>
        <w:tc>
          <w:tcPr>
            <w:tcW w:w="1141" w:type="dxa"/>
          </w:tcPr>
          <w:p w14:paraId="5C4FC4F4" w14:textId="77777777" w:rsidR="00856406" w:rsidRPr="00717004" w:rsidRDefault="00856406" w:rsidP="007B053F">
            <w:pPr>
              <w:pStyle w:val="TableTextRight"/>
            </w:pPr>
            <w:r>
              <w:t>$1,040,340</w:t>
            </w:r>
          </w:p>
        </w:tc>
        <w:tc>
          <w:tcPr>
            <w:tcW w:w="1374" w:type="dxa"/>
          </w:tcPr>
          <w:p w14:paraId="7B43A73E" w14:textId="77777777" w:rsidR="00856406" w:rsidRPr="00717004" w:rsidRDefault="00856406" w:rsidP="007B053F">
            <w:pPr>
              <w:pStyle w:val="TableTextRight"/>
            </w:pPr>
            <w:r>
              <w:t>$169,311</w:t>
            </w:r>
          </w:p>
        </w:tc>
      </w:tr>
      <w:tr w:rsidR="00856406" w:rsidRPr="009C1F7F" w14:paraId="3EA22F8F" w14:textId="77777777" w:rsidTr="007B053F">
        <w:tc>
          <w:tcPr>
            <w:tcW w:w="2706" w:type="dxa"/>
          </w:tcPr>
          <w:p w14:paraId="14E02FBC" w14:textId="77777777" w:rsidR="00856406" w:rsidRPr="00717004" w:rsidRDefault="00856406" w:rsidP="007B053F">
            <w:pPr>
              <w:pStyle w:val="TableText"/>
              <w:rPr>
                <w:b/>
                <w:bCs/>
              </w:rPr>
            </w:pPr>
            <w:r w:rsidRPr="008F6AAD">
              <w:t>Financial</w:t>
            </w:r>
            <w:r>
              <w:t xml:space="preserve"> </w:t>
            </w:r>
            <w:r w:rsidRPr="008F6AAD">
              <w:t>Counselling</w:t>
            </w:r>
            <w:r>
              <w:t xml:space="preserve"> </w:t>
            </w:r>
            <w:r w:rsidRPr="008F6AAD">
              <w:t>Victoria</w:t>
            </w:r>
          </w:p>
        </w:tc>
        <w:tc>
          <w:tcPr>
            <w:tcW w:w="1141" w:type="dxa"/>
          </w:tcPr>
          <w:p w14:paraId="7793F3AB" w14:textId="22C96240" w:rsidR="00856406" w:rsidRDefault="00EE79C3" w:rsidP="007B053F">
            <w:pPr>
              <w:pStyle w:val="TableText"/>
            </w:pPr>
            <w:r>
              <w:t>2024–25</w:t>
            </w:r>
          </w:p>
        </w:tc>
        <w:tc>
          <w:tcPr>
            <w:tcW w:w="2710" w:type="dxa"/>
          </w:tcPr>
          <w:p w14:paraId="01F7E60E" w14:textId="1F907814" w:rsidR="00856406" w:rsidRPr="00717004" w:rsidRDefault="00856406" w:rsidP="007B053F">
            <w:pPr>
              <w:pStyle w:val="TableText"/>
            </w:pPr>
            <w:r>
              <w:t>S</w:t>
            </w:r>
            <w:r w:rsidRPr="008F6AAD">
              <w:t>ector</w:t>
            </w:r>
            <w:r>
              <w:t xml:space="preserve"> </w:t>
            </w:r>
            <w:r w:rsidRPr="008F6AAD">
              <w:t>coordination</w:t>
            </w:r>
            <w:r>
              <w:t xml:space="preserve"> </w:t>
            </w:r>
            <w:r w:rsidRPr="008F6AAD">
              <w:t>25</w:t>
            </w:r>
            <w:r w:rsidR="00EE79C3">
              <w:t>–2</w:t>
            </w:r>
            <w:r w:rsidRPr="008F6AAD">
              <w:t>6</w:t>
            </w:r>
          </w:p>
        </w:tc>
        <w:tc>
          <w:tcPr>
            <w:tcW w:w="1141" w:type="dxa"/>
          </w:tcPr>
          <w:p w14:paraId="1E414F2D" w14:textId="77777777" w:rsidR="00856406" w:rsidRPr="00717004" w:rsidRDefault="00856406" w:rsidP="007B053F">
            <w:pPr>
              <w:pStyle w:val="TableTextRight"/>
            </w:pPr>
            <w:r>
              <w:t>$</w:t>
            </w:r>
            <w:r w:rsidRPr="008C4605">
              <w:t>81</w:t>
            </w:r>
            <w:r>
              <w:t>,</w:t>
            </w:r>
            <w:r w:rsidRPr="008C4605">
              <w:t>150</w:t>
            </w:r>
          </w:p>
        </w:tc>
        <w:tc>
          <w:tcPr>
            <w:tcW w:w="1374" w:type="dxa"/>
          </w:tcPr>
          <w:p w14:paraId="4A872BA5" w14:textId="77777777" w:rsidR="00856406" w:rsidRPr="00717004" w:rsidRDefault="00856406" w:rsidP="007B053F">
            <w:pPr>
              <w:pStyle w:val="TableTextRight"/>
            </w:pPr>
            <w:r>
              <w:t>$0</w:t>
            </w:r>
          </w:p>
        </w:tc>
      </w:tr>
      <w:tr w:rsidR="00856406" w:rsidRPr="009C1F7F" w14:paraId="2EF69749" w14:textId="77777777" w:rsidTr="007B053F">
        <w:tc>
          <w:tcPr>
            <w:tcW w:w="2706" w:type="dxa"/>
          </w:tcPr>
          <w:p w14:paraId="6F0759E3" w14:textId="77777777" w:rsidR="00856406" w:rsidRPr="00717004" w:rsidRDefault="00856406" w:rsidP="007B053F">
            <w:pPr>
              <w:pStyle w:val="TableText"/>
            </w:pPr>
            <w:r w:rsidRPr="00717004">
              <w:t>Manufactured</w:t>
            </w:r>
            <w:r>
              <w:t xml:space="preserve"> </w:t>
            </w:r>
            <w:r w:rsidRPr="00717004">
              <w:t>Home</w:t>
            </w:r>
            <w:r>
              <w:t xml:space="preserve"> </w:t>
            </w:r>
            <w:r w:rsidRPr="00717004">
              <w:t>Owners</w:t>
            </w:r>
            <w:r>
              <w:t xml:space="preserve"> </w:t>
            </w:r>
            <w:r w:rsidRPr="00717004">
              <w:t>Association</w:t>
            </w:r>
            <w:r>
              <w:t xml:space="preserve"> </w:t>
            </w:r>
            <w:r w:rsidRPr="00717004">
              <w:t>Vic</w:t>
            </w:r>
          </w:p>
        </w:tc>
        <w:tc>
          <w:tcPr>
            <w:tcW w:w="1141" w:type="dxa"/>
          </w:tcPr>
          <w:p w14:paraId="08104A9C" w14:textId="5FFCDF7A" w:rsidR="00856406" w:rsidRDefault="00EE79C3" w:rsidP="007B053F">
            <w:pPr>
              <w:pStyle w:val="TableText"/>
            </w:pPr>
            <w:r>
              <w:t>2024–25</w:t>
            </w:r>
          </w:p>
        </w:tc>
        <w:tc>
          <w:tcPr>
            <w:tcW w:w="2710" w:type="dxa"/>
          </w:tcPr>
          <w:p w14:paraId="740B00EF" w14:textId="77777777" w:rsidR="00856406" w:rsidRPr="00717004" w:rsidRDefault="00856406" w:rsidP="007B053F">
            <w:pPr>
              <w:pStyle w:val="TableText"/>
            </w:pPr>
            <w:r w:rsidRPr="00410D7A">
              <w:t>Education</w:t>
            </w:r>
            <w:r>
              <w:t xml:space="preserve"> </w:t>
            </w:r>
            <w:r w:rsidRPr="00410D7A">
              <w:t>for</w:t>
            </w:r>
            <w:r>
              <w:t xml:space="preserve"> </w:t>
            </w:r>
            <w:r w:rsidRPr="00410D7A">
              <w:t>manufactured</w:t>
            </w:r>
            <w:r>
              <w:t xml:space="preserve"> </w:t>
            </w:r>
            <w:r w:rsidRPr="00410D7A">
              <w:t>home</w:t>
            </w:r>
            <w:r>
              <w:t xml:space="preserve"> </w:t>
            </w:r>
            <w:r w:rsidRPr="00410D7A">
              <w:t>village</w:t>
            </w:r>
            <w:r>
              <w:t xml:space="preserve"> </w:t>
            </w:r>
            <w:r w:rsidRPr="00410D7A">
              <w:t>residents</w:t>
            </w:r>
          </w:p>
        </w:tc>
        <w:tc>
          <w:tcPr>
            <w:tcW w:w="1141" w:type="dxa"/>
          </w:tcPr>
          <w:p w14:paraId="652FCEDA" w14:textId="77777777" w:rsidR="00856406" w:rsidRPr="00717004" w:rsidRDefault="00856406" w:rsidP="007B053F">
            <w:pPr>
              <w:pStyle w:val="TableTextRight"/>
            </w:pPr>
            <w:r w:rsidRPr="00717004">
              <w:t>$53,059</w:t>
            </w:r>
          </w:p>
        </w:tc>
        <w:tc>
          <w:tcPr>
            <w:tcW w:w="1374" w:type="dxa"/>
          </w:tcPr>
          <w:p w14:paraId="761F6F1D" w14:textId="77777777" w:rsidR="00856406" w:rsidRPr="00717004" w:rsidRDefault="00856406" w:rsidP="007B053F">
            <w:pPr>
              <w:pStyle w:val="TableTextRight"/>
            </w:pPr>
            <w:r w:rsidRPr="00717004">
              <w:t>$26,530</w:t>
            </w:r>
          </w:p>
        </w:tc>
      </w:tr>
      <w:tr w:rsidR="00856406" w:rsidRPr="009C1F7F" w14:paraId="524FF959" w14:textId="77777777" w:rsidTr="007B053F">
        <w:tc>
          <w:tcPr>
            <w:tcW w:w="2706" w:type="dxa"/>
          </w:tcPr>
          <w:p w14:paraId="451686CA" w14:textId="77777777" w:rsidR="00856406" w:rsidRDefault="00856406" w:rsidP="007B053F">
            <w:pPr>
              <w:pStyle w:val="TableText"/>
            </w:pPr>
            <w:r w:rsidRPr="00ED41E4">
              <w:t>Tenants</w:t>
            </w:r>
            <w:r>
              <w:t xml:space="preserve"> </w:t>
            </w:r>
            <w:r w:rsidRPr="00580D9B">
              <w:t>Victoria</w:t>
            </w:r>
          </w:p>
        </w:tc>
        <w:tc>
          <w:tcPr>
            <w:tcW w:w="1141" w:type="dxa"/>
          </w:tcPr>
          <w:p w14:paraId="0C3DC0DD" w14:textId="072E7E72" w:rsidR="00856406" w:rsidRDefault="00EE79C3" w:rsidP="007B053F">
            <w:pPr>
              <w:pStyle w:val="TableText"/>
            </w:pPr>
            <w:r>
              <w:t>2024–25</w:t>
            </w:r>
          </w:p>
        </w:tc>
        <w:tc>
          <w:tcPr>
            <w:tcW w:w="2710" w:type="dxa"/>
          </w:tcPr>
          <w:p w14:paraId="381C8AB8" w14:textId="40C764BC" w:rsidR="00856406" w:rsidRPr="00321ACF" w:rsidRDefault="00856406" w:rsidP="007B053F">
            <w:pPr>
              <w:pStyle w:val="TableText"/>
            </w:pPr>
            <w:r>
              <w:t>Rental Stress Hub 25</w:t>
            </w:r>
            <w:r w:rsidR="00EE79C3">
              <w:t>–2</w:t>
            </w:r>
            <w:r>
              <w:t>6</w:t>
            </w:r>
          </w:p>
        </w:tc>
        <w:tc>
          <w:tcPr>
            <w:tcW w:w="1141" w:type="dxa"/>
          </w:tcPr>
          <w:p w14:paraId="3A0283AB" w14:textId="77777777" w:rsidR="00856406" w:rsidRDefault="00856406" w:rsidP="007B053F">
            <w:pPr>
              <w:pStyle w:val="TableTextRight"/>
            </w:pPr>
            <w:r>
              <w:t>$</w:t>
            </w:r>
            <w:r w:rsidRPr="008664E1">
              <w:t>2</w:t>
            </w:r>
            <w:r>
              <w:t>,</w:t>
            </w:r>
            <w:r w:rsidRPr="008664E1">
              <w:t>100</w:t>
            </w:r>
            <w:r>
              <w:t>,</w:t>
            </w:r>
            <w:r w:rsidRPr="008664E1">
              <w:t>000</w:t>
            </w:r>
          </w:p>
        </w:tc>
        <w:tc>
          <w:tcPr>
            <w:tcW w:w="1374" w:type="dxa"/>
          </w:tcPr>
          <w:p w14:paraId="0D821443" w14:textId="77777777" w:rsidR="00856406" w:rsidRDefault="00856406" w:rsidP="007B053F">
            <w:pPr>
              <w:pStyle w:val="TableTextRight"/>
            </w:pPr>
            <w:r>
              <w:t>$0</w:t>
            </w:r>
          </w:p>
        </w:tc>
      </w:tr>
      <w:tr w:rsidR="00856406" w:rsidRPr="009C1F7F" w14:paraId="60893433" w14:textId="77777777" w:rsidTr="007B053F">
        <w:tc>
          <w:tcPr>
            <w:tcW w:w="2706" w:type="dxa"/>
          </w:tcPr>
          <w:p w14:paraId="611DAF36" w14:textId="77777777" w:rsidR="00856406" w:rsidRDefault="00856406" w:rsidP="007B053F">
            <w:pPr>
              <w:pStyle w:val="TableText"/>
            </w:pPr>
            <w:r w:rsidRPr="00ED41E4">
              <w:t>Tenants</w:t>
            </w:r>
            <w:r>
              <w:t xml:space="preserve"> </w:t>
            </w:r>
            <w:r w:rsidRPr="00ED41E4">
              <w:t>Victoria</w:t>
            </w:r>
          </w:p>
        </w:tc>
        <w:tc>
          <w:tcPr>
            <w:tcW w:w="1141" w:type="dxa"/>
          </w:tcPr>
          <w:p w14:paraId="4AD78954" w14:textId="583AB4E0" w:rsidR="00856406" w:rsidRDefault="00EE79C3" w:rsidP="007B053F">
            <w:pPr>
              <w:pStyle w:val="TableText"/>
            </w:pPr>
            <w:r>
              <w:t>2024–25</w:t>
            </w:r>
          </w:p>
        </w:tc>
        <w:tc>
          <w:tcPr>
            <w:tcW w:w="2710" w:type="dxa"/>
          </w:tcPr>
          <w:p w14:paraId="49BC25C5" w14:textId="3C10EFF7" w:rsidR="00856406" w:rsidRPr="00321ACF" w:rsidRDefault="00856406" w:rsidP="007B053F">
            <w:pPr>
              <w:pStyle w:val="TableText"/>
            </w:pPr>
            <w:r w:rsidRPr="00DC0093">
              <w:t>My</w:t>
            </w:r>
            <w:r>
              <w:t xml:space="preserve"> </w:t>
            </w:r>
            <w:r w:rsidRPr="00DC0093">
              <w:t>Tenancy</w:t>
            </w:r>
            <w:r>
              <w:t xml:space="preserve"> </w:t>
            </w:r>
            <w:r w:rsidRPr="00DC0093">
              <w:t>Rights</w:t>
            </w:r>
            <w:r>
              <w:t xml:space="preserve"> 25</w:t>
            </w:r>
            <w:r w:rsidR="00EE79C3">
              <w:t>–2</w:t>
            </w:r>
            <w:r>
              <w:t>6</w:t>
            </w:r>
          </w:p>
        </w:tc>
        <w:tc>
          <w:tcPr>
            <w:tcW w:w="1141" w:type="dxa"/>
          </w:tcPr>
          <w:p w14:paraId="5201D0A1" w14:textId="77777777" w:rsidR="00856406" w:rsidRDefault="00856406" w:rsidP="007B053F">
            <w:pPr>
              <w:pStyle w:val="TableTextRight"/>
            </w:pPr>
            <w:r>
              <w:t>$</w:t>
            </w:r>
            <w:r w:rsidRPr="00D92DCA">
              <w:t>365</w:t>
            </w:r>
            <w:r>
              <w:t>,</w:t>
            </w:r>
            <w:r w:rsidRPr="00D92DCA">
              <w:t>000</w:t>
            </w:r>
          </w:p>
        </w:tc>
        <w:tc>
          <w:tcPr>
            <w:tcW w:w="1374" w:type="dxa"/>
          </w:tcPr>
          <w:p w14:paraId="2AAD9711" w14:textId="77777777" w:rsidR="00856406" w:rsidRDefault="00856406" w:rsidP="007B053F">
            <w:pPr>
              <w:pStyle w:val="TableTextRight"/>
            </w:pPr>
            <w:r>
              <w:t>$0</w:t>
            </w:r>
          </w:p>
        </w:tc>
      </w:tr>
      <w:tr w:rsidR="00856406" w:rsidRPr="009C1F7F" w14:paraId="5E454739" w14:textId="77777777" w:rsidTr="007B053F">
        <w:tc>
          <w:tcPr>
            <w:tcW w:w="2706" w:type="dxa"/>
          </w:tcPr>
          <w:p w14:paraId="0AA47E3E" w14:textId="77777777" w:rsidR="00856406" w:rsidRDefault="00856406" w:rsidP="007B053F">
            <w:pPr>
              <w:pStyle w:val="TableText"/>
            </w:pPr>
            <w:r w:rsidRPr="00ED41E4">
              <w:t>Victorian</w:t>
            </w:r>
            <w:r>
              <w:t xml:space="preserve"> </w:t>
            </w:r>
            <w:r w:rsidRPr="00ED41E4">
              <w:t>Council</w:t>
            </w:r>
            <w:r>
              <w:t xml:space="preserve"> </w:t>
            </w:r>
            <w:r w:rsidRPr="00ED41E4">
              <w:t>of</w:t>
            </w:r>
            <w:r>
              <w:t xml:space="preserve"> </w:t>
            </w:r>
            <w:r w:rsidRPr="00ED41E4">
              <w:t>Social</w:t>
            </w:r>
            <w:r>
              <w:t xml:space="preserve"> </w:t>
            </w:r>
            <w:r w:rsidRPr="00ED41E4">
              <w:t>Service</w:t>
            </w:r>
          </w:p>
        </w:tc>
        <w:tc>
          <w:tcPr>
            <w:tcW w:w="1141" w:type="dxa"/>
          </w:tcPr>
          <w:p w14:paraId="638BD1B6" w14:textId="46B41F6E" w:rsidR="00856406" w:rsidRDefault="00EE79C3" w:rsidP="007B053F">
            <w:pPr>
              <w:pStyle w:val="TableText"/>
            </w:pPr>
            <w:r>
              <w:t>2024–25</w:t>
            </w:r>
          </w:p>
        </w:tc>
        <w:tc>
          <w:tcPr>
            <w:tcW w:w="2710" w:type="dxa"/>
          </w:tcPr>
          <w:p w14:paraId="05F90E02" w14:textId="5F5670FE" w:rsidR="00856406" w:rsidRPr="00321ACF" w:rsidRDefault="00856406" w:rsidP="007B053F">
            <w:pPr>
              <w:pStyle w:val="TableText"/>
            </w:pPr>
            <w:r w:rsidRPr="001E7243">
              <w:t>Delivering</w:t>
            </w:r>
            <w:r>
              <w:t xml:space="preserve"> </w:t>
            </w:r>
            <w:r w:rsidRPr="001E7243">
              <w:t>the</w:t>
            </w:r>
            <w:r>
              <w:t xml:space="preserve"> </w:t>
            </w:r>
            <w:r w:rsidRPr="001E7243">
              <w:t>Promise</w:t>
            </w:r>
            <w:r>
              <w:t xml:space="preserve"> </w:t>
            </w:r>
            <w:r w:rsidRPr="001E7243">
              <w:t>of</w:t>
            </w:r>
            <w:r>
              <w:t xml:space="preserve"> </w:t>
            </w:r>
            <w:r w:rsidRPr="001E7243">
              <w:t>Rental</w:t>
            </w:r>
            <w:r>
              <w:t xml:space="preserve"> </w:t>
            </w:r>
            <w:r w:rsidRPr="001E7243">
              <w:t>Fairness</w:t>
            </w:r>
            <w:r>
              <w:t xml:space="preserve"> 25</w:t>
            </w:r>
            <w:r w:rsidR="00EE79C3">
              <w:t>–2</w:t>
            </w:r>
            <w:r>
              <w:t>6</w:t>
            </w:r>
          </w:p>
        </w:tc>
        <w:tc>
          <w:tcPr>
            <w:tcW w:w="1141" w:type="dxa"/>
          </w:tcPr>
          <w:p w14:paraId="3E9B22DE" w14:textId="77777777" w:rsidR="00856406" w:rsidRDefault="00856406" w:rsidP="007B053F">
            <w:pPr>
              <w:pStyle w:val="TableTextRight"/>
            </w:pPr>
            <w:r>
              <w:t>$</w:t>
            </w:r>
            <w:r w:rsidRPr="001E7243">
              <w:t>129</w:t>
            </w:r>
            <w:r>
              <w:t>,</w:t>
            </w:r>
            <w:r w:rsidRPr="001E7243">
              <w:t>065</w:t>
            </w:r>
          </w:p>
        </w:tc>
        <w:tc>
          <w:tcPr>
            <w:tcW w:w="1374" w:type="dxa"/>
          </w:tcPr>
          <w:p w14:paraId="609564B4" w14:textId="77777777" w:rsidR="00856406" w:rsidRDefault="00856406" w:rsidP="007B053F">
            <w:pPr>
              <w:pStyle w:val="TableTextRight"/>
            </w:pPr>
            <w:r>
              <w:t>$0</w:t>
            </w:r>
          </w:p>
        </w:tc>
      </w:tr>
      <w:tr w:rsidR="00856406" w:rsidRPr="009C1F7F" w14:paraId="41B74EF6" w14:textId="77777777" w:rsidTr="007B053F">
        <w:tc>
          <w:tcPr>
            <w:tcW w:w="2706" w:type="dxa"/>
          </w:tcPr>
          <w:p w14:paraId="22CA3CE3" w14:textId="77777777" w:rsidR="00856406" w:rsidRPr="00AC6351" w:rsidRDefault="00856406" w:rsidP="007B053F">
            <w:pPr>
              <w:pStyle w:val="TableText"/>
            </w:pPr>
            <w:r>
              <w:t>WestJustice</w:t>
            </w:r>
          </w:p>
        </w:tc>
        <w:tc>
          <w:tcPr>
            <w:tcW w:w="1141" w:type="dxa"/>
          </w:tcPr>
          <w:p w14:paraId="438E8883" w14:textId="6CCC98A5" w:rsidR="00856406" w:rsidRDefault="00EE79C3" w:rsidP="007B053F">
            <w:pPr>
              <w:pStyle w:val="TableText"/>
            </w:pPr>
            <w:r>
              <w:t>2024–25</w:t>
            </w:r>
          </w:p>
        </w:tc>
        <w:tc>
          <w:tcPr>
            <w:tcW w:w="2710" w:type="dxa"/>
          </w:tcPr>
          <w:p w14:paraId="4E17DE55" w14:textId="486C8A1A" w:rsidR="00856406" w:rsidRPr="00F925CE" w:rsidRDefault="00856406" w:rsidP="007B053F">
            <w:pPr>
              <w:pStyle w:val="TableText"/>
            </w:pPr>
            <w:r w:rsidRPr="00321ACF">
              <w:t>Tenancy</w:t>
            </w:r>
            <w:r>
              <w:t xml:space="preserve"> </w:t>
            </w:r>
            <w:r w:rsidRPr="00321ACF">
              <w:t>Stress</w:t>
            </w:r>
            <w:r>
              <w:t xml:space="preserve"> </w:t>
            </w:r>
            <w:r w:rsidRPr="00321ACF">
              <w:t>Victoria</w:t>
            </w:r>
            <w:r>
              <w:t xml:space="preserve"> 24</w:t>
            </w:r>
            <w:r w:rsidR="00EE79C3">
              <w:t>–2</w:t>
            </w:r>
            <w:r>
              <w:t>5</w:t>
            </w:r>
          </w:p>
        </w:tc>
        <w:tc>
          <w:tcPr>
            <w:tcW w:w="1141" w:type="dxa"/>
          </w:tcPr>
          <w:p w14:paraId="04B94D6E" w14:textId="77777777" w:rsidR="00856406" w:rsidRDefault="00856406" w:rsidP="007B053F">
            <w:pPr>
              <w:pStyle w:val="TableTextRight"/>
            </w:pPr>
            <w:r>
              <w:t>$</w:t>
            </w:r>
            <w:r w:rsidRPr="00321ACF">
              <w:t>332</w:t>
            </w:r>
            <w:r>
              <w:t>,</w:t>
            </w:r>
            <w:r w:rsidRPr="00321ACF">
              <w:t>919</w:t>
            </w:r>
          </w:p>
        </w:tc>
        <w:tc>
          <w:tcPr>
            <w:tcW w:w="1374" w:type="dxa"/>
          </w:tcPr>
          <w:p w14:paraId="53DC33AD" w14:textId="77777777" w:rsidR="00856406" w:rsidRDefault="00856406" w:rsidP="007B053F">
            <w:pPr>
              <w:pStyle w:val="TableTextRight"/>
            </w:pPr>
            <w:r>
              <w:t>$</w:t>
            </w:r>
            <w:r w:rsidRPr="00321ACF">
              <w:t>332</w:t>
            </w:r>
            <w:r>
              <w:t>,</w:t>
            </w:r>
            <w:r w:rsidRPr="00321ACF">
              <w:t>919</w:t>
            </w:r>
          </w:p>
        </w:tc>
      </w:tr>
      <w:tr w:rsidR="00856406" w:rsidRPr="009C1F7F" w14:paraId="3CEFCAF3" w14:textId="77777777" w:rsidTr="007B053F">
        <w:tc>
          <w:tcPr>
            <w:tcW w:w="2706" w:type="dxa"/>
          </w:tcPr>
          <w:p w14:paraId="305D0869" w14:textId="77777777" w:rsidR="00856406" w:rsidRPr="00ED41E4" w:rsidRDefault="00856406" w:rsidP="007B053F">
            <w:pPr>
              <w:pStyle w:val="TableText"/>
            </w:pPr>
            <w:r w:rsidRPr="00AC6351">
              <w:t>WestJustice</w:t>
            </w:r>
          </w:p>
        </w:tc>
        <w:tc>
          <w:tcPr>
            <w:tcW w:w="1141" w:type="dxa"/>
          </w:tcPr>
          <w:p w14:paraId="7C188433" w14:textId="7066DC65" w:rsidR="00856406" w:rsidRDefault="00EE79C3" w:rsidP="007B053F">
            <w:pPr>
              <w:pStyle w:val="TableText"/>
            </w:pPr>
            <w:r>
              <w:t>2024–25</w:t>
            </w:r>
          </w:p>
        </w:tc>
        <w:tc>
          <w:tcPr>
            <w:tcW w:w="2710" w:type="dxa"/>
          </w:tcPr>
          <w:p w14:paraId="5394937C" w14:textId="6156C28D" w:rsidR="00856406" w:rsidRPr="001E7243" w:rsidRDefault="00856406" w:rsidP="007B053F">
            <w:pPr>
              <w:pStyle w:val="TableText"/>
            </w:pPr>
            <w:r w:rsidRPr="00F925CE">
              <w:t>Tenancy</w:t>
            </w:r>
            <w:r>
              <w:t xml:space="preserve"> </w:t>
            </w:r>
            <w:r w:rsidRPr="00F925CE">
              <w:t>Stress</w:t>
            </w:r>
            <w:r>
              <w:t xml:space="preserve"> </w:t>
            </w:r>
            <w:r w:rsidRPr="00F925CE">
              <w:t>Victoria</w:t>
            </w:r>
            <w:r>
              <w:t xml:space="preserve"> 25</w:t>
            </w:r>
            <w:r w:rsidR="00EE79C3">
              <w:t>–2</w:t>
            </w:r>
            <w:r>
              <w:t>6</w:t>
            </w:r>
          </w:p>
        </w:tc>
        <w:tc>
          <w:tcPr>
            <w:tcW w:w="1141" w:type="dxa"/>
          </w:tcPr>
          <w:p w14:paraId="05EAD8BD" w14:textId="77777777" w:rsidR="00856406" w:rsidRDefault="00856406" w:rsidP="007B053F">
            <w:pPr>
              <w:pStyle w:val="TableTextRight"/>
            </w:pPr>
            <w:r>
              <w:t>$</w:t>
            </w:r>
            <w:r w:rsidRPr="00AC6351">
              <w:t>466</w:t>
            </w:r>
            <w:r>
              <w:t>,</w:t>
            </w:r>
            <w:r w:rsidRPr="00AC6351">
              <w:t>167</w:t>
            </w:r>
          </w:p>
        </w:tc>
        <w:tc>
          <w:tcPr>
            <w:tcW w:w="1374" w:type="dxa"/>
          </w:tcPr>
          <w:p w14:paraId="1D89723A" w14:textId="77777777" w:rsidR="00856406" w:rsidRDefault="00856406" w:rsidP="007B053F">
            <w:pPr>
              <w:pStyle w:val="TableTextRight"/>
            </w:pPr>
            <w:r>
              <w:t>$0</w:t>
            </w:r>
          </w:p>
        </w:tc>
      </w:tr>
      <w:tr w:rsidR="00856406" w:rsidRPr="009C1F7F" w14:paraId="62DB3A0B" w14:textId="77777777" w:rsidTr="007B053F">
        <w:tc>
          <w:tcPr>
            <w:tcW w:w="9072" w:type="dxa"/>
            <w:gridSpan w:val="5"/>
            <w:shd w:val="clear" w:color="auto" w:fill="BCCAE5"/>
          </w:tcPr>
          <w:p w14:paraId="5649A8BD" w14:textId="77777777" w:rsidR="00856406" w:rsidRPr="00717004" w:rsidRDefault="00856406" w:rsidP="007B053F">
            <w:pPr>
              <w:pStyle w:val="TableTextBold"/>
              <w:rPr>
                <w:highlight w:val="yellow"/>
              </w:rPr>
            </w:pPr>
            <w:r w:rsidRPr="00717004">
              <w:t>Financial</w:t>
            </w:r>
            <w:r>
              <w:t xml:space="preserve"> c</w:t>
            </w:r>
            <w:r w:rsidRPr="00717004">
              <w:t>ounselling</w:t>
            </w:r>
            <w:r>
              <w:t xml:space="preserve"> f</w:t>
            </w:r>
            <w:r w:rsidRPr="00717004">
              <w:t>unding</w:t>
            </w:r>
            <w:r>
              <w:t xml:space="preserve"> r</w:t>
            </w:r>
            <w:r w:rsidRPr="00717004">
              <w:t>ound</w:t>
            </w:r>
          </w:p>
        </w:tc>
      </w:tr>
      <w:tr w:rsidR="00856406" w:rsidRPr="009C1F7F" w14:paraId="4862B42D" w14:textId="77777777" w:rsidTr="007B053F">
        <w:tc>
          <w:tcPr>
            <w:tcW w:w="2706" w:type="dxa"/>
          </w:tcPr>
          <w:p w14:paraId="0F4E9A9B" w14:textId="77777777" w:rsidR="00856406" w:rsidRPr="00717004" w:rsidRDefault="00856406" w:rsidP="007B053F">
            <w:pPr>
              <w:pStyle w:val="TableText"/>
            </w:pPr>
            <w:r w:rsidRPr="00717004">
              <w:t>Banyule</w:t>
            </w:r>
            <w:r>
              <w:t xml:space="preserve"> </w:t>
            </w:r>
            <w:r w:rsidRPr="00717004">
              <w:t>Community</w:t>
            </w:r>
            <w:r>
              <w:t xml:space="preserve"> </w:t>
            </w:r>
            <w:r w:rsidRPr="00717004">
              <w:t>Health</w:t>
            </w:r>
          </w:p>
        </w:tc>
        <w:tc>
          <w:tcPr>
            <w:tcW w:w="1141" w:type="dxa"/>
          </w:tcPr>
          <w:p w14:paraId="558DE148" w14:textId="7568F4BE" w:rsidR="00856406" w:rsidRDefault="00EE79C3" w:rsidP="007B053F">
            <w:pPr>
              <w:pStyle w:val="TableText"/>
            </w:pPr>
            <w:r>
              <w:t>2024–25</w:t>
            </w:r>
          </w:p>
        </w:tc>
        <w:tc>
          <w:tcPr>
            <w:tcW w:w="2710" w:type="dxa"/>
          </w:tcPr>
          <w:p w14:paraId="3F08711B" w14:textId="77777777" w:rsidR="00856406" w:rsidRPr="00717004" w:rsidRDefault="00856406" w:rsidP="007B053F">
            <w:pPr>
              <w:pStyle w:val="TableText"/>
            </w:pPr>
            <w:r w:rsidRPr="00717004">
              <w:t>Financial</w:t>
            </w:r>
            <w:r>
              <w:t xml:space="preserve"> c</w:t>
            </w:r>
            <w:r w:rsidRPr="00717004">
              <w:t>ounselling</w:t>
            </w:r>
          </w:p>
        </w:tc>
        <w:tc>
          <w:tcPr>
            <w:tcW w:w="1141" w:type="dxa"/>
          </w:tcPr>
          <w:p w14:paraId="41E7EC81" w14:textId="77777777" w:rsidR="00856406" w:rsidRPr="00717004" w:rsidRDefault="00856406" w:rsidP="007B053F">
            <w:pPr>
              <w:pStyle w:val="TableTextRight"/>
            </w:pPr>
            <w:r w:rsidRPr="00717004">
              <w:t>$900,000</w:t>
            </w:r>
          </w:p>
        </w:tc>
        <w:tc>
          <w:tcPr>
            <w:tcW w:w="1374" w:type="dxa"/>
          </w:tcPr>
          <w:p w14:paraId="7968E694" w14:textId="77777777" w:rsidR="00856406" w:rsidRPr="004D4244" w:rsidRDefault="00856406" w:rsidP="007B053F">
            <w:pPr>
              <w:pStyle w:val="TableTextRight"/>
              <w:rPr>
                <w:highlight w:val="yellow"/>
              </w:rPr>
            </w:pPr>
            <w:r>
              <w:t>$</w:t>
            </w:r>
            <w:r w:rsidRPr="006579D2">
              <w:t>187</w:t>
            </w:r>
            <w:r>
              <w:t>,</w:t>
            </w:r>
            <w:r w:rsidRPr="006579D2">
              <w:t>600</w:t>
            </w:r>
          </w:p>
        </w:tc>
      </w:tr>
      <w:tr w:rsidR="00856406" w:rsidRPr="009C1F7F" w14:paraId="06011663" w14:textId="77777777" w:rsidTr="007B053F">
        <w:tc>
          <w:tcPr>
            <w:tcW w:w="2706" w:type="dxa"/>
          </w:tcPr>
          <w:p w14:paraId="0DA6F84B" w14:textId="77777777" w:rsidR="00856406" w:rsidRPr="00717004" w:rsidRDefault="00856406" w:rsidP="007B053F">
            <w:pPr>
              <w:pStyle w:val="TableText"/>
            </w:pPr>
            <w:r w:rsidRPr="00717004">
              <w:t>Cancer</w:t>
            </w:r>
            <w:r>
              <w:t xml:space="preserve"> </w:t>
            </w:r>
            <w:r w:rsidRPr="00717004">
              <w:t>Council</w:t>
            </w:r>
            <w:r>
              <w:t xml:space="preserve"> </w:t>
            </w:r>
            <w:r w:rsidRPr="00717004">
              <w:t>Victoria</w:t>
            </w:r>
          </w:p>
        </w:tc>
        <w:tc>
          <w:tcPr>
            <w:tcW w:w="1141" w:type="dxa"/>
          </w:tcPr>
          <w:p w14:paraId="599015D5" w14:textId="595763DA" w:rsidR="00856406" w:rsidRDefault="00EE79C3" w:rsidP="007B053F">
            <w:pPr>
              <w:pStyle w:val="TableText"/>
            </w:pPr>
            <w:r>
              <w:t>2024–25</w:t>
            </w:r>
          </w:p>
        </w:tc>
        <w:tc>
          <w:tcPr>
            <w:tcW w:w="2710" w:type="dxa"/>
          </w:tcPr>
          <w:p w14:paraId="07A27C40" w14:textId="77777777" w:rsidR="00856406" w:rsidRPr="00717004" w:rsidRDefault="00856406" w:rsidP="007B053F">
            <w:pPr>
              <w:pStyle w:val="TableText"/>
            </w:pPr>
            <w:r w:rsidRPr="00717004">
              <w:t>Financial</w:t>
            </w:r>
            <w:r>
              <w:t xml:space="preserve"> c</w:t>
            </w:r>
            <w:r w:rsidRPr="00717004">
              <w:t>ounselling</w:t>
            </w:r>
            <w:r>
              <w:t xml:space="preserve"> </w:t>
            </w:r>
            <w:r w:rsidRPr="00717004">
              <w:t>and</w:t>
            </w:r>
            <w:r>
              <w:t xml:space="preserve"> c</w:t>
            </w:r>
            <w:r w:rsidRPr="00717004">
              <w:t>ommunity</w:t>
            </w:r>
            <w:r>
              <w:t xml:space="preserve"> e</w:t>
            </w:r>
            <w:r w:rsidRPr="00717004">
              <w:t>ducation</w:t>
            </w:r>
          </w:p>
        </w:tc>
        <w:tc>
          <w:tcPr>
            <w:tcW w:w="1141" w:type="dxa"/>
          </w:tcPr>
          <w:p w14:paraId="7F855DFD" w14:textId="77777777" w:rsidR="00856406" w:rsidRPr="00717004" w:rsidRDefault="00856406" w:rsidP="007B053F">
            <w:pPr>
              <w:pStyle w:val="TableTextRight"/>
            </w:pPr>
            <w:r w:rsidRPr="00717004">
              <w:t>$935,101</w:t>
            </w:r>
          </w:p>
        </w:tc>
        <w:tc>
          <w:tcPr>
            <w:tcW w:w="1374" w:type="dxa"/>
          </w:tcPr>
          <w:p w14:paraId="3A73C2B3" w14:textId="77777777" w:rsidR="00856406" w:rsidRPr="004D4244" w:rsidRDefault="00856406" w:rsidP="007B053F">
            <w:pPr>
              <w:pStyle w:val="TableTextRight"/>
              <w:rPr>
                <w:highlight w:val="yellow"/>
              </w:rPr>
            </w:pPr>
            <w:r>
              <w:t>$</w:t>
            </w:r>
            <w:r w:rsidRPr="00A67EA6">
              <w:t>32</w:t>
            </w:r>
            <w:r>
              <w:t>,</w:t>
            </w:r>
            <w:r w:rsidRPr="00A67EA6">
              <w:t>908</w:t>
            </w:r>
          </w:p>
        </w:tc>
      </w:tr>
      <w:tr w:rsidR="00856406" w:rsidRPr="009C1F7F" w14:paraId="769AABE8" w14:textId="77777777" w:rsidTr="007B053F">
        <w:tc>
          <w:tcPr>
            <w:tcW w:w="2706" w:type="dxa"/>
          </w:tcPr>
          <w:p w14:paraId="72C480C5" w14:textId="77777777" w:rsidR="00856406" w:rsidRPr="00717004" w:rsidRDefault="00856406" w:rsidP="007B053F">
            <w:pPr>
              <w:pStyle w:val="TableText"/>
            </w:pPr>
            <w:r w:rsidRPr="00717004">
              <w:t>Child</w:t>
            </w:r>
            <w:r>
              <w:t xml:space="preserve"> </w:t>
            </w:r>
            <w:r w:rsidRPr="00717004">
              <w:t>and</w:t>
            </w:r>
            <w:r>
              <w:t xml:space="preserve"> </w:t>
            </w:r>
            <w:r w:rsidRPr="00717004">
              <w:t>Family</w:t>
            </w:r>
            <w:r>
              <w:t xml:space="preserve"> </w:t>
            </w:r>
            <w:r w:rsidRPr="00717004">
              <w:t>Services</w:t>
            </w:r>
            <w:r>
              <w:t xml:space="preserve"> </w:t>
            </w:r>
            <w:r w:rsidRPr="00717004">
              <w:t>Ballarat</w:t>
            </w:r>
          </w:p>
        </w:tc>
        <w:tc>
          <w:tcPr>
            <w:tcW w:w="1141" w:type="dxa"/>
          </w:tcPr>
          <w:p w14:paraId="778CF73B" w14:textId="458A3A1A" w:rsidR="00856406" w:rsidRDefault="00EE79C3" w:rsidP="007B053F">
            <w:pPr>
              <w:pStyle w:val="TableText"/>
            </w:pPr>
            <w:r>
              <w:t>2024–25</w:t>
            </w:r>
          </w:p>
        </w:tc>
        <w:tc>
          <w:tcPr>
            <w:tcW w:w="2710" w:type="dxa"/>
          </w:tcPr>
          <w:p w14:paraId="75F58166" w14:textId="77777777" w:rsidR="00856406" w:rsidRPr="00717004" w:rsidRDefault="00856406" w:rsidP="007B053F">
            <w:pPr>
              <w:pStyle w:val="TableText"/>
            </w:pPr>
            <w:r w:rsidRPr="00717004">
              <w:t>Financial</w:t>
            </w:r>
            <w:r>
              <w:t xml:space="preserve"> c</w:t>
            </w:r>
            <w:r w:rsidRPr="00717004">
              <w:t>ounselling,</w:t>
            </w:r>
            <w:r>
              <w:t xml:space="preserve"> </w:t>
            </w:r>
            <w:r w:rsidRPr="00717004">
              <w:t>wellness</w:t>
            </w:r>
            <w:r>
              <w:t xml:space="preserve"> </w:t>
            </w:r>
            <w:r w:rsidRPr="00717004">
              <w:t>and</w:t>
            </w:r>
            <w:r>
              <w:t xml:space="preserve"> </w:t>
            </w:r>
            <w:r w:rsidRPr="00717004">
              <w:t>coaching</w:t>
            </w:r>
          </w:p>
        </w:tc>
        <w:tc>
          <w:tcPr>
            <w:tcW w:w="1141" w:type="dxa"/>
          </w:tcPr>
          <w:p w14:paraId="667226B4" w14:textId="77777777" w:rsidR="00856406" w:rsidRPr="00717004" w:rsidRDefault="00856406" w:rsidP="007B053F">
            <w:pPr>
              <w:pStyle w:val="TableTextRight"/>
            </w:pPr>
            <w:r w:rsidRPr="00717004">
              <w:t>$900,000</w:t>
            </w:r>
          </w:p>
        </w:tc>
        <w:tc>
          <w:tcPr>
            <w:tcW w:w="1374" w:type="dxa"/>
          </w:tcPr>
          <w:p w14:paraId="4443C2F3" w14:textId="77777777" w:rsidR="00856406" w:rsidRPr="004D4244" w:rsidRDefault="00856406" w:rsidP="007B053F">
            <w:pPr>
              <w:pStyle w:val="TableTextRight"/>
              <w:rPr>
                <w:highlight w:val="yellow"/>
              </w:rPr>
            </w:pPr>
            <w:r>
              <w:t>$</w:t>
            </w:r>
            <w:r w:rsidRPr="00A67EA6">
              <w:t>170</w:t>
            </w:r>
            <w:r>
              <w:t>,</w:t>
            </w:r>
            <w:r w:rsidRPr="00A67EA6">
              <w:t>448</w:t>
            </w:r>
          </w:p>
        </w:tc>
      </w:tr>
      <w:tr w:rsidR="00856406" w:rsidRPr="009C1F7F" w14:paraId="37793EF1" w14:textId="77777777" w:rsidTr="007B053F">
        <w:tc>
          <w:tcPr>
            <w:tcW w:w="2706" w:type="dxa"/>
          </w:tcPr>
          <w:p w14:paraId="26C1D600" w14:textId="77777777" w:rsidR="00856406" w:rsidRPr="00717004" w:rsidRDefault="00856406" w:rsidP="007B053F">
            <w:pPr>
              <w:pStyle w:val="TableText"/>
            </w:pPr>
            <w:r w:rsidRPr="00717004">
              <w:t>Consumer</w:t>
            </w:r>
            <w:r>
              <w:t xml:space="preserve"> </w:t>
            </w:r>
            <w:r w:rsidRPr="00717004">
              <w:t>Action</w:t>
            </w:r>
            <w:r>
              <w:t xml:space="preserve"> </w:t>
            </w:r>
            <w:r w:rsidRPr="00717004">
              <w:t>Law</w:t>
            </w:r>
            <w:r>
              <w:t xml:space="preserve"> </w:t>
            </w:r>
            <w:r w:rsidRPr="00717004">
              <w:t>Centre</w:t>
            </w:r>
          </w:p>
        </w:tc>
        <w:tc>
          <w:tcPr>
            <w:tcW w:w="1141" w:type="dxa"/>
          </w:tcPr>
          <w:p w14:paraId="753B7512" w14:textId="59118CFE" w:rsidR="00856406" w:rsidRDefault="00EE79C3" w:rsidP="007B053F">
            <w:pPr>
              <w:pStyle w:val="TableText"/>
            </w:pPr>
            <w:r>
              <w:t>2024–25</w:t>
            </w:r>
          </w:p>
        </w:tc>
        <w:tc>
          <w:tcPr>
            <w:tcW w:w="2710" w:type="dxa"/>
          </w:tcPr>
          <w:p w14:paraId="050720CA" w14:textId="77777777" w:rsidR="00856406" w:rsidRPr="00717004" w:rsidRDefault="00856406" w:rsidP="007B053F">
            <w:pPr>
              <w:pStyle w:val="TableText"/>
            </w:pPr>
            <w:r w:rsidRPr="00717004">
              <w:t>Increase</w:t>
            </w:r>
            <w:r>
              <w:t xml:space="preserve"> </w:t>
            </w:r>
            <w:r w:rsidRPr="00717004">
              <w:t>capacity</w:t>
            </w:r>
            <w:r>
              <w:t xml:space="preserve"> </w:t>
            </w:r>
            <w:r w:rsidRPr="00717004">
              <w:t>of</w:t>
            </w:r>
            <w:r>
              <w:t xml:space="preserve"> </w:t>
            </w:r>
            <w:r w:rsidRPr="00717004">
              <w:t>the</w:t>
            </w:r>
            <w:r>
              <w:t xml:space="preserve"> </w:t>
            </w:r>
            <w:r w:rsidRPr="00717004">
              <w:t>National</w:t>
            </w:r>
            <w:r>
              <w:t xml:space="preserve"> </w:t>
            </w:r>
            <w:r w:rsidRPr="00717004">
              <w:t>Debt</w:t>
            </w:r>
            <w:r>
              <w:t xml:space="preserve"> </w:t>
            </w:r>
            <w:r w:rsidRPr="00717004">
              <w:t>Helpline</w:t>
            </w:r>
          </w:p>
        </w:tc>
        <w:tc>
          <w:tcPr>
            <w:tcW w:w="1141" w:type="dxa"/>
          </w:tcPr>
          <w:p w14:paraId="7D819290" w14:textId="77777777" w:rsidR="00856406" w:rsidRPr="00717004" w:rsidRDefault="00856406" w:rsidP="007B053F">
            <w:pPr>
              <w:pStyle w:val="TableTextRight"/>
            </w:pPr>
            <w:r w:rsidRPr="00717004">
              <w:t>$1,303,779</w:t>
            </w:r>
          </w:p>
        </w:tc>
        <w:tc>
          <w:tcPr>
            <w:tcW w:w="1374" w:type="dxa"/>
          </w:tcPr>
          <w:p w14:paraId="6EE08C74" w14:textId="77777777" w:rsidR="00856406" w:rsidRPr="004D4244" w:rsidRDefault="00856406" w:rsidP="007B053F">
            <w:pPr>
              <w:pStyle w:val="TableTextRight"/>
              <w:rPr>
                <w:highlight w:val="yellow"/>
              </w:rPr>
            </w:pPr>
            <w:r>
              <w:t>$</w:t>
            </w:r>
            <w:r w:rsidRPr="00A67EA6">
              <w:t>194</w:t>
            </w:r>
            <w:r>
              <w:t>,</w:t>
            </w:r>
            <w:r w:rsidRPr="00A67EA6">
              <w:t>527</w:t>
            </w:r>
          </w:p>
        </w:tc>
      </w:tr>
      <w:tr w:rsidR="00856406" w:rsidRPr="009C1F7F" w14:paraId="3E15E2FB" w14:textId="77777777" w:rsidTr="007B053F">
        <w:tc>
          <w:tcPr>
            <w:tcW w:w="2706" w:type="dxa"/>
          </w:tcPr>
          <w:p w14:paraId="417086AE" w14:textId="77777777" w:rsidR="00856406" w:rsidRPr="00717004" w:rsidRDefault="00856406" w:rsidP="007B053F">
            <w:pPr>
              <w:pStyle w:val="TableText"/>
            </w:pPr>
            <w:r w:rsidRPr="00717004">
              <w:t>EACH</w:t>
            </w:r>
          </w:p>
        </w:tc>
        <w:tc>
          <w:tcPr>
            <w:tcW w:w="1141" w:type="dxa"/>
          </w:tcPr>
          <w:p w14:paraId="14EBA6F7" w14:textId="635DAD79" w:rsidR="00856406" w:rsidRDefault="00EE79C3" w:rsidP="007B053F">
            <w:pPr>
              <w:pStyle w:val="TableText"/>
            </w:pPr>
            <w:r>
              <w:t>2024–25</w:t>
            </w:r>
          </w:p>
        </w:tc>
        <w:tc>
          <w:tcPr>
            <w:tcW w:w="2710" w:type="dxa"/>
          </w:tcPr>
          <w:p w14:paraId="2F711ED5" w14:textId="77777777" w:rsidR="00856406" w:rsidRPr="00717004" w:rsidRDefault="00856406" w:rsidP="007B053F">
            <w:pPr>
              <w:pStyle w:val="TableText"/>
            </w:pPr>
            <w:r w:rsidRPr="00717004">
              <w:t>Financial</w:t>
            </w:r>
            <w:r>
              <w:t xml:space="preserve"> c</w:t>
            </w:r>
            <w:r w:rsidRPr="00717004">
              <w:t>ounselling</w:t>
            </w:r>
            <w:r>
              <w:t xml:space="preserve"> </w:t>
            </w:r>
            <w:r w:rsidRPr="00717004">
              <w:t>and</w:t>
            </w:r>
            <w:r>
              <w:t xml:space="preserve"> capability</w:t>
            </w:r>
          </w:p>
        </w:tc>
        <w:tc>
          <w:tcPr>
            <w:tcW w:w="1141" w:type="dxa"/>
          </w:tcPr>
          <w:p w14:paraId="21B8A7B3" w14:textId="77777777" w:rsidR="00856406" w:rsidRPr="00717004" w:rsidRDefault="00856406" w:rsidP="007B053F">
            <w:pPr>
              <w:pStyle w:val="TableTextRight"/>
            </w:pPr>
            <w:r w:rsidRPr="00717004">
              <w:t>$900,000</w:t>
            </w:r>
          </w:p>
        </w:tc>
        <w:tc>
          <w:tcPr>
            <w:tcW w:w="1374" w:type="dxa"/>
          </w:tcPr>
          <w:p w14:paraId="44063B18" w14:textId="77777777" w:rsidR="00856406" w:rsidRPr="004D4244" w:rsidRDefault="00856406" w:rsidP="007B053F">
            <w:pPr>
              <w:pStyle w:val="TableTextRight"/>
              <w:rPr>
                <w:highlight w:val="yellow"/>
              </w:rPr>
            </w:pPr>
            <w:r>
              <w:t>$</w:t>
            </w:r>
            <w:r w:rsidRPr="00364C8C">
              <w:t>181</w:t>
            </w:r>
            <w:r>
              <w:t>,</w:t>
            </w:r>
            <w:r w:rsidRPr="00364C8C">
              <w:t>281</w:t>
            </w:r>
          </w:p>
        </w:tc>
      </w:tr>
      <w:tr w:rsidR="00856406" w:rsidRPr="009C1F7F" w14:paraId="4AC8AA2D" w14:textId="77777777" w:rsidTr="007B053F">
        <w:tc>
          <w:tcPr>
            <w:tcW w:w="2706" w:type="dxa"/>
          </w:tcPr>
          <w:p w14:paraId="68B19A29" w14:textId="77777777" w:rsidR="00856406" w:rsidRPr="00717004" w:rsidRDefault="00856406" w:rsidP="007B053F">
            <w:pPr>
              <w:pStyle w:val="TableText"/>
            </w:pPr>
            <w:r w:rsidRPr="00717004">
              <w:t>Finwell</w:t>
            </w:r>
            <w:r>
              <w:t xml:space="preserve"> </w:t>
            </w:r>
            <w:r w:rsidRPr="00717004">
              <w:t>Support</w:t>
            </w:r>
          </w:p>
        </w:tc>
        <w:tc>
          <w:tcPr>
            <w:tcW w:w="1141" w:type="dxa"/>
          </w:tcPr>
          <w:p w14:paraId="00741514" w14:textId="4F5EC2FF" w:rsidR="00856406" w:rsidRDefault="00EE79C3" w:rsidP="007B053F">
            <w:pPr>
              <w:pStyle w:val="TableText"/>
            </w:pPr>
            <w:r>
              <w:t>2024–25</w:t>
            </w:r>
          </w:p>
        </w:tc>
        <w:tc>
          <w:tcPr>
            <w:tcW w:w="2710" w:type="dxa"/>
          </w:tcPr>
          <w:p w14:paraId="00594F40" w14:textId="77777777" w:rsidR="00856406" w:rsidRPr="00717004" w:rsidRDefault="00856406" w:rsidP="007B053F">
            <w:pPr>
              <w:pStyle w:val="TableText"/>
            </w:pPr>
            <w:r w:rsidRPr="00717004">
              <w:t>Specialised</w:t>
            </w:r>
            <w:r>
              <w:t xml:space="preserve"> </w:t>
            </w:r>
            <w:r w:rsidRPr="00717004">
              <w:t>financial</w:t>
            </w:r>
            <w:r>
              <w:t xml:space="preserve"> </w:t>
            </w:r>
            <w:r w:rsidRPr="00717004">
              <w:t>counselling,</w:t>
            </w:r>
            <w:r>
              <w:t xml:space="preserve"> </w:t>
            </w:r>
            <w:r w:rsidRPr="00717004">
              <w:t>wellbeing</w:t>
            </w:r>
            <w:r>
              <w:t xml:space="preserve"> </w:t>
            </w:r>
            <w:r w:rsidRPr="00717004">
              <w:t>support</w:t>
            </w:r>
            <w:r>
              <w:t xml:space="preserve"> </w:t>
            </w:r>
            <w:r w:rsidRPr="00717004">
              <w:t>and</w:t>
            </w:r>
            <w:r>
              <w:t xml:space="preserve"> </w:t>
            </w:r>
            <w:r w:rsidRPr="00717004">
              <w:t>homelessness</w:t>
            </w:r>
            <w:r>
              <w:t xml:space="preserve"> </w:t>
            </w:r>
            <w:r w:rsidRPr="00717004">
              <w:t>prevention</w:t>
            </w:r>
          </w:p>
        </w:tc>
        <w:tc>
          <w:tcPr>
            <w:tcW w:w="1141" w:type="dxa"/>
          </w:tcPr>
          <w:p w14:paraId="7D41F974" w14:textId="77777777" w:rsidR="00856406" w:rsidRPr="00717004" w:rsidRDefault="00856406" w:rsidP="007B053F">
            <w:pPr>
              <w:pStyle w:val="TableTextRight"/>
            </w:pPr>
            <w:r w:rsidRPr="00717004">
              <w:t>$895,003</w:t>
            </w:r>
          </w:p>
        </w:tc>
        <w:tc>
          <w:tcPr>
            <w:tcW w:w="1374" w:type="dxa"/>
          </w:tcPr>
          <w:p w14:paraId="670BCD1C" w14:textId="77777777" w:rsidR="00856406" w:rsidRPr="004D4244" w:rsidRDefault="00856406" w:rsidP="007B053F">
            <w:pPr>
              <w:pStyle w:val="TableTextRight"/>
              <w:rPr>
                <w:highlight w:val="yellow"/>
              </w:rPr>
            </w:pPr>
            <w:r>
              <w:t>$</w:t>
            </w:r>
            <w:r w:rsidRPr="00364C8C">
              <w:t>195</w:t>
            </w:r>
            <w:r>
              <w:t>,</w:t>
            </w:r>
            <w:r w:rsidRPr="00364C8C">
              <w:t>003</w:t>
            </w:r>
          </w:p>
        </w:tc>
      </w:tr>
      <w:tr w:rsidR="00856406" w:rsidRPr="009C1F7F" w14:paraId="5C3DC226" w14:textId="77777777" w:rsidTr="007B053F">
        <w:tc>
          <w:tcPr>
            <w:tcW w:w="2706" w:type="dxa"/>
          </w:tcPr>
          <w:p w14:paraId="0F35559F" w14:textId="77777777" w:rsidR="00856406" w:rsidRPr="00717004" w:rsidRDefault="00856406" w:rsidP="007B053F">
            <w:pPr>
              <w:pStyle w:val="TableText"/>
            </w:pPr>
            <w:r w:rsidRPr="00717004">
              <w:t>Mallee</w:t>
            </w:r>
            <w:r>
              <w:t xml:space="preserve"> </w:t>
            </w:r>
            <w:r w:rsidRPr="00717004">
              <w:t>Family</w:t>
            </w:r>
            <w:r>
              <w:t xml:space="preserve"> </w:t>
            </w:r>
            <w:r w:rsidRPr="00717004">
              <w:t>Care</w:t>
            </w:r>
          </w:p>
        </w:tc>
        <w:tc>
          <w:tcPr>
            <w:tcW w:w="1141" w:type="dxa"/>
          </w:tcPr>
          <w:p w14:paraId="0C225D00" w14:textId="15C05B17" w:rsidR="00856406" w:rsidRDefault="00EE79C3" w:rsidP="007B053F">
            <w:pPr>
              <w:pStyle w:val="TableText"/>
            </w:pPr>
            <w:r>
              <w:t>2024–25</w:t>
            </w:r>
          </w:p>
        </w:tc>
        <w:tc>
          <w:tcPr>
            <w:tcW w:w="2710" w:type="dxa"/>
          </w:tcPr>
          <w:p w14:paraId="1D56913C" w14:textId="77777777" w:rsidR="00856406" w:rsidRPr="00717004" w:rsidRDefault="00856406" w:rsidP="007B053F">
            <w:pPr>
              <w:pStyle w:val="TableText"/>
            </w:pPr>
            <w:r w:rsidRPr="00717004">
              <w:t>Financial</w:t>
            </w:r>
            <w:r>
              <w:t xml:space="preserve"> </w:t>
            </w:r>
            <w:r w:rsidRPr="00717004">
              <w:t>wellbeing</w:t>
            </w:r>
            <w:r>
              <w:t xml:space="preserve"> </w:t>
            </w:r>
            <w:r w:rsidRPr="00717004">
              <w:t>and</w:t>
            </w:r>
            <w:r>
              <w:t xml:space="preserve"> </w:t>
            </w:r>
            <w:r w:rsidRPr="00717004">
              <w:t>education</w:t>
            </w:r>
          </w:p>
        </w:tc>
        <w:tc>
          <w:tcPr>
            <w:tcW w:w="1141" w:type="dxa"/>
          </w:tcPr>
          <w:p w14:paraId="1D0E622C" w14:textId="77777777" w:rsidR="00856406" w:rsidRPr="00717004" w:rsidRDefault="00856406" w:rsidP="007B053F">
            <w:pPr>
              <w:pStyle w:val="TableTextRight"/>
            </w:pPr>
            <w:r w:rsidRPr="00717004">
              <w:t>$940,000</w:t>
            </w:r>
          </w:p>
        </w:tc>
        <w:tc>
          <w:tcPr>
            <w:tcW w:w="1374" w:type="dxa"/>
          </w:tcPr>
          <w:p w14:paraId="4BD8EE60" w14:textId="77777777" w:rsidR="00856406" w:rsidRPr="004D4244" w:rsidRDefault="00856406" w:rsidP="007B053F">
            <w:pPr>
              <w:pStyle w:val="TableTextRight"/>
              <w:rPr>
                <w:highlight w:val="yellow"/>
              </w:rPr>
            </w:pPr>
            <w:r>
              <w:t>$</w:t>
            </w:r>
            <w:r w:rsidRPr="00364C8C">
              <w:t>187</w:t>
            </w:r>
            <w:r>
              <w:t>,</w:t>
            </w:r>
            <w:r w:rsidRPr="00364C8C">
              <w:t>000</w:t>
            </w:r>
          </w:p>
        </w:tc>
      </w:tr>
      <w:tr w:rsidR="00856406" w:rsidRPr="009C1F7F" w14:paraId="63609FDD" w14:textId="77777777" w:rsidTr="007B053F">
        <w:tc>
          <w:tcPr>
            <w:tcW w:w="2706" w:type="dxa"/>
          </w:tcPr>
          <w:p w14:paraId="484E0D83" w14:textId="77777777" w:rsidR="00856406" w:rsidRPr="00717004" w:rsidRDefault="00856406" w:rsidP="007B053F">
            <w:pPr>
              <w:pStyle w:val="TableText"/>
            </w:pPr>
            <w:r w:rsidRPr="00717004">
              <w:t>Meli</w:t>
            </w:r>
            <w:r>
              <w:t xml:space="preserve"> </w:t>
            </w:r>
            <w:r w:rsidRPr="00717004">
              <w:t>Community</w:t>
            </w:r>
          </w:p>
        </w:tc>
        <w:tc>
          <w:tcPr>
            <w:tcW w:w="1141" w:type="dxa"/>
          </w:tcPr>
          <w:p w14:paraId="75692F08" w14:textId="531A7CE7" w:rsidR="00856406" w:rsidRDefault="00EE79C3" w:rsidP="007B053F">
            <w:pPr>
              <w:pStyle w:val="TableText"/>
            </w:pPr>
            <w:r>
              <w:t>2024–25</w:t>
            </w:r>
          </w:p>
        </w:tc>
        <w:tc>
          <w:tcPr>
            <w:tcW w:w="2710" w:type="dxa"/>
          </w:tcPr>
          <w:p w14:paraId="5F3E3AF1" w14:textId="77777777" w:rsidR="00856406" w:rsidRPr="00717004" w:rsidRDefault="00856406" w:rsidP="007B053F">
            <w:pPr>
              <w:pStyle w:val="TableText"/>
            </w:pPr>
            <w:r w:rsidRPr="00717004">
              <w:t>Financial</w:t>
            </w:r>
            <w:r>
              <w:t xml:space="preserve"> c</w:t>
            </w:r>
            <w:r w:rsidRPr="00717004">
              <w:t>ounselling</w:t>
            </w:r>
            <w:r>
              <w:t xml:space="preserve"> </w:t>
            </w:r>
            <w:r w:rsidRPr="00717004">
              <w:t>and</w:t>
            </w:r>
            <w:r>
              <w:t xml:space="preserve"> c</w:t>
            </w:r>
            <w:r w:rsidRPr="00717004">
              <w:t>ommunity</w:t>
            </w:r>
            <w:r>
              <w:t xml:space="preserve"> e</w:t>
            </w:r>
            <w:r w:rsidRPr="00717004">
              <w:t>ducation</w:t>
            </w:r>
          </w:p>
        </w:tc>
        <w:tc>
          <w:tcPr>
            <w:tcW w:w="1141" w:type="dxa"/>
          </w:tcPr>
          <w:p w14:paraId="71682543" w14:textId="77777777" w:rsidR="00856406" w:rsidRPr="00717004" w:rsidRDefault="00856406" w:rsidP="007B053F">
            <w:pPr>
              <w:pStyle w:val="TableTextRight"/>
            </w:pPr>
            <w:r w:rsidRPr="00717004">
              <w:t>$1,000,000</w:t>
            </w:r>
          </w:p>
        </w:tc>
        <w:tc>
          <w:tcPr>
            <w:tcW w:w="1374" w:type="dxa"/>
          </w:tcPr>
          <w:p w14:paraId="436A62E4" w14:textId="77777777" w:rsidR="00856406" w:rsidRDefault="00856406" w:rsidP="007B053F">
            <w:pPr>
              <w:pStyle w:val="TableTextRight"/>
            </w:pPr>
            <w:r>
              <w:t>$</w:t>
            </w:r>
            <w:r w:rsidRPr="006579D2">
              <w:t>157</w:t>
            </w:r>
            <w:r>
              <w:t>,</w:t>
            </w:r>
            <w:r w:rsidRPr="006579D2">
              <w:t>820</w:t>
            </w:r>
          </w:p>
        </w:tc>
      </w:tr>
      <w:tr w:rsidR="00856406" w:rsidRPr="009C1F7F" w14:paraId="4550796B" w14:textId="77777777" w:rsidTr="007B053F">
        <w:tc>
          <w:tcPr>
            <w:tcW w:w="2706" w:type="dxa"/>
          </w:tcPr>
          <w:p w14:paraId="0CE1D5BA" w14:textId="77777777" w:rsidR="00856406" w:rsidRPr="00717004" w:rsidRDefault="00856406" w:rsidP="007B053F">
            <w:pPr>
              <w:pStyle w:val="TableText"/>
            </w:pPr>
            <w:r w:rsidRPr="00717004">
              <w:t>Mortgage</w:t>
            </w:r>
            <w:r>
              <w:t xml:space="preserve"> </w:t>
            </w:r>
            <w:r w:rsidRPr="00717004">
              <w:t>Stress</w:t>
            </w:r>
            <w:r>
              <w:t xml:space="preserve"> </w:t>
            </w:r>
            <w:r w:rsidRPr="00717004">
              <w:t>Victoria</w:t>
            </w:r>
          </w:p>
        </w:tc>
        <w:tc>
          <w:tcPr>
            <w:tcW w:w="1141" w:type="dxa"/>
          </w:tcPr>
          <w:p w14:paraId="4ED0FE63" w14:textId="5A8D1279" w:rsidR="00856406" w:rsidRDefault="00EE79C3" w:rsidP="007B053F">
            <w:pPr>
              <w:pStyle w:val="TableText"/>
            </w:pPr>
            <w:r>
              <w:t>2024–25</w:t>
            </w:r>
          </w:p>
        </w:tc>
        <w:tc>
          <w:tcPr>
            <w:tcW w:w="2710" w:type="dxa"/>
          </w:tcPr>
          <w:p w14:paraId="42BBF02F" w14:textId="77777777" w:rsidR="00856406" w:rsidRPr="00717004" w:rsidRDefault="00856406" w:rsidP="007B053F">
            <w:pPr>
              <w:pStyle w:val="TableText"/>
            </w:pPr>
            <w:r w:rsidRPr="00717004">
              <w:t>Financial</w:t>
            </w:r>
            <w:r>
              <w:t xml:space="preserve"> </w:t>
            </w:r>
            <w:r w:rsidRPr="00717004">
              <w:t>counselling</w:t>
            </w:r>
            <w:r>
              <w:t xml:space="preserve"> </w:t>
            </w:r>
            <w:r w:rsidRPr="00717004">
              <w:t>and</w:t>
            </w:r>
            <w:r>
              <w:t xml:space="preserve"> s</w:t>
            </w:r>
            <w:r w:rsidRPr="00717004">
              <w:t>ector</w:t>
            </w:r>
            <w:r>
              <w:t xml:space="preserve"> e</w:t>
            </w:r>
            <w:r w:rsidRPr="00717004">
              <w:t>ngagement</w:t>
            </w:r>
          </w:p>
        </w:tc>
        <w:tc>
          <w:tcPr>
            <w:tcW w:w="1141" w:type="dxa"/>
          </w:tcPr>
          <w:p w14:paraId="3EFA1B35" w14:textId="77777777" w:rsidR="00856406" w:rsidRPr="00717004" w:rsidRDefault="00856406" w:rsidP="007B053F">
            <w:pPr>
              <w:pStyle w:val="TableTextRight"/>
            </w:pPr>
            <w:r w:rsidRPr="00717004">
              <w:t>$1,506</w:t>
            </w:r>
            <w:r>
              <w:t>,</w:t>
            </w:r>
            <w:r w:rsidRPr="00717004">
              <w:t>864</w:t>
            </w:r>
          </w:p>
        </w:tc>
        <w:tc>
          <w:tcPr>
            <w:tcW w:w="1374" w:type="dxa"/>
          </w:tcPr>
          <w:p w14:paraId="1BF29BD2" w14:textId="77777777" w:rsidR="00856406" w:rsidRPr="004D4244" w:rsidRDefault="00856406" w:rsidP="007B053F">
            <w:pPr>
              <w:pStyle w:val="TableTextRight"/>
              <w:rPr>
                <w:highlight w:val="yellow"/>
              </w:rPr>
            </w:pPr>
            <w:r>
              <w:t>$</w:t>
            </w:r>
            <w:r w:rsidRPr="005724FF">
              <w:t>310</w:t>
            </w:r>
            <w:r>
              <w:t>,</w:t>
            </w:r>
            <w:r w:rsidRPr="005724FF">
              <w:t>565</w:t>
            </w:r>
          </w:p>
        </w:tc>
      </w:tr>
      <w:tr w:rsidR="00856406" w:rsidRPr="009C1F7F" w14:paraId="24CCC29C" w14:textId="77777777" w:rsidTr="007B053F">
        <w:tc>
          <w:tcPr>
            <w:tcW w:w="2706" w:type="dxa"/>
          </w:tcPr>
          <w:p w14:paraId="3B4EC534" w14:textId="77777777" w:rsidR="00856406" w:rsidRPr="00717004" w:rsidRDefault="00856406" w:rsidP="007B053F">
            <w:pPr>
              <w:pStyle w:val="TableText"/>
            </w:pPr>
            <w:r w:rsidRPr="00717004">
              <w:t>Ngwala</w:t>
            </w:r>
            <w:r>
              <w:t xml:space="preserve"> </w:t>
            </w:r>
            <w:r w:rsidRPr="00717004">
              <w:t>Willumbong</w:t>
            </w:r>
            <w:r>
              <w:t xml:space="preserve"> </w:t>
            </w:r>
            <w:r w:rsidRPr="00717004">
              <w:t>Aboriginal</w:t>
            </w:r>
            <w:r>
              <w:t xml:space="preserve"> </w:t>
            </w:r>
            <w:r w:rsidRPr="00717004">
              <w:t>Corporation</w:t>
            </w:r>
          </w:p>
        </w:tc>
        <w:tc>
          <w:tcPr>
            <w:tcW w:w="1141" w:type="dxa"/>
          </w:tcPr>
          <w:p w14:paraId="57F032BB" w14:textId="3E39D812" w:rsidR="00856406" w:rsidRDefault="00EE79C3" w:rsidP="007B053F">
            <w:pPr>
              <w:pStyle w:val="TableText"/>
            </w:pPr>
            <w:r>
              <w:t>2024–25</w:t>
            </w:r>
          </w:p>
        </w:tc>
        <w:tc>
          <w:tcPr>
            <w:tcW w:w="2710" w:type="dxa"/>
          </w:tcPr>
          <w:p w14:paraId="34D71DC8" w14:textId="77777777" w:rsidR="00856406" w:rsidRPr="00717004" w:rsidRDefault="00856406" w:rsidP="007B053F">
            <w:pPr>
              <w:pStyle w:val="TableText"/>
            </w:pPr>
            <w:r w:rsidRPr="00717004">
              <w:t>Financial</w:t>
            </w:r>
            <w:r>
              <w:t xml:space="preserve"> c</w:t>
            </w:r>
            <w:r w:rsidRPr="00717004">
              <w:t>ounselling</w:t>
            </w:r>
          </w:p>
        </w:tc>
        <w:tc>
          <w:tcPr>
            <w:tcW w:w="1141" w:type="dxa"/>
          </w:tcPr>
          <w:p w14:paraId="3B9E4012" w14:textId="77777777" w:rsidR="00856406" w:rsidRPr="00717004" w:rsidRDefault="00856406" w:rsidP="007B053F">
            <w:pPr>
              <w:pStyle w:val="TableTextRight"/>
            </w:pPr>
            <w:r w:rsidRPr="00717004">
              <w:t>$314,315</w:t>
            </w:r>
          </w:p>
        </w:tc>
        <w:tc>
          <w:tcPr>
            <w:tcW w:w="1374" w:type="dxa"/>
          </w:tcPr>
          <w:p w14:paraId="410CD824" w14:textId="77777777" w:rsidR="00856406" w:rsidRPr="004D4244" w:rsidRDefault="00856406" w:rsidP="007B053F">
            <w:pPr>
              <w:pStyle w:val="TableTextRight"/>
              <w:rPr>
                <w:highlight w:val="yellow"/>
              </w:rPr>
            </w:pPr>
            <w:r>
              <w:t>$</w:t>
            </w:r>
            <w:r w:rsidRPr="005724FF">
              <w:t>62</w:t>
            </w:r>
            <w:r>
              <w:t>,</w:t>
            </w:r>
            <w:r w:rsidRPr="005724FF">
              <w:t>863</w:t>
            </w:r>
          </w:p>
        </w:tc>
      </w:tr>
      <w:tr w:rsidR="00856406" w:rsidRPr="009C1F7F" w14:paraId="652BED70" w14:textId="77777777" w:rsidTr="007B053F">
        <w:tc>
          <w:tcPr>
            <w:tcW w:w="2706" w:type="dxa"/>
          </w:tcPr>
          <w:p w14:paraId="5E5292DE" w14:textId="77777777" w:rsidR="00856406" w:rsidRPr="00717004" w:rsidRDefault="00856406" w:rsidP="007B053F">
            <w:pPr>
              <w:pStyle w:val="TableText"/>
            </w:pPr>
            <w:r w:rsidRPr="00717004">
              <w:t>Primary</w:t>
            </w:r>
            <w:r>
              <w:t xml:space="preserve"> </w:t>
            </w:r>
            <w:r w:rsidRPr="00717004">
              <w:t>Care</w:t>
            </w:r>
            <w:r>
              <w:t xml:space="preserve"> </w:t>
            </w:r>
            <w:r w:rsidRPr="00717004">
              <w:t>Connect</w:t>
            </w:r>
          </w:p>
        </w:tc>
        <w:tc>
          <w:tcPr>
            <w:tcW w:w="1141" w:type="dxa"/>
          </w:tcPr>
          <w:p w14:paraId="20D93155" w14:textId="773AC598" w:rsidR="00856406" w:rsidRDefault="00EE79C3" w:rsidP="007B053F">
            <w:pPr>
              <w:pStyle w:val="TableText"/>
            </w:pPr>
            <w:r>
              <w:t>2024–25</w:t>
            </w:r>
          </w:p>
        </w:tc>
        <w:tc>
          <w:tcPr>
            <w:tcW w:w="2710" w:type="dxa"/>
          </w:tcPr>
          <w:p w14:paraId="474645D2" w14:textId="77777777" w:rsidR="00856406" w:rsidRPr="00717004" w:rsidRDefault="00856406" w:rsidP="007B053F">
            <w:pPr>
              <w:pStyle w:val="TableText"/>
            </w:pPr>
            <w:r w:rsidRPr="00717004">
              <w:t>Financial</w:t>
            </w:r>
            <w:r>
              <w:t xml:space="preserve"> c</w:t>
            </w:r>
            <w:r w:rsidRPr="00717004">
              <w:t>ounselling</w:t>
            </w:r>
            <w:r>
              <w:t xml:space="preserve"> </w:t>
            </w:r>
            <w:r w:rsidRPr="00717004">
              <w:t>and</w:t>
            </w:r>
            <w:r>
              <w:t xml:space="preserve"> c</w:t>
            </w:r>
            <w:r w:rsidRPr="00717004">
              <w:t>ommunity</w:t>
            </w:r>
            <w:r>
              <w:t xml:space="preserve"> e</w:t>
            </w:r>
            <w:r w:rsidRPr="00717004">
              <w:t>ducation</w:t>
            </w:r>
          </w:p>
        </w:tc>
        <w:tc>
          <w:tcPr>
            <w:tcW w:w="1141" w:type="dxa"/>
          </w:tcPr>
          <w:p w14:paraId="6DF16F1D" w14:textId="77777777" w:rsidR="00856406" w:rsidRPr="00717004" w:rsidRDefault="00856406" w:rsidP="007B053F">
            <w:pPr>
              <w:pStyle w:val="TableTextRight"/>
            </w:pPr>
            <w:r w:rsidRPr="00717004">
              <w:t>$777,094</w:t>
            </w:r>
          </w:p>
        </w:tc>
        <w:tc>
          <w:tcPr>
            <w:tcW w:w="1374" w:type="dxa"/>
          </w:tcPr>
          <w:p w14:paraId="6240A5F7" w14:textId="77777777" w:rsidR="00856406" w:rsidRPr="004D4244" w:rsidRDefault="00856406" w:rsidP="007B053F">
            <w:pPr>
              <w:pStyle w:val="TableTextRight"/>
              <w:rPr>
                <w:highlight w:val="yellow"/>
              </w:rPr>
            </w:pPr>
            <w:r>
              <w:t>$</w:t>
            </w:r>
            <w:r w:rsidRPr="00A50DF3">
              <w:t>175</w:t>
            </w:r>
            <w:r>
              <w:t>,</w:t>
            </w:r>
            <w:r w:rsidRPr="00A50DF3">
              <w:t>261</w:t>
            </w:r>
          </w:p>
        </w:tc>
      </w:tr>
      <w:tr w:rsidR="00856406" w:rsidRPr="009C1F7F" w14:paraId="6432F402" w14:textId="77777777" w:rsidTr="007B053F">
        <w:tc>
          <w:tcPr>
            <w:tcW w:w="2706" w:type="dxa"/>
          </w:tcPr>
          <w:p w14:paraId="6140D36D" w14:textId="77777777" w:rsidR="00856406" w:rsidRPr="00717004" w:rsidRDefault="00856406" w:rsidP="007B053F">
            <w:pPr>
              <w:pStyle w:val="TableText"/>
            </w:pPr>
            <w:r w:rsidRPr="00717004">
              <w:t>South</w:t>
            </w:r>
            <w:r>
              <w:t xml:space="preserve"> </w:t>
            </w:r>
            <w:r w:rsidRPr="00717004">
              <w:t>East</w:t>
            </w:r>
            <w:r>
              <w:t xml:space="preserve"> </w:t>
            </w:r>
            <w:r w:rsidRPr="00717004">
              <w:t>Community</w:t>
            </w:r>
            <w:r>
              <w:t xml:space="preserve"> </w:t>
            </w:r>
            <w:r w:rsidRPr="00717004">
              <w:t>Links</w:t>
            </w:r>
          </w:p>
        </w:tc>
        <w:tc>
          <w:tcPr>
            <w:tcW w:w="1141" w:type="dxa"/>
          </w:tcPr>
          <w:p w14:paraId="0EFBF277" w14:textId="43B1A82B" w:rsidR="00856406" w:rsidRDefault="00EE79C3" w:rsidP="007B053F">
            <w:pPr>
              <w:pStyle w:val="TableText"/>
            </w:pPr>
            <w:r>
              <w:t>2024–25</w:t>
            </w:r>
          </w:p>
        </w:tc>
        <w:tc>
          <w:tcPr>
            <w:tcW w:w="2710" w:type="dxa"/>
          </w:tcPr>
          <w:p w14:paraId="729167FD" w14:textId="77777777" w:rsidR="00856406" w:rsidRPr="00717004" w:rsidRDefault="00856406" w:rsidP="007B053F">
            <w:pPr>
              <w:pStyle w:val="TableText"/>
            </w:pPr>
            <w:r w:rsidRPr="00717004">
              <w:t>Financial</w:t>
            </w:r>
            <w:r>
              <w:t xml:space="preserve"> c</w:t>
            </w:r>
            <w:r w:rsidRPr="00717004">
              <w:t>ounselling</w:t>
            </w:r>
          </w:p>
        </w:tc>
        <w:tc>
          <w:tcPr>
            <w:tcW w:w="1141" w:type="dxa"/>
          </w:tcPr>
          <w:p w14:paraId="4F4F4DEB" w14:textId="77777777" w:rsidR="00856406" w:rsidRPr="00717004" w:rsidRDefault="00856406" w:rsidP="007B053F">
            <w:pPr>
              <w:pStyle w:val="TableTextRight"/>
            </w:pPr>
            <w:r w:rsidRPr="00717004">
              <w:t>$900,000</w:t>
            </w:r>
          </w:p>
        </w:tc>
        <w:tc>
          <w:tcPr>
            <w:tcW w:w="1374" w:type="dxa"/>
          </w:tcPr>
          <w:p w14:paraId="306D17B3" w14:textId="77777777" w:rsidR="00856406" w:rsidRPr="004D4244" w:rsidRDefault="00856406" w:rsidP="007B053F">
            <w:pPr>
              <w:pStyle w:val="TableTextRight"/>
              <w:rPr>
                <w:highlight w:val="yellow"/>
              </w:rPr>
            </w:pPr>
            <w:r>
              <w:t>$</w:t>
            </w:r>
            <w:r w:rsidRPr="00A50DF3">
              <w:t>201</w:t>
            </w:r>
            <w:r>
              <w:t>,</w:t>
            </w:r>
            <w:r w:rsidRPr="00A50DF3">
              <w:t>601</w:t>
            </w:r>
          </w:p>
        </w:tc>
      </w:tr>
      <w:tr w:rsidR="00856406" w:rsidRPr="009C1F7F" w14:paraId="010E4400" w14:textId="77777777" w:rsidTr="007B053F">
        <w:tc>
          <w:tcPr>
            <w:tcW w:w="2706" w:type="dxa"/>
          </w:tcPr>
          <w:p w14:paraId="11C7E398" w14:textId="77777777" w:rsidR="00856406" w:rsidRPr="00717004" w:rsidRDefault="00856406" w:rsidP="007B053F">
            <w:pPr>
              <w:pStyle w:val="TableText"/>
            </w:pPr>
            <w:r w:rsidRPr="00717004">
              <w:t>Tenants</w:t>
            </w:r>
            <w:r>
              <w:t xml:space="preserve"> </w:t>
            </w:r>
            <w:r w:rsidRPr="00717004">
              <w:t>Victoria</w:t>
            </w:r>
          </w:p>
        </w:tc>
        <w:tc>
          <w:tcPr>
            <w:tcW w:w="1141" w:type="dxa"/>
          </w:tcPr>
          <w:p w14:paraId="3C730327" w14:textId="76F579F5" w:rsidR="00856406" w:rsidRDefault="00EE79C3" w:rsidP="007B053F">
            <w:pPr>
              <w:pStyle w:val="TableText"/>
            </w:pPr>
            <w:r>
              <w:t>2024–25</w:t>
            </w:r>
          </w:p>
        </w:tc>
        <w:tc>
          <w:tcPr>
            <w:tcW w:w="2710" w:type="dxa"/>
          </w:tcPr>
          <w:p w14:paraId="234CCD34" w14:textId="77777777" w:rsidR="00856406" w:rsidRPr="00717004" w:rsidRDefault="00856406" w:rsidP="007B053F">
            <w:pPr>
              <w:pStyle w:val="TableText"/>
            </w:pPr>
            <w:r w:rsidRPr="00717004">
              <w:t>Financial</w:t>
            </w:r>
            <w:r>
              <w:t xml:space="preserve"> c</w:t>
            </w:r>
            <w:r w:rsidRPr="00717004">
              <w:t>ounselling</w:t>
            </w:r>
            <w:r>
              <w:t xml:space="preserve"> </w:t>
            </w:r>
            <w:r w:rsidRPr="00717004">
              <w:t>and</w:t>
            </w:r>
            <w:r>
              <w:t xml:space="preserve"> l</w:t>
            </w:r>
            <w:r w:rsidRPr="00717004">
              <w:t>egal</w:t>
            </w:r>
            <w:r>
              <w:t xml:space="preserve"> a</w:t>
            </w:r>
            <w:r w:rsidRPr="00717004">
              <w:t>ssistance</w:t>
            </w:r>
          </w:p>
        </w:tc>
        <w:tc>
          <w:tcPr>
            <w:tcW w:w="1141" w:type="dxa"/>
          </w:tcPr>
          <w:p w14:paraId="54691C28" w14:textId="77777777" w:rsidR="00856406" w:rsidRPr="00717004" w:rsidRDefault="00856406" w:rsidP="007B053F">
            <w:pPr>
              <w:pStyle w:val="TableTextRight"/>
            </w:pPr>
            <w:r w:rsidRPr="00717004">
              <w:t>$844,101</w:t>
            </w:r>
          </w:p>
        </w:tc>
        <w:tc>
          <w:tcPr>
            <w:tcW w:w="1374" w:type="dxa"/>
          </w:tcPr>
          <w:p w14:paraId="5F6A0352" w14:textId="77777777" w:rsidR="00856406" w:rsidRPr="004D4244" w:rsidRDefault="00856406" w:rsidP="007B053F">
            <w:pPr>
              <w:pStyle w:val="TableTextRight"/>
              <w:rPr>
                <w:highlight w:val="yellow"/>
              </w:rPr>
            </w:pPr>
            <w:r>
              <w:t>$</w:t>
            </w:r>
            <w:r w:rsidRPr="00CE1965">
              <w:t>175</w:t>
            </w:r>
            <w:r>
              <w:t>,</w:t>
            </w:r>
            <w:r w:rsidRPr="00CE1965">
              <w:t>315</w:t>
            </w:r>
          </w:p>
        </w:tc>
      </w:tr>
      <w:tr w:rsidR="00856406" w:rsidRPr="009C1F7F" w14:paraId="2205B159" w14:textId="77777777" w:rsidTr="007B053F">
        <w:tc>
          <w:tcPr>
            <w:tcW w:w="2706" w:type="dxa"/>
          </w:tcPr>
          <w:p w14:paraId="1B5353FF" w14:textId="77777777" w:rsidR="00856406" w:rsidRPr="00717004" w:rsidRDefault="00856406" w:rsidP="007B053F">
            <w:pPr>
              <w:pStyle w:val="TableText"/>
            </w:pPr>
            <w:r w:rsidRPr="00717004">
              <w:t>Thorne</w:t>
            </w:r>
            <w:r>
              <w:t xml:space="preserve"> </w:t>
            </w:r>
            <w:r w:rsidRPr="00717004">
              <w:t>Harbour</w:t>
            </w:r>
            <w:r>
              <w:t xml:space="preserve"> </w:t>
            </w:r>
            <w:r w:rsidRPr="00717004">
              <w:t>Health</w:t>
            </w:r>
          </w:p>
        </w:tc>
        <w:tc>
          <w:tcPr>
            <w:tcW w:w="1141" w:type="dxa"/>
          </w:tcPr>
          <w:p w14:paraId="66CA269E" w14:textId="43B2F258" w:rsidR="00856406" w:rsidRDefault="00EE79C3" w:rsidP="007B053F">
            <w:pPr>
              <w:pStyle w:val="TableText"/>
            </w:pPr>
            <w:r>
              <w:t>2024–25</w:t>
            </w:r>
          </w:p>
        </w:tc>
        <w:tc>
          <w:tcPr>
            <w:tcW w:w="2710" w:type="dxa"/>
          </w:tcPr>
          <w:p w14:paraId="74385D97" w14:textId="77777777" w:rsidR="00856406" w:rsidRPr="00717004" w:rsidRDefault="00856406" w:rsidP="007B053F">
            <w:pPr>
              <w:pStyle w:val="TableText"/>
            </w:pPr>
            <w:r w:rsidRPr="00717004">
              <w:t>Financial</w:t>
            </w:r>
            <w:r>
              <w:t xml:space="preserve"> c</w:t>
            </w:r>
            <w:r w:rsidRPr="00717004">
              <w:t>ounselling</w:t>
            </w:r>
          </w:p>
        </w:tc>
        <w:tc>
          <w:tcPr>
            <w:tcW w:w="1141" w:type="dxa"/>
          </w:tcPr>
          <w:p w14:paraId="316B5873" w14:textId="77777777" w:rsidR="00856406" w:rsidRPr="00717004" w:rsidRDefault="00856406" w:rsidP="007B053F">
            <w:pPr>
              <w:pStyle w:val="TableTextRight"/>
            </w:pPr>
            <w:r w:rsidRPr="00717004">
              <w:t>$817,263</w:t>
            </w:r>
          </w:p>
        </w:tc>
        <w:tc>
          <w:tcPr>
            <w:tcW w:w="1374" w:type="dxa"/>
          </w:tcPr>
          <w:p w14:paraId="7E2D1182" w14:textId="77777777" w:rsidR="00856406" w:rsidRPr="004D4244" w:rsidRDefault="00856406" w:rsidP="007B053F">
            <w:pPr>
              <w:pStyle w:val="TableTextRight"/>
              <w:rPr>
                <w:highlight w:val="yellow"/>
              </w:rPr>
            </w:pPr>
            <w:r>
              <w:t>$</w:t>
            </w:r>
            <w:r w:rsidRPr="00CE1965">
              <w:t>156</w:t>
            </w:r>
            <w:r>
              <w:t>,</w:t>
            </w:r>
            <w:r w:rsidRPr="00CE1965">
              <w:t>859</w:t>
            </w:r>
          </w:p>
        </w:tc>
      </w:tr>
      <w:tr w:rsidR="00856406" w:rsidRPr="009C1F7F" w14:paraId="07D1B32F" w14:textId="77777777" w:rsidTr="007B053F">
        <w:tc>
          <w:tcPr>
            <w:tcW w:w="2706" w:type="dxa"/>
          </w:tcPr>
          <w:p w14:paraId="4F716664" w14:textId="77777777" w:rsidR="00856406" w:rsidRPr="00717004" w:rsidRDefault="00856406" w:rsidP="007B053F">
            <w:pPr>
              <w:pStyle w:val="TableText"/>
            </w:pPr>
            <w:r w:rsidRPr="00717004">
              <w:t>Victorian</w:t>
            </w:r>
            <w:r>
              <w:t xml:space="preserve"> </w:t>
            </w:r>
            <w:r w:rsidRPr="00717004">
              <w:t>Aboriginal</w:t>
            </w:r>
            <w:r>
              <w:t xml:space="preserve"> </w:t>
            </w:r>
            <w:r w:rsidRPr="00717004">
              <w:t>Child</w:t>
            </w:r>
            <w:r>
              <w:t xml:space="preserve"> and Community </w:t>
            </w:r>
            <w:r w:rsidRPr="00717004">
              <w:t>Agency</w:t>
            </w:r>
          </w:p>
        </w:tc>
        <w:tc>
          <w:tcPr>
            <w:tcW w:w="1141" w:type="dxa"/>
          </w:tcPr>
          <w:p w14:paraId="4C71F9F9" w14:textId="252F2635" w:rsidR="00856406" w:rsidRDefault="00EE79C3" w:rsidP="007B053F">
            <w:pPr>
              <w:pStyle w:val="TableText"/>
            </w:pPr>
            <w:r>
              <w:t>2024–25</w:t>
            </w:r>
          </w:p>
        </w:tc>
        <w:tc>
          <w:tcPr>
            <w:tcW w:w="2710" w:type="dxa"/>
          </w:tcPr>
          <w:p w14:paraId="4B8F91A9" w14:textId="77777777" w:rsidR="00856406" w:rsidRPr="00717004" w:rsidRDefault="00856406" w:rsidP="007B053F">
            <w:pPr>
              <w:pStyle w:val="TableText"/>
            </w:pPr>
            <w:r w:rsidRPr="00717004">
              <w:t>Financial</w:t>
            </w:r>
            <w:r>
              <w:t xml:space="preserve"> c</w:t>
            </w:r>
            <w:r w:rsidRPr="00717004">
              <w:t>ounselling</w:t>
            </w:r>
            <w:r>
              <w:t xml:space="preserve"> </w:t>
            </w:r>
            <w:r w:rsidRPr="00717004">
              <w:t>and</w:t>
            </w:r>
            <w:r>
              <w:t xml:space="preserve"> c</w:t>
            </w:r>
            <w:r w:rsidRPr="00717004">
              <w:t>apability</w:t>
            </w:r>
            <w:r>
              <w:t xml:space="preserve"> w</w:t>
            </w:r>
            <w:r w:rsidRPr="00717004">
              <w:t>orkshops</w:t>
            </w:r>
          </w:p>
        </w:tc>
        <w:tc>
          <w:tcPr>
            <w:tcW w:w="1141" w:type="dxa"/>
          </w:tcPr>
          <w:p w14:paraId="5DD3CFD1" w14:textId="77777777" w:rsidR="00856406" w:rsidRPr="00717004" w:rsidRDefault="00856406" w:rsidP="007B053F">
            <w:pPr>
              <w:pStyle w:val="TableTextRight"/>
            </w:pPr>
            <w:r w:rsidRPr="00717004">
              <w:t>$1,200,000</w:t>
            </w:r>
          </w:p>
        </w:tc>
        <w:tc>
          <w:tcPr>
            <w:tcW w:w="1374" w:type="dxa"/>
          </w:tcPr>
          <w:p w14:paraId="21D87372" w14:textId="77777777" w:rsidR="00856406" w:rsidRPr="004D4244" w:rsidRDefault="00856406" w:rsidP="007B053F">
            <w:pPr>
              <w:pStyle w:val="TableTextRight"/>
              <w:rPr>
                <w:highlight w:val="yellow"/>
              </w:rPr>
            </w:pPr>
            <w:r>
              <w:t>$</w:t>
            </w:r>
            <w:r w:rsidRPr="00F60F8E">
              <w:t>279</w:t>
            </w:r>
            <w:r>
              <w:t>,</w:t>
            </w:r>
            <w:r w:rsidRPr="00F60F8E">
              <w:t>358</w:t>
            </w:r>
          </w:p>
        </w:tc>
      </w:tr>
      <w:tr w:rsidR="00856406" w:rsidRPr="009C1F7F" w14:paraId="395F7DE4" w14:textId="77777777" w:rsidTr="007B053F">
        <w:tc>
          <w:tcPr>
            <w:tcW w:w="2706" w:type="dxa"/>
          </w:tcPr>
          <w:p w14:paraId="12D3D297" w14:textId="77777777" w:rsidR="00856406" w:rsidRPr="00717004" w:rsidRDefault="00856406" w:rsidP="007B053F">
            <w:pPr>
              <w:pStyle w:val="TableText"/>
            </w:pPr>
            <w:r w:rsidRPr="00717004">
              <w:t>Women’s</w:t>
            </w:r>
            <w:r>
              <w:t xml:space="preserve"> </w:t>
            </w:r>
            <w:r w:rsidRPr="00717004">
              <w:t>Legal</w:t>
            </w:r>
            <w:r>
              <w:t xml:space="preserve"> </w:t>
            </w:r>
            <w:r w:rsidRPr="00717004">
              <w:t>Service</w:t>
            </w:r>
            <w:r>
              <w:t xml:space="preserve"> </w:t>
            </w:r>
            <w:r w:rsidRPr="00717004">
              <w:t>Victoria</w:t>
            </w:r>
          </w:p>
        </w:tc>
        <w:tc>
          <w:tcPr>
            <w:tcW w:w="1141" w:type="dxa"/>
          </w:tcPr>
          <w:p w14:paraId="6342AD64" w14:textId="5EF90BBF" w:rsidR="00856406" w:rsidRDefault="00EE79C3" w:rsidP="007B053F">
            <w:pPr>
              <w:pStyle w:val="TableText"/>
            </w:pPr>
            <w:r>
              <w:t>2024–25</w:t>
            </w:r>
          </w:p>
        </w:tc>
        <w:tc>
          <w:tcPr>
            <w:tcW w:w="2710" w:type="dxa"/>
          </w:tcPr>
          <w:p w14:paraId="1002BA8F" w14:textId="77777777" w:rsidR="00856406" w:rsidRPr="00717004" w:rsidRDefault="00856406" w:rsidP="007B053F">
            <w:pPr>
              <w:pStyle w:val="TableText"/>
            </w:pPr>
            <w:r w:rsidRPr="00717004">
              <w:t>Financial</w:t>
            </w:r>
            <w:r>
              <w:t xml:space="preserve"> c</w:t>
            </w:r>
            <w:r w:rsidRPr="00717004">
              <w:t>ounselling</w:t>
            </w:r>
            <w:r>
              <w:t xml:space="preserve"> </w:t>
            </w:r>
            <w:r w:rsidRPr="00717004">
              <w:t>and</w:t>
            </w:r>
            <w:r>
              <w:t xml:space="preserve"> s</w:t>
            </w:r>
            <w:r w:rsidRPr="00717004">
              <w:t>ocial</w:t>
            </w:r>
            <w:r>
              <w:t xml:space="preserve"> w</w:t>
            </w:r>
            <w:r w:rsidRPr="00717004">
              <w:t>ork</w:t>
            </w:r>
          </w:p>
        </w:tc>
        <w:tc>
          <w:tcPr>
            <w:tcW w:w="1141" w:type="dxa"/>
          </w:tcPr>
          <w:p w14:paraId="53BBC2A2" w14:textId="77777777" w:rsidR="00856406" w:rsidRPr="00717004" w:rsidRDefault="00856406" w:rsidP="007B053F">
            <w:pPr>
              <w:pStyle w:val="TableTextRight"/>
            </w:pPr>
            <w:r w:rsidRPr="00717004">
              <w:t>$904,845</w:t>
            </w:r>
          </w:p>
        </w:tc>
        <w:tc>
          <w:tcPr>
            <w:tcW w:w="1374" w:type="dxa"/>
          </w:tcPr>
          <w:p w14:paraId="6526B404" w14:textId="77777777" w:rsidR="00856406" w:rsidRDefault="00856406" w:rsidP="007B053F">
            <w:pPr>
              <w:pStyle w:val="TableTextRight"/>
            </w:pPr>
            <w:r>
              <w:t>$</w:t>
            </w:r>
            <w:r w:rsidRPr="00F60F8E">
              <w:t>102</w:t>
            </w:r>
            <w:r>
              <w:t>,</w:t>
            </w:r>
            <w:r w:rsidRPr="00F60F8E">
              <w:t>537</w:t>
            </w:r>
          </w:p>
          <w:p w14:paraId="18D4DE43" w14:textId="77777777" w:rsidR="00856406" w:rsidRPr="004D4244" w:rsidRDefault="00856406" w:rsidP="007B053F">
            <w:pPr>
              <w:pStyle w:val="TableTextRight"/>
              <w:rPr>
                <w:highlight w:val="yellow"/>
              </w:rPr>
            </w:pPr>
          </w:p>
        </w:tc>
      </w:tr>
      <w:tr w:rsidR="00856406" w:rsidRPr="009C1F7F" w14:paraId="44122AEC" w14:textId="77777777" w:rsidTr="007B053F">
        <w:tc>
          <w:tcPr>
            <w:tcW w:w="9072" w:type="dxa"/>
            <w:gridSpan w:val="5"/>
            <w:shd w:val="clear" w:color="auto" w:fill="BCCAE5"/>
          </w:tcPr>
          <w:p w14:paraId="1F6D6D98" w14:textId="77777777" w:rsidR="00856406" w:rsidRPr="00717004" w:rsidRDefault="00856406" w:rsidP="007B053F">
            <w:pPr>
              <w:pStyle w:val="TableTextBold"/>
              <w:rPr>
                <w:highlight w:val="yellow"/>
              </w:rPr>
            </w:pPr>
            <w:r w:rsidRPr="00717004">
              <w:t>Rental</w:t>
            </w:r>
            <w:r>
              <w:t xml:space="preserve"> </w:t>
            </w:r>
            <w:r w:rsidRPr="00717004">
              <w:t>Stress</w:t>
            </w:r>
            <w:r>
              <w:t xml:space="preserve"> </w:t>
            </w:r>
            <w:r w:rsidRPr="00717004">
              <w:t>Support</w:t>
            </w:r>
            <w:r>
              <w:t xml:space="preserve"> </w:t>
            </w:r>
            <w:r w:rsidRPr="00717004">
              <w:t>Package</w:t>
            </w:r>
          </w:p>
        </w:tc>
      </w:tr>
      <w:tr w:rsidR="00856406" w:rsidRPr="009C1F7F" w14:paraId="20324483" w14:textId="77777777" w:rsidTr="007B053F">
        <w:tc>
          <w:tcPr>
            <w:tcW w:w="2706" w:type="dxa"/>
          </w:tcPr>
          <w:p w14:paraId="08057D40" w14:textId="77777777" w:rsidR="00856406" w:rsidRPr="00717004" w:rsidRDefault="00856406" w:rsidP="007B053F">
            <w:pPr>
              <w:pStyle w:val="TableText"/>
            </w:pPr>
            <w:r w:rsidRPr="00717004">
              <w:t>Anglicare</w:t>
            </w:r>
            <w:r>
              <w:t xml:space="preserve"> </w:t>
            </w:r>
            <w:r w:rsidRPr="00717004">
              <w:t>Victoria</w:t>
            </w:r>
          </w:p>
        </w:tc>
        <w:tc>
          <w:tcPr>
            <w:tcW w:w="1141" w:type="dxa"/>
          </w:tcPr>
          <w:p w14:paraId="55A2A7BC" w14:textId="3C1C650C" w:rsidR="00856406" w:rsidRDefault="00EE79C3" w:rsidP="007B053F">
            <w:pPr>
              <w:pStyle w:val="TableText"/>
            </w:pPr>
            <w:r>
              <w:t>2023–24</w:t>
            </w:r>
          </w:p>
        </w:tc>
        <w:tc>
          <w:tcPr>
            <w:tcW w:w="2710" w:type="dxa"/>
          </w:tcPr>
          <w:p w14:paraId="5C09CCEF" w14:textId="77777777" w:rsidR="00856406" w:rsidRPr="00717004" w:rsidRDefault="00856406" w:rsidP="007B053F">
            <w:pPr>
              <w:pStyle w:val="TableText"/>
            </w:pPr>
            <w:r>
              <w:t>AV Rental Stress Hub</w:t>
            </w:r>
          </w:p>
        </w:tc>
        <w:tc>
          <w:tcPr>
            <w:tcW w:w="1141" w:type="dxa"/>
          </w:tcPr>
          <w:p w14:paraId="7F07CD67" w14:textId="77777777" w:rsidR="00856406" w:rsidRPr="00717004" w:rsidRDefault="00856406" w:rsidP="007B053F">
            <w:pPr>
              <w:pStyle w:val="TableTextRight"/>
            </w:pPr>
            <w:r w:rsidRPr="00717004">
              <w:t>$2,000,000</w:t>
            </w:r>
          </w:p>
        </w:tc>
        <w:tc>
          <w:tcPr>
            <w:tcW w:w="1374" w:type="dxa"/>
          </w:tcPr>
          <w:p w14:paraId="695FEDCA" w14:textId="77777777" w:rsidR="00856406" w:rsidRPr="00717004" w:rsidRDefault="00856406" w:rsidP="007B053F">
            <w:pPr>
              <w:pStyle w:val="TableTextRight"/>
            </w:pPr>
            <w:r w:rsidRPr="00717004">
              <w:t>$874,097</w:t>
            </w:r>
          </w:p>
        </w:tc>
      </w:tr>
      <w:tr w:rsidR="00856406" w:rsidRPr="009C1F7F" w14:paraId="1950EF25" w14:textId="77777777" w:rsidTr="007B053F">
        <w:tc>
          <w:tcPr>
            <w:tcW w:w="2706" w:type="dxa"/>
          </w:tcPr>
          <w:p w14:paraId="437B1F2B" w14:textId="77777777" w:rsidR="00856406" w:rsidRPr="00717004" w:rsidRDefault="00856406" w:rsidP="007B053F">
            <w:pPr>
              <w:pStyle w:val="TableText"/>
            </w:pPr>
            <w:r w:rsidRPr="00717004">
              <w:t>Child</w:t>
            </w:r>
            <w:r>
              <w:t xml:space="preserve"> </w:t>
            </w:r>
            <w:r w:rsidRPr="00717004">
              <w:t>and</w:t>
            </w:r>
            <w:r>
              <w:t xml:space="preserve"> </w:t>
            </w:r>
            <w:r w:rsidRPr="00717004">
              <w:t>Family</w:t>
            </w:r>
            <w:r>
              <w:t xml:space="preserve"> </w:t>
            </w:r>
            <w:r w:rsidRPr="00717004">
              <w:t>Services</w:t>
            </w:r>
            <w:r>
              <w:t xml:space="preserve"> </w:t>
            </w:r>
            <w:r w:rsidRPr="00717004">
              <w:t>Ballarat</w:t>
            </w:r>
          </w:p>
        </w:tc>
        <w:tc>
          <w:tcPr>
            <w:tcW w:w="1141" w:type="dxa"/>
          </w:tcPr>
          <w:p w14:paraId="65679CB2" w14:textId="202C0E19" w:rsidR="00856406" w:rsidRDefault="00EE79C3" w:rsidP="007B053F">
            <w:pPr>
              <w:pStyle w:val="TableText"/>
            </w:pPr>
            <w:r>
              <w:t>2023–24</w:t>
            </w:r>
          </w:p>
        </w:tc>
        <w:tc>
          <w:tcPr>
            <w:tcW w:w="2710" w:type="dxa"/>
          </w:tcPr>
          <w:p w14:paraId="52F33DF7" w14:textId="77777777" w:rsidR="00856406" w:rsidRPr="00717004" w:rsidRDefault="00856406" w:rsidP="007B053F">
            <w:pPr>
              <w:pStyle w:val="TableText"/>
            </w:pPr>
            <w:r>
              <w:t>Housing Community Connector Program</w:t>
            </w:r>
          </w:p>
        </w:tc>
        <w:tc>
          <w:tcPr>
            <w:tcW w:w="1141" w:type="dxa"/>
          </w:tcPr>
          <w:p w14:paraId="589D1CBF" w14:textId="77777777" w:rsidR="00856406" w:rsidRPr="00717004" w:rsidRDefault="00856406" w:rsidP="007B053F">
            <w:pPr>
              <w:pStyle w:val="TableTextRight"/>
            </w:pPr>
            <w:r w:rsidRPr="00717004">
              <w:t>$372,982</w:t>
            </w:r>
          </w:p>
        </w:tc>
        <w:tc>
          <w:tcPr>
            <w:tcW w:w="1374" w:type="dxa"/>
          </w:tcPr>
          <w:p w14:paraId="1E64BA6F" w14:textId="77777777" w:rsidR="00856406" w:rsidRPr="00717004" w:rsidRDefault="00856406" w:rsidP="007B053F">
            <w:pPr>
              <w:pStyle w:val="TableTextRight"/>
            </w:pPr>
            <w:r w:rsidRPr="00717004">
              <w:t>$164,113</w:t>
            </w:r>
          </w:p>
        </w:tc>
      </w:tr>
      <w:tr w:rsidR="00856406" w:rsidRPr="009C1F7F" w14:paraId="4885AA59" w14:textId="77777777" w:rsidTr="007B053F">
        <w:tc>
          <w:tcPr>
            <w:tcW w:w="2706" w:type="dxa"/>
          </w:tcPr>
          <w:p w14:paraId="50F32878" w14:textId="77777777" w:rsidR="00856406" w:rsidRPr="00717004" w:rsidRDefault="00856406" w:rsidP="007B053F">
            <w:pPr>
              <w:pStyle w:val="TableText"/>
            </w:pPr>
            <w:r w:rsidRPr="00717004">
              <w:t>Housing</w:t>
            </w:r>
            <w:r>
              <w:t xml:space="preserve"> </w:t>
            </w:r>
            <w:r w:rsidRPr="00717004">
              <w:t>for</w:t>
            </w:r>
            <w:r>
              <w:t xml:space="preserve"> </w:t>
            </w:r>
            <w:r w:rsidRPr="00717004">
              <w:t>the</w:t>
            </w:r>
            <w:r>
              <w:t xml:space="preserve"> </w:t>
            </w:r>
            <w:r w:rsidRPr="00717004">
              <w:t>Aged</w:t>
            </w:r>
            <w:r>
              <w:t xml:space="preserve"> </w:t>
            </w:r>
            <w:r w:rsidRPr="00717004">
              <w:t>Action</w:t>
            </w:r>
            <w:r>
              <w:t xml:space="preserve"> </w:t>
            </w:r>
            <w:r w:rsidRPr="00717004">
              <w:t>Group</w:t>
            </w:r>
          </w:p>
        </w:tc>
        <w:tc>
          <w:tcPr>
            <w:tcW w:w="1141" w:type="dxa"/>
          </w:tcPr>
          <w:p w14:paraId="1B646F1E" w14:textId="1E504C77" w:rsidR="00856406" w:rsidRDefault="00EE79C3" w:rsidP="007B053F">
            <w:pPr>
              <w:pStyle w:val="TableText"/>
            </w:pPr>
            <w:r>
              <w:t>2023–24</w:t>
            </w:r>
          </w:p>
        </w:tc>
        <w:tc>
          <w:tcPr>
            <w:tcW w:w="2710" w:type="dxa"/>
          </w:tcPr>
          <w:p w14:paraId="77079E79" w14:textId="77777777" w:rsidR="00856406" w:rsidRPr="00717004" w:rsidRDefault="00856406" w:rsidP="007B053F">
            <w:pPr>
              <w:pStyle w:val="TableText"/>
            </w:pPr>
            <w:r w:rsidRPr="00717004">
              <w:t>RSSP</w:t>
            </w:r>
          </w:p>
        </w:tc>
        <w:tc>
          <w:tcPr>
            <w:tcW w:w="1141" w:type="dxa"/>
          </w:tcPr>
          <w:p w14:paraId="7A577A38" w14:textId="77777777" w:rsidR="00856406" w:rsidRPr="00717004" w:rsidRDefault="00856406" w:rsidP="007B053F">
            <w:pPr>
              <w:pStyle w:val="TableTextRight"/>
            </w:pPr>
            <w:r w:rsidRPr="00717004">
              <w:t>$667,505</w:t>
            </w:r>
          </w:p>
        </w:tc>
        <w:tc>
          <w:tcPr>
            <w:tcW w:w="1374" w:type="dxa"/>
          </w:tcPr>
          <w:p w14:paraId="08F8B6B3" w14:textId="77777777" w:rsidR="00856406" w:rsidRPr="00717004" w:rsidRDefault="00856406" w:rsidP="007B053F">
            <w:pPr>
              <w:pStyle w:val="TableTextRight"/>
            </w:pPr>
            <w:r w:rsidRPr="00717004">
              <w:t>$</w:t>
            </w:r>
            <w:r>
              <w:t>292,907</w:t>
            </w:r>
          </w:p>
        </w:tc>
      </w:tr>
      <w:tr w:rsidR="00856406" w:rsidRPr="009C1F7F" w14:paraId="19E074E5" w14:textId="77777777" w:rsidTr="007B053F">
        <w:tc>
          <w:tcPr>
            <w:tcW w:w="2706" w:type="dxa"/>
          </w:tcPr>
          <w:p w14:paraId="4AE4F073" w14:textId="77777777" w:rsidR="00856406" w:rsidRPr="00717004" w:rsidRDefault="00856406" w:rsidP="007B053F">
            <w:pPr>
              <w:pStyle w:val="TableText"/>
            </w:pPr>
            <w:r w:rsidRPr="00717004">
              <w:t>Justice</w:t>
            </w:r>
            <w:r>
              <w:t xml:space="preserve"> </w:t>
            </w:r>
            <w:r w:rsidRPr="00717004">
              <w:t>Connect</w:t>
            </w:r>
          </w:p>
        </w:tc>
        <w:tc>
          <w:tcPr>
            <w:tcW w:w="1141" w:type="dxa"/>
          </w:tcPr>
          <w:p w14:paraId="4BE936A1" w14:textId="490F68F9" w:rsidR="00856406" w:rsidRDefault="00EE79C3" w:rsidP="007B053F">
            <w:pPr>
              <w:pStyle w:val="TableText"/>
            </w:pPr>
            <w:r>
              <w:t>2023–24</w:t>
            </w:r>
          </w:p>
        </w:tc>
        <w:tc>
          <w:tcPr>
            <w:tcW w:w="2710" w:type="dxa"/>
          </w:tcPr>
          <w:p w14:paraId="4CE1A9EF" w14:textId="77777777" w:rsidR="00856406" w:rsidRPr="00717004" w:rsidRDefault="00856406" w:rsidP="007B053F">
            <w:pPr>
              <w:pStyle w:val="TableText"/>
            </w:pPr>
            <w:r>
              <w:t>Homeless Law</w:t>
            </w:r>
          </w:p>
        </w:tc>
        <w:tc>
          <w:tcPr>
            <w:tcW w:w="1141" w:type="dxa"/>
          </w:tcPr>
          <w:p w14:paraId="084121CD" w14:textId="77777777" w:rsidR="00856406" w:rsidRPr="00717004" w:rsidRDefault="00856406" w:rsidP="007B053F">
            <w:pPr>
              <w:pStyle w:val="TableTextRight"/>
            </w:pPr>
            <w:r w:rsidRPr="00717004">
              <w:t>$750,000</w:t>
            </w:r>
          </w:p>
        </w:tc>
        <w:tc>
          <w:tcPr>
            <w:tcW w:w="1374" w:type="dxa"/>
          </w:tcPr>
          <w:p w14:paraId="45BA5F22" w14:textId="77777777" w:rsidR="00856406" w:rsidRPr="00717004" w:rsidRDefault="00856406" w:rsidP="007B053F">
            <w:pPr>
              <w:pStyle w:val="TableTextRight"/>
            </w:pPr>
            <w:r>
              <w:t>$249,790</w:t>
            </w:r>
          </w:p>
        </w:tc>
      </w:tr>
      <w:tr w:rsidR="00856406" w:rsidRPr="009C1F7F" w14:paraId="1418496A" w14:textId="77777777" w:rsidTr="007B053F">
        <w:tc>
          <w:tcPr>
            <w:tcW w:w="2706" w:type="dxa"/>
          </w:tcPr>
          <w:p w14:paraId="52F12AFD" w14:textId="77777777" w:rsidR="00856406" w:rsidRPr="00717004" w:rsidRDefault="00856406" w:rsidP="007B053F">
            <w:pPr>
              <w:pStyle w:val="TableText"/>
            </w:pPr>
            <w:r w:rsidRPr="00717004">
              <w:t>Launch</w:t>
            </w:r>
            <w:r>
              <w:t xml:space="preserve"> </w:t>
            </w:r>
            <w:r w:rsidRPr="00717004">
              <w:t>Housing</w:t>
            </w:r>
          </w:p>
        </w:tc>
        <w:tc>
          <w:tcPr>
            <w:tcW w:w="1141" w:type="dxa"/>
          </w:tcPr>
          <w:p w14:paraId="090B15CA" w14:textId="457947BE" w:rsidR="00856406" w:rsidRDefault="00EE79C3" w:rsidP="007B053F">
            <w:pPr>
              <w:pStyle w:val="TableText"/>
            </w:pPr>
            <w:r>
              <w:t>2023–24</w:t>
            </w:r>
          </w:p>
        </w:tc>
        <w:tc>
          <w:tcPr>
            <w:tcW w:w="2710" w:type="dxa"/>
          </w:tcPr>
          <w:p w14:paraId="094F8CC0" w14:textId="77777777" w:rsidR="00856406" w:rsidRPr="00717004" w:rsidRDefault="00856406" w:rsidP="007B053F">
            <w:pPr>
              <w:pStyle w:val="TableText"/>
            </w:pPr>
            <w:r w:rsidRPr="00717004">
              <w:t>RSSP</w:t>
            </w:r>
          </w:p>
        </w:tc>
        <w:tc>
          <w:tcPr>
            <w:tcW w:w="1141" w:type="dxa"/>
          </w:tcPr>
          <w:p w14:paraId="4BD7553A" w14:textId="77777777" w:rsidR="00856406" w:rsidRPr="00717004" w:rsidRDefault="00856406" w:rsidP="007B053F">
            <w:pPr>
              <w:pStyle w:val="TableTextRight"/>
            </w:pPr>
            <w:r w:rsidRPr="00717004">
              <w:t>$1,021,704</w:t>
            </w:r>
          </w:p>
        </w:tc>
        <w:tc>
          <w:tcPr>
            <w:tcW w:w="1374" w:type="dxa"/>
          </w:tcPr>
          <w:p w14:paraId="1EED63BF" w14:textId="77777777" w:rsidR="00856406" w:rsidRPr="00717004" w:rsidRDefault="00856406" w:rsidP="007B053F">
            <w:pPr>
              <w:pStyle w:val="TableTextRight"/>
            </w:pPr>
            <w:r>
              <w:t>$441,254</w:t>
            </w:r>
          </w:p>
        </w:tc>
      </w:tr>
      <w:tr w:rsidR="00856406" w:rsidRPr="009C1F7F" w14:paraId="35FB4A56" w14:textId="77777777" w:rsidTr="007B053F">
        <w:tc>
          <w:tcPr>
            <w:tcW w:w="2706" w:type="dxa"/>
          </w:tcPr>
          <w:p w14:paraId="02C535BD" w14:textId="77777777" w:rsidR="00856406" w:rsidRPr="00717004" w:rsidRDefault="00856406" w:rsidP="007B053F">
            <w:pPr>
              <w:pStyle w:val="TableText"/>
            </w:pPr>
            <w:r w:rsidRPr="00717004">
              <w:t>Mallee</w:t>
            </w:r>
            <w:r>
              <w:t xml:space="preserve"> </w:t>
            </w:r>
            <w:r w:rsidRPr="00717004">
              <w:t>Family</w:t>
            </w:r>
            <w:r>
              <w:t xml:space="preserve"> </w:t>
            </w:r>
            <w:r w:rsidRPr="00717004">
              <w:t>Care</w:t>
            </w:r>
          </w:p>
        </w:tc>
        <w:tc>
          <w:tcPr>
            <w:tcW w:w="1141" w:type="dxa"/>
          </w:tcPr>
          <w:p w14:paraId="62AB390C" w14:textId="2C845BFD" w:rsidR="00856406" w:rsidRDefault="00EE79C3" w:rsidP="007B053F">
            <w:pPr>
              <w:pStyle w:val="TableText"/>
            </w:pPr>
            <w:r>
              <w:t>2023–24</w:t>
            </w:r>
          </w:p>
        </w:tc>
        <w:tc>
          <w:tcPr>
            <w:tcW w:w="2710" w:type="dxa"/>
          </w:tcPr>
          <w:p w14:paraId="5DB873B3" w14:textId="77777777" w:rsidR="00856406" w:rsidRPr="00717004" w:rsidRDefault="00856406" w:rsidP="007B053F">
            <w:pPr>
              <w:pStyle w:val="TableText"/>
            </w:pPr>
            <w:r w:rsidRPr="00717004">
              <w:t>RSSP</w:t>
            </w:r>
          </w:p>
        </w:tc>
        <w:tc>
          <w:tcPr>
            <w:tcW w:w="1141" w:type="dxa"/>
          </w:tcPr>
          <w:p w14:paraId="083B91EB" w14:textId="77777777" w:rsidR="00856406" w:rsidRPr="00717004" w:rsidRDefault="00856406" w:rsidP="007B053F">
            <w:pPr>
              <w:pStyle w:val="TableTextRight"/>
            </w:pPr>
            <w:r w:rsidRPr="00717004">
              <w:t>$170,027</w:t>
            </w:r>
          </w:p>
        </w:tc>
        <w:tc>
          <w:tcPr>
            <w:tcW w:w="1374" w:type="dxa"/>
          </w:tcPr>
          <w:p w14:paraId="70598975" w14:textId="77777777" w:rsidR="00856406" w:rsidRPr="00717004" w:rsidRDefault="00856406" w:rsidP="007B053F">
            <w:pPr>
              <w:pStyle w:val="TableTextRight"/>
            </w:pPr>
            <w:r>
              <w:t>$71,630</w:t>
            </w:r>
          </w:p>
        </w:tc>
      </w:tr>
      <w:tr w:rsidR="00856406" w:rsidRPr="009C1F7F" w14:paraId="29B06DC9" w14:textId="77777777" w:rsidTr="007B053F">
        <w:tc>
          <w:tcPr>
            <w:tcW w:w="2706" w:type="dxa"/>
          </w:tcPr>
          <w:p w14:paraId="045F9066" w14:textId="77777777" w:rsidR="00856406" w:rsidRPr="00717004" w:rsidRDefault="00856406" w:rsidP="007B053F">
            <w:pPr>
              <w:pStyle w:val="TableText"/>
            </w:pPr>
            <w:r w:rsidRPr="00717004">
              <w:t>Quantum</w:t>
            </w:r>
            <w:r>
              <w:t xml:space="preserve"> </w:t>
            </w:r>
            <w:r w:rsidRPr="00717004">
              <w:t>Support</w:t>
            </w:r>
            <w:r>
              <w:t xml:space="preserve"> </w:t>
            </w:r>
            <w:r w:rsidRPr="00717004">
              <w:t>Services</w:t>
            </w:r>
          </w:p>
        </w:tc>
        <w:tc>
          <w:tcPr>
            <w:tcW w:w="1141" w:type="dxa"/>
          </w:tcPr>
          <w:p w14:paraId="613353A6" w14:textId="1539A657" w:rsidR="00856406" w:rsidRDefault="00EE79C3" w:rsidP="007B053F">
            <w:pPr>
              <w:pStyle w:val="TableText"/>
            </w:pPr>
            <w:r>
              <w:t>2023–24</w:t>
            </w:r>
          </w:p>
        </w:tc>
        <w:tc>
          <w:tcPr>
            <w:tcW w:w="2710" w:type="dxa"/>
          </w:tcPr>
          <w:p w14:paraId="091CE2CC" w14:textId="77777777" w:rsidR="00856406" w:rsidRPr="00717004" w:rsidRDefault="00856406" w:rsidP="007B053F">
            <w:pPr>
              <w:pStyle w:val="TableText"/>
            </w:pPr>
            <w:r w:rsidRPr="00717004">
              <w:t>RSSP</w:t>
            </w:r>
          </w:p>
        </w:tc>
        <w:tc>
          <w:tcPr>
            <w:tcW w:w="1141" w:type="dxa"/>
          </w:tcPr>
          <w:p w14:paraId="34355745" w14:textId="77777777" w:rsidR="00856406" w:rsidRPr="00717004" w:rsidRDefault="00856406" w:rsidP="007B053F">
            <w:pPr>
              <w:pStyle w:val="TableTextRight"/>
            </w:pPr>
            <w:r w:rsidRPr="00717004">
              <w:t>$343,206</w:t>
            </w:r>
          </w:p>
        </w:tc>
        <w:tc>
          <w:tcPr>
            <w:tcW w:w="1374" w:type="dxa"/>
          </w:tcPr>
          <w:p w14:paraId="7D61BD84" w14:textId="77777777" w:rsidR="00856406" w:rsidRPr="00717004" w:rsidRDefault="00856406" w:rsidP="007B053F">
            <w:pPr>
              <w:pStyle w:val="TableTextRight"/>
            </w:pPr>
            <w:r>
              <w:t>$169,067</w:t>
            </w:r>
          </w:p>
        </w:tc>
      </w:tr>
      <w:tr w:rsidR="00856406" w:rsidRPr="009C1F7F" w14:paraId="388BB43D" w14:textId="77777777" w:rsidTr="007B053F">
        <w:tc>
          <w:tcPr>
            <w:tcW w:w="2706" w:type="dxa"/>
          </w:tcPr>
          <w:p w14:paraId="7070832C" w14:textId="77777777" w:rsidR="00856406" w:rsidRPr="00717004" w:rsidRDefault="00856406" w:rsidP="007B053F">
            <w:pPr>
              <w:pStyle w:val="TableText"/>
            </w:pPr>
            <w:r w:rsidRPr="00717004">
              <w:t>South</w:t>
            </w:r>
            <w:r>
              <w:t xml:space="preserve"> </w:t>
            </w:r>
            <w:r w:rsidRPr="00717004">
              <w:t>East</w:t>
            </w:r>
            <w:r>
              <w:t xml:space="preserve"> </w:t>
            </w:r>
            <w:r w:rsidRPr="00717004">
              <w:t>Community</w:t>
            </w:r>
            <w:r>
              <w:t xml:space="preserve"> </w:t>
            </w:r>
            <w:r w:rsidRPr="00717004">
              <w:t>Links</w:t>
            </w:r>
          </w:p>
        </w:tc>
        <w:tc>
          <w:tcPr>
            <w:tcW w:w="1141" w:type="dxa"/>
          </w:tcPr>
          <w:p w14:paraId="27650FF2" w14:textId="59B071A5" w:rsidR="00856406" w:rsidRDefault="00EE79C3" w:rsidP="007B053F">
            <w:pPr>
              <w:pStyle w:val="TableText"/>
            </w:pPr>
            <w:r>
              <w:t>2023–24</w:t>
            </w:r>
          </w:p>
        </w:tc>
        <w:tc>
          <w:tcPr>
            <w:tcW w:w="2710" w:type="dxa"/>
          </w:tcPr>
          <w:p w14:paraId="6B216C30" w14:textId="77777777" w:rsidR="00856406" w:rsidRPr="00717004" w:rsidRDefault="00856406" w:rsidP="007B053F">
            <w:pPr>
              <w:pStyle w:val="TableText"/>
            </w:pPr>
            <w:r>
              <w:t>Private Renter Support Program</w:t>
            </w:r>
          </w:p>
        </w:tc>
        <w:tc>
          <w:tcPr>
            <w:tcW w:w="1141" w:type="dxa"/>
          </w:tcPr>
          <w:p w14:paraId="7C404CE5" w14:textId="77777777" w:rsidR="00856406" w:rsidRPr="00717004" w:rsidRDefault="00856406" w:rsidP="007B053F">
            <w:pPr>
              <w:pStyle w:val="TableTextRight"/>
            </w:pPr>
            <w:r w:rsidRPr="00717004">
              <w:t>$661,560</w:t>
            </w:r>
          </w:p>
        </w:tc>
        <w:tc>
          <w:tcPr>
            <w:tcW w:w="1374" w:type="dxa"/>
          </w:tcPr>
          <w:p w14:paraId="49D2D6EA" w14:textId="77777777" w:rsidR="00856406" w:rsidRPr="00717004" w:rsidRDefault="00856406" w:rsidP="007B053F">
            <w:pPr>
              <w:pStyle w:val="TableTextRight"/>
            </w:pPr>
            <w:r>
              <w:t>$290,260</w:t>
            </w:r>
          </w:p>
        </w:tc>
      </w:tr>
      <w:tr w:rsidR="00856406" w:rsidRPr="009C1F7F" w14:paraId="63B5ECEA" w14:textId="77777777" w:rsidTr="007B053F">
        <w:trPr>
          <w:trHeight w:val="53"/>
        </w:trPr>
        <w:tc>
          <w:tcPr>
            <w:tcW w:w="2706" w:type="dxa"/>
          </w:tcPr>
          <w:p w14:paraId="628E4AD8" w14:textId="77777777" w:rsidR="00856406" w:rsidRPr="00717004" w:rsidRDefault="00856406" w:rsidP="007B053F">
            <w:pPr>
              <w:pStyle w:val="TableText"/>
            </w:pPr>
            <w:r w:rsidRPr="00717004">
              <w:t>Tenants</w:t>
            </w:r>
            <w:r>
              <w:t xml:space="preserve"> </w:t>
            </w:r>
            <w:r w:rsidRPr="00717004">
              <w:t>Victoria</w:t>
            </w:r>
          </w:p>
        </w:tc>
        <w:tc>
          <w:tcPr>
            <w:tcW w:w="1141" w:type="dxa"/>
          </w:tcPr>
          <w:p w14:paraId="07DA33A3" w14:textId="0A4B2250" w:rsidR="00856406" w:rsidRDefault="00EE79C3" w:rsidP="007B053F">
            <w:pPr>
              <w:pStyle w:val="TableText"/>
            </w:pPr>
            <w:r>
              <w:t>2023–24</w:t>
            </w:r>
          </w:p>
        </w:tc>
        <w:tc>
          <w:tcPr>
            <w:tcW w:w="2710" w:type="dxa"/>
          </w:tcPr>
          <w:p w14:paraId="58FBAEA8" w14:textId="77777777" w:rsidR="00856406" w:rsidRPr="00717004" w:rsidRDefault="00856406" w:rsidP="007B053F">
            <w:pPr>
              <w:pStyle w:val="TableText"/>
            </w:pPr>
            <w:r w:rsidRPr="00717004">
              <w:t>The</w:t>
            </w:r>
            <w:r>
              <w:t xml:space="preserve"> </w:t>
            </w:r>
            <w:r w:rsidRPr="00717004">
              <w:t>Rental</w:t>
            </w:r>
            <w:r>
              <w:t xml:space="preserve"> </w:t>
            </w:r>
            <w:r w:rsidRPr="00717004">
              <w:t>Stress</w:t>
            </w:r>
            <w:r>
              <w:t xml:space="preserve"> </w:t>
            </w:r>
            <w:r w:rsidRPr="00717004">
              <w:t>Hub</w:t>
            </w:r>
          </w:p>
        </w:tc>
        <w:tc>
          <w:tcPr>
            <w:tcW w:w="1141" w:type="dxa"/>
          </w:tcPr>
          <w:p w14:paraId="4A6856F2" w14:textId="77777777" w:rsidR="00856406" w:rsidRPr="00717004" w:rsidRDefault="00856406" w:rsidP="007B053F">
            <w:pPr>
              <w:pStyle w:val="TableTextRight"/>
            </w:pPr>
            <w:r w:rsidRPr="00717004">
              <w:t>$2,000,000</w:t>
            </w:r>
          </w:p>
        </w:tc>
        <w:tc>
          <w:tcPr>
            <w:tcW w:w="1374" w:type="dxa"/>
          </w:tcPr>
          <w:p w14:paraId="1FDC5BAE" w14:textId="77777777" w:rsidR="00856406" w:rsidRPr="00717004" w:rsidRDefault="00856406" w:rsidP="007B053F">
            <w:pPr>
              <w:pStyle w:val="TableTextRight"/>
            </w:pPr>
            <w:r w:rsidRPr="00717004">
              <w:t>$1,500,000</w:t>
            </w:r>
          </w:p>
        </w:tc>
      </w:tr>
    </w:tbl>
    <w:p w14:paraId="45F07E2B" w14:textId="77777777" w:rsidR="00856406" w:rsidRDefault="00856406" w:rsidP="00447322">
      <w:pPr>
        <w:pStyle w:val="Heading3"/>
      </w:pPr>
      <w:r w:rsidRPr="00EB0C9A">
        <w:t>Renter</w:t>
      </w:r>
      <w:r>
        <w:t xml:space="preserve"> </w:t>
      </w:r>
      <w:r w:rsidRPr="00EB0C9A">
        <w:t>and</w:t>
      </w:r>
      <w:r>
        <w:t xml:space="preserve"> c</w:t>
      </w:r>
      <w:r w:rsidRPr="00EB0C9A">
        <w:t>onsumer</w:t>
      </w:r>
      <w:r>
        <w:t xml:space="preserve"> c</w:t>
      </w:r>
      <w:r w:rsidRPr="00EB0C9A">
        <w:t>onfidence</w:t>
      </w:r>
      <w:r>
        <w:t xml:space="preserve"> i</w:t>
      </w:r>
      <w:r w:rsidRPr="00EB0C9A">
        <w:t>ndices</w:t>
      </w:r>
    </w:p>
    <w:p w14:paraId="362506E5" w14:textId="77777777" w:rsidR="00856406" w:rsidRDefault="00856406" w:rsidP="00F45F3A">
      <w:pPr>
        <w:pStyle w:val="BodyText"/>
      </w:pPr>
      <w:r>
        <w:t xml:space="preserve">Our Strategic Plan commits us to measuring our progress against key outcome indicators, including ‘increased confidence of consumers and renters in exercising their rights.’ To help us </w:t>
      </w:r>
      <w:r w:rsidDel="00090821">
        <w:t>understand</w:t>
      </w:r>
      <w:r>
        <w:t xml:space="preserve"> consumer and renter confidence, CAV commissioned the Consumer Policy Research Centre (CPRC) to research the experiences of Victorians exercising their consumer and renter rights.</w:t>
      </w:r>
    </w:p>
    <w:p w14:paraId="45865FC6" w14:textId="77777777" w:rsidR="00856406" w:rsidRDefault="00856406" w:rsidP="00F45F3A">
      <w:pPr>
        <w:pStyle w:val="BodyText"/>
      </w:pPr>
      <w:r>
        <w:t>The renter research commenced in March 2025, with the CPRC conducting an online survey of 1,000 Victorian renters. This research aimed to assess the confidence of Victorian renters in exercising their rights and to identify opportunities to strengthen that confidence. The survey results provided a rich and detailed source of information on the experiences of Victorian renters and areas where CAV, as a regulator, can protect renters’ rights and enhance the ability and confidence of renters to exercise those rights.</w:t>
      </w:r>
    </w:p>
    <w:p w14:paraId="4F150DF0" w14:textId="1466DF45" w:rsidR="00856406" w:rsidRDefault="00856406" w:rsidP="00F45F3A">
      <w:pPr>
        <w:pStyle w:val="BodyText"/>
      </w:pPr>
      <w:r>
        <w:t xml:space="preserve">Research into the experience of Victorian consumers will be undertaken in </w:t>
      </w:r>
      <w:r w:rsidR="00EE79C3">
        <w:t>2025–26</w:t>
      </w:r>
      <w:r>
        <w:t xml:space="preserve">. The index scores from these studies will form benchmark data. We plan to repeat this research in future years to help track CAV’s performance and effectiveness. </w:t>
      </w:r>
    </w:p>
    <w:p w14:paraId="75C49650" w14:textId="77777777" w:rsidR="00856406" w:rsidRPr="00722014" w:rsidRDefault="00856406" w:rsidP="00447322">
      <w:pPr>
        <w:pStyle w:val="Heading2"/>
      </w:pPr>
      <w:bookmarkStart w:id="43" w:name="_Toc204243155"/>
      <w:bookmarkStart w:id="44" w:name="_Toc211518577"/>
      <w:bookmarkStart w:id="45" w:name="_Toc212562063"/>
      <w:r w:rsidRPr="00722014">
        <w:t>Businesses</w:t>
      </w:r>
      <w:r>
        <w:t xml:space="preserve"> </w:t>
      </w:r>
      <w:r w:rsidRPr="00722014">
        <w:t>and</w:t>
      </w:r>
      <w:r>
        <w:t xml:space="preserve"> </w:t>
      </w:r>
      <w:r w:rsidRPr="00722014">
        <w:t>rental</w:t>
      </w:r>
      <w:r>
        <w:t xml:space="preserve"> </w:t>
      </w:r>
      <w:r w:rsidRPr="00722014">
        <w:t>providers</w:t>
      </w:r>
      <w:r>
        <w:t xml:space="preserve"> </w:t>
      </w:r>
      <w:r w:rsidRPr="00722014">
        <w:t>do</w:t>
      </w:r>
      <w:r>
        <w:t xml:space="preserve"> </w:t>
      </w:r>
      <w:r w:rsidRPr="00722014">
        <w:t>the</w:t>
      </w:r>
      <w:r>
        <w:t xml:space="preserve"> </w:t>
      </w:r>
      <w:r w:rsidRPr="00722014">
        <w:t>right</w:t>
      </w:r>
      <w:r>
        <w:t xml:space="preserve"> </w:t>
      </w:r>
      <w:r w:rsidRPr="00722014">
        <w:t>thing</w:t>
      </w:r>
      <w:bookmarkEnd w:id="43"/>
      <w:bookmarkEnd w:id="44"/>
      <w:bookmarkEnd w:id="45"/>
    </w:p>
    <w:p w14:paraId="11C76B02" w14:textId="77777777" w:rsidR="00856406" w:rsidRPr="00C12FBA" w:rsidRDefault="00856406" w:rsidP="00447322">
      <w:pPr>
        <w:pStyle w:val="Heading3"/>
      </w:pPr>
      <w:r w:rsidRPr="00C12FBA">
        <w:t>Licensing</w:t>
      </w:r>
      <w:r>
        <w:t xml:space="preserve"> </w:t>
      </w:r>
      <w:r w:rsidRPr="00C12FBA">
        <w:t>and</w:t>
      </w:r>
      <w:r>
        <w:t xml:space="preserve"> </w:t>
      </w:r>
      <w:r w:rsidRPr="00C12FBA">
        <w:t>registration</w:t>
      </w:r>
      <w:r>
        <w:t xml:space="preserve"> </w:t>
      </w:r>
      <w:r w:rsidRPr="00C12FBA">
        <w:t>upgrades</w:t>
      </w:r>
    </w:p>
    <w:p w14:paraId="2A60ED97" w14:textId="6AC024B5" w:rsidR="00856406" w:rsidRPr="00904D17" w:rsidRDefault="00856406" w:rsidP="00F45F3A">
      <w:pPr>
        <w:pStyle w:val="BodyText"/>
      </w:pPr>
      <w:r>
        <w:t>Licen</w:t>
      </w:r>
      <w:r w:rsidR="00EE79C3">
        <w:t>si</w:t>
      </w:r>
      <w:r>
        <w:t xml:space="preserve">ng and registering businesses, professionals and community organisations helps protect consumers and the community by ensuring </w:t>
      </w:r>
      <w:r w:rsidRPr="00904D17">
        <w:t>transparency,</w:t>
      </w:r>
      <w:r>
        <w:t xml:space="preserve"> </w:t>
      </w:r>
      <w:r w:rsidRPr="00904D17">
        <w:t>accountability,</w:t>
      </w:r>
      <w:r>
        <w:t xml:space="preserve"> </w:t>
      </w:r>
      <w:r w:rsidRPr="00904D17">
        <w:t>and</w:t>
      </w:r>
      <w:r>
        <w:t xml:space="preserve"> </w:t>
      </w:r>
      <w:r w:rsidRPr="00904D17">
        <w:t>compliance</w:t>
      </w:r>
      <w:r>
        <w:t xml:space="preserve"> </w:t>
      </w:r>
      <w:r w:rsidRPr="00904D17">
        <w:t>with</w:t>
      </w:r>
      <w:r>
        <w:t xml:space="preserve"> </w:t>
      </w:r>
      <w:r w:rsidRPr="00904D17">
        <w:t>legal</w:t>
      </w:r>
      <w:r>
        <w:t xml:space="preserve"> </w:t>
      </w:r>
      <w:r w:rsidRPr="00904D17">
        <w:t>and</w:t>
      </w:r>
      <w:r>
        <w:t xml:space="preserve"> </w:t>
      </w:r>
      <w:r w:rsidRPr="00904D17">
        <w:t>regulatory</w:t>
      </w:r>
      <w:r>
        <w:t xml:space="preserve"> </w:t>
      </w:r>
      <w:r w:rsidRPr="00904D17">
        <w:t>standards.</w:t>
      </w:r>
      <w:r>
        <w:t xml:space="preserve"> It </w:t>
      </w:r>
      <w:r w:rsidRPr="00904D17">
        <w:t>ensures</w:t>
      </w:r>
      <w:r>
        <w:t xml:space="preserve"> </w:t>
      </w:r>
      <w:r w:rsidRPr="00904D17">
        <w:t>that</w:t>
      </w:r>
      <w:r>
        <w:t xml:space="preserve"> </w:t>
      </w:r>
      <w:r w:rsidRPr="00904D17">
        <w:t>key</w:t>
      </w:r>
      <w:r>
        <w:t xml:space="preserve"> </w:t>
      </w:r>
      <w:r w:rsidRPr="00904D17">
        <w:t>information</w:t>
      </w:r>
      <w:r>
        <w:t xml:space="preserve">, such as governance structures, financial accountability and statutory obligations, </w:t>
      </w:r>
      <w:r w:rsidRPr="00904D17">
        <w:t>is</w:t>
      </w:r>
      <w:r>
        <w:t xml:space="preserve"> </w:t>
      </w:r>
      <w:r w:rsidRPr="00904D17">
        <w:t>available</w:t>
      </w:r>
      <w:r>
        <w:t xml:space="preserve"> </w:t>
      </w:r>
      <w:r w:rsidRPr="00904D17">
        <w:t>and</w:t>
      </w:r>
      <w:r>
        <w:t xml:space="preserve"> </w:t>
      </w:r>
      <w:r w:rsidRPr="00904D17">
        <w:t>monitored,</w:t>
      </w:r>
      <w:r>
        <w:t xml:space="preserve"> </w:t>
      </w:r>
      <w:r w:rsidRPr="00904D17">
        <w:t>build</w:t>
      </w:r>
      <w:r>
        <w:t xml:space="preserve">ing </w:t>
      </w:r>
      <w:r w:rsidRPr="00904D17">
        <w:t>trust</w:t>
      </w:r>
      <w:r>
        <w:t xml:space="preserve"> </w:t>
      </w:r>
      <w:r w:rsidRPr="00904D17">
        <w:t>and</w:t>
      </w:r>
      <w:r>
        <w:t xml:space="preserve"> </w:t>
      </w:r>
      <w:r w:rsidRPr="00904D17">
        <w:t>confidence</w:t>
      </w:r>
      <w:r>
        <w:t xml:space="preserve"> </w:t>
      </w:r>
      <w:r w:rsidRPr="00904D17">
        <w:t>in</w:t>
      </w:r>
      <w:r>
        <w:t xml:space="preserve"> a business or </w:t>
      </w:r>
      <w:r w:rsidRPr="00904D17">
        <w:t>organisation’s</w:t>
      </w:r>
      <w:r>
        <w:t xml:space="preserve"> </w:t>
      </w:r>
      <w:r w:rsidRPr="00904D17">
        <w:t>operations.</w:t>
      </w:r>
    </w:p>
    <w:p w14:paraId="638786BB" w14:textId="77777777" w:rsidR="00856406" w:rsidRDefault="00856406" w:rsidP="00F45F3A">
      <w:pPr>
        <w:pStyle w:val="BodyText"/>
      </w:pPr>
      <w:r>
        <w:t>CAV supports the Business Licensing Authority (BLA) to administer its licensing responsibilities and functions, and also directly administers a number of registration schemes.</w:t>
      </w:r>
    </w:p>
    <w:p w14:paraId="61489BB5" w14:textId="77777777" w:rsidR="00856406" w:rsidRPr="009C0EF7" w:rsidRDefault="00856406" w:rsidP="00F45F3A">
      <w:pPr>
        <w:pStyle w:val="BodyText"/>
      </w:pPr>
      <w:r>
        <w:t xml:space="preserve">In May 2025, CAV completed a major digital improvement project, upgrading its online myCAV system to consolidate all licensing and registration schemes under a single entry point. This involved transitioning about </w:t>
      </w:r>
      <w:r w:rsidRPr="00804726">
        <w:t>40,000</w:t>
      </w:r>
      <w:r>
        <w:t xml:space="preserve"> i</w:t>
      </w:r>
      <w:r w:rsidRPr="00804726">
        <w:t>ncorporated</w:t>
      </w:r>
      <w:r>
        <w:t xml:space="preserve"> a</w:t>
      </w:r>
      <w:r w:rsidRPr="00804726">
        <w:t>ssociations</w:t>
      </w:r>
      <w:r>
        <w:t xml:space="preserve"> </w:t>
      </w:r>
      <w:r w:rsidRPr="00804726">
        <w:t>and</w:t>
      </w:r>
      <w:r>
        <w:t xml:space="preserve"> </w:t>
      </w:r>
      <w:r w:rsidRPr="00804726">
        <w:t>500</w:t>
      </w:r>
      <w:r>
        <w:t xml:space="preserve"> c</w:t>
      </w:r>
      <w:r w:rsidRPr="00804726">
        <w:t>o-</w:t>
      </w:r>
      <w:r>
        <w:t>o</w:t>
      </w:r>
      <w:r w:rsidRPr="00804726">
        <w:t>peratives</w:t>
      </w:r>
      <w:r>
        <w:t xml:space="preserve"> to the more modern online platform. This makes transacting with government and meeting regulatory requirements much easier and faster for these groups, and leaves them more time to get on with their work. </w:t>
      </w:r>
      <w:r w:rsidRPr="009C0EF7">
        <w:t>As</w:t>
      </w:r>
      <w:r>
        <w:t xml:space="preserve"> </w:t>
      </w:r>
      <w:r w:rsidRPr="009C0EF7">
        <w:t>part</w:t>
      </w:r>
      <w:r>
        <w:t xml:space="preserve"> </w:t>
      </w:r>
      <w:r w:rsidRPr="009C0EF7">
        <w:t>of</w:t>
      </w:r>
      <w:r>
        <w:t xml:space="preserve"> </w:t>
      </w:r>
      <w:r w:rsidRPr="009C0EF7">
        <w:t>this</w:t>
      </w:r>
      <w:r>
        <w:t xml:space="preserve"> </w:t>
      </w:r>
      <w:r w:rsidRPr="009C0EF7">
        <w:t>initiative,</w:t>
      </w:r>
      <w:r>
        <w:t xml:space="preserve"> </w:t>
      </w:r>
      <w:r w:rsidRPr="009C0EF7">
        <w:t>public</w:t>
      </w:r>
      <w:r>
        <w:t xml:space="preserve"> </w:t>
      </w:r>
      <w:r w:rsidRPr="009C0EF7">
        <w:t>registers</w:t>
      </w:r>
      <w:r>
        <w:t xml:space="preserve"> </w:t>
      </w:r>
      <w:r w:rsidRPr="009C0EF7" w:rsidDel="00A729EB">
        <w:t>were</w:t>
      </w:r>
      <w:r>
        <w:t xml:space="preserve"> also updated. The Victorian c</w:t>
      </w:r>
      <w:r w:rsidRPr="009C0EF7">
        <w:t>o-operatives</w:t>
      </w:r>
      <w:r>
        <w:t xml:space="preserve"> </w:t>
      </w:r>
      <w:r w:rsidRPr="009C0EF7">
        <w:t>public</w:t>
      </w:r>
      <w:r>
        <w:t xml:space="preserve"> </w:t>
      </w:r>
      <w:r w:rsidRPr="009C0EF7">
        <w:t>register</w:t>
      </w:r>
      <w:r>
        <w:t xml:space="preserve"> is now </w:t>
      </w:r>
      <w:r w:rsidRPr="009C0EF7">
        <w:t>searchable</w:t>
      </w:r>
      <w:r>
        <w:t xml:space="preserve"> </w:t>
      </w:r>
      <w:r w:rsidRPr="009C0EF7">
        <w:t>online,</w:t>
      </w:r>
      <w:r>
        <w:t xml:space="preserve"> </w:t>
      </w:r>
      <w:r w:rsidRPr="009C0EF7">
        <w:t>improving</w:t>
      </w:r>
      <w:r>
        <w:t xml:space="preserve"> </w:t>
      </w:r>
      <w:r w:rsidRPr="009C0EF7">
        <w:t>transparency</w:t>
      </w:r>
      <w:r>
        <w:t xml:space="preserve"> </w:t>
      </w:r>
      <w:r w:rsidRPr="009C0EF7">
        <w:t>and</w:t>
      </w:r>
      <w:r>
        <w:t xml:space="preserve"> </w:t>
      </w:r>
      <w:r w:rsidRPr="009C0EF7">
        <w:t>allowing</w:t>
      </w:r>
      <w:r>
        <w:t xml:space="preserve"> </w:t>
      </w:r>
      <w:r w:rsidRPr="009C0EF7">
        <w:t>stakeholders</w:t>
      </w:r>
      <w:r>
        <w:t xml:space="preserve"> to access public information easily</w:t>
      </w:r>
      <w:r w:rsidRPr="009C0EF7">
        <w:t>.</w:t>
      </w:r>
    </w:p>
    <w:p w14:paraId="398A5E8C" w14:textId="77777777" w:rsidR="00856406" w:rsidRPr="009C0EF7" w:rsidRDefault="00856406" w:rsidP="00F45F3A">
      <w:pPr>
        <w:pStyle w:val="BodyText"/>
      </w:pPr>
      <w:r>
        <w:t>The table below demonstrates the scope of the BLA and CAV’s management of public registers.</w:t>
      </w:r>
    </w:p>
    <w:p w14:paraId="0DED6F6B" w14:textId="77777777" w:rsidR="001B3300" w:rsidRDefault="001B3300">
      <w:pPr>
        <w:spacing w:after="0" w:line="240" w:lineRule="auto"/>
        <w:rPr>
          <w:rFonts w:ascii="Arial" w:hAnsi="Arial" w:cs="Arial"/>
          <w:b/>
          <w:bCs/>
          <w:szCs w:val="20"/>
        </w:rPr>
      </w:pPr>
      <w:r>
        <w:br w:type="page"/>
      </w:r>
    </w:p>
    <w:p w14:paraId="0C59FB00" w14:textId="1B1BA09D" w:rsidR="00856406" w:rsidRPr="00A4404F" w:rsidRDefault="00856406" w:rsidP="001B3300">
      <w:pPr>
        <w:pStyle w:val="Caption"/>
      </w:pPr>
      <w:bookmarkStart w:id="46" w:name="_Toc212562072"/>
      <w:r w:rsidRPr="00A4404F">
        <w:t>Table</w:t>
      </w:r>
      <w:r>
        <w:t xml:space="preserve"> 5</w:t>
      </w:r>
      <w:r w:rsidRPr="00A4404F">
        <w:t>:</w:t>
      </w:r>
      <w:r>
        <w:t xml:space="preserve"> </w:t>
      </w:r>
      <w:r w:rsidRPr="00A4404F">
        <w:t>Registers</w:t>
      </w:r>
      <w:r>
        <w:t xml:space="preserve"> </w:t>
      </w:r>
      <w:r w:rsidRPr="00A4404F">
        <w:t>administered</w:t>
      </w:r>
      <w:r>
        <w:t xml:space="preserve"> </w:t>
      </w:r>
      <w:r w:rsidRPr="00A4404F">
        <w:t>by</w:t>
      </w:r>
      <w:r>
        <w:t xml:space="preserve"> </w:t>
      </w:r>
      <w:r w:rsidRPr="00A4404F">
        <w:t>CAV</w:t>
      </w:r>
      <w:bookmarkEnd w:id="46"/>
    </w:p>
    <w:tbl>
      <w:tblPr>
        <w:tblStyle w:val="TableGrid"/>
        <w:tblW w:w="9072" w:type="dxa"/>
        <w:tblLook w:val="06A0" w:firstRow="1" w:lastRow="0" w:firstColumn="1" w:lastColumn="0" w:noHBand="1" w:noVBand="1"/>
      </w:tblPr>
      <w:tblGrid>
        <w:gridCol w:w="3390"/>
        <w:gridCol w:w="930"/>
        <w:gridCol w:w="930"/>
        <w:gridCol w:w="930"/>
        <w:gridCol w:w="930"/>
        <w:gridCol w:w="943"/>
        <w:gridCol w:w="1019"/>
      </w:tblGrid>
      <w:tr w:rsidR="00A831DB" w:rsidRPr="009C1F7F" w14:paraId="47E0E356" w14:textId="77777777" w:rsidTr="00A831DB">
        <w:trPr>
          <w:cnfStyle w:val="100000000000" w:firstRow="1" w:lastRow="0" w:firstColumn="0" w:lastColumn="0" w:oddVBand="0" w:evenVBand="0" w:oddHBand="0" w:evenHBand="0" w:firstRowFirstColumn="0" w:firstRowLastColumn="0" w:lastRowFirstColumn="0" w:lastRowLastColumn="0"/>
          <w:trHeight w:val="270"/>
          <w:tblHeader/>
        </w:trPr>
        <w:tc>
          <w:tcPr>
            <w:tcW w:w="3390" w:type="dxa"/>
            <w:vMerge w:val="restart"/>
          </w:tcPr>
          <w:p w14:paraId="03E35CAE" w14:textId="77777777" w:rsidR="00A831DB" w:rsidRPr="00717004" w:rsidRDefault="00A831DB" w:rsidP="00A831DB">
            <w:pPr>
              <w:pStyle w:val="TableColHead"/>
            </w:pPr>
          </w:p>
        </w:tc>
        <w:tc>
          <w:tcPr>
            <w:tcW w:w="2790" w:type="dxa"/>
            <w:gridSpan w:val="3"/>
          </w:tcPr>
          <w:p w14:paraId="49AEC21E" w14:textId="7A20BF9C" w:rsidR="00A831DB" w:rsidRPr="00717004" w:rsidRDefault="00A831DB" w:rsidP="00A831DB">
            <w:pPr>
              <w:pStyle w:val="TableColHead"/>
              <w:jc w:val="center"/>
            </w:pPr>
            <w:r w:rsidRPr="00717004">
              <w:t>Number</w:t>
            </w:r>
            <w:r>
              <w:t xml:space="preserve"> </w:t>
            </w:r>
            <w:r w:rsidRPr="00717004">
              <w:t>of</w:t>
            </w:r>
            <w:r>
              <w:t xml:space="preserve"> </w:t>
            </w:r>
            <w:r>
              <w:br/>
            </w:r>
            <w:r w:rsidRPr="00717004">
              <w:t>applications</w:t>
            </w:r>
            <w:r>
              <w:t xml:space="preserve"> </w:t>
            </w:r>
            <w:r w:rsidRPr="00717004">
              <w:t>lodged</w:t>
            </w:r>
          </w:p>
        </w:tc>
        <w:tc>
          <w:tcPr>
            <w:tcW w:w="2892" w:type="dxa"/>
            <w:gridSpan w:val="3"/>
          </w:tcPr>
          <w:p w14:paraId="7F6E5C89" w14:textId="1F7A7EFD" w:rsidR="00A831DB" w:rsidRPr="00717004" w:rsidRDefault="00A831DB" w:rsidP="00A831DB">
            <w:pPr>
              <w:pStyle w:val="TableColHead"/>
              <w:jc w:val="center"/>
            </w:pPr>
            <w:r w:rsidRPr="00717004">
              <w:t>Total</w:t>
            </w:r>
            <w:r>
              <w:t xml:space="preserve"> </w:t>
            </w:r>
            <w:r w:rsidRPr="00717004">
              <w:t>on</w:t>
            </w:r>
            <w:r>
              <w:t xml:space="preserve"> </w:t>
            </w:r>
            <w:r w:rsidRPr="00717004">
              <w:t>register</w:t>
            </w:r>
          </w:p>
        </w:tc>
      </w:tr>
      <w:tr w:rsidR="00A831DB" w:rsidRPr="009C1F7F" w14:paraId="1A244EB3" w14:textId="77777777" w:rsidTr="00A831DB">
        <w:trPr>
          <w:cnfStyle w:val="100000000000" w:firstRow="1" w:lastRow="0" w:firstColumn="0" w:lastColumn="0" w:oddVBand="0" w:evenVBand="0" w:oddHBand="0" w:evenHBand="0" w:firstRowFirstColumn="0" w:firstRowLastColumn="0" w:lastRowFirstColumn="0" w:lastRowLastColumn="0"/>
          <w:trHeight w:val="270"/>
          <w:tblHeader/>
        </w:trPr>
        <w:tc>
          <w:tcPr>
            <w:tcW w:w="3390" w:type="dxa"/>
            <w:vMerge/>
          </w:tcPr>
          <w:p w14:paraId="4E8D7806" w14:textId="77777777" w:rsidR="00A831DB" w:rsidRPr="00717004" w:rsidRDefault="00A831DB" w:rsidP="00A831DB">
            <w:pPr>
              <w:pStyle w:val="TableText"/>
            </w:pPr>
          </w:p>
        </w:tc>
        <w:tc>
          <w:tcPr>
            <w:tcW w:w="930" w:type="dxa"/>
          </w:tcPr>
          <w:p w14:paraId="2442668F" w14:textId="2D7DB1BA" w:rsidR="00A831DB" w:rsidRPr="00717004" w:rsidRDefault="00A831DB" w:rsidP="00A831DB">
            <w:pPr>
              <w:pStyle w:val="TableColHeadRight"/>
            </w:pPr>
            <w:r>
              <w:t>2022–23</w:t>
            </w:r>
          </w:p>
        </w:tc>
        <w:tc>
          <w:tcPr>
            <w:tcW w:w="930" w:type="dxa"/>
          </w:tcPr>
          <w:p w14:paraId="22653067" w14:textId="4A18007D" w:rsidR="00A831DB" w:rsidRPr="00717004" w:rsidRDefault="00A831DB" w:rsidP="00A831DB">
            <w:pPr>
              <w:pStyle w:val="TableColHeadRight"/>
            </w:pPr>
            <w:r>
              <w:t xml:space="preserve">2023–24 </w:t>
            </w:r>
          </w:p>
        </w:tc>
        <w:tc>
          <w:tcPr>
            <w:tcW w:w="930" w:type="dxa"/>
          </w:tcPr>
          <w:p w14:paraId="1EFE9897" w14:textId="15D7A609" w:rsidR="00A831DB" w:rsidRPr="00717004" w:rsidRDefault="00A831DB" w:rsidP="00A831DB">
            <w:pPr>
              <w:pStyle w:val="TableColHeadRight"/>
            </w:pPr>
            <w:r>
              <w:t xml:space="preserve">2024–25 </w:t>
            </w:r>
          </w:p>
        </w:tc>
        <w:tc>
          <w:tcPr>
            <w:tcW w:w="930" w:type="dxa"/>
          </w:tcPr>
          <w:p w14:paraId="2830A309" w14:textId="2D8EC223" w:rsidR="00A831DB" w:rsidRPr="00717004" w:rsidRDefault="00A831DB" w:rsidP="00A831DB">
            <w:pPr>
              <w:pStyle w:val="TableColHeadRight"/>
            </w:pPr>
            <w:r>
              <w:t xml:space="preserve">2022–23 </w:t>
            </w:r>
          </w:p>
        </w:tc>
        <w:tc>
          <w:tcPr>
            <w:tcW w:w="943" w:type="dxa"/>
          </w:tcPr>
          <w:p w14:paraId="6CEB635D" w14:textId="58BA951A" w:rsidR="00A831DB" w:rsidRPr="00717004" w:rsidRDefault="00A831DB" w:rsidP="00A831DB">
            <w:pPr>
              <w:pStyle w:val="TableColHeadRight"/>
            </w:pPr>
            <w:r>
              <w:t xml:space="preserve">2023–24 </w:t>
            </w:r>
          </w:p>
        </w:tc>
        <w:tc>
          <w:tcPr>
            <w:tcW w:w="1019" w:type="dxa"/>
          </w:tcPr>
          <w:p w14:paraId="1D4FD17C" w14:textId="08F6DEDD" w:rsidR="00A831DB" w:rsidRPr="00717004" w:rsidRDefault="00A831DB" w:rsidP="00A831DB">
            <w:pPr>
              <w:pStyle w:val="TableColHeadRight"/>
            </w:pPr>
            <w:r>
              <w:t>2024–25</w:t>
            </w:r>
          </w:p>
        </w:tc>
      </w:tr>
      <w:tr w:rsidR="00A831DB" w:rsidRPr="009C1F7F" w14:paraId="372EC994" w14:textId="77777777" w:rsidTr="00A02E61">
        <w:trPr>
          <w:trHeight w:val="270"/>
        </w:trPr>
        <w:tc>
          <w:tcPr>
            <w:tcW w:w="9072" w:type="dxa"/>
            <w:gridSpan w:val="7"/>
            <w:shd w:val="clear" w:color="auto" w:fill="BCCAE5"/>
          </w:tcPr>
          <w:p w14:paraId="6B9B12D8" w14:textId="0D314FF8" w:rsidR="00A831DB" w:rsidRPr="00A831DB" w:rsidRDefault="00A831DB" w:rsidP="00A831DB">
            <w:pPr>
              <w:pStyle w:val="TableTextBold"/>
            </w:pPr>
            <w:r w:rsidRPr="00A831DB">
              <w:t>BLA administered schemes</w:t>
            </w:r>
          </w:p>
        </w:tc>
      </w:tr>
      <w:tr w:rsidR="00856406" w:rsidRPr="009C1F7F" w14:paraId="0AF04A4B" w14:textId="77777777" w:rsidTr="00A831DB">
        <w:trPr>
          <w:trHeight w:val="270"/>
        </w:trPr>
        <w:tc>
          <w:tcPr>
            <w:tcW w:w="3390" w:type="dxa"/>
            <w:hideMark/>
          </w:tcPr>
          <w:p w14:paraId="4E460C59" w14:textId="77777777" w:rsidR="00856406" w:rsidRPr="00717004" w:rsidRDefault="00856406" w:rsidP="001B3300">
            <w:pPr>
              <w:pStyle w:val="TableText"/>
            </w:pPr>
            <w:r w:rsidRPr="00717004">
              <w:t>Estate</w:t>
            </w:r>
            <w:r>
              <w:t xml:space="preserve"> </w:t>
            </w:r>
            <w:r w:rsidRPr="00717004">
              <w:t>agents</w:t>
            </w:r>
            <w:r w:rsidRPr="00717004">
              <w:rPr>
                <w:rStyle w:val="FootnoteReference"/>
              </w:rPr>
              <w:footnoteReference w:id="5"/>
            </w:r>
            <w:r>
              <w:t xml:space="preserve"> </w:t>
            </w:r>
          </w:p>
        </w:tc>
        <w:tc>
          <w:tcPr>
            <w:tcW w:w="930" w:type="dxa"/>
          </w:tcPr>
          <w:p w14:paraId="70548CEB" w14:textId="77777777" w:rsidR="00856406" w:rsidRPr="00717004" w:rsidRDefault="00856406" w:rsidP="001B3300">
            <w:pPr>
              <w:pStyle w:val="TableTextRight"/>
            </w:pPr>
            <w:r w:rsidRPr="00717004">
              <w:t>1,730</w:t>
            </w:r>
          </w:p>
        </w:tc>
        <w:tc>
          <w:tcPr>
            <w:tcW w:w="930" w:type="dxa"/>
          </w:tcPr>
          <w:p w14:paraId="76AF045C" w14:textId="77777777" w:rsidR="00856406" w:rsidRPr="00717004" w:rsidRDefault="00856406" w:rsidP="001B3300">
            <w:pPr>
              <w:pStyle w:val="TableTextRight"/>
            </w:pPr>
            <w:r w:rsidRPr="00717004">
              <w:t>1,874</w:t>
            </w:r>
          </w:p>
        </w:tc>
        <w:tc>
          <w:tcPr>
            <w:tcW w:w="930" w:type="dxa"/>
          </w:tcPr>
          <w:p w14:paraId="33473A54" w14:textId="77777777" w:rsidR="00856406" w:rsidRPr="00717004" w:rsidRDefault="00856406" w:rsidP="001B3300">
            <w:pPr>
              <w:pStyle w:val="TableTextRight"/>
            </w:pPr>
            <w:r w:rsidRPr="00717004">
              <w:t>1,856</w:t>
            </w:r>
          </w:p>
        </w:tc>
        <w:tc>
          <w:tcPr>
            <w:tcW w:w="930" w:type="dxa"/>
          </w:tcPr>
          <w:p w14:paraId="4E957A90" w14:textId="77777777" w:rsidR="00856406" w:rsidRPr="00717004" w:rsidRDefault="00856406" w:rsidP="001B3300">
            <w:pPr>
              <w:pStyle w:val="TableTextRight"/>
            </w:pPr>
            <w:r w:rsidRPr="00717004">
              <w:t>17,919</w:t>
            </w:r>
          </w:p>
        </w:tc>
        <w:tc>
          <w:tcPr>
            <w:tcW w:w="943" w:type="dxa"/>
          </w:tcPr>
          <w:p w14:paraId="578BBC2E" w14:textId="77777777" w:rsidR="00856406" w:rsidRPr="00717004" w:rsidRDefault="00856406" w:rsidP="001B3300">
            <w:pPr>
              <w:pStyle w:val="TableTextRight"/>
            </w:pPr>
            <w:r w:rsidRPr="00717004">
              <w:t>18,312</w:t>
            </w:r>
          </w:p>
        </w:tc>
        <w:tc>
          <w:tcPr>
            <w:tcW w:w="1019" w:type="dxa"/>
          </w:tcPr>
          <w:p w14:paraId="26BF10B2" w14:textId="77777777" w:rsidR="00856406" w:rsidRPr="00717004" w:rsidRDefault="00856406" w:rsidP="001B3300">
            <w:pPr>
              <w:pStyle w:val="TableTextRight"/>
            </w:pPr>
            <w:r w:rsidRPr="00717004">
              <w:t>18,694</w:t>
            </w:r>
          </w:p>
        </w:tc>
      </w:tr>
      <w:tr w:rsidR="00856406" w:rsidRPr="009C1F7F" w14:paraId="46E67240" w14:textId="77777777" w:rsidTr="00A831DB">
        <w:trPr>
          <w:trHeight w:val="270"/>
        </w:trPr>
        <w:tc>
          <w:tcPr>
            <w:tcW w:w="3390" w:type="dxa"/>
            <w:hideMark/>
          </w:tcPr>
          <w:p w14:paraId="3F5ED99E" w14:textId="77777777" w:rsidR="00856406" w:rsidRPr="00717004" w:rsidRDefault="00856406" w:rsidP="001B3300">
            <w:pPr>
              <w:pStyle w:val="TableText"/>
            </w:pPr>
            <w:r w:rsidRPr="00717004">
              <w:t>Agents</w:t>
            </w:r>
            <w:r>
              <w:t xml:space="preserve"> r</w:t>
            </w:r>
            <w:r w:rsidRPr="00717004">
              <w:t>epresentatives</w:t>
            </w:r>
            <w:r w:rsidRPr="00717004">
              <w:rPr>
                <w:rStyle w:val="FootnoteReference"/>
              </w:rPr>
              <w:footnoteReference w:id="6"/>
            </w:r>
            <w:r>
              <w:t xml:space="preserve"> </w:t>
            </w:r>
          </w:p>
        </w:tc>
        <w:tc>
          <w:tcPr>
            <w:tcW w:w="930" w:type="dxa"/>
          </w:tcPr>
          <w:p w14:paraId="34CF48FB" w14:textId="77777777" w:rsidR="00856406" w:rsidRPr="00717004" w:rsidRDefault="00856406" w:rsidP="001B3300">
            <w:pPr>
              <w:pStyle w:val="TableTextRight"/>
            </w:pPr>
            <w:r w:rsidRPr="00717004">
              <w:t>6,156</w:t>
            </w:r>
          </w:p>
        </w:tc>
        <w:tc>
          <w:tcPr>
            <w:tcW w:w="930" w:type="dxa"/>
          </w:tcPr>
          <w:p w14:paraId="0F2FA312" w14:textId="77777777" w:rsidR="00856406" w:rsidRPr="00717004" w:rsidRDefault="00856406" w:rsidP="001B3300">
            <w:pPr>
              <w:pStyle w:val="TableTextRight"/>
            </w:pPr>
            <w:r w:rsidRPr="00717004">
              <w:t>6,754</w:t>
            </w:r>
          </w:p>
        </w:tc>
        <w:tc>
          <w:tcPr>
            <w:tcW w:w="930" w:type="dxa"/>
          </w:tcPr>
          <w:p w14:paraId="318FB3DE" w14:textId="77777777" w:rsidR="00856406" w:rsidRPr="00717004" w:rsidRDefault="00856406" w:rsidP="001B3300">
            <w:pPr>
              <w:pStyle w:val="TableTextRight"/>
            </w:pPr>
            <w:r w:rsidRPr="00717004">
              <w:t>6,460</w:t>
            </w:r>
          </w:p>
        </w:tc>
        <w:tc>
          <w:tcPr>
            <w:tcW w:w="930" w:type="dxa"/>
          </w:tcPr>
          <w:p w14:paraId="70F42CAE" w14:textId="77777777" w:rsidR="00856406" w:rsidRPr="00717004" w:rsidRDefault="00856406" w:rsidP="001B3300">
            <w:pPr>
              <w:pStyle w:val="TableTextRight"/>
            </w:pPr>
            <w:r w:rsidRPr="00717004">
              <w:t>15,029</w:t>
            </w:r>
          </w:p>
        </w:tc>
        <w:tc>
          <w:tcPr>
            <w:tcW w:w="943" w:type="dxa"/>
          </w:tcPr>
          <w:p w14:paraId="6262F1AA" w14:textId="77777777" w:rsidR="00856406" w:rsidRPr="00717004" w:rsidRDefault="00856406" w:rsidP="001B3300">
            <w:pPr>
              <w:pStyle w:val="TableTextRight"/>
            </w:pPr>
            <w:r w:rsidRPr="00717004">
              <w:t>15,406</w:t>
            </w:r>
          </w:p>
        </w:tc>
        <w:tc>
          <w:tcPr>
            <w:tcW w:w="1019" w:type="dxa"/>
          </w:tcPr>
          <w:p w14:paraId="08DDFAAD" w14:textId="77777777" w:rsidR="00856406" w:rsidRPr="00717004" w:rsidRDefault="00856406" w:rsidP="001B3300">
            <w:pPr>
              <w:pStyle w:val="TableTextRight"/>
            </w:pPr>
            <w:r w:rsidRPr="00717004">
              <w:t>15,961</w:t>
            </w:r>
          </w:p>
        </w:tc>
      </w:tr>
      <w:tr w:rsidR="00856406" w:rsidRPr="009C1F7F" w14:paraId="173336B8" w14:textId="77777777" w:rsidTr="00A831DB">
        <w:trPr>
          <w:trHeight w:val="270"/>
        </w:trPr>
        <w:tc>
          <w:tcPr>
            <w:tcW w:w="3390" w:type="dxa"/>
            <w:hideMark/>
          </w:tcPr>
          <w:p w14:paraId="11B9CBF5" w14:textId="77777777" w:rsidR="00856406" w:rsidRPr="00717004" w:rsidRDefault="00856406" w:rsidP="001B3300">
            <w:pPr>
              <w:pStyle w:val="TableText"/>
            </w:pPr>
            <w:r w:rsidRPr="00717004">
              <w:t>Motor</w:t>
            </w:r>
            <w:r>
              <w:t xml:space="preserve"> </w:t>
            </w:r>
            <w:r w:rsidRPr="00717004">
              <w:t>car</w:t>
            </w:r>
            <w:r>
              <w:t xml:space="preserve"> </w:t>
            </w:r>
            <w:r w:rsidRPr="00717004">
              <w:t>traders</w:t>
            </w:r>
            <w:r>
              <w:t xml:space="preserve"> </w:t>
            </w:r>
          </w:p>
        </w:tc>
        <w:tc>
          <w:tcPr>
            <w:tcW w:w="930" w:type="dxa"/>
          </w:tcPr>
          <w:p w14:paraId="1FD22D27" w14:textId="77777777" w:rsidR="00856406" w:rsidRPr="00717004" w:rsidRDefault="00856406" w:rsidP="001B3300">
            <w:pPr>
              <w:pStyle w:val="TableTextRight"/>
            </w:pPr>
            <w:r w:rsidRPr="00717004">
              <w:t>152</w:t>
            </w:r>
          </w:p>
        </w:tc>
        <w:tc>
          <w:tcPr>
            <w:tcW w:w="930" w:type="dxa"/>
          </w:tcPr>
          <w:p w14:paraId="5D1AFF04" w14:textId="77777777" w:rsidR="00856406" w:rsidRPr="00717004" w:rsidRDefault="00856406" w:rsidP="001B3300">
            <w:pPr>
              <w:pStyle w:val="TableTextRight"/>
            </w:pPr>
            <w:r w:rsidRPr="00717004">
              <w:t>228</w:t>
            </w:r>
          </w:p>
        </w:tc>
        <w:tc>
          <w:tcPr>
            <w:tcW w:w="930" w:type="dxa"/>
          </w:tcPr>
          <w:p w14:paraId="6FB63217" w14:textId="77777777" w:rsidR="00856406" w:rsidRPr="00717004" w:rsidRDefault="00856406" w:rsidP="001B3300">
            <w:pPr>
              <w:pStyle w:val="TableTextRight"/>
            </w:pPr>
            <w:r w:rsidRPr="00717004">
              <w:t>185</w:t>
            </w:r>
          </w:p>
        </w:tc>
        <w:tc>
          <w:tcPr>
            <w:tcW w:w="930" w:type="dxa"/>
          </w:tcPr>
          <w:p w14:paraId="3BAC7CF0" w14:textId="77777777" w:rsidR="00856406" w:rsidRPr="00717004" w:rsidRDefault="00856406" w:rsidP="001B3300">
            <w:pPr>
              <w:pStyle w:val="TableTextRight"/>
            </w:pPr>
            <w:r w:rsidRPr="00717004">
              <w:t>2,198</w:t>
            </w:r>
          </w:p>
        </w:tc>
        <w:tc>
          <w:tcPr>
            <w:tcW w:w="943" w:type="dxa"/>
          </w:tcPr>
          <w:p w14:paraId="6341E245" w14:textId="77777777" w:rsidR="00856406" w:rsidRPr="00717004" w:rsidRDefault="00856406" w:rsidP="001B3300">
            <w:pPr>
              <w:pStyle w:val="TableTextRight"/>
            </w:pPr>
            <w:r w:rsidRPr="00717004">
              <w:t>2,280</w:t>
            </w:r>
          </w:p>
        </w:tc>
        <w:tc>
          <w:tcPr>
            <w:tcW w:w="1019" w:type="dxa"/>
          </w:tcPr>
          <w:p w14:paraId="71925E29" w14:textId="77777777" w:rsidR="00856406" w:rsidRPr="00717004" w:rsidRDefault="00856406" w:rsidP="001B3300">
            <w:pPr>
              <w:pStyle w:val="TableTextRight"/>
            </w:pPr>
            <w:r w:rsidRPr="00717004">
              <w:t>2,326</w:t>
            </w:r>
          </w:p>
        </w:tc>
      </w:tr>
      <w:tr w:rsidR="00856406" w:rsidRPr="009C1F7F" w14:paraId="45FD1074" w14:textId="77777777" w:rsidTr="00A831DB">
        <w:trPr>
          <w:trHeight w:val="270"/>
        </w:trPr>
        <w:tc>
          <w:tcPr>
            <w:tcW w:w="3390" w:type="dxa"/>
            <w:hideMark/>
          </w:tcPr>
          <w:p w14:paraId="22C6F302" w14:textId="77777777" w:rsidR="00856406" w:rsidRPr="00717004" w:rsidRDefault="00856406" w:rsidP="001B3300">
            <w:pPr>
              <w:pStyle w:val="TableText"/>
            </w:pPr>
            <w:r w:rsidRPr="00717004">
              <w:t>Second-hand</w:t>
            </w:r>
            <w:r>
              <w:t xml:space="preserve"> </w:t>
            </w:r>
            <w:r w:rsidRPr="00717004">
              <w:t>dealers</w:t>
            </w:r>
            <w:r>
              <w:t xml:space="preserve"> </w:t>
            </w:r>
            <w:r w:rsidRPr="00717004">
              <w:t>and</w:t>
            </w:r>
            <w:r>
              <w:t xml:space="preserve"> </w:t>
            </w:r>
            <w:r w:rsidRPr="00717004">
              <w:t>pawnbrokers</w:t>
            </w:r>
            <w:r>
              <w:t xml:space="preserve"> </w:t>
            </w:r>
          </w:p>
        </w:tc>
        <w:tc>
          <w:tcPr>
            <w:tcW w:w="930" w:type="dxa"/>
          </w:tcPr>
          <w:p w14:paraId="4565561D" w14:textId="77777777" w:rsidR="00856406" w:rsidRPr="00717004" w:rsidRDefault="00856406" w:rsidP="001B3300">
            <w:pPr>
              <w:pStyle w:val="TableTextRight"/>
            </w:pPr>
            <w:r w:rsidRPr="00717004">
              <w:t>187</w:t>
            </w:r>
          </w:p>
        </w:tc>
        <w:tc>
          <w:tcPr>
            <w:tcW w:w="930" w:type="dxa"/>
          </w:tcPr>
          <w:p w14:paraId="5BA56DD3" w14:textId="77777777" w:rsidR="00856406" w:rsidRPr="00717004" w:rsidRDefault="00856406" w:rsidP="001B3300">
            <w:pPr>
              <w:pStyle w:val="TableTextRight"/>
            </w:pPr>
            <w:r w:rsidRPr="00717004">
              <w:t>244</w:t>
            </w:r>
          </w:p>
        </w:tc>
        <w:tc>
          <w:tcPr>
            <w:tcW w:w="930" w:type="dxa"/>
          </w:tcPr>
          <w:p w14:paraId="747328F1" w14:textId="77777777" w:rsidR="00856406" w:rsidRPr="00717004" w:rsidRDefault="00856406" w:rsidP="001B3300">
            <w:pPr>
              <w:pStyle w:val="TableTextRight"/>
            </w:pPr>
            <w:r w:rsidRPr="00717004">
              <w:t>218</w:t>
            </w:r>
          </w:p>
        </w:tc>
        <w:tc>
          <w:tcPr>
            <w:tcW w:w="930" w:type="dxa"/>
          </w:tcPr>
          <w:p w14:paraId="00F697F8" w14:textId="77777777" w:rsidR="00856406" w:rsidRPr="00717004" w:rsidRDefault="00856406" w:rsidP="001B3300">
            <w:pPr>
              <w:pStyle w:val="TableTextRight"/>
            </w:pPr>
            <w:r w:rsidRPr="00717004">
              <w:t>2,988</w:t>
            </w:r>
          </w:p>
        </w:tc>
        <w:tc>
          <w:tcPr>
            <w:tcW w:w="943" w:type="dxa"/>
          </w:tcPr>
          <w:p w14:paraId="0F30C6A9" w14:textId="77777777" w:rsidR="00856406" w:rsidRPr="00717004" w:rsidRDefault="00856406" w:rsidP="001B3300">
            <w:pPr>
              <w:pStyle w:val="TableTextRight"/>
            </w:pPr>
            <w:r w:rsidRPr="00717004">
              <w:t>2,790</w:t>
            </w:r>
          </w:p>
        </w:tc>
        <w:tc>
          <w:tcPr>
            <w:tcW w:w="1019" w:type="dxa"/>
          </w:tcPr>
          <w:p w14:paraId="5D41F266" w14:textId="77777777" w:rsidR="00856406" w:rsidRPr="00717004" w:rsidRDefault="00856406" w:rsidP="001B3300">
            <w:pPr>
              <w:pStyle w:val="TableTextRight"/>
            </w:pPr>
            <w:r w:rsidRPr="00717004">
              <w:t>2,778</w:t>
            </w:r>
          </w:p>
        </w:tc>
      </w:tr>
      <w:tr w:rsidR="00856406" w:rsidRPr="009C1F7F" w14:paraId="1672924E" w14:textId="77777777" w:rsidTr="00A831DB">
        <w:trPr>
          <w:trHeight w:val="270"/>
        </w:trPr>
        <w:tc>
          <w:tcPr>
            <w:tcW w:w="3390" w:type="dxa"/>
            <w:hideMark/>
          </w:tcPr>
          <w:p w14:paraId="186D08C3" w14:textId="77777777" w:rsidR="00856406" w:rsidRPr="00717004" w:rsidRDefault="00856406" w:rsidP="001B3300">
            <w:pPr>
              <w:pStyle w:val="TableText"/>
            </w:pPr>
            <w:r w:rsidRPr="00717004">
              <w:t>Conveyancers</w:t>
            </w:r>
            <w:r>
              <w:t xml:space="preserve"> </w:t>
            </w:r>
          </w:p>
        </w:tc>
        <w:tc>
          <w:tcPr>
            <w:tcW w:w="930" w:type="dxa"/>
          </w:tcPr>
          <w:p w14:paraId="29F5D36B" w14:textId="77777777" w:rsidR="00856406" w:rsidRPr="00717004" w:rsidRDefault="00856406" w:rsidP="001B3300">
            <w:pPr>
              <w:pStyle w:val="TableTextRight"/>
            </w:pPr>
            <w:r w:rsidRPr="00717004">
              <w:t>105</w:t>
            </w:r>
          </w:p>
        </w:tc>
        <w:tc>
          <w:tcPr>
            <w:tcW w:w="930" w:type="dxa"/>
          </w:tcPr>
          <w:p w14:paraId="56BC7AA6" w14:textId="77777777" w:rsidR="00856406" w:rsidRPr="00717004" w:rsidRDefault="00856406" w:rsidP="001B3300">
            <w:pPr>
              <w:pStyle w:val="TableTextRight"/>
            </w:pPr>
            <w:r w:rsidRPr="00717004">
              <w:t>145</w:t>
            </w:r>
          </w:p>
        </w:tc>
        <w:tc>
          <w:tcPr>
            <w:tcW w:w="930" w:type="dxa"/>
          </w:tcPr>
          <w:p w14:paraId="17BA16C9" w14:textId="77777777" w:rsidR="00856406" w:rsidRPr="00717004" w:rsidRDefault="00856406" w:rsidP="001B3300">
            <w:pPr>
              <w:pStyle w:val="TableTextRight"/>
            </w:pPr>
            <w:r w:rsidRPr="00717004">
              <w:t>106</w:t>
            </w:r>
          </w:p>
        </w:tc>
        <w:tc>
          <w:tcPr>
            <w:tcW w:w="930" w:type="dxa"/>
          </w:tcPr>
          <w:p w14:paraId="5908E6BF" w14:textId="77777777" w:rsidR="00856406" w:rsidRPr="00717004" w:rsidRDefault="00856406" w:rsidP="001B3300">
            <w:pPr>
              <w:pStyle w:val="TableTextRight"/>
            </w:pPr>
            <w:r w:rsidRPr="00717004">
              <w:t>1,320</w:t>
            </w:r>
          </w:p>
        </w:tc>
        <w:tc>
          <w:tcPr>
            <w:tcW w:w="943" w:type="dxa"/>
          </w:tcPr>
          <w:p w14:paraId="45892366" w14:textId="77777777" w:rsidR="00856406" w:rsidRPr="00717004" w:rsidRDefault="00856406" w:rsidP="001B3300">
            <w:pPr>
              <w:pStyle w:val="TableTextRight"/>
            </w:pPr>
            <w:r w:rsidRPr="00717004">
              <w:t>1,389</w:t>
            </w:r>
          </w:p>
        </w:tc>
        <w:tc>
          <w:tcPr>
            <w:tcW w:w="1019" w:type="dxa"/>
          </w:tcPr>
          <w:p w14:paraId="391FDD1E" w14:textId="77777777" w:rsidR="00856406" w:rsidRPr="00717004" w:rsidRDefault="00856406" w:rsidP="001B3300">
            <w:pPr>
              <w:pStyle w:val="TableTextRight"/>
            </w:pPr>
            <w:r w:rsidRPr="00717004">
              <w:t>1,410</w:t>
            </w:r>
          </w:p>
        </w:tc>
      </w:tr>
      <w:tr w:rsidR="00856406" w:rsidRPr="009C1F7F" w14:paraId="4790E9CE" w14:textId="77777777" w:rsidTr="00A831DB">
        <w:trPr>
          <w:trHeight w:val="270"/>
        </w:trPr>
        <w:tc>
          <w:tcPr>
            <w:tcW w:w="3390" w:type="dxa"/>
            <w:hideMark/>
          </w:tcPr>
          <w:p w14:paraId="44637BF9" w14:textId="77777777" w:rsidR="00856406" w:rsidRPr="00717004" w:rsidRDefault="00856406" w:rsidP="001B3300">
            <w:pPr>
              <w:pStyle w:val="TableText"/>
            </w:pPr>
            <w:r w:rsidRPr="00717004">
              <w:t>Owners</w:t>
            </w:r>
            <w:r>
              <w:t xml:space="preserve"> </w:t>
            </w:r>
            <w:r w:rsidRPr="00717004">
              <w:t>corporation</w:t>
            </w:r>
            <w:r>
              <w:t xml:space="preserve"> </w:t>
            </w:r>
            <w:r w:rsidRPr="00717004">
              <w:t>managers</w:t>
            </w:r>
            <w:r>
              <w:t xml:space="preserve"> </w:t>
            </w:r>
          </w:p>
        </w:tc>
        <w:tc>
          <w:tcPr>
            <w:tcW w:w="930" w:type="dxa"/>
          </w:tcPr>
          <w:p w14:paraId="3797DDCB" w14:textId="77777777" w:rsidR="00856406" w:rsidRPr="00717004" w:rsidRDefault="00856406" w:rsidP="001B3300">
            <w:pPr>
              <w:pStyle w:val="TableTextRight"/>
            </w:pPr>
            <w:r w:rsidRPr="00717004">
              <w:t>62</w:t>
            </w:r>
          </w:p>
        </w:tc>
        <w:tc>
          <w:tcPr>
            <w:tcW w:w="930" w:type="dxa"/>
          </w:tcPr>
          <w:p w14:paraId="58248285" w14:textId="77777777" w:rsidR="00856406" w:rsidRPr="00717004" w:rsidRDefault="00856406" w:rsidP="001B3300">
            <w:pPr>
              <w:pStyle w:val="TableTextRight"/>
            </w:pPr>
            <w:r w:rsidRPr="00717004">
              <w:t>71</w:t>
            </w:r>
          </w:p>
        </w:tc>
        <w:tc>
          <w:tcPr>
            <w:tcW w:w="930" w:type="dxa"/>
          </w:tcPr>
          <w:p w14:paraId="0BB016FD" w14:textId="77777777" w:rsidR="00856406" w:rsidRPr="00717004" w:rsidRDefault="00856406" w:rsidP="001B3300">
            <w:pPr>
              <w:pStyle w:val="TableTextRight"/>
            </w:pPr>
            <w:r w:rsidRPr="00717004">
              <w:t>72</w:t>
            </w:r>
          </w:p>
        </w:tc>
        <w:tc>
          <w:tcPr>
            <w:tcW w:w="930" w:type="dxa"/>
          </w:tcPr>
          <w:p w14:paraId="7D6EA63F" w14:textId="77777777" w:rsidR="00856406" w:rsidRPr="00717004" w:rsidRDefault="00856406" w:rsidP="001B3300">
            <w:pPr>
              <w:pStyle w:val="TableTextRight"/>
            </w:pPr>
            <w:r w:rsidRPr="00717004">
              <w:t>627</w:t>
            </w:r>
          </w:p>
        </w:tc>
        <w:tc>
          <w:tcPr>
            <w:tcW w:w="943" w:type="dxa"/>
          </w:tcPr>
          <w:p w14:paraId="18ECC3E3" w14:textId="77777777" w:rsidR="00856406" w:rsidRPr="00717004" w:rsidRDefault="00856406" w:rsidP="001B3300">
            <w:pPr>
              <w:pStyle w:val="TableTextRight"/>
            </w:pPr>
            <w:r w:rsidRPr="00717004">
              <w:t>627</w:t>
            </w:r>
          </w:p>
        </w:tc>
        <w:tc>
          <w:tcPr>
            <w:tcW w:w="1019" w:type="dxa"/>
          </w:tcPr>
          <w:p w14:paraId="4E239ED3" w14:textId="77777777" w:rsidR="00856406" w:rsidRPr="00717004" w:rsidRDefault="00856406" w:rsidP="001B3300">
            <w:pPr>
              <w:pStyle w:val="TableTextRight"/>
            </w:pPr>
            <w:r w:rsidRPr="00717004">
              <w:t>628</w:t>
            </w:r>
          </w:p>
        </w:tc>
      </w:tr>
      <w:tr w:rsidR="00856406" w:rsidRPr="009C1F7F" w14:paraId="2D1E4461" w14:textId="77777777" w:rsidTr="00A831DB">
        <w:trPr>
          <w:trHeight w:val="270"/>
        </w:trPr>
        <w:tc>
          <w:tcPr>
            <w:tcW w:w="3390" w:type="dxa"/>
            <w:hideMark/>
          </w:tcPr>
          <w:p w14:paraId="1D6665EB" w14:textId="77777777" w:rsidR="00856406" w:rsidRPr="00717004" w:rsidRDefault="00856406" w:rsidP="001B3300">
            <w:pPr>
              <w:pStyle w:val="TableText"/>
            </w:pPr>
            <w:r w:rsidRPr="00717004">
              <w:t>Rooming</w:t>
            </w:r>
            <w:r>
              <w:t xml:space="preserve"> </w:t>
            </w:r>
            <w:r w:rsidRPr="00717004">
              <w:t>house</w:t>
            </w:r>
            <w:r>
              <w:t xml:space="preserve"> </w:t>
            </w:r>
            <w:r w:rsidRPr="00717004">
              <w:t>operators</w:t>
            </w:r>
            <w:r>
              <w:t xml:space="preserve"> </w:t>
            </w:r>
          </w:p>
        </w:tc>
        <w:tc>
          <w:tcPr>
            <w:tcW w:w="930" w:type="dxa"/>
          </w:tcPr>
          <w:p w14:paraId="7C60B94A" w14:textId="77777777" w:rsidR="00856406" w:rsidRPr="00717004" w:rsidRDefault="00856406" w:rsidP="001B3300">
            <w:pPr>
              <w:pStyle w:val="TableTextRight"/>
            </w:pPr>
            <w:r w:rsidRPr="00717004">
              <w:t>161</w:t>
            </w:r>
          </w:p>
        </w:tc>
        <w:tc>
          <w:tcPr>
            <w:tcW w:w="930" w:type="dxa"/>
          </w:tcPr>
          <w:p w14:paraId="25B152AE" w14:textId="77777777" w:rsidR="00856406" w:rsidRPr="00717004" w:rsidRDefault="00856406" w:rsidP="001B3300">
            <w:pPr>
              <w:pStyle w:val="TableTextRight"/>
            </w:pPr>
            <w:r w:rsidRPr="00717004">
              <w:t>197</w:t>
            </w:r>
          </w:p>
        </w:tc>
        <w:tc>
          <w:tcPr>
            <w:tcW w:w="930" w:type="dxa"/>
          </w:tcPr>
          <w:p w14:paraId="1EBDAE5C" w14:textId="77777777" w:rsidR="00856406" w:rsidRPr="00717004" w:rsidRDefault="00856406" w:rsidP="001B3300">
            <w:pPr>
              <w:pStyle w:val="TableTextRight"/>
            </w:pPr>
            <w:r w:rsidRPr="00717004">
              <w:t>239</w:t>
            </w:r>
          </w:p>
        </w:tc>
        <w:tc>
          <w:tcPr>
            <w:tcW w:w="930" w:type="dxa"/>
          </w:tcPr>
          <w:p w14:paraId="6DD6CE65" w14:textId="77777777" w:rsidR="00856406" w:rsidRPr="00717004" w:rsidRDefault="00856406" w:rsidP="001B3300">
            <w:pPr>
              <w:pStyle w:val="TableTextRight"/>
            </w:pPr>
            <w:r w:rsidRPr="00717004">
              <w:t>1,142</w:t>
            </w:r>
          </w:p>
        </w:tc>
        <w:tc>
          <w:tcPr>
            <w:tcW w:w="943" w:type="dxa"/>
          </w:tcPr>
          <w:p w14:paraId="64B8E3C3" w14:textId="77777777" w:rsidR="00856406" w:rsidRPr="00717004" w:rsidRDefault="00856406" w:rsidP="001B3300">
            <w:pPr>
              <w:pStyle w:val="TableTextRight"/>
            </w:pPr>
            <w:r w:rsidRPr="00717004">
              <w:t>1,172</w:t>
            </w:r>
          </w:p>
        </w:tc>
        <w:tc>
          <w:tcPr>
            <w:tcW w:w="1019" w:type="dxa"/>
          </w:tcPr>
          <w:p w14:paraId="24069F69" w14:textId="77777777" w:rsidR="00856406" w:rsidRPr="00717004" w:rsidRDefault="00856406" w:rsidP="001B3300">
            <w:pPr>
              <w:pStyle w:val="TableTextRight"/>
            </w:pPr>
            <w:r w:rsidRPr="00717004">
              <w:t>1,317</w:t>
            </w:r>
          </w:p>
        </w:tc>
      </w:tr>
      <w:tr w:rsidR="00856406" w:rsidRPr="009C1F7F" w14:paraId="41D30652" w14:textId="77777777" w:rsidTr="00A831DB">
        <w:trPr>
          <w:trHeight w:val="270"/>
        </w:trPr>
        <w:tc>
          <w:tcPr>
            <w:tcW w:w="3390" w:type="dxa"/>
            <w:hideMark/>
          </w:tcPr>
          <w:p w14:paraId="7D3210C8" w14:textId="77777777" w:rsidR="00856406" w:rsidRPr="00717004" w:rsidRDefault="00856406" w:rsidP="001B3300">
            <w:pPr>
              <w:pStyle w:val="TableText"/>
            </w:pPr>
            <w:r w:rsidRPr="00717004">
              <w:t>Professional</w:t>
            </w:r>
            <w:r>
              <w:t xml:space="preserve"> </w:t>
            </w:r>
            <w:r w:rsidRPr="00717004">
              <w:t>engineers</w:t>
            </w:r>
            <w:r>
              <w:t xml:space="preserve"> </w:t>
            </w:r>
          </w:p>
        </w:tc>
        <w:tc>
          <w:tcPr>
            <w:tcW w:w="930" w:type="dxa"/>
          </w:tcPr>
          <w:p w14:paraId="04BAB6CE" w14:textId="77777777" w:rsidR="00856406" w:rsidRPr="00717004" w:rsidRDefault="00856406" w:rsidP="001B3300">
            <w:pPr>
              <w:pStyle w:val="TableTextRight"/>
            </w:pPr>
            <w:r w:rsidRPr="00717004">
              <w:t>5,561</w:t>
            </w:r>
          </w:p>
        </w:tc>
        <w:tc>
          <w:tcPr>
            <w:tcW w:w="930" w:type="dxa"/>
          </w:tcPr>
          <w:p w14:paraId="0A03B0EA" w14:textId="77777777" w:rsidR="00856406" w:rsidRPr="00717004" w:rsidRDefault="00856406" w:rsidP="001B3300">
            <w:pPr>
              <w:pStyle w:val="TableTextRight"/>
            </w:pPr>
            <w:r w:rsidRPr="00717004">
              <w:t>4,175</w:t>
            </w:r>
          </w:p>
        </w:tc>
        <w:tc>
          <w:tcPr>
            <w:tcW w:w="930" w:type="dxa"/>
          </w:tcPr>
          <w:p w14:paraId="4AA6BDB3" w14:textId="77777777" w:rsidR="00856406" w:rsidRPr="00717004" w:rsidRDefault="00856406" w:rsidP="001B3300">
            <w:pPr>
              <w:pStyle w:val="TableTextRight"/>
            </w:pPr>
            <w:r w:rsidRPr="00717004">
              <w:t>1,926</w:t>
            </w:r>
          </w:p>
        </w:tc>
        <w:tc>
          <w:tcPr>
            <w:tcW w:w="930" w:type="dxa"/>
          </w:tcPr>
          <w:p w14:paraId="79C85ACF" w14:textId="77777777" w:rsidR="00856406" w:rsidRPr="00717004" w:rsidRDefault="00856406" w:rsidP="001B3300">
            <w:pPr>
              <w:pStyle w:val="TableTextRight"/>
            </w:pPr>
            <w:r w:rsidRPr="00717004">
              <w:t>9,657</w:t>
            </w:r>
          </w:p>
        </w:tc>
        <w:tc>
          <w:tcPr>
            <w:tcW w:w="943" w:type="dxa"/>
          </w:tcPr>
          <w:p w14:paraId="1650AECA" w14:textId="77777777" w:rsidR="00856406" w:rsidRPr="00717004" w:rsidRDefault="00856406" w:rsidP="001B3300">
            <w:pPr>
              <w:pStyle w:val="TableTextRight"/>
            </w:pPr>
            <w:r w:rsidRPr="00717004">
              <w:t>13,2</w:t>
            </w:r>
            <w:r>
              <w:t>93</w:t>
            </w:r>
          </w:p>
        </w:tc>
        <w:tc>
          <w:tcPr>
            <w:tcW w:w="1019" w:type="dxa"/>
          </w:tcPr>
          <w:p w14:paraId="304E2AF7" w14:textId="77777777" w:rsidR="00856406" w:rsidRPr="00717004" w:rsidRDefault="00856406" w:rsidP="001B3300">
            <w:pPr>
              <w:pStyle w:val="TableTextRight"/>
            </w:pPr>
            <w:r w:rsidRPr="00717004">
              <w:t>14,525</w:t>
            </w:r>
          </w:p>
        </w:tc>
      </w:tr>
      <w:tr w:rsidR="00856406" w:rsidRPr="009C1F7F" w14:paraId="2023BB5B" w14:textId="77777777" w:rsidTr="00A831DB">
        <w:trPr>
          <w:trHeight w:val="270"/>
        </w:trPr>
        <w:tc>
          <w:tcPr>
            <w:tcW w:w="9072" w:type="dxa"/>
            <w:gridSpan w:val="7"/>
            <w:shd w:val="clear" w:color="auto" w:fill="BCCAE5"/>
            <w:hideMark/>
          </w:tcPr>
          <w:p w14:paraId="57A6414B" w14:textId="77777777" w:rsidR="00856406" w:rsidRPr="00717004" w:rsidRDefault="00856406" w:rsidP="001B3300">
            <w:pPr>
              <w:pStyle w:val="TableTextBold"/>
            </w:pPr>
            <w:r>
              <w:t xml:space="preserve">CAV </w:t>
            </w:r>
            <w:r w:rsidRPr="00717004">
              <w:t>administered</w:t>
            </w:r>
            <w:r>
              <w:t xml:space="preserve"> </w:t>
            </w:r>
            <w:r w:rsidRPr="00717004">
              <w:t>schemes</w:t>
            </w:r>
            <w:r>
              <w:t xml:space="preserve"> </w:t>
            </w:r>
          </w:p>
        </w:tc>
      </w:tr>
      <w:tr w:rsidR="00856406" w:rsidRPr="009C1F7F" w14:paraId="36AFF4B8" w14:textId="77777777" w:rsidTr="00A831DB">
        <w:trPr>
          <w:trHeight w:val="270"/>
        </w:trPr>
        <w:tc>
          <w:tcPr>
            <w:tcW w:w="3390" w:type="dxa"/>
            <w:hideMark/>
          </w:tcPr>
          <w:p w14:paraId="15D7551F" w14:textId="77777777" w:rsidR="00856406" w:rsidRPr="00717004" w:rsidRDefault="00856406" w:rsidP="001B3300">
            <w:pPr>
              <w:pStyle w:val="TableText"/>
            </w:pPr>
            <w:r w:rsidRPr="00717004">
              <w:t>Incorporated</w:t>
            </w:r>
            <w:r>
              <w:t xml:space="preserve"> </w:t>
            </w:r>
            <w:r w:rsidRPr="00717004">
              <w:t>associations</w:t>
            </w:r>
            <w:r>
              <w:t xml:space="preserve"> </w:t>
            </w:r>
          </w:p>
        </w:tc>
        <w:tc>
          <w:tcPr>
            <w:tcW w:w="930" w:type="dxa"/>
          </w:tcPr>
          <w:p w14:paraId="00E94F8C" w14:textId="77777777" w:rsidR="00856406" w:rsidRPr="00717004" w:rsidRDefault="00856406" w:rsidP="001B3300">
            <w:pPr>
              <w:pStyle w:val="TableTextRight"/>
            </w:pPr>
            <w:r w:rsidRPr="00717004">
              <w:t>1,806</w:t>
            </w:r>
          </w:p>
        </w:tc>
        <w:tc>
          <w:tcPr>
            <w:tcW w:w="930" w:type="dxa"/>
          </w:tcPr>
          <w:p w14:paraId="119D53B4" w14:textId="77777777" w:rsidR="00856406" w:rsidRPr="00717004" w:rsidRDefault="00856406" w:rsidP="001B3300">
            <w:pPr>
              <w:pStyle w:val="TableTextRight"/>
            </w:pPr>
            <w:r w:rsidRPr="00717004">
              <w:t>1,957</w:t>
            </w:r>
          </w:p>
        </w:tc>
        <w:tc>
          <w:tcPr>
            <w:tcW w:w="930" w:type="dxa"/>
          </w:tcPr>
          <w:p w14:paraId="5BA0C973" w14:textId="77777777" w:rsidR="00856406" w:rsidRPr="00717004" w:rsidRDefault="00856406" w:rsidP="001B3300">
            <w:pPr>
              <w:pStyle w:val="TableTextRight"/>
            </w:pPr>
            <w:r w:rsidRPr="00717004">
              <w:t>1,957</w:t>
            </w:r>
          </w:p>
        </w:tc>
        <w:tc>
          <w:tcPr>
            <w:tcW w:w="930" w:type="dxa"/>
          </w:tcPr>
          <w:p w14:paraId="425D3ACC" w14:textId="77777777" w:rsidR="00856406" w:rsidRPr="00717004" w:rsidRDefault="00856406" w:rsidP="001B3300">
            <w:pPr>
              <w:pStyle w:val="TableTextRight"/>
            </w:pPr>
            <w:r w:rsidRPr="00717004">
              <w:t>42,966</w:t>
            </w:r>
          </w:p>
        </w:tc>
        <w:tc>
          <w:tcPr>
            <w:tcW w:w="943" w:type="dxa"/>
          </w:tcPr>
          <w:p w14:paraId="0DA58991" w14:textId="77777777" w:rsidR="00856406" w:rsidRPr="00717004" w:rsidRDefault="00856406" w:rsidP="001B3300">
            <w:pPr>
              <w:pStyle w:val="TableTextRight"/>
            </w:pPr>
            <w:r w:rsidRPr="00717004">
              <w:t>43,698</w:t>
            </w:r>
          </w:p>
        </w:tc>
        <w:tc>
          <w:tcPr>
            <w:tcW w:w="1019" w:type="dxa"/>
          </w:tcPr>
          <w:p w14:paraId="229B30E8" w14:textId="77777777" w:rsidR="00856406" w:rsidRPr="00717004" w:rsidRDefault="00856406" w:rsidP="001B3300">
            <w:pPr>
              <w:pStyle w:val="TableTextRight"/>
            </w:pPr>
            <w:r w:rsidRPr="00717004">
              <w:t>44,794</w:t>
            </w:r>
          </w:p>
        </w:tc>
      </w:tr>
      <w:tr w:rsidR="00856406" w:rsidRPr="009C1F7F" w14:paraId="45708075" w14:textId="77777777" w:rsidTr="00A831DB">
        <w:trPr>
          <w:trHeight w:val="270"/>
        </w:trPr>
        <w:tc>
          <w:tcPr>
            <w:tcW w:w="3390" w:type="dxa"/>
            <w:hideMark/>
          </w:tcPr>
          <w:p w14:paraId="174C18C7" w14:textId="77777777" w:rsidR="00856406" w:rsidRPr="00717004" w:rsidRDefault="00856406" w:rsidP="001B3300">
            <w:pPr>
              <w:pStyle w:val="TableText"/>
            </w:pPr>
            <w:r w:rsidRPr="00717004">
              <w:t>Co-operatives</w:t>
            </w:r>
            <w:r>
              <w:t xml:space="preserve"> </w:t>
            </w:r>
          </w:p>
        </w:tc>
        <w:tc>
          <w:tcPr>
            <w:tcW w:w="930" w:type="dxa"/>
          </w:tcPr>
          <w:p w14:paraId="5D5F4D47" w14:textId="77777777" w:rsidR="00856406" w:rsidRPr="00717004" w:rsidRDefault="00856406" w:rsidP="001B3300">
            <w:pPr>
              <w:pStyle w:val="TableTextRight"/>
            </w:pPr>
            <w:r w:rsidRPr="00717004">
              <w:t>34</w:t>
            </w:r>
          </w:p>
        </w:tc>
        <w:tc>
          <w:tcPr>
            <w:tcW w:w="930" w:type="dxa"/>
          </w:tcPr>
          <w:p w14:paraId="2C248578" w14:textId="77777777" w:rsidR="00856406" w:rsidRPr="00717004" w:rsidRDefault="00856406" w:rsidP="001B3300">
            <w:pPr>
              <w:pStyle w:val="TableTextRight"/>
            </w:pPr>
            <w:r w:rsidRPr="00717004">
              <w:t>19</w:t>
            </w:r>
          </w:p>
        </w:tc>
        <w:tc>
          <w:tcPr>
            <w:tcW w:w="930" w:type="dxa"/>
          </w:tcPr>
          <w:p w14:paraId="10211CEC" w14:textId="77777777" w:rsidR="00856406" w:rsidRPr="00717004" w:rsidRDefault="00856406" w:rsidP="001B3300">
            <w:pPr>
              <w:pStyle w:val="TableTextRight"/>
            </w:pPr>
            <w:r w:rsidRPr="00717004">
              <w:t>52</w:t>
            </w:r>
          </w:p>
        </w:tc>
        <w:tc>
          <w:tcPr>
            <w:tcW w:w="930" w:type="dxa"/>
          </w:tcPr>
          <w:p w14:paraId="615F326B" w14:textId="77777777" w:rsidR="00856406" w:rsidRPr="00717004" w:rsidRDefault="00856406" w:rsidP="001B3300">
            <w:pPr>
              <w:pStyle w:val="TableTextRight"/>
            </w:pPr>
            <w:r w:rsidRPr="00717004">
              <w:t>505</w:t>
            </w:r>
          </w:p>
        </w:tc>
        <w:tc>
          <w:tcPr>
            <w:tcW w:w="943" w:type="dxa"/>
          </w:tcPr>
          <w:p w14:paraId="1C1E24EA" w14:textId="77777777" w:rsidR="00856406" w:rsidRPr="00717004" w:rsidRDefault="00856406" w:rsidP="001B3300">
            <w:pPr>
              <w:pStyle w:val="TableTextRight"/>
            </w:pPr>
            <w:r w:rsidRPr="00717004">
              <w:t>501</w:t>
            </w:r>
          </w:p>
        </w:tc>
        <w:tc>
          <w:tcPr>
            <w:tcW w:w="1019" w:type="dxa"/>
          </w:tcPr>
          <w:p w14:paraId="4B7AEA04" w14:textId="77777777" w:rsidR="00856406" w:rsidRPr="00717004" w:rsidRDefault="00856406" w:rsidP="001B3300">
            <w:pPr>
              <w:pStyle w:val="TableTextRight"/>
            </w:pPr>
            <w:r w:rsidRPr="00717004">
              <w:t>495</w:t>
            </w:r>
          </w:p>
        </w:tc>
      </w:tr>
      <w:tr w:rsidR="00856406" w:rsidRPr="009C1F7F" w14:paraId="06E09079" w14:textId="77777777" w:rsidTr="00A831DB">
        <w:trPr>
          <w:trHeight w:val="270"/>
        </w:trPr>
        <w:tc>
          <w:tcPr>
            <w:tcW w:w="3390" w:type="dxa"/>
            <w:hideMark/>
          </w:tcPr>
          <w:p w14:paraId="07FCDCA7" w14:textId="77777777" w:rsidR="00856406" w:rsidRPr="00717004" w:rsidRDefault="00856406" w:rsidP="001B3300">
            <w:pPr>
              <w:pStyle w:val="TableText"/>
            </w:pPr>
            <w:r w:rsidRPr="00717004">
              <w:t>Fundraisers</w:t>
            </w:r>
            <w:r>
              <w:t xml:space="preserve"> </w:t>
            </w:r>
          </w:p>
        </w:tc>
        <w:tc>
          <w:tcPr>
            <w:tcW w:w="930" w:type="dxa"/>
          </w:tcPr>
          <w:p w14:paraId="0AA9A579" w14:textId="77777777" w:rsidR="00856406" w:rsidRPr="00717004" w:rsidRDefault="00856406" w:rsidP="001B3300">
            <w:pPr>
              <w:pStyle w:val="TableTextRight"/>
            </w:pPr>
            <w:r w:rsidRPr="00717004">
              <w:t>497</w:t>
            </w:r>
          </w:p>
        </w:tc>
        <w:tc>
          <w:tcPr>
            <w:tcW w:w="930" w:type="dxa"/>
          </w:tcPr>
          <w:p w14:paraId="293DCC47" w14:textId="77777777" w:rsidR="00856406" w:rsidRPr="00717004" w:rsidRDefault="00856406" w:rsidP="001B3300">
            <w:pPr>
              <w:pStyle w:val="TableTextRight"/>
            </w:pPr>
            <w:r w:rsidRPr="00717004">
              <w:t>415</w:t>
            </w:r>
          </w:p>
        </w:tc>
        <w:tc>
          <w:tcPr>
            <w:tcW w:w="930" w:type="dxa"/>
          </w:tcPr>
          <w:p w14:paraId="42D297E9" w14:textId="77777777" w:rsidR="00856406" w:rsidRPr="00717004" w:rsidRDefault="00856406" w:rsidP="001B3300">
            <w:pPr>
              <w:pStyle w:val="TableTextRight"/>
            </w:pPr>
            <w:r w:rsidRPr="00717004">
              <w:t>481</w:t>
            </w:r>
          </w:p>
        </w:tc>
        <w:tc>
          <w:tcPr>
            <w:tcW w:w="930" w:type="dxa"/>
          </w:tcPr>
          <w:p w14:paraId="241A9080" w14:textId="77777777" w:rsidR="00856406" w:rsidRPr="00717004" w:rsidRDefault="00856406" w:rsidP="001B3300">
            <w:pPr>
              <w:pStyle w:val="TableTextRight"/>
            </w:pPr>
            <w:r w:rsidRPr="00717004">
              <w:t>2,672</w:t>
            </w:r>
          </w:p>
        </w:tc>
        <w:tc>
          <w:tcPr>
            <w:tcW w:w="943" w:type="dxa"/>
          </w:tcPr>
          <w:p w14:paraId="2A264396" w14:textId="77777777" w:rsidR="00856406" w:rsidRPr="00717004" w:rsidRDefault="00856406" w:rsidP="001B3300">
            <w:pPr>
              <w:pStyle w:val="TableTextRight"/>
            </w:pPr>
            <w:r w:rsidRPr="00717004">
              <w:t>2,897</w:t>
            </w:r>
          </w:p>
        </w:tc>
        <w:tc>
          <w:tcPr>
            <w:tcW w:w="1019" w:type="dxa"/>
          </w:tcPr>
          <w:p w14:paraId="18FB971A" w14:textId="77777777" w:rsidR="00856406" w:rsidRPr="00717004" w:rsidRDefault="00856406" w:rsidP="001B3300">
            <w:pPr>
              <w:pStyle w:val="TableTextRight"/>
            </w:pPr>
            <w:r w:rsidRPr="00717004">
              <w:t>3,195</w:t>
            </w:r>
          </w:p>
        </w:tc>
      </w:tr>
      <w:tr w:rsidR="00856406" w:rsidRPr="009C1F7F" w14:paraId="4563BC86" w14:textId="77777777" w:rsidTr="00A831DB">
        <w:trPr>
          <w:trHeight w:val="270"/>
        </w:trPr>
        <w:tc>
          <w:tcPr>
            <w:tcW w:w="3390" w:type="dxa"/>
            <w:hideMark/>
          </w:tcPr>
          <w:p w14:paraId="70132521" w14:textId="77777777" w:rsidR="00856406" w:rsidRPr="00717004" w:rsidRDefault="00856406" w:rsidP="001B3300">
            <w:pPr>
              <w:pStyle w:val="TableText"/>
            </w:pPr>
            <w:r w:rsidRPr="00717004">
              <w:t>Patriotic</w:t>
            </w:r>
            <w:r>
              <w:t xml:space="preserve"> </w:t>
            </w:r>
            <w:r w:rsidRPr="00717004">
              <w:t>funds</w:t>
            </w:r>
            <w:r>
              <w:t xml:space="preserve"> </w:t>
            </w:r>
          </w:p>
        </w:tc>
        <w:tc>
          <w:tcPr>
            <w:tcW w:w="930" w:type="dxa"/>
          </w:tcPr>
          <w:p w14:paraId="29846584" w14:textId="77777777" w:rsidR="00856406" w:rsidRPr="00717004" w:rsidRDefault="00856406" w:rsidP="001B3300">
            <w:pPr>
              <w:pStyle w:val="TableTextRight"/>
            </w:pPr>
            <w:r w:rsidRPr="00717004">
              <w:t>0</w:t>
            </w:r>
          </w:p>
        </w:tc>
        <w:tc>
          <w:tcPr>
            <w:tcW w:w="930" w:type="dxa"/>
          </w:tcPr>
          <w:p w14:paraId="57373C9D" w14:textId="77777777" w:rsidR="00856406" w:rsidRPr="00717004" w:rsidRDefault="00856406" w:rsidP="001B3300">
            <w:pPr>
              <w:pStyle w:val="TableTextRight"/>
            </w:pPr>
            <w:r w:rsidRPr="00717004">
              <w:t>4</w:t>
            </w:r>
          </w:p>
        </w:tc>
        <w:tc>
          <w:tcPr>
            <w:tcW w:w="930" w:type="dxa"/>
          </w:tcPr>
          <w:p w14:paraId="7D1D2DB2" w14:textId="77777777" w:rsidR="00856406" w:rsidRPr="00717004" w:rsidRDefault="00856406" w:rsidP="001B3300">
            <w:pPr>
              <w:pStyle w:val="TableTextRight"/>
            </w:pPr>
            <w:r w:rsidRPr="00717004">
              <w:t>6</w:t>
            </w:r>
          </w:p>
        </w:tc>
        <w:tc>
          <w:tcPr>
            <w:tcW w:w="930" w:type="dxa"/>
          </w:tcPr>
          <w:p w14:paraId="636EFD9F" w14:textId="77777777" w:rsidR="00856406" w:rsidRPr="00717004" w:rsidRDefault="00856406" w:rsidP="001B3300">
            <w:pPr>
              <w:pStyle w:val="TableTextRight"/>
            </w:pPr>
            <w:r w:rsidRPr="00717004">
              <w:t>377</w:t>
            </w:r>
          </w:p>
        </w:tc>
        <w:tc>
          <w:tcPr>
            <w:tcW w:w="943" w:type="dxa"/>
          </w:tcPr>
          <w:p w14:paraId="3404B59F" w14:textId="77777777" w:rsidR="00856406" w:rsidRPr="00717004" w:rsidRDefault="00856406" w:rsidP="001B3300">
            <w:pPr>
              <w:pStyle w:val="TableTextRight"/>
            </w:pPr>
            <w:r w:rsidRPr="00717004">
              <w:t>379</w:t>
            </w:r>
          </w:p>
        </w:tc>
        <w:tc>
          <w:tcPr>
            <w:tcW w:w="1019" w:type="dxa"/>
          </w:tcPr>
          <w:p w14:paraId="33B86E14" w14:textId="77777777" w:rsidR="00856406" w:rsidRPr="00717004" w:rsidRDefault="00856406" w:rsidP="001B3300">
            <w:pPr>
              <w:pStyle w:val="TableTextRight"/>
            </w:pPr>
            <w:r w:rsidRPr="00717004">
              <w:t>369</w:t>
            </w:r>
          </w:p>
        </w:tc>
      </w:tr>
      <w:tr w:rsidR="00856406" w:rsidRPr="009C1F7F" w14:paraId="6585E8C9" w14:textId="77777777" w:rsidTr="00A831DB">
        <w:trPr>
          <w:trHeight w:val="270"/>
        </w:trPr>
        <w:tc>
          <w:tcPr>
            <w:tcW w:w="3390" w:type="dxa"/>
            <w:hideMark/>
          </w:tcPr>
          <w:p w14:paraId="1E44308E" w14:textId="77777777" w:rsidR="00856406" w:rsidRPr="00717004" w:rsidRDefault="00856406" w:rsidP="001B3300">
            <w:pPr>
              <w:pStyle w:val="TableText"/>
            </w:pPr>
            <w:r w:rsidRPr="00717004">
              <w:t>Limited</w:t>
            </w:r>
            <w:r>
              <w:t xml:space="preserve"> </w:t>
            </w:r>
            <w:r w:rsidRPr="00717004">
              <w:t>partnerships</w:t>
            </w:r>
            <w:r>
              <w:t xml:space="preserve"> </w:t>
            </w:r>
          </w:p>
        </w:tc>
        <w:tc>
          <w:tcPr>
            <w:tcW w:w="930" w:type="dxa"/>
          </w:tcPr>
          <w:p w14:paraId="39078330" w14:textId="77777777" w:rsidR="00856406" w:rsidRPr="00717004" w:rsidRDefault="00856406" w:rsidP="001B3300">
            <w:pPr>
              <w:pStyle w:val="TableTextRight"/>
            </w:pPr>
            <w:r w:rsidRPr="00717004">
              <w:t>33</w:t>
            </w:r>
          </w:p>
        </w:tc>
        <w:tc>
          <w:tcPr>
            <w:tcW w:w="930" w:type="dxa"/>
          </w:tcPr>
          <w:p w14:paraId="7040ACD7" w14:textId="77777777" w:rsidR="00856406" w:rsidRPr="00717004" w:rsidRDefault="00856406" w:rsidP="001B3300">
            <w:pPr>
              <w:pStyle w:val="TableTextRight"/>
            </w:pPr>
            <w:r w:rsidRPr="00717004">
              <w:t>8</w:t>
            </w:r>
          </w:p>
        </w:tc>
        <w:tc>
          <w:tcPr>
            <w:tcW w:w="930" w:type="dxa"/>
          </w:tcPr>
          <w:p w14:paraId="7C339D3A" w14:textId="77777777" w:rsidR="00856406" w:rsidRPr="00717004" w:rsidRDefault="00856406" w:rsidP="001B3300">
            <w:pPr>
              <w:pStyle w:val="TableTextRight"/>
            </w:pPr>
            <w:r w:rsidRPr="00717004">
              <w:t>28</w:t>
            </w:r>
          </w:p>
        </w:tc>
        <w:tc>
          <w:tcPr>
            <w:tcW w:w="930" w:type="dxa"/>
          </w:tcPr>
          <w:p w14:paraId="6323B447" w14:textId="77777777" w:rsidR="00856406" w:rsidRPr="00717004" w:rsidRDefault="00856406" w:rsidP="001B3300">
            <w:pPr>
              <w:pStyle w:val="TableTextRight"/>
            </w:pPr>
            <w:r w:rsidRPr="00717004">
              <w:t>488</w:t>
            </w:r>
          </w:p>
        </w:tc>
        <w:tc>
          <w:tcPr>
            <w:tcW w:w="943" w:type="dxa"/>
          </w:tcPr>
          <w:p w14:paraId="6BC7EB85" w14:textId="77777777" w:rsidR="00856406" w:rsidRPr="00717004" w:rsidRDefault="00856406" w:rsidP="001B3300">
            <w:pPr>
              <w:pStyle w:val="TableTextRight"/>
            </w:pPr>
            <w:r w:rsidRPr="00717004">
              <w:t>488</w:t>
            </w:r>
          </w:p>
        </w:tc>
        <w:tc>
          <w:tcPr>
            <w:tcW w:w="1019" w:type="dxa"/>
          </w:tcPr>
          <w:p w14:paraId="6FA34473" w14:textId="77777777" w:rsidR="00856406" w:rsidRPr="00717004" w:rsidRDefault="00856406" w:rsidP="001B3300">
            <w:pPr>
              <w:pStyle w:val="TableTextRight"/>
            </w:pPr>
            <w:r w:rsidRPr="00717004">
              <w:t>511</w:t>
            </w:r>
          </w:p>
        </w:tc>
      </w:tr>
      <w:tr w:rsidR="00856406" w:rsidRPr="009C1F7F" w14:paraId="33884360" w14:textId="77777777" w:rsidTr="00A831DB">
        <w:trPr>
          <w:trHeight w:val="270"/>
        </w:trPr>
        <w:tc>
          <w:tcPr>
            <w:tcW w:w="3390" w:type="dxa"/>
            <w:hideMark/>
          </w:tcPr>
          <w:p w14:paraId="5D404E58" w14:textId="77777777" w:rsidR="00856406" w:rsidRPr="00717004" w:rsidRDefault="00856406" w:rsidP="001B3300">
            <w:pPr>
              <w:pStyle w:val="TableText"/>
            </w:pPr>
            <w:r w:rsidRPr="00717004">
              <w:t>Retirement</w:t>
            </w:r>
            <w:r>
              <w:t xml:space="preserve"> </w:t>
            </w:r>
            <w:r w:rsidRPr="00717004">
              <w:t>villages</w:t>
            </w:r>
            <w:r>
              <w:t xml:space="preserve"> </w:t>
            </w:r>
          </w:p>
        </w:tc>
        <w:tc>
          <w:tcPr>
            <w:tcW w:w="930" w:type="dxa"/>
          </w:tcPr>
          <w:p w14:paraId="070A7252" w14:textId="77777777" w:rsidR="00856406" w:rsidRPr="00717004" w:rsidRDefault="00856406" w:rsidP="001B3300">
            <w:pPr>
              <w:pStyle w:val="TableTextRight"/>
            </w:pPr>
            <w:r w:rsidRPr="00717004">
              <w:t>13</w:t>
            </w:r>
          </w:p>
        </w:tc>
        <w:tc>
          <w:tcPr>
            <w:tcW w:w="930" w:type="dxa"/>
          </w:tcPr>
          <w:p w14:paraId="36D059EE" w14:textId="77777777" w:rsidR="00856406" w:rsidRPr="00717004" w:rsidRDefault="00856406" w:rsidP="001B3300">
            <w:pPr>
              <w:pStyle w:val="TableTextRight"/>
            </w:pPr>
            <w:r w:rsidRPr="00717004">
              <w:t>24</w:t>
            </w:r>
          </w:p>
        </w:tc>
        <w:tc>
          <w:tcPr>
            <w:tcW w:w="930" w:type="dxa"/>
          </w:tcPr>
          <w:p w14:paraId="7216C464" w14:textId="77777777" w:rsidR="00856406" w:rsidRPr="00717004" w:rsidRDefault="00856406" w:rsidP="001B3300">
            <w:pPr>
              <w:pStyle w:val="TableTextRight"/>
            </w:pPr>
            <w:r w:rsidRPr="00717004">
              <w:t>10</w:t>
            </w:r>
          </w:p>
        </w:tc>
        <w:tc>
          <w:tcPr>
            <w:tcW w:w="930" w:type="dxa"/>
          </w:tcPr>
          <w:p w14:paraId="6E7934B9" w14:textId="77777777" w:rsidR="00856406" w:rsidRPr="00717004" w:rsidRDefault="00856406" w:rsidP="001B3300">
            <w:pPr>
              <w:pStyle w:val="TableTextRight"/>
            </w:pPr>
            <w:r w:rsidRPr="00717004">
              <w:t>476</w:t>
            </w:r>
          </w:p>
        </w:tc>
        <w:tc>
          <w:tcPr>
            <w:tcW w:w="943" w:type="dxa"/>
          </w:tcPr>
          <w:p w14:paraId="3AE89BE9" w14:textId="77777777" w:rsidR="00856406" w:rsidRPr="00717004" w:rsidRDefault="00856406" w:rsidP="001B3300">
            <w:pPr>
              <w:pStyle w:val="TableTextRight"/>
            </w:pPr>
            <w:r w:rsidRPr="00717004">
              <w:t>500</w:t>
            </w:r>
          </w:p>
        </w:tc>
        <w:tc>
          <w:tcPr>
            <w:tcW w:w="1019" w:type="dxa"/>
          </w:tcPr>
          <w:p w14:paraId="08B2197B" w14:textId="77777777" w:rsidR="00856406" w:rsidRPr="00717004" w:rsidRDefault="00856406" w:rsidP="001B3300">
            <w:pPr>
              <w:pStyle w:val="TableTextRight"/>
            </w:pPr>
            <w:r w:rsidRPr="00717004">
              <w:t>513</w:t>
            </w:r>
          </w:p>
        </w:tc>
      </w:tr>
      <w:tr w:rsidR="00856406" w:rsidRPr="009C1F7F" w14:paraId="6CA75E41" w14:textId="77777777" w:rsidTr="00A831DB">
        <w:trPr>
          <w:trHeight w:val="270"/>
        </w:trPr>
        <w:tc>
          <w:tcPr>
            <w:tcW w:w="3390" w:type="dxa"/>
            <w:hideMark/>
          </w:tcPr>
          <w:p w14:paraId="0D8D7C7D" w14:textId="77777777" w:rsidR="00856406" w:rsidRPr="00717004" w:rsidRDefault="00856406" w:rsidP="001B3300">
            <w:pPr>
              <w:pStyle w:val="TableText"/>
            </w:pPr>
            <w:r w:rsidRPr="00717004">
              <w:t>Funeral</w:t>
            </w:r>
            <w:r>
              <w:t xml:space="preserve"> </w:t>
            </w:r>
            <w:r w:rsidRPr="00717004">
              <w:t>service</w:t>
            </w:r>
            <w:r>
              <w:t xml:space="preserve"> </w:t>
            </w:r>
            <w:r w:rsidRPr="00717004">
              <w:t>providers</w:t>
            </w:r>
            <w:r>
              <w:t xml:space="preserve"> </w:t>
            </w:r>
          </w:p>
        </w:tc>
        <w:tc>
          <w:tcPr>
            <w:tcW w:w="930" w:type="dxa"/>
          </w:tcPr>
          <w:p w14:paraId="07ED8D3F" w14:textId="77777777" w:rsidR="00856406" w:rsidRPr="00717004" w:rsidRDefault="00856406" w:rsidP="001B3300">
            <w:pPr>
              <w:pStyle w:val="TableTextRight"/>
            </w:pPr>
            <w:r w:rsidRPr="00717004">
              <w:t>10</w:t>
            </w:r>
          </w:p>
        </w:tc>
        <w:tc>
          <w:tcPr>
            <w:tcW w:w="930" w:type="dxa"/>
          </w:tcPr>
          <w:p w14:paraId="3F506874" w14:textId="77777777" w:rsidR="00856406" w:rsidRPr="00717004" w:rsidRDefault="00856406" w:rsidP="001B3300">
            <w:pPr>
              <w:pStyle w:val="TableTextRight"/>
            </w:pPr>
            <w:r w:rsidRPr="00717004">
              <w:t>7</w:t>
            </w:r>
          </w:p>
        </w:tc>
        <w:tc>
          <w:tcPr>
            <w:tcW w:w="930" w:type="dxa"/>
          </w:tcPr>
          <w:p w14:paraId="0AC3F752" w14:textId="77777777" w:rsidR="00856406" w:rsidRPr="00717004" w:rsidRDefault="00856406" w:rsidP="001B3300">
            <w:pPr>
              <w:pStyle w:val="TableTextRight"/>
            </w:pPr>
            <w:r w:rsidRPr="00717004">
              <w:t>16</w:t>
            </w:r>
          </w:p>
        </w:tc>
        <w:tc>
          <w:tcPr>
            <w:tcW w:w="930" w:type="dxa"/>
          </w:tcPr>
          <w:p w14:paraId="1AF3BBB7" w14:textId="77777777" w:rsidR="00856406" w:rsidRPr="00717004" w:rsidRDefault="00856406" w:rsidP="001B3300">
            <w:pPr>
              <w:pStyle w:val="TableTextRight"/>
            </w:pPr>
            <w:r w:rsidRPr="00717004">
              <w:t>535</w:t>
            </w:r>
          </w:p>
        </w:tc>
        <w:tc>
          <w:tcPr>
            <w:tcW w:w="943" w:type="dxa"/>
          </w:tcPr>
          <w:p w14:paraId="1375146E" w14:textId="77777777" w:rsidR="00856406" w:rsidRPr="00717004" w:rsidRDefault="00856406" w:rsidP="001B3300">
            <w:pPr>
              <w:pStyle w:val="TableTextRight"/>
            </w:pPr>
            <w:r w:rsidRPr="00717004">
              <w:t>542</w:t>
            </w:r>
          </w:p>
        </w:tc>
        <w:tc>
          <w:tcPr>
            <w:tcW w:w="1019" w:type="dxa"/>
          </w:tcPr>
          <w:p w14:paraId="0D9D753D" w14:textId="77777777" w:rsidR="00856406" w:rsidRPr="00717004" w:rsidRDefault="00856406" w:rsidP="001B3300">
            <w:pPr>
              <w:pStyle w:val="TableTextRight"/>
            </w:pPr>
            <w:r w:rsidRPr="00717004">
              <w:t>558</w:t>
            </w:r>
          </w:p>
        </w:tc>
      </w:tr>
      <w:tr w:rsidR="00856406" w:rsidRPr="009C1F7F" w14:paraId="6A7060D5" w14:textId="77777777" w:rsidTr="00A831DB">
        <w:trPr>
          <w:trHeight w:val="270"/>
        </w:trPr>
        <w:tc>
          <w:tcPr>
            <w:tcW w:w="3390" w:type="dxa"/>
            <w:hideMark/>
          </w:tcPr>
          <w:p w14:paraId="6BD7CD2F" w14:textId="77777777" w:rsidR="00856406" w:rsidRPr="00717004" w:rsidRDefault="00856406" w:rsidP="001B3300">
            <w:pPr>
              <w:pStyle w:val="TableText"/>
            </w:pPr>
            <w:r w:rsidRPr="00717004">
              <w:t>Rental</w:t>
            </w:r>
            <w:r>
              <w:t xml:space="preserve"> </w:t>
            </w:r>
            <w:r w:rsidRPr="00717004">
              <w:t>non-compliance</w:t>
            </w:r>
            <w:r>
              <w:t xml:space="preserve"> </w:t>
            </w:r>
          </w:p>
        </w:tc>
        <w:tc>
          <w:tcPr>
            <w:tcW w:w="930" w:type="dxa"/>
            <w:hideMark/>
          </w:tcPr>
          <w:p w14:paraId="50E781BA" w14:textId="77777777" w:rsidR="00856406" w:rsidRPr="00717004" w:rsidRDefault="00856406" w:rsidP="001B3300">
            <w:pPr>
              <w:pStyle w:val="TableTextRight"/>
            </w:pPr>
            <w:r w:rsidRPr="00717004">
              <w:t>N/A</w:t>
            </w:r>
            <w:r>
              <w:t xml:space="preserve"> </w:t>
            </w:r>
          </w:p>
        </w:tc>
        <w:tc>
          <w:tcPr>
            <w:tcW w:w="930" w:type="dxa"/>
            <w:hideMark/>
          </w:tcPr>
          <w:p w14:paraId="5C68ADEF" w14:textId="77777777" w:rsidR="00856406" w:rsidRPr="00717004" w:rsidRDefault="00856406" w:rsidP="001B3300">
            <w:pPr>
              <w:pStyle w:val="TableTextRight"/>
            </w:pPr>
            <w:r w:rsidRPr="00717004">
              <w:t>N/A</w:t>
            </w:r>
            <w:r>
              <w:t xml:space="preserve"> </w:t>
            </w:r>
          </w:p>
        </w:tc>
        <w:tc>
          <w:tcPr>
            <w:tcW w:w="930" w:type="dxa"/>
            <w:hideMark/>
          </w:tcPr>
          <w:p w14:paraId="36E5A335" w14:textId="77777777" w:rsidR="00856406" w:rsidRPr="00717004" w:rsidRDefault="00856406" w:rsidP="001B3300">
            <w:pPr>
              <w:pStyle w:val="TableTextRight"/>
            </w:pPr>
            <w:r w:rsidRPr="00717004">
              <w:t>N/A</w:t>
            </w:r>
            <w:r>
              <w:t xml:space="preserve"> </w:t>
            </w:r>
          </w:p>
        </w:tc>
        <w:tc>
          <w:tcPr>
            <w:tcW w:w="930" w:type="dxa"/>
          </w:tcPr>
          <w:p w14:paraId="22B30BFC" w14:textId="77777777" w:rsidR="00856406" w:rsidRPr="00717004" w:rsidRDefault="00856406" w:rsidP="001B3300">
            <w:pPr>
              <w:pStyle w:val="TableTextRight"/>
            </w:pPr>
            <w:r w:rsidRPr="00717004">
              <w:t>16</w:t>
            </w:r>
          </w:p>
        </w:tc>
        <w:tc>
          <w:tcPr>
            <w:tcW w:w="943" w:type="dxa"/>
          </w:tcPr>
          <w:p w14:paraId="49DF9352" w14:textId="77777777" w:rsidR="00856406" w:rsidRPr="00717004" w:rsidRDefault="00856406" w:rsidP="001B3300">
            <w:pPr>
              <w:pStyle w:val="TableTextRight"/>
            </w:pPr>
            <w:r w:rsidRPr="00717004">
              <w:t>20</w:t>
            </w:r>
          </w:p>
        </w:tc>
        <w:tc>
          <w:tcPr>
            <w:tcW w:w="1019" w:type="dxa"/>
          </w:tcPr>
          <w:p w14:paraId="2123834A" w14:textId="77777777" w:rsidR="00856406" w:rsidRPr="00717004" w:rsidRDefault="00856406" w:rsidP="001B3300">
            <w:pPr>
              <w:pStyle w:val="TableTextRight"/>
            </w:pPr>
            <w:r w:rsidRPr="00717004">
              <w:t>20</w:t>
            </w:r>
          </w:p>
        </w:tc>
      </w:tr>
    </w:tbl>
    <w:p w14:paraId="4BA904E0" w14:textId="77777777" w:rsidR="00856406" w:rsidRPr="00EB0C9A" w:rsidRDefault="00856406" w:rsidP="00447322">
      <w:pPr>
        <w:pStyle w:val="Heading3"/>
      </w:pPr>
      <w:r w:rsidRPr="00EB0C9A">
        <w:t>Professional</w:t>
      </w:r>
      <w:r>
        <w:t xml:space="preserve"> </w:t>
      </w:r>
      <w:r w:rsidRPr="00EB0C9A">
        <w:t>Engineers</w:t>
      </w:r>
      <w:r>
        <w:t xml:space="preserve"> </w:t>
      </w:r>
      <w:r w:rsidRPr="00EB0C9A">
        <w:t>Registration</w:t>
      </w:r>
      <w:r>
        <w:t xml:space="preserve"> </w:t>
      </w:r>
      <w:r w:rsidRPr="00EB0C9A">
        <w:t>Scheme</w:t>
      </w:r>
    </w:p>
    <w:p w14:paraId="2E2CD121" w14:textId="77777777" w:rsidR="00856406" w:rsidRPr="009C0EF7" w:rsidRDefault="00856406" w:rsidP="00F45F3A">
      <w:pPr>
        <w:pStyle w:val="BodyText"/>
      </w:pPr>
      <w:r>
        <w:t xml:space="preserve">Mandatory registration of professional engineers </w:t>
      </w:r>
      <w:r w:rsidRPr="009C0EF7">
        <w:t>protects</w:t>
      </w:r>
      <w:r>
        <w:t xml:space="preserve"> </w:t>
      </w:r>
      <w:r w:rsidRPr="009C0EF7">
        <w:t>public</w:t>
      </w:r>
      <w:r>
        <w:t xml:space="preserve"> </w:t>
      </w:r>
      <w:r w:rsidRPr="009C0EF7">
        <w:t>safety</w:t>
      </w:r>
      <w:r>
        <w:t xml:space="preserve"> </w:t>
      </w:r>
      <w:r w:rsidRPr="009C0EF7">
        <w:t>and</w:t>
      </w:r>
      <w:r>
        <w:t xml:space="preserve"> </w:t>
      </w:r>
      <w:r w:rsidRPr="009C0EF7">
        <w:t>trust</w:t>
      </w:r>
      <w:r>
        <w:t xml:space="preserve"> </w:t>
      </w:r>
      <w:r w:rsidRPr="009C0EF7">
        <w:t>in</w:t>
      </w:r>
      <w:r>
        <w:t xml:space="preserve"> </w:t>
      </w:r>
      <w:r w:rsidRPr="009C0EF7">
        <w:t>engineering</w:t>
      </w:r>
      <w:r>
        <w:t xml:space="preserve"> </w:t>
      </w:r>
      <w:r w:rsidRPr="009C0EF7">
        <w:t>services</w:t>
      </w:r>
      <w:r>
        <w:t xml:space="preserve">, </w:t>
      </w:r>
      <w:r w:rsidRPr="009C0EF7">
        <w:t>by</w:t>
      </w:r>
      <w:r>
        <w:t xml:space="preserve"> </w:t>
      </w:r>
      <w:r w:rsidRPr="009C0EF7">
        <w:t>ensuring</w:t>
      </w:r>
      <w:r>
        <w:t xml:space="preserve"> </w:t>
      </w:r>
      <w:r w:rsidRPr="009C0EF7">
        <w:t>only</w:t>
      </w:r>
      <w:r>
        <w:t xml:space="preserve"> </w:t>
      </w:r>
      <w:r w:rsidRPr="009C0EF7">
        <w:t>qualified</w:t>
      </w:r>
      <w:r>
        <w:t xml:space="preserve"> </w:t>
      </w:r>
      <w:r w:rsidRPr="009C0EF7">
        <w:t>and</w:t>
      </w:r>
      <w:r>
        <w:t xml:space="preserve"> </w:t>
      </w:r>
      <w:r w:rsidRPr="009C0EF7">
        <w:t>experienced</w:t>
      </w:r>
      <w:r>
        <w:t xml:space="preserve"> </w:t>
      </w:r>
      <w:r w:rsidRPr="009C0EF7">
        <w:t>engineers</w:t>
      </w:r>
      <w:r>
        <w:t xml:space="preserve"> </w:t>
      </w:r>
      <w:r w:rsidRPr="009C0EF7">
        <w:t>can</w:t>
      </w:r>
      <w:r>
        <w:t xml:space="preserve"> </w:t>
      </w:r>
      <w:r w:rsidRPr="009C0EF7">
        <w:t>practice</w:t>
      </w:r>
      <w:r>
        <w:t xml:space="preserve"> </w:t>
      </w:r>
      <w:r w:rsidRPr="009C0EF7">
        <w:t>in</w:t>
      </w:r>
      <w:r>
        <w:t xml:space="preserve"> </w:t>
      </w:r>
      <w:r w:rsidRPr="009C0EF7">
        <w:t>Victoria.</w:t>
      </w:r>
      <w:r>
        <w:t xml:space="preserve"> </w:t>
      </w:r>
      <w:r w:rsidRPr="009C0EF7">
        <w:t>By</w:t>
      </w:r>
      <w:r>
        <w:t xml:space="preserve"> </w:t>
      </w:r>
      <w:r w:rsidRPr="009C0EF7">
        <w:t>mandating</w:t>
      </w:r>
      <w:r>
        <w:t xml:space="preserve"> </w:t>
      </w:r>
      <w:r w:rsidRPr="009C0EF7">
        <w:t>registration</w:t>
      </w:r>
      <w:r>
        <w:t xml:space="preserve"> </w:t>
      </w:r>
      <w:r w:rsidRPr="009C0EF7">
        <w:t>across</w:t>
      </w:r>
      <w:r>
        <w:t xml:space="preserve"> the five areas of </w:t>
      </w:r>
      <w:r w:rsidRPr="009C0EF7">
        <w:t>fire</w:t>
      </w:r>
      <w:r>
        <w:t xml:space="preserve"> </w:t>
      </w:r>
      <w:r w:rsidRPr="009C0EF7">
        <w:t>safety,</w:t>
      </w:r>
      <w:r>
        <w:t xml:space="preserve"> </w:t>
      </w:r>
      <w:r w:rsidRPr="009C0EF7">
        <w:t>civil,</w:t>
      </w:r>
      <w:r>
        <w:t xml:space="preserve"> </w:t>
      </w:r>
      <w:r w:rsidRPr="009C0EF7">
        <w:t>structural,</w:t>
      </w:r>
      <w:r>
        <w:t xml:space="preserve"> </w:t>
      </w:r>
      <w:r w:rsidRPr="009C0EF7">
        <w:t>electrical</w:t>
      </w:r>
      <w:r>
        <w:t xml:space="preserve"> </w:t>
      </w:r>
      <w:r w:rsidRPr="009C0EF7">
        <w:t>and</w:t>
      </w:r>
      <w:r>
        <w:t xml:space="preserve"> </w:t>
      </w:r>
      <w:r w:rsidRPr="009C0EF7">
        <w:t>mechanical</w:t>
      </w:r>
      <w:r>
        <w:t xml:space="preserve"> </w:t>
      </w:r>
      <w:r w:rsidRPr="009C0EF7">
        <w:t>engineering,</w:t>
      </w:r>
      <w:r>
        <w:t xml:space="preserve"> </w:t>
      </w:r>
      <w:r w:rsidRPr="009C0EF7">
        <w:t>the</w:t>
      </w:r>
      <w:r>
        <w:t xml:space="preserve"> </w:t>
      </w:r>
      <w:r w:rsidRPr="009C0EF7">
        <w:t>scheme</w:t>
      </w:r>
      <w:r>
        <w:t xml:space="preserve"> </w:t>
      </w:r>
      <w:r w:rsidRPr="009C0EF7">
        <w:t>protects</w:t>
      </w:r>
      <w:r>
        <w:t xml:space="preserve"> </w:t>
      </w:r>
      <w:r w:rsidRPr="009C0EF7">
        <w:t>consumers</w:t>
      </w:r>
      <w:r>
        <w:t xml:space="preserve"> </w:t>
      </w:r>
      <w:r w:rsidRPr="009C0EF7">
        <w:t>from</w:t>
      </w:r>
      <w:r>
        <w:t xml:space="preserve"> </w:t>
      </w:r>
      <w:r w:rsidRPr="009C0EF7">
        <w:t>substandard</w:t>
      </w:r>
      <w:r>
        <w:t xml:space="preserve"> </w:t>
      </w:r>
      <w:r w:rsidRPr="009C0EF7">
        <w:t>or</w:t>
      </w:r>
      <w:r>
        <w:t xml:space="preserve"> </w:t>
      </w:r>
      <w:r w:rsidRPr="009C0EF7">
        <w:t>unauthorised</w:t>
      </w:r>
      <w:r>
        <w:t xml:space="preserve"> </w:t>
      </w:r>
      <w:r w:rsidRPr="009C0EF7">
        <w:t>engineering</w:t>
      </w:r>
      <w:r>
        <w:t xml:space="preserve"> </w:t>
      </w:r>
      <w:r w:rsidRPr="009C0EF7">
        <w:t>services</w:t>
      </w:r>
      <w:r>
        <w:t xml:space="preserve"> </w:t>
      </w:r>
      <w:r w:rsidRPr="009C0EF7">
        <w:t>and</w:t>
      </w:r>
      <w:r>
        <w:t xml:space="preserve"> </w:t>
      </w:r>
      <w:r w:rsidRPr="009C0EF7">
        <w:t>aligns</w:t>
      </w:r>
      <w:r>
        <w:t xml:space="preserve"> </w:t>
      </w:r>
      <w:r w:rsidRPr="009C0EF7">
        <w:t>professional</w:t>
      </w:r>
      <w:r>
        <w:t xml:space="preserve"> </w:t>
      </w:r>
      <w:r w:rsidRPr="009C0EF7">
        <w:t>standards</w:t>
      </w:r>
      <w:r>
        <w:t xml:space="preserve"> </w:t>
      </w:r>
      <w:r w:rsidRPr="009C0EF7">
        <w:t>with</w:t>
      </w:r>
      <w:r>
        <w:t xml:space="preserve"> </w:t>
      </w:r>
      <w:r w:rsidRPr="009C0EF7">
        <w:t>Australian</w:t>
      </w:r>
      <w:r>
        <w:t xml:space="preserve"> </w:t>
      </w:r>
      <w:r w:rsidRPr="009C0EF7">
        <w:t>and</w:t>
      </w:r>
      <w:r>
        <w:t xml:space="preserve"> </w:t>
      </w:r>
      <w:r w:rsidRPr="009C0EF7">
        <w:t>international</w:t>
      </w:r>
      <w:r>
        <w:t xml:space="preserve"> </w:t>
      </w:r>
      <w:r w:rsidRPr="009C0EF7">
        <w:t>benchmarks.</w:t>
      </w:r>
      <w:r>
        <w:t xml:space="preserve"> </w:t>
      </w:r>
      <w:r w:rsidRPr="009C0EF7">
        <w:t>Registered</w:t>
      </w:r>
      <w:r>
        <w:t xml:space="preserve"> </w:t>
      </w:r>
      <w:r w:rsidRPr="009C0EF7">
        <w:t>engineers</w:t>
      </w:r>
      <w:r>
        <w:t xml:space="preserve"> </w:t>
      </w:r>
      <w:r w:rsidRPr="009C0EF7">
        <w:t>m</w:t>
      </w:r>
      <w:r>
        <w:t xml:space="preserve">ust </w:t>
      </w:r>
      <w:r w:rsidRPr="009C0EF7">
        <w:t>meet</w:t>
      </w:r>
      <w:r>
        <w:t xml:space="preserve"> </w:t>
      </w:r>
      <w:r w:rsidRPr="009C0EF7">
        <w:t>qualification</w:t>
      </w:r>
      <w:r>
        <w:t xml:space="preserve"> </w:t>
      </w:r>
      <w:r w:rsidRPr="009C0EF7">
        <w:t>and</w:t>
      </w:r>
      <w:r>
        <w:t xml:space="preserve"> </w:t>
      </w:r>
      <w:r w:rsidRPr="009C0EF7">
        <w:t>experience</w:t>
      </w:r>
      <w:r>
        <w:t xml:space="preserve"> </w:t>
      </w:r>
      <w:r w:rsidRPr="009C0EF7">
        <w:t>requirements</w:t>
      </w:r>
      <w:r>
        <w:t xml:space="preserve">, </w:t>
      </w:r>
      <w:r w:rsidRPr="009C0EF7">
        <w:t>adhere</w:t>
      </w:r>
      <w:r>
        <w:t xml:space="preserve"> </w:t>
      </w:r>
      <w:r w:rsidRPr="009C0EF7">
        <w:t>to</w:t>
      </w:r>
      <w:r>
        <w:t xml:space="preserve"> </w:t>
      </w:r>
      <w:r w:rsidRPr="009C0EF7">
        <w:t>a</w:t>
      </w:r>
      <w:r>
        <w:t xml:space="preserve"> c</w:t>
      </w:r>
      <w:r w:rsidRPr="009C0EF7">
        <w:t>ode</w:t>
      </w:r>
      <w:r>
        <w:t xml:space="preserve"> </w:t>
      </w:r>
      <w:r w:rsidRPr="009C0EF7">
        <w:t>of</w:t>
      </w:r>
      <w:r>
        <w:t xml:space="preserve"> c</w:t>
      </w:r>
      <w:r w:rsidRPr="009C0EF7">
        <w:t>onduct</w:t>
      </w:r>
      <w:r>
        <w:t xml:space="preserve">, and </w:t>
      </w:r>
      <w:r w:rsidRPr="009C0EF7">
        <w:t>undergo</w:t>
      </w:r>
      <w:r>
        <w:t xml:space="preserve"> </w:t>
      </w:r>
      <w:r w:rsidRPr="009C0EF7">
        <w:t>continuing</w:t>
      </w:r>
      <w:r>
        <w:t xml:space="preserve"> </w:t>
      </w:r>
      <w:r w:rsidRPr="009C0EF7">
        <w:t>professional</w:t>
      </w:r>
      <w:r>
        <w:t xml:space="preserve"> </w:t>
      </w:r>
      <w:r w:rsidRPr="009C0EF7">
        <w:t>development</w:t>
      </w:r>
      <w:r>
        <w:t xml:space="preserve"> </w:t>
      </w:r>
      <w:r w:rsidRPr="009C0EF7">
        <w:t>every</w:t>
      </w:r>
      <w:r>
        <w:t xml:space="preserve"> </w:t>
      </w:r>
      <w:r w:rsidRPr="009C0EF7">
        <w:t>three</w:t>
      </w:r>
      <w:r>
        <w:t xml:space="preserve"> </w:t>
      </w:r>
      <w:r w:rsidRPr="009C0EF7">
        <w:t>years.</w:t>
      </w:r>
    </w:p>
    <w:p w14:paraId="085FAAF8" w14:textId="300773C0" w:rsidR="00856406" w:rsidRDefault="00856406" w:rsidP="00F45F3A">
      <w:pPr>
        <w:pStyle w:val="BodyText"/>
      </w:pPr>
      <w:r w:rsidRPr="009C0EF7">
        <w:t>In</w:t>
      </w:r>
      <w:r>
        <w:t xml:space="preserve"> </w:t>
      </w:r>
      <w:r w:rsidR="00EE79C3">
        <w:t>2024–25</w:t>
      </w:r>
      <w:r w:rsidRPr="009C0EF7">
        <w:t>,</w:t>
      </w:r>
      <w:r>
        <w:t xml:space="preserve"> </w:t>
      </w:r>
      <w:r w:rsidRPr="009C0EF7">
        <w:t>substantial</w:t>
      </w:r>
      <w:r>
        <w:t xml:space="preserve"> </w:t>
      </w:r>
      <w:r w:rsidRPr="009C0EF7">
        <w:t>progress</w:t>
      </w:r>
      <w:r>
        <w:t xml:space="preserve"> </w:t>
      </w:r>
      <w:r w:rsidRPr="009C0EF7">
        <w:t>was</w:t>
      </w:r>
      <w:r>
        <w:t xml:space="preserve"> </w:t>
      </w:r>
      <w:r w:rsidRPr="009C0EF7">
        <w:t>made</w:t>
      </w:r>
      <w:r>
        <w:t xml:space="preserve"> </w:t>
      </w:r>
      <w:r w:rsidRPr="009C0EF7">
        <w:t>under</w:t>
      </w:r>
      <w:r>
        <w:t xml:space="preserve"> </w:t>
      </w:r>
      <w:r w:rsidRPr="009C0EF7">
        <w:t>the</w:t>
      </w:r>
      <w:r>
        <w:t xml:space="preserve"> </w:t>
      </w:r>
      <w:r w:rsidRPr="009C0EF7">
        <w:t>scheme,</w:t>
      </w:r>
      <w:r>
        <w:t xml:space="preserve"> </w:t>
      </w:r>
      <w:r w:rsidRPr="009C0EF7">
        <w:t>with</w:t>
      </w:r>
      <w:r>
        <w:t xml:space="preserve"> </w:t>
      </w:r>
      <w:r w:rsidRPr="009C0EF7">
        <w:t>the</w:t>
      </w:r>
      <w:r>
        <w:t xml:space="preserve"> </w:t>
      </w:r>
      <w:r w:rsidRPr="009C0EF7">
        <w:t>total</w:t>
      </w:r>
      <w:r>
        <w:t xml:space="preserve"> </w:t>
      </w:r>
      <w:r w:rsidRPr="009C0EF7">
        <w:t>number</w:t>
      </w:r>
      <w:r>
        <w:t xml:space="preserve"> </w:t>
      </w:r>
      <w:r w:rsidRPr="009C0EF7">
        <w:t>of</w:t>
      </w:r>
      <w:r>
        <w:t xml:space="preserve"> </w:t>
      </w:r>
      <w:r w:rsidRPr="009C0EF7">
        <w:t>registered</w:t>
      </w:r>
      <w:r>
        <w:t xml:space="preserve"> </w:t>
      </w:r>
      <w:r w:rsidRPr="009C0EF7">
        <w:t>engineers</w:t>
      </w:r>
      <w:r>
        <w:t xml:space="preserve"> </w:t>
      </w:r>
      <w:r w:rsidRPr="009C0EF7">
        <w:t>increasing</w:t>
      </w:r>
      <w:r>
        <w:t xml:space="preserve"> </w:t>
      </w:r>
      <w:r w:rsidRPr="009C0EF7">
        <w:t>to</w:t>
      </w:r>
      <w:r>
        <w:t xml:space="preserve"> </w:t>
      </w:r>
      <w:r w:rsidRPr="009C0EF7">
        <w:t>14,</w:t>
      </w:r>
      <w:r>
        <w:t>525</w:t>
      </w:r>
      <w:r w:rsidRPr="009C0EF7">
        <w:t>,</w:t>
      </w:r>
      <w:r>
        <w:t xml:space="preserve"> </w:t>
      </w:r>
      <w:r w:rsidRPr="009C0EF7">
        <w:t>a</w:t>
      </w:r>
      <w:r>
        <w:t xml:space="preserve"> 9 per cent </w:t>
      </w:r>
      <w:r w:rsidRPr="009C0EF7">
        <w:t>rise</w:t>
      </w:r>
      <w:r>
        <w:t xml:space="preserve"> </w:t>
      </w:r>
      <w:r w:rsidRPr="009C0EF7">
        <w:t>compared</w:t>
      </w:r>
      <w:r>
        <w:t xml:space="preserve"> </w:t>
      </w:r>
      <w:r w:rsidRPr="009C0EF7">
        <w:t>to</w:t>
      </w:r>
      <w:r>
        <w:t xml:space="preserve"> </w:t>
      </w:r>
      <w:r w:rsidR="00EE79C3">
        <w:t>2023–24</w:t>
      </w:r>
      <w:r w:rsidRPr="009C0EF7">
        <w:t>.</w:t>
      </w:r>
      <w:r>
        <w:t xml:space="preserve"> R</w:t>
      </w:r>
      <w:r w:rsidRPr="009C0EF7">
        <w:t>enewals</w:t>
      </w:r>
      <w:r>
        <w:t xml:space="preserve"> </w:t>
      </w:r>
      <w:r w:rsidRPr="009C0EF7">
        <w:t>rose</w:t>
      </w:r>
      <w:r>
        <w:t xml:space="preserve"> </w:t>
      </w:r>
      <w:r w:rsidRPr="009C0EF7">
        <w:t>significantly</w:t>
      </w:r>
      <w:r>
        <w:t xml:space="preserve"> as the scheme reached its third year of operation</w:t>
      </w:r>
      <w:r w:rsidRPr="009C0EF7">
        <w:t>,</w:t>
      </w:r>
      <w:r>
        <w:t xml:space="preserve"> </w:t>
      </w:r>
      <w:r w:rsidRPr="009C0EF7">
        <w:t>demonstrating</w:t>
      </w:r>
      <w:r>
        <w:t xml:space="preserve"> </w:t>
      </w:r>
      <w:r w:rsidRPr="009C0EF7">
        <w:t>the</w:t>
      </w:r>
      <w:r>
        <w:t xml:space="preserve"> </w:t>
      </w:r>
      <w:r w:rsidRPr="009C0EF7">
        <w:t>ongoing</w:t>
      </w:r>
      <w:r>
        <w:t xml:space="preserve"> </w:t>
      </w:r>
      <w:r w:rsidRPr="009C0EF7">
        <w:t>compliance</w:t>
      </w:r>
      <w:r>
        <w:t xml:space="preserve"> </w:t>
      </w:r>
      <w:r w:rsidRPr="009C0EF7">
        <w:t>of</w:t>
      </w:r>
      <w:r>
        <w:t xml:space="preserve"> </w:t>
      </w:r>
      <w:r w:rsidRPr="009C0EF7">
        <w:t>existing</w:t>
      </w:r>
      <w:r>
        <w:t xml:space="preserve"> </w:t>
      </w:r>
      <w:r w:rsidRPr="009C0EF7">
        <w:t>professionals</w:t>
      </w:r>
      <w:r>
        <w:t xml:space="preserve"> as their three-year renewals began to fall due</w:t>
      </w:r>
      <w:r w:rsidRPr="009C0EF7">
        <w:t>.</w:t>
      </w:r>
    </w:p>
    <w:p w14:paraId="592EA69D" w14:textId="77777777" w:rsidR="00856406" w:rsidRPr="00E71D24" w:rsidRDefault="00856406" w:rsidP="00F45F3A">
      <w:pPr>
        <w:pStyle w:val="BodyText"/>
      </w:pPr>
      <w:r>
        <w:t>In May 2025, t</w:t>
      </w:r>
      <w:r w:rsidRPr="009C0EF7">
        <w:t>he</w:t>
      </w:r>
      <w:r>
        <w:t xml:space="preserve"> </w:t>
      </w:r>
      <w:r w:rsidRPr="009C0EF7">
        <w:t>Victorian</w:t>
      </w:r>
      <w:r>
        <w:t xml:space="preserve"> </w:t>
      </w:r>
      <w:r w:rsidRPr="009C0EF7">
        <w:t>Government</w:t>
      </w:r>
      <w:r>
        <w:t xml:space="preserve"> </w:t>
      </w:r>
      <w:r w:rsidRPr="009C0EF7">
        <w:t>initiated</w:t>
      </w:r>
      <w:r>
        <w:t xml:space="preserve"> </w:t>
      </w:r>
      <w:r w:rsidRPr="009C0EF7">
        <w:t>a</w:t>
      </w:r>
      <w:r>
        <w:t xml:space="preserve"> </w:t>
      </w:r>
      <w:r w:rsidRPr="009C0EF7">
        <w:t>statutory</w:t>
      </w:r>
      <w:r>
        <w:t xml:space="preserve"> </w:t>
      </w:r>
      <w:r w:rsidRPr="009C0EF7">
        <w:t>review</w:t>
      </w:r>
      <w:r>
        <w:t xml:space="preserve"> </w:t>
      </w:r>
      <w:r w:rsidRPr="009C0EF7">
        <w:t>of</w:t>
      </w:r>
      <w:r>
        <w:t xml:space="preserve"> </w:t>
      </w:r>
      <w:r w:rsidRPr="009C0EF7">
        <w:t>the</w:t>
      </w:r>
      <w:r>
        <w:t xml:space="preserve"> </w:t>
      </w:r>
      <w:r w:rsidRPr="004368CF">
        <w:rPr>
          <w:i/>
          <w:iCs/>
        </w:rPr>
        <w:t>Professional</w:t>
      </w:r>
      <w:r>
        <w:rPr>
          <w:i/>
          <w:iCs/>
        </w:rPr>
        <w:t xml:space="preserve"> </w:t>
      </w:r>
      <w:r w:rsidRPr="004368CF">
        <w:rPr>
          <w:i/>
          <w:iCs/>
        </w:rPr>
        <w:t>Engineers</w:t>
      </w:r>
      <w:r>
        <w:rPr>
          <w:i/>
          <w:iCs/>
        </w:rPr>
        <w:t xml:space="preserve"> </w:t>
      </w:r>
      <w:r w:rsidRPr="004368CF">
        <w:rPr>
          <w:i/>
          <w:iCs/>
        </w:rPr>
        <w:t>Registration</w:t>
      </w:r>
      <w:r>
        <w:rPr>
          <w:i/>
          <w:iCs/>
        </w:rPr>
        <w:t xml:space="preserve"> </w:t>
      </w:r>
      <w:r w:rsidRPr="004368CF">
        <w:rPr>
          <w:i/>
          <w:iCs/>
        </w:rPr>
        <w:t>Act</w:t>
      </w:r>
      <w:r>
        <w:rPr>
          <w:i/>
          <w:iCs/>
        </w:rPr>
        <w:t xml:space="preserve"> </w:t>
      </w:r>
      <w:r w:rsidRPr="004368CF">
        <w:rPr>
          <w:i/>
          <w:iCs/>
        </w:rPr>
        <w:t>2019</w:t>
      </w:r>
      <w:r>
        <w:t xml:space="preserve">, to ensure that </w:t>
      </w:r>
      <w:r w:rsidRPr="009C0EF7">
        <w:t>future</w:t>
      </w:r>
      <w:r>
        <w:t xml:space="preserve"> </w:t>
      </w:r>
      <w:r w:rsidRPr="009C0EF7">
        <w:t>arrangements</w:t>
      </w:r>
      <w:r>
        <w:t xml:space="preserve"> </w:t>
      </w:r>
      <w:r w:rsidRPr="009C0EF7">
        <w:t>are</w:t>
      </w:r>
      <w:r>
        <w:t xml:space="preserve"> </w:t>
      </w:r>
      <w:r w:rsidRPr="009C0EF7">
        <w:t>informed</w:t>
      </w:r>
      <w:r>
        <w:t xml:space="preserve"> </w:t>
      </w:r>
      <w:r w:rsidRPr="009C0EF7">
        <w:t>by</w:t>
      </w:r>
      <w:r>
        <w:t xml:space="preserve"> </w:t>
      </w:r>
      <w:r w:rsidRPr="009C0EF7">
        <w:t>industry</w:t>
      </w:r>
      <w:r>
        <w:t xml:space="preserve"> </w:t>
      </w:r>
      <w:r w:rsidRPr="009C0EF7">
        <w:t>feedback</w:t>
      </w:r>
      <w:r>
        <w:t xml:space="preserve"> </w:t>
      </w:r>
      <w:r w:rsidRPr="009C0EF7">
        <w:t>and</w:t>
      </w:r>
      <w:r>
        <w:t xml:space="preserve"> the experience of the operation of the scheme to date</w:t>
      </w:r>
      <w:r w:rsidRPr="009C0EF7">
        <w:t>.</w:t>
      </w:r>
    </w:p>
    <w:p w14:paraId="6DBAA98D" w14:textId="77777777" w:rsidR="00856406" w:rsidRPr="00786FC0" w:rsidRDefault="00856406" w:rsidP="00447322">
      <w:pPr>
        <w:pStyle w:val="Heading3"/>
      </w:pPr>
      <w:r w:rsidRPr="00786FC0">
        <w:t>Product</w:t>
      </w:r>
      <w:r>
        <w:t xml:space="preserve"> </w:t>
      </w:r>
      <w:r w:rsidRPr="00786FC0">
        <w:t>safety</w:t>
      </w:r>
      <w:r>
        <w:t xml:space="preserve"> </w:t>
      </w:r>
      <w:r w:rsidRPr="00786FC0">
        <w:t>regulation</w:t>
      </w:r>
    </w:p>
    <w:p w14:paraId="2D07823B" w14:textId="77777777" w:rsidR="00856406" w:rsidRPr="00F45F3A" w:rsidRDefault="00856406" w:rsidP="00F45F3A">
      <w:pPr>
        <w:pStyle w:val="BodyText"/>
      </w:pPr>
      <w:r w:rsidRPr="00717004">
        <w:t>Given</w:t>
      </w:r>
      <w:r>
        <w:t xml:space="preserve"> current cos</w:t>
      </w:r>
      <w:r w:rsidRPr="00F45F3A">
        <w:t>t of living challenges, Victorians are looking for bargains when they shop. Regardless of the price point, people have a right to expect the household items they buy have met the required product safety and information standards. There is no excuse for selling products that do not meet Australia’s product safety laws.</w:t>
      </w:r>
    </w:p>
    <w:p w14:paraId="141BDC97" w14:textId="77777777" w:rsidR="00856406" w:rsidRPr="00F45F3A" w:rsidRDefault="00856406" w:rsidP="00F45F3A">
      <w:pPr>
        <w:pStyle w:val="BodyText"/>
      </w:pPr>
      <w:r w:rsidRPr="00F45F3A">
        <w:t>CAV works closely with the Australian Competition and Consumer Commission and other jurisdictions to monitor and enforce national product safety laws under the Australian Consumer Law. This includes ensuring compliance with product bans and safety and information standards, and facilitating recalls when required.</w:t>
      </w:r>
    </w:p>
    <w:p w14:paraId="0BEA4774" w14:textId="77777777" w:rsidR="00856406" w:rsidRPr="00F45F3A" w:rsidRDefault="00856406" w:rsidP="00F45F3A">
      <w:pPr>
        <w:pStyle w:val="BodyText"/>
      </w:pPr>
      <w:r w:rsidRPr="00F45F3A">
        <w:t>CAV’s website offers clear information on safety standards and a dedicated home safety section. It also provides avenues for reporting unsafe products online and a hotline for urgent complaints about items posing severe risks.</w:t>
      </w:r>
    </w:p>
    <w:p w14:paraId="35C3E244" w14:textId="29CD5E55" w:rsidR="00856406" w:rsidRPr="00717004" w:rsidRDefault="00856406" w:rsidP="00F45F3A">
      <w:pPr>
        <w:pStyle w:val="BodyText"/>
      </w:pPr>
      <w:r w:rsidRPr="00F45F3A">
        <w:t xml:space="preserve">Throughout </w:t>
      </w:r>
      <w:r w:rsidR="00EE79C3">
        <w:t>2024–25</w:t>
      </w:r>
      <w:r w:rsidRPr="00F45F3A">
        <w:t>, CAV inspectors took proactive steps to protect the community, inspecting 914 retail stores across V</w:t>
      </w:r>
      <w:r w:rsidRPr="00717004">
        <w:t>ictoria.</w:t>
      </w:r>
      <w:r>
        <w:t xml:space="preserve"> </w:t>
      </w:r>
      <w:r w:rsidRPr="00717004">
        <w:t>Their</w:t>
      </w:r>
      <w:r>
        <w:t xml:space="preserve"> </w:t>
      </w:r>
      <w:r w:rsidRPr="00717004">
        <w:t>efforts</w:t>
      </w:r>
      <w:r>
        <w:t xml:space="preserve"> </w:t>
      </w:r>
      <w:r w:rsidRPr="00717004">
        <w:t>resulted</w:t>
      </w:r>
      <w:r>
        <w:t xml:space="preserve"> </w:t>
      </w:r>
      <w:r w:rsidRPr="00717004">
        <w:t>in</w:t>
      </w:r>
      <w:r>
        <w:t xml:space="preserve"> </w:t>
      </w:r>
      <w:r w:rsidRPr="00717004">
        <w:t>16</w:t>
      </w:r>
      <w:r>
        <w:t xml:space="preserve"> </w:t>
      </w:r>
      <w:r w:rsidRPr="00717004">
        <w:t>infringements</w:t>
      </w:r>
      <w:r>
        <w:t xml:space="preserve"> and </w:t>
      </w:r>
      <w:r w:rsidRPr="00717004">
        <w:t>169</w:t>
      </w:r>
      <w:r>
        <w:t xml:space="preserve"> </w:t>
      </w:r>
      <w:r w:rsidRPr="00717004">
        <w:t>official</w:t>
      </w:r>
      <w:r>
        <w:t xml:space="preserve"> </w:t>
      </w:r>
      <w:r w:rsidRPr="00717004">
        <w:t>warnings</w:t>
      </w:r>
      <w:r>
        <w:t xml:space="preserve"> issued</w:t>
      </w:r>
      <w:r w:rsidRPr="00717004">
        <w:t>,</w:t>
      </w:r>
      <w:r>
        <w:t xml:space="preserve"> </w:t>
      </w:r>
      <w:r w:rsidRPr="00717004">
        <w:t>and</w:t>
      </w:r>
      <w:r>
        <w:t xml:space="preserve"> </w:t>
      </w:r>
      <w:r w:rsidRPr="00717004">
        <w:t>49</w:t>
      </w:r>
      <w:r>
        <w:t xml:space="preserve"> </w:t>
      </w:r>
      <w:r w:rsidRPr="00717004">
        <w:t>voluntary</w:t>
      </w:r>
      <w:r>
        <w:t xml:space="preserve"> </w:t>
      </w:r>
      <w:r w:rsidRPr="00717004">
        <w:t>undertakings</w:t>
      </w:r>
      <w:r>
        <w:t xml:space="preserve"> </w:t>
      </w:r>
      <w:r w:rsidRPr="00717004">
        <w:t>secured</w:t>
      </w:r>
      <w:r>
        <w:t xml:space="preserve"> to remove unsafe products from sale</w:t>
      </w:r>
      <w:r w:rsidRPr="00717004">
        <w:t>.</w:t>
      </w:r>
    </w:p>
    <w:p w14:paraId="36CC1C3A" w14:textId="77777777" w:rsidR="00856406" w:rsidRDefault="00856406" w:rsidP="00F45F3A">
      <w:pPr>
        <w:pStyle w:val="BodyText"/>
      </w:pPr>
      <w:r>
        <w:t>CAV has a longstanding product safety partnership with the Melbourne Royal Show. CAV inspectors examined 380 showbags ahead of the opening of the 2024 show, ensuring 13 unsafe items were removed or modified and families could enjoy safe showbags. In October 2024, CAV joined the Melbourne Royal Show to warn parents and carers about unsafe children’s toys, after CAV inspectors found and seized more than 500 non-compliant products from a stall holder. Items included light-up headbands, wands and fairy wings with accessible button batteries, and banned yo-yo water balls posing a strangulation risk.</w:t>
      </w:r>
    </w:p>
    <w:p w14:paraId="4F63A886" w14:textId="77777777" w:rsidR="00856406" w:rsidRDefault="00856406" w:rsidP="00F45F3A">
      <w:pPr>
        <w:pStyle w:val="BodyText"/>
      </w:pPr>
      <w:r w:rsidRPr="00717004">
        <w:t>In</w:t>
      </w:r>
      <w:r>
        <w:t xml:space="preserve"> August 2024, CAV issued an urgent public warning about </w:t>
      </w:r>
      <w:r w:rsidRPr="00E42436">
        <w:t>light-up</w:t>
      </w:r>
      <w:r>
        <w:t xml:space="preserve"> </w:t>
      </w:r>
      <w:r w:rsidRPr="00E42436">
        <w:t>shoe</w:t>
      </w:r>
      <w:r>
        <w:t xml:space="preserve"> </w:t>
      </w:r>
      <w:r w:rsidRPr="00E42436">
        <w:t>charms</w:t>
      </w:r>
      <w:r>
        <w:t xml:space="preserve"> </w:t>
      </w:r>
      <w:r w:rsidRPr="00E42436">
        <w:t>and</w:t>
      </w:r>
      <w:r>
        <w:t xml:space="preserve"> </w:t>
      </w:r>
      <w:r w:rsidRPr="00E42436">
        <w:t>accessories</w:t>
      </w:r>
      <w:r>
        <w:t xml:space="preserve"> marketed to children, </w:t>
      </w:r>
      <w:r w:rsidRPr="00E42436">
        <w:t>that</w:t>
      </w:r>
      <w:r>
        <w:t xml:space="preserve"> </w:t>
      </w:r>
      <w:r w:rsidRPr="00E42436">
        <w:t>contain</w:t>
      </w:r>
      <w:r>
        <w:t xml:space="preserve">ed unsecured and unlabelled </w:t>
      </w:r>
      <w:r w:rsidRPr="00E42436">
        <w:t>button</w:t>
      </w:r>
      <w:r>
        <w:t xml:space="preserve"> </w:t>
      </w:r>
      <w:r w:rsidRPr="00E42436">
        <w:t>batteries</w:t>
      </w:r>
      <w:r>
        <w:t xml:space="preserve">. In </w:t>
      </w:r>
      <w:r w:rsidRPr="00717004">
        <w:t>March</w:t>
      </w:r>
      <w:r>
        <w:t xml:space="preserve"> 2025</w:t>
      </w:r>
      <w:r w:rsidRPr="00717004">
        <w:t>,</w:t>
      </w:r>
      <w:r>
        <w:t xml:space="preserve"> </w:t>
      </w:r>
      <w:r w:rsidRPr="00717004">
        <w:t>CAV</w:t>
      </w:r>
      <w:r>
        <w:t xml:space="preserve"> </w:t>
      </w:r>
      <w:r w:rsidRPr="00717004">
        <w:t>issued</w:t>
      </w:r>
      <w:r>
        <w:t xml:space="preserve"> </w:t>
      </w:r>
      <w:r w:rsidRPr="00717004">
        <w:t>an</w:t>
      </w:r>
      <w:r>
        <w:t xml:space="preserve"> </w:t>
      </w:r>
      <w:r w:rsidRPr="00717004">
        <w:t>urgent</w:t>
      </w:r>
      <w:r>
        <w:t xml:space="preserve"> </w:t>
      </w:r>
      <w:r w:rsidRPr="00717004">
        <w:t>public</w:t>
      </w:r>
      <w:r>
        <w:t xml:space="preserve"> </w:t>
      </w:r>
      <w:r w:rsidRPr="00717004">
        <w:t>warning</w:t>
      </w:r>
      <w:r>
        <w:t xml:space="preserve"> </w:t>
      </w:r>
      <w:r w:rsidRPr="00717004">
        <w:t>to</w:t>
      </w:r>
      <w:r>
        <w:t xml:space="preserve"> </w:t>
      </w:r>
      <w:r w:rsidRPr="00717004">
        <w:t>anyone</w:t>
      </w:r>
      <w:r>
        <w:t xml:space="preserve"> </w:t>
      </w:r>
      <w:r w:rsidRPr="00717004">
        <w:t>who</w:t>
      </w:r>
      <w:r>
        <w:t xml:space="preserve"> </w:t>
      </w:r>
      <w:r w:rsidRPr="00717004">
        <w:t>had</w:t>
      </w:r>
      <w:r>
        <w:t xml:space="preserve"> </w:t>
      </w:r>
      <w:r w:rsidRPr="00717004">
        <w:t>purchased</w:t>
      </w:r>
      <w:r>
        <w:t xml:space="preserve"> </w:t>
      </w:r>
      <w:r w:rsidRPr="00717004">
        <w:t>goods</w:t>
      </w:r>
      <w:r>
        <w:t xml:space="preserve"> </w:t>
      </w:r>
      <w:r w:rsidRPr="00717004">
        <w:t>from</w:t>
      </w:r>
      <w:r>
        <w:t xml:space="preserve"> </w:t>
      </w:r>
      <w:r w:rsidRPr="00717004">
        <w:t>Panda</w:t>
      </w:r>
      <w:r>
        <w:t xml:space="preserve"> </w:t>
      </w:r>
      <w:r w:rsidRPr="00717004">
        <w:t>Mart,</w:t>
      </w:r>
      <w:r>
        <w:t xml:space="preserve"> </w:t>
      </w:r>
      <w:r w:rsidRPr="00717004">
        <w:t>a</w:t>
      </w:r>
      <w:r>
        <w:t xml:space="preserve"> </w:t>
      </w:r>
      <w:r w:rsidRPr="00717004">
        <w:t>large</w:t>
      </w:r>
      <w:r>
        <w:t xml:space="preserve"> retail outlet in Cranbourne </w:t>
      </w:r>
      <w:r w:rsidRPr="00717004">
        <w:t>that</w:t>
      </w:r>
      <w:r>
        <w:t xml:space="preserve"> </w:t>
      </w:r>
      <w:r w:rsidRPr="00717004">
        <w:t>sells</w:t>
      </w:r>
      <w:r>
        <w:t xml:space="preserve"> </w:t>
      </w:r>
      <w:r w:rsidRPr="00717004">
        <w:t>low-cost</w:t>
      </w:r>
      <w:r>
        <w:t xml:space="preserve"> </w:t>
      </w:r>
      <w:r w:rsidRPr="00717004">
        <w:t>toys</w:t>
      </w:r>
      <w:r>
        <w:t xml:space="preserve"> </w:t>
      </w:r>
      <w:r w:rsidRPr="00717004">
        <w:t>and</w:t>
      </w:r>
      <w:r>
        <w:t xml:space="preserve"> </w:t>
      </w:r>
      <w:r w:rsidRPr="00717004">
        <w:t>other</w:t>
      </w:r>
      <w:r>
        <w:t xml:space="preserve"> </w:t>
      </w:r>
      <w:r w:rsidRPr="00717004">
        <w:t>items.</w:t>
      </w:r>
      <w:r>
        <w:t xml:space="preserve"> </w:t>
      </w:r>
      <w:r w:rsidRPr="00717004">
        <w:t>Inspectors</w:t>
      </w:r>
      <w:r>
        <w:t xml:space="preserve"> </w:t>
      </w:r>
      <w:r w:rsidRPr="00717004">
        <w:t>seized</w:t>
      </w:r>
      <w:r>
        <w:t xml:space="preserve"> </w:t>
      </w:r>
      <w:r w:rsidRPr="00717004">
        <w:t>thousands</w:t>
      </w:r>
      <w:r>
        <w:t xml:space="preserve"> </w:t>
      </w:r>
      <w:r w:rsidRPr="00717004">
        <w:t>of</w:t>
      </w:r>
      <w:r>
        <w:t xml:space="preserve"> </w:t>
      </w:r>
      <w:r w:rsidRPr="00717004">
        <w:t>products</w:t>
      </w:r>
      <w:r>
        <w:t xml:space="preserve"> </w:t>
      </w:r>
      <w:r w:rsidRPr="00717004">
        <w:t>believed</w:t>
      </w:r>
      <w:r>
        <w:t xml:space="preserve"> </w:t>
      </w:r>
      <w:r w:rsidRPr="00717004">
        <w:t>to</w:t>
      </w:r>
      <w:r>
        <w:t xml:space="preserve"> </w:t>
      </w:r>
      <w:r w:rsidRPr="00717004">
        <w:t>fail</w:t>
      </w:r>
      <w:r>
        <w:t xml:space="preserve"> </w:t>
      </w:r>
      <w:r w:rsidRPr="00717004">
        <w:t>to</w:t>
      </w:r>
      <w:r>
        <w:t xml:space="preserve"> </w:t>
      </w:r>
      <w:r w:rsidRPr="00717004">
        <w:t>meet</w:t>
      </w:r>
      <w:r>
        <w:t xml:space="preserve"> </w:t>
      </w:r>
      <w:r w:rsidRPr="00717004">
        <w:t>mandatory</w:t>
      </w:r>
      <w:r>
        <w:t xml:space="preserve"> </w:t>
      </w:r>
      <w:r w:rsidRPr="00717004">
        <w:t>product</w:t>
      </w:r>
      <w:r>
        <w:t xml:space="preserve"> </w:t>
      </w:r>
      <w:r w:rsidRPr="00717004">
        <w:t>safety</w:t>
      </w:r>
      <w:r>
        <w:t xml:space="preserve"> </w:t>
      </w:r>
      <w:r w:rsidRPr="00717004">
        <w:t>and</w:t>
      </w:r>
      <w:r>
        <w:t xml:space="preserve"> labelling standards</w:t>
      </w:r>
      <w:r w:rsidRPr="00717004">
        <w:t>.</w:t>
      </w:r>
      <w:r>
        <w:t xml:space="preserve"> </w:t>
      </w:r>
      <w:r w:rsidRPr="00717004">
        <w:t>These</w:t>
      </w:r>
      <w:r>
        <w:t xml:space="preserve"> </w:t>
      </w:r>
      <w:r w:rsidRPr="00717004">
        <w:t>included</w:t>
      </w:r>
      <w:r>
        <w:t xml:space="preserve"> </w:t>
      </w:r>
      <w:r w:rsidRPr="00717004">
        <w:t>toys</w:t>
      </w:r>
      <w:r>
        <w:t xml:space="preserve"> </w:t>
      </w:r>
      <w:r w:rsidRPr="00717004">
        <w:t>and</w:t>
      </w:r>
      <w:r>
        <w:t xml:space="preserve"> </w:t>
      </w:r>
      <w:r w:rsidRPr="00717004">
        <w:t>baby</w:t>
      </w:r>
      <w:r>
        <w:t xml:space="preserve"> </w:t>
      </w:r>
      <w:r w:rsidRPr="00717004">
        <w:t>rattles</w:t>
      </w:r>
      <w:r>
        <w:t xml:space="preserve"> </w:t>
      </w:r>
      <w:r w:rsidRPr="00717004">
        <w:t>containing</w:t>
      </w:r>
      <w:r>
        <w:t xml:space="preserve"> </w:t>
      </w:r>
      <w:r w:rsidRPr="00717004">
        <w:t>button</w:t>
      </w:r>
      <w:r>
        <w:t xml:space="preserve"> </w:t>
      </w:r>
      <w:r w:rsidRPr="00717004">
        <w:t>batteries</w:t>
      </w:r>
      <w:r>
        <w:t xml:space="preserve"> </w:t>
      </w:r>
      <w:r w:rsidRPr="00717004">
        <w:t>that</w:t>
      </w:r>
      <w:r>
        <w:t xml:space="preserve"> </w:t>
      </w:r>
      <w:r w:rsidRPr="00717004">
        <w:t>were</w:t>
      </w:r>
      <w:r>
        <w:t xml:space="preserve"> also </w:t>
      </w:r>
      <w:r w:rsidRPr="00717004">
        <w:t>inadequately</w:t>
      </w:r>
      <w:r>
        <w:t xml:space="preserve"> </w:t>
      </w:r>
      <w:r w:rsidRPr="00717004">
        <w:t>secured</w:t>
      </w:r>
      <w:r>
        <w:t xml:space="preserve"> </w:t>
      </w:r>
      <w:r w:rsidRPr="00717004">
        <w:t>or</w:t>
      </w:r>
      <w:r>
        <w:t xml:space="preserve"> </w:t>
      </w:r>
      <w:r w:rsidRPr="00717004">
        <w:t>labelled.</w:t>
      </w:r>
      <w:r>
        <w:t xml:space="preserve"> </w:t>
      </w:r>
      <w:r w:rsidRPr="00717004">
        <w:t>Button</w:t>
      </w:r>
      <w:r>
        <w:t xml:space="preserve"> </w:t>
      </w:r>
      <w:r w:rsidRPr="00717004">
        <w:t>batteries</w:t>
      </w:r>
      <w:r>
        <w:t xml:space="preserve"> </w:t>
      </w:r>
      <w:r w:rsidRPr="00717004">
        <w:t>pose</w:t>
      </w:r>
      <w:r>
        <w:t xml:space="preserve"> </w:t>
      </w:r>
      <w:r w:rsidRPr="00717004">
        <w:t>an</w:t>
      </w:r>
      <w:r>
        <w:t xml:space="preserve"> </w:t>
      </w:r>
      <w:r w:rsidRPr="00717004">
        <w:t>extreme</w:t>
      </w:r>
      <w:r>
        <w:t xml:space="preserve"> </w:t>
      </w:r>
      <w:r w:rsidRPr="00717004">
        <w:t>risk</w:t>
      </w:r>
      <w:r>
        <w:t xml:space="preserve"> as </w:t>
      </w:r>
      <w:r w:rsidRPr="00717004">
        <w:t>swallowing</w:t>
      </w:r>
      <w:r>
        <w:t xml:space="preserve"> </w:t>
      </w:r>
      <w:r w:rsidRPr="00717004">
        <w:t>them</w:t>
      </w:r>
      <w:r>
        <w:t xml:space="preserve"> </w:t>
      </w:r>
      <w:r w:rsidRPr="00717004">
        <w:t>can</w:t>
      </w:r>
      <w:r>
        <w:t xml:space="preserve"> </w:t>
      </w:r>
      <w:r w:rsidRPr="00717004">
        <w:t>cause</w:t>
      </w:r>
      <w:r>
        <w:t xml:space="preserve"> </w:t>
      </w:r>
      <w:r w:rsidRPr="00717004">
        <w:t>internal</w:t>
      </w:r>
      <w:r>
        <w:t xml:space="preserve"> </w:t>
      </w:r>
      <w:r w:rsidRPr="00717004">
        <w:t>burns,</w:t>
      </w:r>
      <w:r>
        <w:t xml:space="preserve"> </w:t>
      </w:r>
      <w:r w:rsidRPr="00717004">
        <w:t>severe</w:t>
      </w:r>
      <w:r>
        <w:t xml:space="preserve"> </w:t>
      </w:r>
      <w:r w:rsidRPr="00717004">
        <w:t>bleeding</w:t>
      </w:r>
      <w:r>
        <w:t xml:space="preserve"> </w:t>
      </w:r>
      <w:r w:rsidRPr="00717004">
        <w:t>or</w:t>
      </w:r>
      <w:r>
        <w:t xml:space="preserve"> </w:t>
      </w:r>
      <w:r w:rsidRPr="00717004">
        <w:t>death.</w:t>
      </w:r>
    </w:p>
    <w:p w14:paraId="3D44F326" w14:textId="2FAE4435" w:rsidR="00856406" w:rsidRDefault="00856406" w:rsidP="00F45F3A">
      <w:pPr>
        <w:pStyle w:val="BodyText"/>
      </w:pPr>
      <w:r>
        <w:t xml:space="preserve">CAV also ran a number of communications campaigns over </w:t>
      </w:r>
      <w:r w:rsidR="00EE79C3">
        <w:t>2024–25</w:t>
      </w:r>
      <w:r>
        <w:t xml:space="preserve"> in partnership with fellow state and territory consumer regulators, to raise community awareness of the product safety risks commonly seen in summer, winter and in the lead-up to Halloween. In addition, we continued to promote the importance of securing loose curtain and blind cords under tension, to prevent them forming loops that pose a serious strangulation risk to children. In </w:t>
      </w:r>
      <w:r w:rsidR="00EE79C3">
        <w:t>2024–25</w:t>
      </w:r>
      <w:r>
        <w:t>, CAV sent 4972 free curtain and blind cord safety kits to Victorians.</w:t>
      </w:r>
    </w:p>
    <w:p w14:paraId="1930C3D0" w14:textId="77777777" w:rsidR="00856406" w:rsidRDefault="00856406" w:rsidP="00F45F3A">
      <w:pPr>
        <w:pStyle w:val="BodyText"/>
      </w:pPr>
      <w:r>
        <w:t>CAV will be stepping up its compliance posture on product safety breaches in the coming year, taking a zero tolerance approach to risks posed to children. We will actively monitor and enforce the new mandatory rental minimum standard for curtain and blind cord safety, which was made in December 2024 and will come into effect from 1 December 2025.</w:t>
      </w:r>
    </w:p>
    <w:p w14:paraId="7ED4AF37" w14:textId="77777777" w:rsidR="00856406" w:rsidRDefault="00856406" w:rsidP="00447322">
      <w:pPr>
        <w:pStyle w:val="Heading3"/>
      </w:pPr>
      <w:r>
        <w:t>Renting taskforce</w:t>
      </w:r>
    </w:p>
    <w:p w14:paraId="4052DB13" w14:textId="5BDE8C5B" w:rsidR="00856406" w:rsidRDefault="00856406" w:rsidP="00F45F3A">
      <w:pPr>
        <w:pStyle w:val="BodyText"/>
        <w:rPr>
          <w:rFonts w:eastAsia="Aptos"/>
        </w:rPr>
      </w:pPr>
      <w:r w:rsidRPr="00B61BD1">
        <w:rPr>
          <w:rFonts w:eastAsia="Aptos"/>
        </w:rPr>
        <w:t>In</w:t>
      </w:r>
      <w:r>
        <w:rPr>
          <w:rFonts w:eastAsia="Aptos"/>
        </w:rPr>
        <w:t xml:space="preserve"> </w:t>
      </w:r>
      <w:r w:rsidRPr="00B61BD1">
        <w:rPr>
          <w:rFonts w:eastAsia="Aptos"/>
        </w:rPr>
        <w:t>March</w:t>
      </w:r>
      <w:r>
        <w:rPr>
          <w:rFonts w:eastAsia="Aptos"/>
        </w:rPr>
        <w:t xml:space="preserve"> </w:t>
      </w:r>
      <w:r w:rsidRPr="00B61BD1">
        <w:rPr>
          <w:rFonts w:eastAsia="Aptos"/>
        </w:rPr>
        <w:t>2024,</w:t>
      </w:r>
      <w:r>
        <w:rPr>
          <w:rFonts w:eastAsia="Aptos"/>
        </w:rPr>
        <w:t xml:space="preserve"> </w:t>
      </w:r>
      <w:r w:rsidRPr="00B61BD1">
        <w:rPr>
          <w:rFonts w:eastAsia="Aptos"/>
        </w:rPr>
        <w:t>the</w:t>
      </w:r>
      <w:r>
        <w:rPr>
          <w:rFonts w:eastAsia="Aptos"/>
        </w:rPr>
        <w:t xml:space="preserve"> </w:t>
      </w:r>
      <w:r w:rsidRPr="00B61BD1">
        <w:rPr>
          <w:rFonts w:eastAsia="Aptos"/>
        </w:rPr>
        <w:t>Victorian</w:t>
      </w:r>
      <w:r>
        <w:rPr>
          <w:rFonts w:eastAsia="Aptos"/>
        </w:rPr>
        <w:t xml:space="preserve"> </w:t>
      </w:r>
      <w:r w:rsidRPr="00B61BD1">
        <w:rPr>
          <w:rFonts w:eastAsia="Aptos"/>
        </w:rPr>
        <w:t>Government</w:t>
      </w:r>
      <w:r>
        <w:rPr>
          <w:rFonts w:eastAsia="Aptos"/>
        </w:rPr>
        <w:t xml:space="preserve"> </w:t>
      </w:r>
      <w:r w:rsidRPr="00B61BD1">
        <w:rPr>
          <w:rFonts w:eastAsia="Aptos"/>
        </w:rPr>
        <w:t>announced</w:t>
      </w:r>
      <w:r>
        <w:rPr>
          <w:rFonts w:eastAsia="Aptos"/>
        </w:rPr>
        <w:t xml:space="preserve"> </w:t>
      </w:r>
      <w:r w:rsidRPr="00B61BD1">
        <w:rPr>
          <w:rFonts w:eastAsia="Aptos"/>
        </w:rPr>
        <w:t>a</w:t>
      </w:r>
      <w:r>
        <w:rPr>
          <w:rFonts w:eastAsia="Aptos"/>
        </w:rPr>
        <w:t xml:space="preserve"> </w:t>
      </w:r>
      <w:r w:rsidRPr="00B61BD1">
        <w:rPr>
          <w:rFonts w:eastAsia="Aptos"/>
        </w:rPr>
        <w:t>new</w:t>
      </w:r>
      <w:r>
        <w:rPr>
          <w:rFonts w:eastAsia="Aptos"/>
        </w:rPr>
        <w:t xml:space="preserve"> r</w:t>
      </w:r>
      <w:r w:rsidRPr="00B61BD1">
        <w:rPr>
          <w:rFonts w:eastAsia="Aptos"/>
        </w:rPr>
        <w:t>enting</w:t>
      </w:r>
      <w:r>
        <w:rPr>
          <w:rFonts w:eastAsia="Aptos"/>
        </w:rPr>
        <w:t xml:space="preserve"> t</w:t>
      </w:r>
      <w:r w:rsidRPr="00B61BD1">
        <w:rPr>
          <w:rFonts w:eastAsia="Aptos"/>
        </w:rPr>
        <w:t>askforce</w:t>
      </w:r>
      <w:r>
        <w:rPr>
          <w:rFonts w:eastAsia="Aptos"/>
        </w:rPr>
        <w:t xml:space="preserve"> </w:t>
      </w:r>
      <w:r w:rsidRPr="00B61BD1">
        <w:rPr>
          <w:rFonts w:eastAsia="Aptos"/>
        </w:rPr>
        <w:t>would</w:t>
      </w:r>
      <w:r>
        <w:rPr>
          <w:rFonts w:eastAsia="Aptos"/>
        </w:rPr>
        <w:t xml:space="preserve"> </w:t>
      </w:r>
      <w:r w:rsidRPr="00B61BD1">
        <w:rPr>
          <w:rFonts w:eastAsia="Aptos"/>
        </w:rPr>
        <w:t>be</w:t>
      </w:r>
      <w:r>
        <w:rPr>
          <w:rFonts w:eastAsia="Aptos"/>
        </w:rPr>
        <w:t xml:space="preserve"> </w:t>
      </w:r>
      <w:r w:rsidRPr="00B61BD1">
        <w:rPr>
          <w:rFonts w:eastAsia="Aptos"/>
        </w:rPr>
        <w:t>established</w:t>
      </w:r>
      <w:r>
        <w:rPr>
          <w:rFonts w:eastAsia="Aptos"/>
        </w:rPr>
        <w:t xml:space="preserve"> </w:t>
      </w:r>
      <w:r w:rsidRPr="00B61BD1">
        <w:rPr>
          <w:rFonts w:eastAsia="Aptos"/>
        </w:rPr>
        <w:t>within</w:t>
      </w:r>
      <w:r>
        <w:rPr>
          <w:rFonts w:eastAsia="Aptos"/>
        </w:rPr>
        <w:t xml:space="preserve"> </w:t>
      </w:r>
      <w:r w:rsidRPr="00B61BD1">
        <w:rPr>
          <w:rFonts w:eastAsia="Aptos"/>
        </w:rPr>
        <w:t>CAV</w:t>
      </w:r>
      <w:r>
        <w:rPr>
          <w:rFonts w:eastAsia="Aptos"/>
        </w:rPr>
        <w:t xml:space="preserve"> </w:t>
      </w:r>
      <w:r w:rsidRPr="00B61BD1">
        <w:rPr>
          <w:rFonts w:eastAsia="Aptos"/>
        </w:rPr>
        <w:t>to</w:t>
      </w:r>
      <w:r>
        <w:rPr>
          <w:rFonts w:eastAsia="Aptos"/>
        </w:rPr>
        <w:t xml:space="preserve"> </w:t>
      </w:r>
      <w:r w:rsidRPr="00B61BD1">
        <w:rPr>
          <w:rFonts w:eastAsia="Aptos"/>
        </w:rPr>
        <w:t>crack</w:t>
      </w:r>
      <w:r>
        <w:rPr>
          <w:rFonts w:eastAsia="Aptos"/>
        </w:rPr>
        <w:t xml:space="preserve"> </w:t>
      </w:r>
      <w:r w:rsidRPr="00B61BD1">
        <w:rPr>
          <w:rFonts w:eastAsia="Aptos"/>
        </w:rPr>
        <w:t>down</w:t>
      </w:r>
      <w:r>
        <w:rPr>
          <w:rFonts w:eastAsia="Aptos"/>
        </w:rPr>
        <w:t xml:space="preserve"> </w:t>
      </w:r>
      <w:r w:rsidRPr="00B61BD1">
        <w:rPr>
          <w:rFonts w:eastAsia="Aptos"/>
        </w:rPr>
        <w:t>on</w:t>
      </w:r>
      <w:r>
        <w:rPr>
          <w:rFonts w:eastAsia="Aptos"/>
        </w:rPr>
        <w:t xml:space="preserve"> </w:t>
      </w:r>
      <w:r w:rsidRPr="00B61BD1">
        <w:rPr>
          <w:rFonts w:eastAsia="Aptos"/>
        </w:rPr>
        <w:t>rental</w:t>
      </w:r>
      <w:r>
        <w:rPr>
          <w:rFonts w:eastAsia="Aptos"/>
        </w:rPr>
        <w:t xml:space="preserve"> </w:t>
      </w:r>
      <w:r w:rsidRPr="00B61BD1">
        <w:rPr>
          <w:rFonts w:eastAsia="Aptos"/>
        </w:rPr>
        <w:t>law</w:t>
      </w:r>
      <w:r>
        <w:rPr>
          <w:rFonts w:eastAsia="Aptos"/>
        </w:rPr>
        <w:t xml:space="preserve"> </w:t>
      </w:r>
      <w:r w:rsidRPr="00B61BD1">
        <w:rPr>
          <w:rFonts w:eastAsia="Aptos"/>
        </w:rPr>
        <w:t>offences.</w:t>
      </w:r>
      <w:r>
        <w:rPr>
          <w:rFonts w:eastAsia="Aptos"/>
        </w:rPr>
        <w:t xml:space="preserve"> </w:t>
      </w:r>
      <w:r w:rsidRPr="00B61BD1">
        <w:rPr>
          <w:rFonts w:eastAsia="Aptos"/>
        </w:rPr>
        <w:t>The</w:t>
      </w:r>
      <w:r>
        <w:rPr>
          <w:rFonts w:eastAsia="Aptos"/>
        </w:rPr>
        <w:t xml:space="preserve"> t</w:t>
      </w:r>
      <w:r w:rsidRPr="00B61BD1">
        <w:rPr>
          <w:rFonts w:eastAsia="Aptos"/>
        </w:rPr>
        <w:t>askforce</w:t>
      </w:r>
      <w:r>
        <w:rPr>
          <w:rFonts w:eastAsia="Aptos"/>
        </w:rPr>
        <w:t xml:space="preserve"> </w:t>
      </w:r>
      <w:r w:rsidRPr="00B61BD1">
        <w:rPr>
          <w:rFonts w:eastAsia="Aptos"/>
        </w:rPr>
        <w:t>scaled</w:t>
      </w:r>
      <w:r>
        <w:rPr>
          <w:rFonts w:eastAsia="Aptos"/>
        </w:rPr>
        <w:t xml:space="preserve"> </w:t>
      </w:r>
      <w:r w:rsidRPr="00B61BD1">
        <w:rPr>
          <w:rFonts w:eastAsia="Aptos"/>
        </w:rPr>
        <w:t>up</w:t>
      </w:r>
      <w:r>
        <w:rPr>
          <w:rFonts w:eastAsia="Aptos"/>
        </w:rPr>
        <w:t xml:space="preserve"> </w:t>
      </w:r>
      <w:r w:rsidRPr="00B61BD1">
        <w:rPr>
          <w:rFonts w:eastAsia="Aptos"/>
        </w:rPr>
        <w:t>its</w:t>
      </w:r>
      <w:r>
        <w:rPr>
          <w:rFonts w:eastAsia="Aptos"/>
        </w:rPr>
        <w:t xml:space="preserve"> </w:t>
      </w:r>
      <w:r w:rsidRPr="00B61BD1">
        <w:rPr>
          <w:rFonts w:eastAsia="Aptos"/>
        </w:rPr>
        <w:t>operations</w:t>
      </w:r>
      <w:r>
        <w:rPr>
          <w:rFonts w:eastAsia="Aptos"/>
        </w:rPr>
        <w:t xml:space="preserve"> </w:t>
      </w:r>
      <w:r w:rsidRPr="00B61BD1">
        <w:rPr>
          <w:rFonts w:eastAsia="Aptos"/>
        </w:rPr>
        <w:t>throughout</w:t>
      </w:r>
      <w:r>
        <w:rPr>
          <w:rFonts w:eastAsia="Aptos"/>
        </w:rPr>
        <w:t xml:space="preserve"> </w:t>
      </w:r>
      <w:r w:rsidR="00EE79C3">
        <w:rPr>
          <w:rFonts w:eastAsia="Aptos"/>
        </w:rPr>
        <w:t>2024–25</w:t>
      </w:r>
      <w:r w:rsidRPr="00B61BD1">
        <w:rPr>
          <w:rFonts w:eastAsia="Aptos"/>
        </w:rPr>
        <w:t>.</w:t>
      </w:r>
    </w:p>
    <w:p w14:paraId="45AB38C0" w14:textId="77777777" w:rsidR="00856406" w:rsidRDefault="00856406" w:rsidP="00F45F3A">
      <w:pPr>
        <w:pStyle w:val="BodyText"/>
        <w:rPr>
          <w:rFonts w:eastAsia="Aptos"/>
        </w:rPr>
      </w:pPr>
      <w:r w:rsidRPr="00EB0C9A">
        <w:rPr>
          <w:rFonts w:eastAsia="Aptos"/>
        </w:rPr>
        <w:t>Unfair</w:t>
      </w:r>
      <w:r>
        <w:rPr>
          <w:rFonts w:eastAsia="Aptos"/>
        </w:rPr>
        <w:t xml:space="preserve"> </w:t>
      </w:r>
      <w:r w:rsidRPr="00EB0C9A">
        <w:rPr>
          <w:rFonts w:eastAsia="Aptos"/>
        </w:rPr>
        <w:t>and</w:t>
      </w:r>
      <w:r>
        <w:rPr>
          <w:rFonts w:eastAsia="Aptos"/>
        </w:rPr>
        <w:t xml:space="preserve"> </w:t>
      </w:r>
      <w:r w:rsidRPr="00EB0C9A">
        <w:rPr>
          <w:rFonts w:eastAsia="Aptos"/>
        </w:rPr>
        <w:t>illegal</w:t>
      </w:r>
      <w:r>
        <w:rPr>
          <w:rFonts w:eastAsia="Aptos"/>
        </w:rPr>
        <w:t xml:space="preserve"> </w:t>
      </w:r>
      <w:r w:rsidRPr="00EB0C9A">
        <w:rPr>
          <w:rFonts w:eastAsia="Aptos"/>
        </w:rPr>
        <w:t>renting</w:t>
      </w:r>
      <w:r>
        <w:rPr>
          <w:rFonts w:eastAsia="Aptos"/>
        </w:rPr>
        <w:t xml:space="preserve"> </w:t>
      </w:r>
      <w:r w:rsidRPr="00EB0C9A">
        <w:rPr>
          <w:rFonts w:eastAsia="Aptos"/>
        </w:rPr>
        <w:t>practices</w:t>
      </w:r>
      <w:r>
        <w:rPr>
          <w:rFonts w:eastAsia="Aptos"/>
        </w:rPr>
        <w:t xml:space="preserve"> </w:t>
      </w:r>
      <w:r w:rsidRPr="00EB0C9A">
        <w:rPr>
          <w:rFonts w:eastAsia="Aptos"/>
        </w:rPr>
        <w:t>can</w:t>
      </w:r>
      <w:r>
        <w:rPr>
          <w:rFonts w:eastAsia="Aptos"/>
        </w:rPr>
        <w:t xml:space="preserve"> </w:t>
      </w:r>
      <w:r w:rsidRPr="00EB0C9A">
        <w:rPr>
          <w:rFonts w:eastAsia="Aptos"/>
        </w:rPr>
        <w:t>put</w:t>
      </w:r>
      <w:r>
        <w:rPr>
          <w:rFonts w:eastAsia="Aptos"/>
        </w:rPr>
        <w:t xml:space="preserve"> </w:t>
      </w:r>
      <w:r w:rsidRPr="00EB0C9A">
        <w:rPr>
          <w:rFonts w:eastAsia="Aptos"/>
        </w:rPr>
        <w:t>enormous</w:t>
      </w:r>
      <w:r>
        <w:rPr>
          <w:rFonts w:eastAsia="Aptos"/>
        </w:rPr>
        <w:t xml:space="preserve"> </w:t>
      </w:r>
      <w:r w:rsidRPr="00EB0C9A">
        <w:rPr>
          <w:rFonts w:eastAsia="Aptos"/>
        </w:rPr>
        <w:t>amounts</w:t>
      </w:r>
      <w:r>
        <w:rPr>
          <w:rFonts w:eastAsia="Aptos"/>
        </w:rPr>
        <w:t xml:space="preserve"> </w:t>
      </w:r>
      <w:r w:rsidRPr="00EB0C9A">
        <w:rPr>
          <w:rFonts w:eastAsia="Aptos"/>
        </w:rPr>
        <w:t>of</w:t>
      </w:r>
      <w:r>
        <w:rPr>
          <w:rFonts w:eastAsia="Aptos"/>
        </w:rPr>
        <w:t xml:space="preserve"> </w:t>
      </w:r>
      <w:r w:rsidRPr="00EB0C9A">
        <w:rPr>
          <w:rFonts w:eastAsia="Aptos"/>
        </w:rPr>
        <w:t>stress</w:t>
      </w:r>
      <w:r>
        <w:rPr>
          <w:rFonts w:eastAsia="Aptos"/>
        </w:rPr>
        <w:t xml:space="preserve"> </w:t>
      </w:r>
      <w:r w:rsidRPr="00EB0C9A">
        <w:rPr>
          <w:rFonts w:eastAsia="Aptos"/>
        </w:rPr>
        <w:t>on</w:t>
      </w:r>
      <w:r>
        <w:rPr>
          <w:rFonts w:eastAsia="Aptos"/>
        </w:rPr>
        <w:t xml:space="preserve"> </w:t>
      </w:r>
      <w:r w:rsidRPr="00EB0C9A">
        <w:rPr>
          <w:rFonts w:eastAsia="Aptos"/>
        </w:rPr>
        <w:t>renters.</w:t>
      </w:r>
      <w:r>
        <w:rPr>
          <w:rFonts w:eastAsia="Aptos"/>
        </w:rPr>
        <w:t xml:space="preserve"> They </w:t>
      </w:r>
      <w:r w:rsidRPr="00EB0C9A">
        <w:rPr>
          <w:rFonts w:eastAsia="Aptos"/>
        </w:rPr>
        <w:t>may</w:t>
      </w:r>
      <w:r>
        <w:rPr>
          <w:rFonts w:eastAsia="Aptos"/>
        </w:rPr>
        <w:t xml:space="preserve"> </w:t>
      </w:r>
      <w:r w:rsidRPr="00EB0C9A">
        <w:rPr>
          <w:rFonts w:eastAsia="Aptos"/>
        </w:rPr>
        <w:t>experience</w:t>
      </w:r>
      <w:r>
        <w:rPr>
          <w:rFonts w:eastAsia="Aptos"/>
        </w:rPr>
        <w:t xml:space="preserve"> </w:t>
      </w:r>
      <w:r w:rsidRPr="00EB0C9A">
        <w:rPr>
          <w:rFonts w:eastAsia="Aptos"/>
        </w:rPr>
        <w:t>a</w:t>
      </w:r>
      <w:r>
        <w:rPr>
          <w:rFonts w:eastAsia="Aptos"/>
        </w:rPr>
        <w:t xml:space="preserve"> </w:t>
      </w:r>
      <w:r w:rsidRPr="00EB0C9A">
        <w:rPr>
          <w:rFonts w:eastAsia="Aptos"/>
        </w:rPr>
        <w:t>constant</w:t>
      </w:r>
      <w:r>
        <w:rPr>
          <w:rFonts w:eastAsia="Aptos"/>
        </w:rPr>
        <w:t xml:space="preserve"> </w:t>
      </w:r>
      <w:r w:rsidRPr="00EB0C9A">
        <w:rPr>
          <w:rFonts w:eastAsia="Aptos"/>
        </w:rPr>
        <w:t>sense</w:t>
      </w:r>
      <w:r>
        <w:rPr>
          <w:rFonts w:eastAsia="Aptos"/>
        </w:rPr>
        <w:t xml:space="preserve"> </w:t>
      </w:r>
      <w:r w:rsidRPr="00EB0C9A">
        <w:rPr>
          <w:rFonts w:eastAsia="Aptos"/>
        </w:rPr>
        <w:t>of</w:t>
      </w:r>
      <w:r>
        <w:rPr>
          <w:rFonts w:eastAsia="Aptos"/>
        </w:rPr>
        <w:t xml:space="preserve"> </w:t>
      </w:r>
      <w:r w:rsidRPr="00EB0C9A">
        <w:rPr>
          <w:rFonts w:eastAsia="Aptos"/>
        </w:rPr>
        <w:t>worry</w:t>
      </w:r>
      <w:r>
        <w:rPr>
          <w:rFonts w:eastAsia="Aptos"/>
        </w:rPr>
        <w:t xml:space="preserve"> </w:t>
      </w:r>
      <w:r w:rsidRPr="00EB0C9A">
        <w:rPr>
          <w:rFonts w:eastAsia="Aptos"/>
        </w:rPr>
        <w:t>and</w:t>
      </w:r>
      <w:r>
        <w:rPr>
          <w:rFonts w:eastAsia="Aptos"/>
        </w:rPr>
        <w:t xml:space="preserve"> </w:t>
      </w:r>
      <w:r w:rsidRPr="00EB0C9A">
        <w:rPr>
          <w:rFonts w:eastAsia="Aptos"/>
        </w:rPr>
        <w:t>insecurity</w:t>
      </w:r>
      <w:r>
        <w:rPr>
          <w:rFonts w:eastAsia="Aptos"/>
        </w:rPr>
        <w:t xml:space="preserve"> </w:t>
      </w:r>
      <w:r w:rsidRPr="00EB0C9A">
        <w:rPr>
          <w:rFonts w:eastAsia="Aptos"/>
        </w:rPr>
        <w:t>about</w:t>
      </w:r>
      <w:r>
        <w:rPr>
          <w:rFonts w:eastAsia="Aptos"/>
        </w:rPr>
        <w:t xml:space="preserve"> </w:t>
      </w:r>
      <w:r w:rsidRPr="00EB0C9A">
        <w:rPr>
          <w:rFonts w:eastAsia="Aptos"/>
        </w:rPr>
        <w:t>maintaining</w:t>
      </w:r>
      <w:r>
        <w:rPr>
          <w:rFonts w:eastAsia="Aptos"/>
        </w:rPr>
        <w:t xml:space="preserve"> </w:t>
      </w:r>
      <w:r w:rsidRPr="00EB0C9A">
        <w:rPr>
          <w:rFonts w:eastAsia="Aptos"/>
        </w:rPr>
        <w:t>their</w:t>
      </w:r>
      <w:r>
        <w:rPr>
          <w:rFonts w:eastAsia="Aptos"/>
        </w:rPr>
        <w:t xml:space="preserve"> </w:t>
      </w:r>
      <w:r w:rsidRPr="00EB0C9A">
        <w:rPr>
          <w:rFonts w:eastAsia="Aptos"/>
        </w:rPr>
        <w:t>homes,</w:t>
      </w:r>
      <w:r>
        <w:rPr>
          <w:rFonts w:eastAsia="Aptos"/>
        </w:rPr>
        <w:t xml:space="preserve"> </w:t>
      </w:r>
      <w:r w:rsidRPr="00EB0C9A">
        <w:rPr>
          <w:rFonts w:eastAsia="Aptos"/>
        </w:rPr>
        <w:t>particularly</w:t>
      </w:r>
      <w:r>
        <w:rPr>
          <w:rFonts w:eastAsia="Aptos"/>
        </w:rPr>
        <w:t xml:space="preserve"> </w:t>
      </w:r>
      <w:r w:rsidRPr="00EB0C9A">
        <w:rPr>
          <w:rFonts w:eastAsia="Aptos"/>
        </w:rPr>
        <w:t>if</w:t>
      </w:r>
      <w:r>
        <w:rPr>
          <w:rFonts w:eastAsia="Aptos"/>
        </w:rPr>
        <w:t xml:space="preserve"> </w:t>
      </w:r>
      <w:r w:rsidRPr="00EB0C9A">
        <w:rPr>
          <w:rFonts w:eastAsia="Aptos"/>
        </w:rPr>
        <w:t>they</w:t>
      </w:r>
      <w:r>
        <w:rPr>
          <w:rFonts w:eastAsia="Aptos"/>
        </w:rPr>
        <w:t xml:space="preserve"> </w:t>
      </w:r>
      <w:r w:rsidRPr="00EB0C9A">
        <w:rPr>
          <w:rFonts w:eastAsia="Aptos"/>
        </w:rPr>
        <w:t>are</w:t>
      </w:r>
      <w:r>
        <w:rPr>
          <w:rFonts w:eastAsia="Aptos"/>
        </w:rPr>
        <w:t xml:space="preserve"> </w:t>
      </w:r>
      <w:r w:rsidRPr="00EB0C9A">
        <w:rPr>
          <w:rFonts w:eastAsia="Aptos"/>
        </w:rPr>
        <w:t>struggling</w:t>
      </w:r>
      <w:r>
        <w:rPr>
          <w:rFonts w:eastAsia="Aptos"/>
        </w:rPr>
        <w:t xml:space="preserve"> </w:t>
      </w:r>
      <w:r w:rsidRPr="00EB0C9A">
        <w:rPr>
          <w:rFonts w:eastAsia="Aptos"/>
        </w:rPr>
        <w:t>with</w:t>
      </w:r>
      <w:r>
        <w:rPr>
          <w:rFonts w:eastAsia="Aptos"/>
        </w:rPr>
        <w:t xml:space="preserve"> </w:t>
      </w:r>
      <w:r w:rsidRPr="00EB0C9A">
        <w:rPr>
          <w:rFonts w:eastAsia="Aptos"/>
        </w:rPr>
        <w:t>high</w:t>
      </w:r>
      <w:r>
        <w:rPr>
          <w:rFonts w:eastAsia="Aptos"/>
        </w:rPr>
        <w:t xml:space="preserve"> </w:t>
      </w:r>
      <w:r w:rsidRPr="00EB0C9A">
        <w:rPr>
          <w:rFonts w:eastAsia="Aptos"/>
        </w:rPr>
        <w:t>rental</w:t>
      </w:r>
      <w:r>
        <w:rPr>
          <w:rFonts w:eastAsia="Aptos"/>
        </w:rPr>
        <w:t xml:space="preserve"> </w:t>
      </w:r>
      <w:r w:rsidRPr="00EB0C9A">
        <w:rPr>
          <w:rFonts w:eastAsia="Aptos"/>
        </w:rPr>
        <w:t>costs</w:t>
      </w:r>
      <w:r>
        <w:rPr>
          <w:rFonts w:eastAsia="Aptos"/>
        </w:rPr>
        <w:t xml:space="preserve"> </w:t>
      </w:r>
      <w:r w:rsidRPr="00EB0C9A">
        <w:rPr>
          <w:rFonts w:eastAsia="Aptos"/>
        </w:rPr>
        <w:t>or</w:t>
      </w:r>
      <w:r>
        <w:rPr>
          <w:rFonts w:eastAsia="Aptos"/>
        </w:rPr>
        <w:t xml:space="preserve"> </w:t>
      </w:r>
      <w:r w:rsidRPr="00EB0C9A">
        <w:rPr>
          <w:rFonts w:eastAsia="Aptos"/>
        </w:rPr>
        <w:t>the</w:t>
      </w:r>
      <w:r>
        <w:rPr>
          <w:rFonts w:eastAsia="Aptos"/>
        </w:rPr>
        <w:t xml:space="preserve"> </w:t>
      </w:r>
      <w:r w:rsidRPr="00EB0C9A">
        <w:rPr>
          <w:rFonts w:eastAsia="Aptos"/>
        </w:rPr>
        <w:t>fear</w:t>
      </w:r>
      <w:r>
        <w:rPr>
          <w:rFonts w:eastAsia="Aptos"/>
        </w:rPr>
        <w:t xml:space="preserve"> </w:t>
      </w:r>
      <w:r w:rsidRPr="00EB0C9A">
        <w:rPr>
          <w:rFonts w:eastAsia="Aptos"/>
        </w:rPr>
        <w:t>of</w:t>
      </w:r>
      <w:r>
        <w:rPr>
          <w:rFonts w:eastAsia="Aptos"/>
        </w:rPr>
        <w:t xml:space="preserve"> </w:t>
      </w:r>
      <w:r w:rsidRPr="00EB0C9A">
        <w:rPr>
          <w:rFonts w:eastAsia="Aptos"/>
        </w:rPr>
        <w:t>eviction.</w:t>
      </w:r>
      <w:r>
        <w:rPr>
          <w:rFonts w:eastAsia="Aptos"/>
        </w:rPr>
        <w:t xml:space="preserve"> </w:t>
      </w:r>
      <w:r w:rsidRPr="00EB0C9A">
        <w:rPr>
          <w:rFonts w:eastAsia="Aptos"/>
        </w:rPr>
        <w:t>Living</w:t>
      </w:r>
      <w:r>
        <w:rPr>
          <w:rFonts w:eastAsia="Aptos"/>
        </w:rPr>
        <w:t xml:space="preserve"> </w:t>
      </w:r>
      <w:r w:rsidRPr="00EB0C9A">
        <w:rPr>
          <w:rFonts w:eastAsia="Aptos"/>
        </w:rPr>
        <w:t>in</w:t>
      </w:r>
      <w:r>
        <w:rPr>
          <w:rFonts w:eastAsia="Aptos"/>
        </w:rPr>
        <w:t xml:space="preserve"> </w:t>
      </w:r>
      <w:r w:rsidRPr="00EB0C9A">
        <w:rPr>
          <w:rFonts w:eastAsia="Aptos"/>
        </w:rPr>
        <w:t>substandard</w:t>
      </w:r>
      <w:r>
        <w:rPr>
          <w:rFonts w:eastAsia="Aptos"/>
        </w:rPr>
        <w:t xml:space="preserve"> </w:t>
      </w:r>
      <w:r w:rsidRPr="00EB0C9A">
        <w:rPr>
          <w:rFonts w:eastAsia="Aptos"/>
        </w:rPr>
        <w:t>conditions</w:t>
      </w:r>
      <w:r>
        <w:rPr>
          <w:rFonts w:eastAsia="Aptos"/>
        </w:rPr>
        <w:t xml:space="preserve"> </w:t>
      </w:r>
      <w:r w:rsidRPr="00EB0C9A">
        <w:rPr>
          <w:rFonts w:eastAsia="Aptos"/>
        </w:rPr>
        <w:t>impacts</w:t>
      </w:r>
      <w:r>
        <w:rPr>
          <w:rFonts w:eastAsia="Aptos"/>
        </w:rPr>
        <w:t xml:space="preserve"> </w:t>
      </w:r>
      <w:r w:rsidRPr="00EB0C9A">
        <w:rPr>
          <w:rFonts w:eastAsia="Aptos"/>
        </w:rPr>
        <w:t>quality</w:t>
      </w:r>
      <w:r>
        <w:rPr>
          <w:rFonts w:eastAsia="Aptos"/>
        </w:rPr>
        <w:t xml:space="preserve"> </w:t>
      </w:r>
      <w:r w:rsidRPr="00EB0C9A">
        <w:rPr>
          <w:rFonts w:eastAsia="Aptos"/>
        </w:rPr>
        <w:t>of</w:t>
      </w:r>
      <w:r>
        <w:rPr>
          <w:rFonts w:eastAsia="Aptos"/>
        </w:rPr>
        <w:t xml:space="preserve"> </w:t>
      </w:r>
      <w:r w:rsidRPr="00EB0C9A">
        <w:rPr>
          <w:rFonts w:eastAsia="Aptos"/>
        </w:rPr>
        <w:t>life</w:t>
      </w:r>
      <w:r>
        <w:rPr>
          <w:rFonts w:eastAsia="Aptos"/>
        </w:rPr>
        <w:t xml:space="preserve"> </w:t>
      </w:r>
      <w:r w:rsidRPr="00EB0C9A">
        <w:rPr>
          <w:rFonts w:eastAsia="Aptos"/>
        </w:rPr>
        <w:t>and</w:t>
      </w:r>
      <w:r>
        <w:rPr>
          <w:rFonts w:eastAsia="Aptos"/>
        </w:rPr>
        <w:t xml:space="preserve"> </w:t>
      </w:r>
      <w:r w:rsidRPr="00EB0C9A">
        <w:rPr>
          <w:rFonts w:eastAsia="Aptos"/>
        </w:rPr>
        <w:t>can</w:t>
      </w:r>
      <w:r>
        <w:rPr>
          <w:rFonts w:eastAsia="Aptos"/>
        </w:rPr>
        <w:t xml:space="preserve"> </w:t>
      </w:r>
      <w:r w:rsidRPr="00EB0C9A">
        <w:rPr>
          <w:rFonts w:eastAsia="Aptos"/>
        </w:rPr>
        <w:t>cause</w:t>
      </w:r>
      <w:r>
        <w:rPr>
          <w:rFonts w:eastAsia="Aptos"/>
        </w:rPr>
        <w:t xml:space="preserve"> </w:t>
      </w:r>
      <w:r w:rsidRPr="00EB0C9A">
        <w:rPr>
          <w:rFonts w:eastAsia="Aptos"/>
        </w:rPr>
        <w:t>significant</w:t>
      </w:r>
      <w:r>
        <w:rPr>
          <w:rFonts w:eastAsia="Aptos"/>
        </w:rPr>
        <w:t xml:space="preserve"> </w:t>
      </w:r>
      <w:r w:rsidRPr="00EB0C9A">
        <w:rPr>
          <w:rFonts w:eastAsia="Aptos"/>
        </w:rPr>
        <w:t>health</w:t>
      </w:r>
      <w:r>
        <w:rPr>
          <w:rFonts w:eastAsia="Aptos"/>
        </w:rPr>
        <w:t xml:space="preserve"> </w:t>
      </w:r>
      <w:r w:rsidRPr="00EB0C9A">
        <w:rPr>
          <w:rFonts w:eastAsia="Aptos"/>
        </w:rPr>
        <w:t>issues.</w:t>
      </w:r>
    </w:p>
    <w:p w14:paraId="54ACF737" w14:textId="77777777" w:rsidR="00856406" w:rsidRPr="00EB0C9A" w:rsidRDefault="00856406" w:rsidP="00F45F3A">
      <w:pPr>
        <w:pStyle w:val="BodyText"/>
        <w:rPr>
          <w:rFonts w:eastAsia="Aptos"/>
        </w:rPr>
      </w:pPr>
      <w:r w:rsidRPr="00EB0C9A">
        <w:rPr>
          <w:rFonts w:eastAsia="Aptos"/>
        </w:rPr>
        <w:t>The</w:t>
      </w:r>
      <w:r>
        <w:rPr>
          <w:rFonts w:eastAsia="Aptos"/>
        </w:rPr>
        <w:t xml:space="preserve"> </w:t>
      </w:r>
      <w:r w:rsidRPr="00EB0C9A">
        <w:rPr>
          <w:rFonts w:eastAsia="Aptos"/>
          <w:i/>
        </w:rPr>
        <w:t>Residential</w:t>
      </w:r>
      <w:r>
        <w:rPr>
          <w:rFonts w:eastAsia="Aptos"/>
          <w:i/>
        </w:rPr>
        <w:t xml:space="preserve"> </w:t>
      </w:r>
      <w:r w:rsidRPr="00EB0C9A">
        <w:rPr>
          <w:rFonts w:eastAsia="Aptos"/>
          <w:i/>
        </w:rPr>
        <w:t>Tenancies</w:t>
      </w:r>
      <w:r>
        <w:rPr>
          <w:rFonts w:eastAsia="Aptos"/>
          <w:i/>
        </w:rPr>
        <w:t xml:space="preserve"> </w:t>
      </w:r>
      <w:r w:rsidRPr="00EB0C9A">
        <w:rPr>
          <w:rFonts w:eastAsia="Aptos"/>
          <w:i/>
        </w:rPr>
        <w:t>Act</w:t>
      </w:r>
      <w:r>
        <w:rPr>
          <w:rFonts w:eastAsia="Aptos"/>
          <w:i/>
        </w:rPr>
        <w:t xml:space="preserve"> </w:t>
      </w:r>
      <w:r w:rsidRPr="00EB0C9A">
        <w:rPr>
          <w:rFonts w:eastAsia="Aptos"/>
          <w:i/>
        </w:rPr>
        <w:t>1997</w:t>
      </w:r>
      <w:r>
        <w:rPr>
          <w:rFonts w:eastAsia="Aptos"/>
        </w:rPr>
        <w:t xml:space="preserve"> </w:t>
      </w:r>
      <w:r w:rsidRPr="00EB0C9A">
        <w:rPr>
          <w:rFonts w:eastAsia="Aptos"/>
        </w:rPr>
        <w:t>establishes</w:t>
      </w:r>
      <w:r>
        <w:rPr>
          <w:rFonts w:eastAsia="Aptos"/>
        </w:rPr>
        <w:t xml:space="preserve"> </w:t>
      </w:r>
      <w:r w:rsidRPr="00EB0C9A">
        <w:rPr>
          <w:rFonts w:eastAsia="Aptos"/>
        </w:rPr>
        <w:t>private</w:t>
      </w:r>
      <w:r>
        <w:rPr>
          <w:rFonts w:eastAsia="Aptos"/>
        </w:rPr>
        <w:t xml:space="preserve"> </w:t>
      </w:r>
      <w:r w:rsidRPr="00EB0C9A">
        <w:rPr>
          <w:rFonts w:eastAsia="Aptos"/>
        </w:rPr>
        <w:t>rights</w:t>
      </w:r>
      <w:r>
        <w:rPr>
          <w:rFonts w:eastAsia="Aptos"/>
        </w:rPr>
        <w:t xml:space="preserve"> </w:t>
      </w:r>
      <w:r w:rsidRPr="00EB0C9A">
        <w:rPr>
          <w:rFonts w:eastAsia="Aptos"/>
        </w:rPr>
        <w:t>and</w:t>
      </w:r>
      <w:r>
        <w:rPr>
          <w:rFonts w:eastAsia="Aptos"/>
        </w:rPr>
        <w:t xml:space="preserve"> </w:t>
      </w:r>
      <w:r w:rsidRPr="00EB0C9A">
        <w:rPr>
          <w:rFonts w:eastAsia="Aptos"/>
        </w:rPr>
        <w:t>obligations</w:t>
      </w:r>
      <w:r>
        <w:rPr>
          <w:rFonts w:eastAsia="Aptos"/>
        </w:rPr>
        <w:t xml:space="preserve"> </w:t>
      </w:r>
      <w:r w:rsidRPr="00EB0C9A">
        <w:rPr>
          <w:rFonts w:eastAsia="Aptos"/>
        </w:rPr>
        <w:t>of</w:t>
      </w:r>
      <w:r>
        <w:rPr>
          <w:rFonts w:eastAsia="Aptos"/>
        </w:rPr>
        <w:t xml:space="preserve"> </w:t>
      </w:r>
      <w:r w:rsidRPr="00EB0C9A">
        <w:rPr>
          <w:rFonts w:eastAsia="Aptos"/>
        </w:rPr>
        <w:t>renters</w:t>
      </w:r>
      <w:r>
        <w:rPr>
          <w:rFonts w:eastAsia="Aptos"/>
        </w:rPr>
        <w:t xml:space="preserve"> </w:t>
      </w:r>
      <w:r w:rsidRPr="00EB0C9A">
        <w:rPr>
          <w:rFonts w:eastAsia="Aptos"/>
        </w:rPr>
        <w:t>and</w:t>
      </w:r>
      <w:r>
        <w:rPr>
          <w:rFonts w:eastAsia="Aptos"/>
        </w:rPr>
        <w:t xml:space="preserve"> </w:t>
      </w:r>
      <w:r w:rsidRPr="00EB0C9A">
        <w:rPr>
          <w:rFonts w:eastAsia="Aptos"/>
        </w:rPr>
        <w:t>rental</w:t>
      </w:r>
      <w:r>
        <w:rPr>
          <w:rFonts w:eastAsia="Aptos"/>
        </w:rPr>
        <w:t xml:space="preserve"> </w:t>
      </w:r>
      <w:r w:rsidRPr="00EB0C9A">
        <w:rPr>
          <w:rFonts w:eastAsia="Aptos"/>
        </w:rPr>
        <w:t>providers</w:t>
      </w:r>
      <w:r>
        <w:rPr>
          <w:rFonts w:eastAsia="Aptos"/>
        </w:rPr>
        <w:t xml:space="preserve"> </w:t>
      </w:r>
      <w:r w:rsidRPr="00EB0C9A">
        <w:rPr>
          <w:rFonts w:eastAsia="Aptos"/>
        </w:rPr>
        <w:t>to</w:t>
      </w:r>
      <w:r>
        <w:rPr>
          <w:rFonts w:eastAsia="Aptos"/>
        </w:rPr>
        <w:t xml:space="preserve"> </w:t>
      </w:r>
      <w:r w:rsidRPr="00EB0C9A">
        <w:rPr>
          <w:rFonts w:eastAsia="Aptos"/>
        </w:rPr>
        <w:t>manage</w:t>
      </w:r>
      <w:r>
        <w:rPr>
          <w:rFonts w:eastAsia="Aptos"/>
        </w:rPr>
        <w:t xml:space="preserve"> </w:t>
      </w:r>
      <w:r w:rsidRPr="00EB0C9A">
        <w:rPr>
          <w:rFonts w:eastAsia="Aptos"/>
        </w:rPr>
        <w:t>these</w:t>
      </w:r>
      <w:r>
        <w:rPr>
          <w:rFonts w:eastAsia="Aptos"/>
        </w:rPr>
        <w:t xml:space="preserve"> </w:t>
      </w:r>
      <w:r w:rsidRPr="00EB0C9A">
        <w:rPr>
          <w:rFonts w:eastAsia="Aptos"/>
        </w:rPr>
        <w:t>issues</w:t>
      </w:r>
      <w:r>
        <w:rPr>
          <w:rFonts w:eastAsia="Aptos"/>
        </w:rPr>
        <w:t xml:space="preserve">, </w:t>
      </w:r>
      <w:r w:rsidRPr="00EB0C9A">
        <w:rPr>
          <w:rFonts w:eastAsia="Aptos"/>
        </w:rPr>
        <w:t>but</w:t>
      </w:r>
      <w:r>
        <w:rPr>
          <w:rFonts w:eastAsia="Aptos"/>
        </w:rPr>
        <w:t xml:space="preserve"> </w:t>
      </w:r>
      <w:r w:rsidRPr="00EB0C9A">
        <w:rPr>
          <w:rFonts w:eastAsia="Aptos"/>
        </w:rPr>
        <w:t>many</w:t>
      </w:r>
      <w:r>
        <w:rPr>
          <w:rFonts w:eastAsia="Aptos"/>
        </w:rPr>
        <w:t xml:space="preserve"> renters </w:t>
      </w:r>
      <w:r w:rsidRPr="00EB0C9A">
        <w:rPr>
          <w:rFonts w:eastAsia="Aptos"/>
        </w:rPr>
        <w:t>struggle</w:t>
      </w:r>
      <w:r>
        <w:rPr>
          <w:rFonts w:eastAsia="Aptos"/>
        </w:rPr>
        <w:t xml:space="preserve"> </w:t>
      </w:r>
      <w:r w:rsidRPr="00EB0C9A">
        <w:rPr>
          <w:rFonts w:eastAsia="Aptos"/>
        </w:rPr>
        <w:t>to</w:t>
      </w:r>
      <w:r>
        <w:rPr>
          <w:rFonts w:eastAsia="Aptos"/>
        </w:rPr>
        <w:t xml:space="preserve"> </w:t>
      </w:r>
      <w:r w:rsidRPr="00EB0C9A">
        <w:rPr>
          <w:rFonts w:eastAsia="Aptos"/>
        </w:rPr>
        <w:t>enforce</w:t>
      </w:r>
      <w:r>
        <w:rPr>
          <w:rFonts w:eastAsia="Aptos"/>
        </w:rPr>
        <w:t xml:space="preserve"> </w:t>
      </w:r>
      <w:r w:rsidRPr="00EB0C9A">
        <w:rPr>
          <w:rFonts w:eastAsia="Aptos"/>
        </w:rPr>
        <w:t>their</w:t>
      </w:r>
      <w:r>
        <w:rPr>
          <w:rFonts w:eastAsia="Aptos"/>
        </w:rPr>
        <w:t xml:space="preserve"> </w:t>
      </w:r>
      <w:r w:rsidRPr="00EB0C9A">
        <w:rPr>
          <w:rFonts w:eastAsia="Aptos"/>
        </w:rPr>
        <w:t>rights</w:t>
      </w:r>
      <w:r>
        <w:rPr>
          <w:rFonts w:eastAsia="Aptos"/>
        </w:rPr>
        <w:t xml:space="preserve"> </w:t>
      </w:r>
      <w:r w:rsidRPr="00EB0C9A">
        <w:rPr>
          <w:rFonts w:eastAsia="Aptos"/>
        </w:rPr>
        <w:t>on</w:t>
      </w:r>
      <w:r>
        <w:rPr>
          <w:rFonts w:eastAsia="Aptos"/>
        </w:rPr>
        <w:t xml:space="preserve"> </w:t>
      </w:r>
      <w:r w:rsidRPr="00EB0C9A">
        <w:rPr>
          <w:rFonts w:eastAsia="Aptos"/>
        </w:rPr>
        <w:t>their</w:t>
      </w:r>
      <w:r>
        <w:rPr>
          <w:rFonts w:eastAsia="Aptos"/>
        </w:rPr>
        <w:t xml:space="preserve"> </w:t>
      </w:r>
      <w:r w:rsidRPr="00EB0C9A">
        <w:rPr>
          <w:rFonts w:eastAsia="Aptos"/>
        </w:rPr>
        <w:t>own.</w:t>
      </w:r>
      <w:r>
        <w:rPr>
          <w:rFonts w:eastAsia="Aptos"/>
        </w:rPr>
        <w:t xml:space="preserve"> </w:t>
      </w:r>
      <w:r w:rsidRPr="00EB0C9A">
        <w:rPr>
          <w:rFonts w:eastAsia="Aptos"/>
        </w:rPr>
        <w:t>The</w:t>
      </w:r>
      <w:r>
        <w:rPr>
          <w:rFonts w:eastAsia="Aptos"/>
        </w:rPr>
        <w:t xml:space="preserve"> taskforce </w:t>
      </w:r>
      <w:r w:rsidRPr="00EB0C9A">
        <w:rPr>
          <w:rFonts w:eastAsia="Aptos"/>
        </w:rPr>
        <w:t>has</w:t>
      </w:r>
      <w:r>
        <w:rPr>
          <w:rFonts w:eastAsia="Aptos"/>
        </w:rPr>
        <w:t xml:space="preserve"> </w:t>
      </w:r>
      <w:r w:rsidRPr="00EB0C9A">
        <w:rPr>
          <w:rFonts w:eastAsia="Aptos"/>
        </w:rPr>
        <w:t>a</w:t>
      </w:r>
      <w:r>
        <w:rPr>
          <w:rFonts w:eastAsia="Aptos"/>
        </w:rPr>
        <w:t xml:space="preserve"> </w:t>
      </w:r>
      <w:r w:rsidRPr="00EB0C9A">
        <w:rPr>
          <w:rFonts w:eastAsia="Aptos"/>
        </w:rPr>
        <w:t>clear</w:t>
      </w:r>
      <w:r>
        <w:rPr>
          <w:rFonts w:eastAsia="Aptos"/>
        </w:rPr>
        <w:t xml:space="preserve"> </w:t>
      </w:r>
      <w:r w:rsidRPr="00EB0C9A">
        <w:rPr>
          <w:rFonts w:eastAsia="Aptos"/>
        </w:rPr>
        <w:t>mission</w:t>
      </w:r>
      <w:r>
        <w:rPr>
          <w:rFonts w:eastAsia="Aptos"/>
        </w:rPr>
        <w:t xml:space="preserve"> </w:t>
      </w:r>
      <w:r w:rsidRPr="00EB0C9A">
        <w:rPr>
          <w:rFonts w:eastAsia="Aptos"/>
        </w:rPr>
        <w:t>to</w:t>
      </w:r>
      <w:r>
        <w:rPr>
          <w:rFonts w:eastAsia="Aptos"/>
        </w:rPr>
        <w:t xml:space="preserve"> </w:t>
      </w:r>
      <w:r w:rsidRPr="00EB0C9A">
        <w:rPr>
          <w:rFonts w:eastAsia="Aptos"/>
        </w:rPr>
        <w:t>monitor</w:t>
      </w:r>
      <w:r>
        <w:rPr>
          <w:rFonts w:eastAsia="Aptos"/>
        </w:rPr>
        <w:t xml:space="preserve"> </w:t>
      </w:r>
      <w:r w:rsidRPr="00EB0C9A">
        <w:rPr>
          <w:rFonts w:eastAsia="Aptos"/>
        </w:rPr>
        <w:t>the</w:t>
      </w:r>
      <w:r>
        <w:rPr>
          <w:rFonts w:eastAsia="Aptos"/>
        </w:rPr>
        <w:t xml:space="preserve"> </w:t>
      </w:r>
      <w:r w:rsidRPr="00EB0C9A">
        <w:rPr>
          <w:rFonts w:eastAsia="Aptos"/>
        </w:rPr>
        <w:t>rental</w:t>
      </w:r>
      <w:r>
        <w:rPr>
          <w:rFonts w:eastAsia="Aptos"/>
        </w:rPr>
        <w:t xml:space="preserve"> </w:t>
      </w:r>
      <w:r w:rsidRPr="00EB0C9A">
        <w:rPr>
          <w:rFonts w:eastAsia="Aptos"/>
        </w:rPr>
        <w:t>market</w:t>
      </w:r>
      <w:r>
        <w:rPr>
          <w:rFonts w:eastAsia="Aptos"/>
        </w:rPr>
        <w:t xml:space="preserve"> </w:t>
      </w:r>
      <w:r w:rsidRPr="00EB0C9A">
        <w:rPr>
          <w:rFonts w:eastAsia="Aptos"/>
        </w:rPr>
        <w:t>and</w:t>
      </w:r>
      <w:r>
        <w:rPr>
          <w:rFonts w:eastAsia="Aptos"/>
        </w:rPr>
        <w:t xml:space="preserve"> </w:t>
      </w:r>
      <w:r w:rsidRPr="00EB0C9A">
        <w:rPr>
          <w:rFonts w:eastAsia="Aptos"/>
        </w:rPr>
        <w:t>ensure</w:t>
      </w:r>
      <w:r>
        <w:rPr>
          <w:rFonts w:eastAsia="Aptos"/>
        </w:rPr>
        <w:t xml:space="preserve"> </w:t>
      </w:r>
      <w:r w:rsidRPr="00EB0C9A">
        <w:rPr>
          <w:rFonts w:eastAsia="Aptos"/>
        </w:rPr>
        <w:t>compliance.</w:t>
      </w:r>
    </w:p>
    <w:p w14:paraId="0A94CE2D" w14:textId="77777777" w:rsidR="00856406" w:rsidRDefault="00856406" w:rsidP="00F45F3A">
      <w:pPr>
        <w:pStyle w:val="BodyText"/>
        <w:rPr>
          <w:rFonts w:eastAsia="Aptos"/>
        </w:rPr>
      </w:pPr>
      <w:r w:rsidRPr="006568A2">
        <w:rPr>
          <w:rFonts w:eastAsia="Aptos"/>
        </w:rPr>
        <w:t>The</w:t>
      </w:r>
      <w:r>
        <w:rPr>
          <w:rFonts w:eastAsia="Aptos"/>
        </w:rPr>
        <w:t xml:space="preserve"> taskforce</w:t>
      </w:r>
      <w:r w:rsidRPr="006568A2">
        <w:rPr>
          <w:rFonts w:eastAsia="Aptos"/>
        </w:rPr>
        <w:t>’s</w:t>
      </w:r>
      <w:r>
        <w:rPr>
          <w:rFonts w:eastAsia="Aptos"/>
        </w:rPr>
        <w:t xml:space="preserve"> </w:t>
      </w:r>
      <w:r w:rsidRPr="006568A2">
        <w:rPr>
          <w:rFonts w:eastAsia="Aptos"/>
        </w:rPr>
        <w:t>priority</w:t>
      </w:r>
      <w:r>
        <w:rPr>
          <w:rFonts w:eastAsia="Aptos"/>
        </w:rPr>
        <w:t xml:space="preserve"> </w:t>
      </w:r>
      <w:r w:rsidRPr="006568A2">
        <w:rPr>
          <w:rFonts w:eastAsia="Aptos"/>
        </w:rPr>
        <w:t>is</w:t>
      </w:r>
      <w:r>
        <w:rPr>
          <w:rFonts w:eastAsia="Aptos"/>
        </w:rPr>
        <w:t xml:space="preserve"> </w:t>
      </w:r>
      <w:r w:rsidRPr="006568A2">
        <w:rPr>
          <w:rFonts w:eastAsia="Aptos"/>
        </w:rPr>
        <w:t>to</w:t>
      </w:r>
      <w:r>
        <w:rPr>
          <w:rFonts w:eastAsia="Aptos"/>
        </w:rPr>
        <w:t xml:space="preserve"> </w:t>
      </w:r>
      <w:r w:rsidRPr="006568A2">
        <w:rPr>
          <w:rFonts w:eastAsia="Aptos"/>
        </w:rPr>
        <w:t>prevent</w:t>
      </w:r>
      <w:r>
        <w:rPr>
          <w:rFonts w:eastAsia="Aptos"/>
        </w:rPr>
        <w:t xml:space="preserve"> </w:t>
      </w:r>
      <w:r w:rsidRPr="006568A2">
        <w:rPr>
          <w:rFonts w:eastAsia="Aptos"/>
        </w:rPr>
        <w:t>breaches</w:t>
      </w:r>
      <w:r>
        <w:rPr>
          <w:rFonts w:eastAsia="Aptos"/>
        </w:rPr>
        <w:t xml:space="preserve"> </w:t>
      </w:r>
      <w:r w:rsidRPr="006568A2">
        <w:rPr>
          <w:rFonts w:eastAsia="Aptos"/>
        </w:rPr>
        <w:t>in</w:t>
      </w:r>
      <w:r>
        <w:rPr>
          <w:rFonts w:eastAsia="Aptos"/>
        </w:rPr>
        <w:t xml:space="preserve"> </w:t>
      </w:r>
      <w:r w:rsidRPr="006568A2">
        <w:rPr>
          <w:rFonts w:eastAsia="Aptos"/>
        </w:rPr>
        <w:t>the</w:t>
      </w:r>
      <w:r>
        <w:rPr>
          <w:rFonts w:eastAsia="Aptos"/>
        </w:rPr>
        <w:t xml:space="preserve"> </w:t>
      </w:r>
      <w:r w:rsidRPr="006568A2">
        <w:rPr>
          <w:rFonts w:eastAsia="Aptos"/>
        </w:rPr>
        <w:t>first</w:t>
      </w:r>
      <w:r>
        <w:rPr>
          <w:rFonts w:eastAsia="Aptos"/>
        </w:rPr>
        <w:t xml:space="preserve"> </w:t>
      </w:r>
      <w:r w:rsidRPr="006568A2">
        <w:rPr>
          <w:rFonts w:eastAsia="Aptos"/>
        </w:rPr>
        <w:t>place.</w:t>
      </w:r>
      <w:r>
        <w:rPr>
          <w:rFonts w:eastAsia="Aptos"/>
        </w:rPr>
        <w:t xml:space="preserve"> </w:t>
      </w:r>
      <w:r w:rsidRPr="006568A2">
        <w:rPr>
          <w:rFonts w:eastAsia="Aptos"/>
        </w:rPr>
        <w:t>It</w:t>
      </w:r>
      <w:r>
        <w:rPr>
          <w:rFonts w:eastAsia="Aptos"/>
        </w:rPr>
        <w:t xml:space="preserve"> </w:t>
      </w:r>
      <w:r w:rsidRPr="006568A2">
        <w:rPr>
          <w:rFonts w:eastAsia="Aptos"/>
        </w:rPr>
        <w:t>monitors</w:t>
      </w:r>
      <w:r>
        <w:rPr>
          <w:rFonts w:eastAsia="Aptos"/>
        </w:rPr>
        <w:t xml:space="preserve"> </w:t>
      </w:r>
      <w:r w:rsidRPr="006568A2">
        <w:rPr>
          <w:rFonts w:eastAsia="Aptos"/>
        </w:rPr>
        <w:t>rental</w:t>
      </w:r>
      <w:r>
        <w:rPr>
          <w:rFonts w:eastAsia="Aptos"/>
        </w:rPr>
        <w:t xml:space="preserve"> </w:t>
      </w:r>
      <w:r w:rsidRPr="006568A2">
        <w:rPr>
          <w:rFonts w:eastAsia="Aptos"/>
        </w:rPr>
        <w:t>advertisements</w:t>
      </w:r>
      <w:r>
        <w:rPr>
          <w:rFonts w:eastAsia="Aptos"/>
        </w:rPr>
        <w:t xml:space="preserve"> </w:t>
      </w:r>
      <w:r w:rsidRPr="006568A2">
        <w:rPr>
          <w:rFonts w:eastAsia="Aptos"/>
        </w:rPr>
        <w:t>and</w:t>
      </w:r>
      <w:r>
        <w:rPr>
          <w:rFonts w:eastAsia="Aptos"/>
        </w:rPr>
        <w:t xml:space="preserve"> </w:t>
      </w:r>
      <w:r w:rsidRPr="006568A2">
        <w:rPr>
          <w:rFonts w:eastAsia="Aptos"/>
        </w:rPr>
        <w:t>undertakes</w:t>
      </w:r>
      <w:r>
        <w:rPr>
          <w:rFonts w:eastAsia="Aptos"/>
        </w:rPr>
        <w:t xml:space="preserve"> </w:t>
      </w:r>
      <w:r w:rsidRPr="006568A2">
        <w:rPr>
          <w:rFonts w:eastAsia="Aptos"/>
        </w:rPr>
        <w:t>education,</w:t>
      </w:r>
      <w:r>
        <w:rPr>
          <w:rFonts w:eastAsia="Aptos"/>
        </w:rPr>
        <w:t xml:space="preserve"> </w:t>
      </w:r>
      <w:r w:rsidRPr="006568A2">
        <w:rPr>
          <w:rFonts w:eastAsia="Aptos"/>
        </w:rPr>
        <w:t>community</w:t>
      </w:r>
      <w:r>
        <w:rPr>
          <w:rFonts w:eastAsia="Aptos"/>
        </w:rPr>
        <w:t xml:space="preserve"> </w:t>
      </w:r>
      <w:r w:rsidRPr="006568A2">
        <w:rPr>
          <w:rFonts w:eastAsia="Aptos"/>
        </w:rPr>
        <w:t>engagement</w:t>
      </w:r>
      <w:r>
        <w:rPr>
          <w:rFonts w:eastAsia="Aptos"/>
        </w:rPr>
        <w:t xml:space="preserve"> </w:t>
      </w:r>
      <w:r w:rsidRPr="006568A2">
        <w:rPr>
          <w:rFonts w:eastAsia="Aptos"/>
        </w:rPr>
        <w:t>and</w:t>
      </w:r>
      <w:r>
        <w:rPr>
          <w:rFonts w:eastAsia="Aptos"/>
        </w:rPr>
        <w:t xml:space="preserve"> </w:t>
      </w:r>
      <w:r w:rsidRPr="006568A2">
        <w:rPr>
          <w:rFonts w:eastAsia="Aptos"/>
        </w:rPr>
        <w:t>proactive</w:t>
      </w:r>
      <w:r>
        <w:rPr>
          <w:rFonts w:eastAsia="Aptos"/>
        </w:rPr>
        <w:t xml:space="preserve"> </w:t>
      </w:r>
      <w:r w:rsidRPr="006568A2">
        <w:rPr>
          <w:rFonts w:eastAsia="Aptos"/>
        </w:rPr>
        <w:t>compliance</w:t>
      </w:r>
      <w:r>
        <w:rPr>
          <w:rFonts w:eastAsia="Aptos"/>
        </w:rPr>
        <w:t xml:space="preserve"> </w:t>
      </w:r>
      <w:r w:rsidRPr="006568A2">
        <w:rPr>
          <w:rFonts w:eastAsia="Aptos"/>
        </w:rPr>
        <w:t>checks</w:t>
      </w:r>
      <w:r>
        <w:rPr>
          <w:rFonts w:eastAsia="Aptos"/>
        </w:rPr>
        <w:t xml:space="preserve">. Early </w:t>
      </w:r>
      <w:r w:rsidRPr="006568A2">
        <w:rPr>
          <w:rFonts w:eastAsia="Aptos"/>
        </w:rPr>
        <w:t>intervention</w:t>
      </w:r>
      <w:r>
        <w:rPr>
          <w:rFonts w:eastAsia="Aptos"/>
        </w:rPr>
        <w:t xml:space="preserve"> </w:t>
      </w:r>
      <w:r w:rsidRPr="006568A2">
        <w:rPr>
          <w:rFonts w:eastAsia="Aptos"/>
        </w:rPr>
        <w:t>and</w:t>
      </w:r>
      <w:r>
        <w:rPr>
          <w:rFonts w:eastAsia="Aptos"/>
        </w:rPr>
        <w:t xml:space="preserve"> </w:t>
      </w:r>
      <w:r w:rsidRPr="006568A2">
        <w:rPr>
          <w:rFonts w:eastAsia="Aptos"/>
        </w:rPr>
        <w:t>prevention</w:t>
      </w:r>
      <w:r>
        <w:rPr>
          <w:rFonts w:eastAsia="Aptos"/>
        </w:rPr>
        <w:t xml:space="preserve"> </w:t>
      </w:r>
      <w:r w:rsidRPr="006568A2">
        <w:rPr>
          <w:rFonts w:eastAsia="Aptos"/>
        </w:rPr>
        <w:t>are</w:t>
      </w:r>
      <w:r>
        <w:rPr>
          <w:rFonts w:eastAsia="Aptos"/>
        </w:rPr>
        <w:t xml:space="preserve"> </w:t>
      </w:r>
      <w:r w:rsidRPr="006568A2">
        <w:rPr>
          <w:rFonts w:eastAsia="Aptos"/>
        </w:rPr>
        <w:t>key</w:t>
      </w:r>
      <w:r>
        <w:rPr>
          <w:rFonts w:eastAsia="Aptos"/>
        </w:rPr>
        <w:t xml:space="preserve"> </w:t>
      </w:r>
      <w:r w:rsidRPr="006568A2">
        <w:rPr>
          <w:rFonts w:eastAsia="Aptos"/>
        </w:rPr>
        <w:t>to</w:t>
      </w:r>
      <w:r>
        <w:rPr>
          <w:rFonts w:eastAsia="Aptos"/>
        </w:rPr>
        <w:t xml:space="preserve"> </w:t>
      </w:r>
      <w:r w:rsidRPr="006568A2">
        <w:rPr>
          <w:rFonts w:eastAsia="Aptos"/>
        </w:rPr>
        <w:t>ensuring</w:t>
      </w:r>
      <w:r>
        <w:rPr>
          <w:rFonts w:eastAsia="Aptos"/>
        </w:rPr>
        <w:t xml:space="preserve"> </w:t>
      </w:r>
      <w:r w:rsidRPr="006568A2">
        <w:rPr>
          <w:rFonts w:eastAsia="Aptos"/>
        </w:rPr>
        <w:t>that</w:t>
      </w:r>
      <w:r>
        <w:rPr>
          <w:rFonts w:eastAsia="Aptos"/>
        </w:rPr>
        <w:t xml:space="preserve"> </w:t>
      </w:r>
      <w:r w:rsidRPr="006568A2">
        <w:rPr>
          <w:rFonts w:eastAsia="Aptos"/>
        </w:rPr>
        <w:t>renters</w:t>
      </w:r>
      <w:r>
        <w:rPr>
          <w:rFonts w:eastAsia="Aptos"/>
        </w:rPr>
        <w:t xml:space="preserve"> </w:t>
      </w:r>
      <w:r w:rsidRPr="006568A2">
        <w:rPr>
          <w:rFonts w:eastAsia="Aptos"/>
        </w:rPr>
        <w:t>don’t</w:t>
      </w:r>
      <w:r>
        <w:rPr>
          <w:rFonts w:eastAsia="Aptos"/>
        </w:rPr>
        <w:t xml:space="preserve"> </w:t>
      </w:r>
      <w:r w:rsidRPr="006568A2">
        <w:rPr>
          <w:rFonts w:eastAsia="Aptos"/>
        </w:rPr>
        <w:t>suffer</w:t>
      </w:r>
      <w:r>
        <w:rPr>
          <w:rFonts w:eastAsia="Aptos"/>
        </w:rPr>
        <w:t xml:space="preserve"> </w:t>
      </w:r>
      <w:r w:rsidRPr="006568A2">
        <w:rPr>
          <w:rFonts w:eastAsia="Aptos"/>
        </w:rPr>
        <w:t>the</w:t>
      </w:r>
      <w:r>
        <w:rPr>
          <w:rFonts w:eastAsia="Aptos"/>
        </w:rPr>
        <w:t xml:space="preserve"> </w:t>
      </w:r>
      <w:r w:rsidRPr="006568A2">
        <w:rPr>
          <w:rFonts w:eastAsia="Aptos"/>
        </w:rPr>
        <w:t>distress</w:t>
      </w:r>
      <w:r>
        <w:rPr>
          <w:rFonts w:eastAsia="Aptos"/>
        </w:rPr>
        <w:t xml:space="preserve"> </w:t>
      </w:r>
      <w:r w:rsidRPr="006568A2">
        <w:rPr>
          <w:rFonts w:eastAsia="Aptos"/>
        </w:rPr>
        <w:t>and</w:t>
      </w:r>
      <w:r>
        <w:rPr>
          <w:rFonts w:eastAsia="Aptos"/>
        </w:rPr>
        <w:t xml:space="preserve"> </w:t>
      </w:r>
      <w:r w:rsidRPr="006568A2">
        <w:rPr>
          <w:rFonts w:eastAsia="Aptos"/>
        </w:rPr>
        <w:t>upheaval</w:t>
      </w:r>
      <w:r>
        <w:rPr>
          <w:rFonts w:eastAsia="Aptos"/>
        </w:rPr>
        <w:t xml:space="preserve"> </w:t>
      </w:r>
      <w:r w:rsidRPr="006568A2">
        <w:rPr>
          <w:rFonts w:eastAsia="Aptos"/>
        </w:rPr>
        <w:t>of</w:t>
      </w:r>
      <w:r>
        <w:rPr>
          <w:rFonts w:eastAsia="Aptos"/>
        </w:rPr>
        <w:t xml:space="preserve"> </w:t>
      </w:r>
      <w:r w:rsidRPr="006568A2">
        <w:rPr>
          <w:rFonts w:eastAsia="Aptos"/>
        </w:rPr>
        <w:t>a</w:t>
      </w:r>
      <w:r>
        <w:rPr>
          <w:rFonts w:eastAsia="Aptos"/>
        </w:rPr>
        <w:t xml:space="preserve"> </w:t>
      </w:r>
      <w:r w:rsidRPr="006568A2">
        <w:rPr>
          <w:rFonts w:eastAsia="Aptos"/>
        </w:rPr>
        <w:t>substandard</w:t>
      </w:r>
      <w:r>
        <w:rPr>
          <w:rFonts w:eastAsia="Aptos"/>
        </w:rPr>
        <w:t xml:space="preserve"> </w:t>
      </w:r>
      <w:r w:rsidRPr="006568A2">
        <w:rPr>
          <w:rFonts w:eastAsia="Aptos"/>
        </w:rPr>
        <w:t>rental</w:t>
      </w:r>
      <w:r>
        <w:rPr>
          <w:rFonts w:eastAsia="Aptos"/>
        </w:rPr>
        <w:t xml:space="preserve"> </w:t>
      </w:r>
      <w:r w:rsidRPr="006568A2">
        <w:rPr>
          <w:rFonts w:eastAsia="Aptos"/>
        </w:rPr>
        <w:t>experience.</w:t>
      </w:r>
    </w:p>
    <w:p w14:paraId="09B65BFC" w14:textId="77777777" w:rsidR="00856406" w:rsidRDefault="00856406" w:rsidP="00F45F3A">
      <w:pPr>
        <w:pStyle w:val="BodyText"/>
        <w:rPr>
          <w:rFonts w:eastAsia="Aptos"/>
        </w:rPr>
      </w:pPr>
      <w:r w:rsidRPr="006568A2">
        <w:rPr>
          <w:rFonts w:eastAsia="Aptos"/>
        </w:rPr>
        <w:t>Throughout</w:t>
      </w:r>
      <w:r>
        <w:rPr>
          <w:rFonts w:eastAsia="Aptos"/>
        </w:rPr>
        <w:t xml:space="preserve"> </w:t>
      </w:r>
      <w:r w:rsidRPr="006568A2">
        <w:rPr>
          <w:rFonts w:eastAsia="Aptos"/>
        </w:rPr>
        <w:t>the</w:t>
      </w:r>
      <w:r>
        <w:rPr>
          <w:rFonts w:eastAsia="Aptos"/>
        </w:rPr>
        <w:t xml:space="preserve"> </w:t>
      </w:r>
      <w:r w:rsidRPr="006568A2">
        <w:rPr>
          <w:rFonts w:eastAsia="Aptos"/>
        </w:rPr>
        <w:t>year,</w:t>
      </w:r>
      <w:r>
        <w:rPr>
          <w:rFonts w:eastAsia="Aptos"/>
        </w:rPr>
        <w:t xml:space="preserve"> </w:t>
      </w:r>
      <w:r w:rsidRPr="006568A2">
        <w:rPr>
          <w:rFonts w:eastAsia="Aptos"/>
        </w:rPr>
        <w:t>the</w:t>
      </w:r>
      <w:r>
        <w:rPr>
          <w:rFonts w:eastAsia="Aptos"/>
        </w:rPr>
        <w:t xml:space="preserve"> taskforce </w:t>
      </w:r>
      <w:r w:rsidRPr="006568A2">
        <w:rPr>
          <w:rFonts w:eastAsia="Aptos"/>
        </w:rPr>
        <w:t>prioritised</w:t>
      </w:r>
      <w:r>
        <w:rPr>
          <w:rFonts w:eastAsia="Aptos"/>
        </w:rPr>
        <w:t xml:space="preserve"> </w:t>
      </w:r>
      <w:r w:rsidRPr="006568A2">
        <w:rPr>
          <w:rFonts w:eastAsia="Aptos"/>
        </w:rPr>
        <w:t>ensuring</w:t>
      </w:r>
      <w:r>
        <w:rPr>
          <w:rFonts w:eastAsia="Aptos"/>
        </w:rPr>
        <w:t xml:space="preserve"> </w:t>
      </w:r>
      <w:r w:rsidRPr="006568A2">
        <w:rPr>
          <w:rFonts w:eastAsia="Aptos"/>
        </w:rPr>
        <w:t>compliance</w:t>
      </w:r>
      <w:r>
        <w:rPr>
          <w:rFonts w:eastAsia="Aptos"/>
        </w:rPr>
        <w:t xml:space="preserve"> </w:t>
      </w:r>
      <w:r w:rsidRPr="006568A2">
        <w:rPr>
          <w:rFonts w:eastAsia="Aptos"/>
        </w:rPr>
        <w:t>with</w:t>
      </w:r>
      <w:r>
        <w:rPr>
          <w:rFonts w:eastAsia="Aptos"/>
        </w:rPr>
        <w:t xml:space="preserve"> </w:t>
      </w:r>
      <w:r w:rsidRPr="006568A2">
        <w:rPr>
          <w:rFonts w:eastAsia="Aptos"/>
        </w:rPr>
        <w:t>rules</w:t>
      </w:r>
      <w:r>
        <w:rPr>
          <w:rFonts w:eastAsia="Aptos"/>
        </w:rPr>
        <w:t xml:space="preserve"> </w:t>
      </w:r>
      <w:r w:rsidRPr="006568A2">
        <w:rPr>
          <w:rFonts w:eastAsia="Aptos"/>
        </w:rPr>
        <w:t>affecting</w:t>
      </w:r>
      <w:r>
        <w:rPr>
          <w:rFonts w:eastAsia="Aptos"/>
        </w:rPr>
        <w:t xml:space="preserve"> </w:t>
      </w:r>
      <w:r w:rsidRPr="006568A2">
        <w:rPr>
          <w:rFonts w:eastAsia="Aptos"/>
        </w:rPr>
        <w:t>renters’</w:t>
      </w:r>
      <w:r>
        <w:rPr>
          <w:rFonts w:eastAsia="Aptos"/>
        </w:rPr>
        <w:t xml:space="preserve"> </w:t>
      </w:r>
      <w:r w:rsidRPr="006568A2">
        <w:rPr>
          <w:rFonts w:eastAsia="Aptos"/>
        </w:rPr>
        <w:t>safety,</w:t>
      </w:r>
      <w:r>
        <w:rPr>
          <w:rFonts w:eastAsia="Aptos"/>
        </w:rPr>
        <w:t xml:space="preserve"> </w:t>
      </w:r>
      <w:r w:rsidRPr="006568A2">
        <w:rPr>
          <w:rFonts w:eastAsia="Aptos"/>
        </w:rPr>
        <w:t>security</w:t>
      </w:r>
      <w:r>
        <w:rPr>
          <w:rFonts w:eastAsia="Aptos"/>
        </w:rPr>
        <w:t xml:space="preserve"> </w:t>
      </w:r>
      <w:r w:rsidRPr="006568A2">
        <w:rPr>
          <w:rFonts w:eastAsia="Aptos"/>
        </w:rPr>
        <w:t>and</w:t>
      </w:r>
      <w:r>
        <w:rPr>
          <w:rFonts w:eastAsia="Aptos"/>
        </w:rPr>
        <w:t xml:space="preserve"> </w:t>
      </w:r>
      <w:r w:rsidRPr="006568A2">
        <w:rPr>
          <w:rFonts w:eastAsia="Aptos"/>
        </w:rPr>
        <w:t>tenure</w:t>
      </w:r>
      <w:r>
        <w:rPr>
          <w:rFonts w:eastAsia="Aptos"/>
        </w:rPr>
        <w:t xml:space="preserve">. These include </w:t>
      </w:r>
      <w:r w:rsidRPr="00290DB3">
        <w:rPr>
          <w:rFonts w:eastAsia="Aptos"/>
        </w:rPr>
        <w:t>false</w:t>
      </w:r>
      <w:r>
        <w:rPr>
          <w:rFonts w:eastAsia="Aptos"/>
        </w:rPr>
        <w:t xml:space="preserve"> </w:t>
      </w:r>
      <w:r w:rsidRPr="00290DB3">
        <w:rPr>
          <w:rFonts w:eastAsia="Aptos"/>
        </w:rPr>
        <w:t>advertising,</w:t>
      </w:r>
      <w:r>
        <w:rPr>
          <w:rFonts w:eastAsia="Aptos"/>
        </w:rPr>
        <w:t xml:space="preserve"> </w:t>
      </w:r>
      <w:r w:rsidRPr="00290DB3">
        <w:rPr>
          <w:rFonts w:eastAsia="Aptos"/>
        </w:rPr>
        <w:t>rental</w:t>
      </w:r>
      <w:r>
        <w:rPr>
          <w:rFonts w:eastAsia="Aptos"/>
        </w:rPr>
        <w:t xml:space="preserve"> </w:t>
      </w:r>
      <w:r w:rsidRPr="00290DB3">
        <w:rPr>
          <w:rFonts w:eastAsia="Aptos"/>
        </w:rPr>
        <w:t>bidding,</w:t>
      </w:r>
      <w:r>
        <w:rPr>
          <w:rFonts w:eastAsia="Aptos"/>
        </w:rPr>
        <w:t xml:space="preserve"> </w:t>
      </w:r>
      <w:r w:rsidRPr="00290DB3">
        <w:rPr>
          <w:rFonts w:eastAsia="Aptos"/>
        </w:rPr>
        <w:t>not</w:t>
      </w:r>
      <w:r>
        <w:rPr>
          <w:rFonts w:eastAsia="Aptos"/>
        </w:rPr>
        <w:t xml:space="preserve"> </w:t>
      </w:r>
      <w:r w:rsidRPr="00290DB3">
        <w:rPr>
          <w:rFonts w:eastAsia="Aptos"/>
        </w:rPr>
        <w:t>lodging</w:t>
      </w:r>
      <w:r>
        <w:rPr>
          <w:rFonts w:eastAsia="Aptos"/>
        </w:rPr>
        <w:t xml:space="preserve"> </w:t>
      </w:r>
      <w:r w:rsidRPr="00290DB3">
        <w:rPr>
          <w:rFonts w:eastAsia="Aptos"/>
        </w:rPr>
        <w:t>a</w:t>
      </w:r>
      <w:r>
        <w:rPr>
          <w:rFonts w:eastAsia="Aptos"/>
        </w:rPr>
        <w:t xml:space="preserve"> </w:t>
      </w:r>
      <w:r w:rsidRPr="00290DB3">
        <w:rPr>
          <w:rFonts w:eastAsia="Aptos"/>
        </w:rPr>
        <w:t>bond</w:t>
      </w:r>
      <w:r>
        <w:rPr>
          <w:rFonts w:eastAsia="Aptos"/>
        </w:rPr>
        <w:t xml:space="preserve">, </w:t>
      </w:r>
      <w:r w:rsidRPr="00290DB3">
        <w:rPr>
          <w:rFonts w:eastAsia="Aptos"/>
        </w:rPr>
        <w:t>and</w:t>
      </w:r>
      <w:r>
        <w:rPr>
          <w:rFonts w:eastAsia="Aptos"/>
        </w:rPr>
        <w:t xml:space="preserve"> </w:t>
      </w:r>
      <w:r w:rsidRPr="00290DB3">
        <w:rPr>
          <w:rFonts w:eastAsia="Aptos"/>
        </w:rPr>
        <w:t>renting</w:t>
      </w:r>
      <w:r>
        <w:rPr>
          <w:rFonts w:eastAsia="Aptos"/>
        </w:rPr>
        <w:t xml:space="preserve"> </w:t>
      </w:r>
      <w:r w:rsidRPr="00290DB3">
        <w:rPr>
          <w:rFonts w:eastAsia="Aptos"/>
        </w:rPr>
        <w:t>out</w:t>
      </w:r>
      <w:r>
        <w:rPr>
          <w:rFonts w:eastAsia="Aptos"/>
        </w:rPr>
        <w:t xml:space="preserve"> </w:t>
      </w:r>
      <w:r w:rsidRPr="00290DB3">
        <w:rPr>
          <w:rFonts w:eastAsia="Aptos"/>
        </w:rPr>
        <w:t>a</w:t>
      </w:r>
      <w:r>
        <w:rPr>
          <w:rFonts w:eastAsia="Aptos"/>
        </w:rPr>
        <w:t xml:space="preserve"> </w:t>
      </w:r>
      <w:r w:rsidRPr="00290DB3">
        <w:rPr>
          <w:rFonts w:eastAsia="Aptos"/>
        </w:rPr>
        <w:t>property</w:t>
      </w:r>
      <w:r>
        <w:rPr>
          <w:rFonts w:eastAsia="Aptos"/>
        </w:rPr>
        <w:t xml:space="preserve"> </w:t>
      </w:r>
      <w:r w:rsidRPr="00290DB3">
        <w:rPr>
          <w:rFonts w:eastAsia="Aptos"/>
        </w:rPr>
        <w:t>that</w:t>
      </w:r>
      <w:r>
        <w:rPr>
          <w:rFonts w:eastAsia="Aptos"/>
        </w:rPr>
        <w:t xml:space="preserve"> </w:t>
      </w:r>
      <w:r w:rsidRPr="00290DB3">
        <w:rPr>
          <w:rFonts w:eastAsia="Aptos"/>
        </w:rPr>
        <w:t>doesn’t</w:t>
      </w:r>
      <w:r>
        <w:rPr>
          <w:rFonts w:eastAsia="Aptos"/>
        </w:rPr>
        <w:t xml:space="preserve"> </w:t>
      </w:r>
      <w:r w:rsidRPr="00290DB3">
        <w:rPr>
          <w:rFonts w:eastAsia="Aptos"/>
        </w:rPr>
        <w:t>meet</w:t>
      </w:r>
      <w:r>
        <w:rPr>
          <w:rFonts w:eastAsia="Aptos"/>
        </w:rPr>
        <w:t xml:space="preserve"> </w:t>
      </w:r>
      <w:r w:rsidRPr="00290DB3">
        <w:rPr>
          <w:rFonts w:eastAsia="Aptos"/>
        </w:rPr>
        <w:t>the</w:t>
      </w:r>
      <w:r>
        <w:rPr>
          <w:rFonts w:eastAsia="Aptos"/>
        </w:rPr>
        <w:t xml:space="preserve"> </w:t>
      </w:r>
      <w:r w:rsidRPr="00290DB3">
        <w:rPr>
          <w:rFonts w:eastAsia="Aptos"/>
        </w:rPr>
        <w:t>mandatory</w:t>
      </w:r>
      <w:r>
        <w:rPr>
          <w:rFonts w:eastAsia="Aptos"/>
        </w:rPr>
        <w:t xml:space="preserve"> </w:t>
      </w:r>
      <w:r w:rsidRPr="00290DB3">
        <w:rPr>
          <w:rFonts w:eastAsia="Aptos"/>
        </w:rPr>
        <w:t>minimum</w:t>
      </w:r>
      <w:r>
        <w:rPr>
          <w:rFonts w:eastAsia="Aptos"/>
        </w:rPr>
        <w:t xml:space="preserve"> </w:t>
      </w:r>
      <w:r w:rsidRPr="00290DB3">
        <w:rPr>
          <w:rFonts w:eastAsia="Aptos"/>
        </w:rPr>
        <w:t>standards</w:t>
      </w:r>
      <w:r w:rsidRPr="006568A2">
        <w:rPr>
          <w:rFonts w:eastAsia="Aptos"/>
        </w:rPr>
        <w:t>.</w:t>
      </w:r>
    </w:p>
    <w:p w14:paraId="33F37889" w14:textId="460BF8B1" w:rsidR="00856406" w:rsidRPr="00425DBB" w:rsidRDefault="00856406" w:rsidP="00F45F3A">
      <w:pPr>
        <w:pStyle w:val="BodyText"/>
      </w:pPr>
      <w:r>
        <w:rPr>
          <w:rFonts w:eastAsia="Aptos"/>
        </w:rPr>
        <w:t xml:space="preserve">In </w:t>
      </w:r>
      <w:r w:rsidR="00EE79C3">
        <w:rPr>
          <w:rFonts w:eastAsia="Aptos"/>
        </w:rPr>
        <w:t>2024–25</w:t>
      </w:r>
      <w:r>
        <w:rPr>
          <w:rFonts w:eastAsia="Aptos"/>
        </w:rPr>
        <w:t>, t</w:t>
      </w:r>
      <w:r w:rsidRPr="001811D7">
        <w:rPr>
          <w:rFonts w:eastAsia="Aptos"/>
        </w:rPr>
        <w:t>he</w:t>
      </w:r>
      <w:r>
        <w:rPr>
          <w:rFonts w:eastAsia="Aptos"/>
        </w:rPr>
        <w:t xml:space="preserve"> taskforce inspected </w:t>
      </w:r>
      <w:r w:rsidRPr="001811D7">
        <w:rPr>
          <w:rFonts w:eastAsia="Aptos"/>
        </w:rPr>
        <w:t>rental</w:t>
      </w:r>
      <w:r>
        <w:rPr>
          <w:rFonts w:eastAsia="Aptos"/>
        </w:rPr>
        <w:t xml:space="preserve"> </w:t>
      </w:r>
      <w:r w:rsidRPr="001811D7">
        <w:rPr>
          <w:rFonts w:eastAsia="Aptos"/>
        </w:rPr>
        <w:t>properties</w:t>
      </w:r>
      <w:r>
        <w:rPr>
          <w:rFonts w:eastAsia="Aptos"/>
        </w:rPr>
        <w:t xml:space="preserve"> </w:t>
      </w:r>
      <w:r w:rsidRPr="001811D7">
        <w:rPr>
          <w:rFonts w:eastAsia="Aptos"/>
        </w:rPr>
        <w:t>across</w:t>
      </w:r>
      <w:r>
        <w:rPr>
          <w:rFonts w:eastAsia="Aptos"/>
        </w:rPr>
        <w:t xml:space="preserve"> </w:t>
      </w:r>
      <w:r w:rsidRPr="001811D7">
        <w:rPr>
          <w:rFonts w:eastAsia="Aptos"/>
        </w:rPr>
        <w:t>Victoria</w:t>
      </w:r>
      <w:r>
        <w:rPr>
          <w:rFonts w:eastAsia="Aptos"/>
        </w:rPr>
        <w:t xml:space="preserve"> </w:t>
      </w:r>
      <w:r w:rsidRPr="001811D7">
        <w:rPr>
          <w:rFonts w:eastAsia="Aptos"/>
        </w:rPr>
        <w:t>and</w:t>
      </w:r>
      <w:r>
        <w:rPr>
          <w:rFonts w:eastAsia="Aptos"/>
        </w:rPr>
        <w:t xml:space="preserve"> </w:t>
      </w:r>
      <w:r w:rsidRPr="001811D7">
        <w:rPr>
          <w:rFonts w:eastAsia="Aptos"/>
        </w:rPr>
        <w:t>proactively</w:t>
      </w:r>
      <w:r>
        <w:rPr>
          <w:rFonts w:eastAsia="Aptos"/>
        </w:rPr>
        <w:t xml:space="preserve"> engaged </w:t>
      </w:r>
      <w:r w:rsidRPr="001811D7">
        <w:rPr>
          <w:rFonts w:eastAsia="Aptos"/>
        </w:rPr>
        <w:t>with</w:t>
      </w:r>
      <w:r>
        <w:rPr>
          <w:rFonts w:eastAsia="Aptos"/>
        </w:rPr>
        <w:t xml:space="preserve"> </w:t>
      </w:r>
      <w:r w:rsidRPr="001811D7">
        <w:rPr>
          <w:rFonts w:eastAsia="Aptos"/>
        </w:rPr>
        <w:t>agents</w:t>
      </w:r>
      <w:r>
        <w:rPr>
          <w:rFonts w:eastAsia="Aptos"/>
        </w:rPr>
        <w:t xml:space="preserve"> and rental providers </w:t>
      </w:r>
      <w:r w:rsidRPr="001811D7">
        <w:rPr>
          <w:rFonts w:eastAsia="Aptos"/>
        </w:rPr>
        <w:t>to</w:t>
      </w:r>
      <w:r>
        <w:rPr>
          <w:rFonts w:eastAsia="Aptos"/>
        </w:rPr>
        <w:t xml:space="preserve"> help them ensure that </w:t>
      </w:r>
      <w:r w:rsidRPr="001811D7">
        <w:rPr>
          <w:rFonts w:eastAsia="Aptos"/>
        </w:rPr>
        <w:t>rental</w:t>
      </w:r>
      <w:r>
        <w:rPr>
          <w:rFonts w:eastAsia="Aptos"/>
        </w:rPr>
        <w:t xml:space="preserve"> </w:t>
      </w:r>
      <w:r w:rsidRPr="001811D7">
        <w:rPr>
          <w:rFonts w:eastAsia="Aptos"/>
        </w:rPr>
        <w:t>properties</w:t>
      </w:r>
      <w:r>
        <w:rPr>
          <w:rFonts w:eastAsia="Aptos"/>
        </w:rPr>
        <w:t xml:space="preserve"> </w:t>
      </w:r>
      <w:r w:rsidRPr="001811D7">
        <w:rPr>
          <w:rFonts w:eastAsia="Aptos"/>
        </w:rPr>
        <w:t>meet</w:t>
      </w:r>
      <w:r>
        <w:rPr>
          <w:rFonts w:eastAsia="Aptos"/>
        </w:rPr>
        <w:t xml:space="preserve"> </w:t>
      </w:r>
      <w:r w:rsidRPr="001811D7">
        <w:rPr>
          <w:rFonts w:eastAsia="Aptos"/>
        </w:rPr>
        <w:t>minimum</w:t>
      </w:r>
      <w:r>
        <w:rPr>
          <w:rFonts w:eastAsia="Aptos"/>
        </w:rPr>
        <w:t xml:space="preserve"> </w:t>
      </w:r>
      <w:r w:rsidRPr="001811D7">
        <w:rPr>
          <w:rFonts w:eastAsia="Aptos"/>
        </w:rPr>
        <w:t>standards</w:t>
      </w:r>
      <w:r>
        <w:rPr>
          <w:rFonts w:eastAsia="Aptos"/>
        </w:rPr>
        <w:t xml:space="preserve"> </w:t>
      </w:r>
      <w:r w:rsidRPr="001811D7">
        <w:rPr>
          <w:rFonts w:eastAsia="Aptos"/>
        </w:rPr>
        <w:t>before</w:t>
      </w:r>
      <w:r>
        <w:rPr>
          <w:rFonts w:eastAsia="Aptos"/>
        </w:rPr>
        <w:t xml:space="preserve"> </w:t>
      </w:r>
      <w:r w:rsidRPr="001811D7">
        <w:rPr>
          <w:rFonts w:eastAsia="Aptos"/>
        </w:rPr>
        <w:t>they</w:t>
      </w:r>
      <w:r>
        <w:rPr>
          <w:rFonts w:eastAsia="Aptos"/>
        </w:rPr>
        <w:t xml:space="preserve"> </w:t>
      </w:r>
      <w:r w:rsidRPr="001811D7">
        <w:rPr>
          <w:rFonts w:eastAsia="Aptos"/>
        </w:rPr>
        <w:t>are</w:t>
      </w:r>
      <w:r>
        <w:rPr>
          <w:rFonts w:eastAsia="Aptos"/>
        </w:rPr>
        <w:t xml:space="preserve"> </w:t>
      </w:r>
      <w:r w:rsidRPr="001811D7">
        <w:rPr>
          <w:rFonts w:eastAsia="Aptos"/>
        </w:rPr>
        <w:t>leased.</w:t>
      </w:r>
      <w:r>
        <w:rPr>
          <w:rFonts w:eastAsia="Aptos"/>
        </w:rPr>
        <w:t xml:space="preserve"> M</w:t>
      </w:r>
      <w:r w:rsidRPr="001811D7">
        <w:rPr>
          <w:rFonts w:eastAsia="Aptos"/>
        </w:rPr>
        <w:t>ultiple</w:t>
      </w:r>
      <w:r>
        <w:rPr>
          <w:rFonts w:eastAsia="Aptos"/>
        </w:rPr>
        <w:t xml:space="preserve"> </w:t>
      </w:r>
      <w:r w:rsidRPr="001811D7">
        <w:rPr>
          <w:rFonts w:eastAsia="Aptos"/>
        </w:rPr>
        <w:t>targeted</w:t>
      </w:r>
      <w:r>
        <w:rPr>
          <w:rFonts w:eastAsia="Aptos"/>
        </w:rPr>
        <w:t xml:space="preserve"> </w:t>
      </w:r>
      <w:r w:rsidRPr="001811D7">
        <w:rPr>
          <w:rFonts w:eastAsia="Aptos"/>
        </w:rPr>
        <w:t>inspection</w:t>
      </w:r>
      <w:r>
        <w:rPr>
          <w:rFonts w:eastAsia="Aptos"/>
        </w:rPr>
        <w:t xml:space="preserve"> </w:t>
      </w:r>
      <w:r w:rsidRPr="001811D7">
        <w:rPr>
          <w:rFonts w:eastAsia="Aptos"/>
        </w:rPr>
        <w:t>campaigns</w:t>
      </w:r>
      <w:r>
        <w:rPr>
          <w:rFonts w:eastAsia="Aptos"/>
        </w:rPr>
        <w:t xml:space="preserve"> were conducted across Melbourne, in Clayton, Fitzroy, Werribee, Footscray and the Melbourne CBD; and in Geelong, Ballarat, </w:t>
      </w:r>
      <w:r w:rsidRPr="001811D7">
        <w:rPr>
          <w:rFonts w:eastAsia="Aptos"/>
        </w:rPr>
        <w:t>and</w:t>
      </w:r>
      <w:r>
        <w:rPr>
          <w:rFonts w:eastAsia="Aptos"/>
        </w:rPr>
        <w:t xml:space="preserve"> </w:t>
      </w:r>
      <w:r w:rsidRPr="001811D7">
        <w:rPr>
          <w:rFonts w:eastAsia="Aptos"/>
        </w:rPr>
        <w:t>Bendigo.</w:t>
      </w:r>
    </w:p>
    <w:p w14:paraId="1E63FD22" w14:textId="77777777" w:rsidR="00856406" w:rsidRDefault="00856406" w:rsidP="00F45F3A">
      <w:pPr>
        <w:pStyle w:val="BodyText"/>
        <w:rPr>
          <w:rFonts w:eastAsia="Aptos"/>
        </w:rPr>
      </w:pPr>
      <w:r>
        <w:rPr>
          <w:rFonts w:eastAsia="Aptos"/>
        </w:rPr>
        <w:t xml:space="preserve">The taskforce also initiated an education program to promote </w:t>
      </w:r>
      <w:r w:rsidRPr="001811D7">
        <w:rPr>
          <w:rFonts w:eastAsia="Aptos"/>
        </w:rPr>
        <w:t>compliance</w:t>
      </w:r>
      <w:r>
        <w:rPr>
          <w:rFonts w:eastAsia="Aptos"/>
        </w:rPr>
        <w:t xml:space="preserve"> </w:t>
      </w:r>
      <w:r w:rsidRPr="001811D7">
        <w:rPr>
          <w:rFonts w:eastAsia="Aptos"/>
        </w:rPr>
        <w:t>with</w:t>
      </w:r>
      <w:r>
        <w:rPr>
          <w:rFonts w:eastAsia="Aptos"/>
        </w:rPr>
        <w:t xml:space="preserve"> </w:t>
      </w:r>
      <w:r w:rsidRPr="001811D7">
        <w:rPr>
          <w:rFonts w:eastAsia="Aptos"/>
        </w:rPr>
        <w:t>Victoria’s</w:t>
      </w:r>
      <w:r>
        <w:rPr>
          <w:rFonts w:eastAsia="Aptos"/>
        </w:rPr>
        <w:t xml:space="preserve"> </w:t>
      </w:r>
      <w:r w:rsidRPr="001811D7">
        <w:rPr>
          <w:rFonts w:eastAsia="Aptos"/>
        </w:rPr>
        <w:t>rent</w:t>
      </w:r>
      <w:r>
        <w:rPr>
          <w:rFonts w:eastAsia="Aptos"/>
        </w:rPr>
        <w:t xml:space="preserve">al </w:t>
      </w:r>
      <w:r w:rsidRPr="001811D7">
        <w:rPr>
          <w:rFonts w:eastAsia="Aptos"/>
        </w:rPr>
        <w:t>laws.</w:t>
      </w:r>
      <w:r>
        <w:rPr>
          <w:rFonts w:eastAsia="Aptos"/>
        </w:rPr>
        <w:t xml:space="preserve"> </w:t>
      </w:r>
      <w:r w:rsidRPr="001811D7">
        <w:rPr>
          <w:rFonts w:eastAsia="Aptos"/>
        </w:rPr>
        <w:t>This</w:t>
      </w:r>
      <w:r>
        <w:rPr>
          <w:rFonts w:eastAsia="Aptos"/>
        </w:rPr>
        <w:t xml:space="preserve"> </w:t>
      </w:r>
      <w:r w:rsidRPr="001811D7">
        <w:rPr>
          <w:rFonts w:eastAsia="Aptos"/>
        </w:rPr>
        <w:t>included</w:t>
      </w:r>
      <w:r>
        <w:rPr>
          <w:rFonts w:eastAsia="Aptos"/>
        </w:rPr>
        <w:t>:</w:t>
      </w:r>
    </w:p>
    <w:p w14:paraId="7CF2C143" w14:textId="77777777" w:rsidR="00856406" w:rsidRPr="00A4404F" w:rsidRDefault="00856406" w:rsidP="00F45F3A">
      <w:pPr>
        <w:pStyle w:val="ListBullet"/>
      </w:pPr>
      <w:r>
        <w:rPr>
          <w:rFonts w:eastAsia="Aptos"/>
        </w:rPr>
        <w:t xml:space="preserve">communications directly </w:t>
      </w:r>
      <w:r w:rsidRPr="001811D7">
        <w:rPr>
          <w:rFonts w:eastAsia="Aptos"/>
        </w:rPr>
        <w:t>to</w:t>
      </w:r>
      <w:r>
        <w:rPr>
          <w:rFonts w:eastAsia="Aptos"/>
        </w:rPr>
        <w:t xml:space="preserve"> estate </w:t>
      </w:r>
      <w:r w:rsidRPr="001811D7">
        <w:rPr>
          <w:rFonts w:eastAsia="Aptos"/>
        </w:rPr>
        <w:t>agencies</w:t>
      </w:r>
      <w:r>
        <w:rPr>
          <w:rFonts w:eastAsia="Aptos"/>
        </w:rPr>
        <w:t xml:space="preserve"> across the state</w:t>
      </w:r>
      <w:r w:rsidRPr="00A4404F">
        <w:rPr>
          <w:rFonts w:eastAsia="Aptos"/>
        </w:rPr>
        <w:t>,</w:t>
      </w:r>
      <w:r>
        <w:rPr>
          <w:rFonts w:eastAsia="Aptos"/>
        </w:rPr>
        <w:t xml:space="preserve"> </w:t>
      </w:r>
      <w:r w:rsidRPr="001811D7">
        <w:rPr>
          <w:rFonts w:eastAsia="Aptos"/>
        </w:rPr>
        <w:t>reminding</w:t>
      </w:r>
      <w:r>
        <w:rPr>
          <w:rFonts w:eastAsia="Aptos"/>
        </w:rPr>
        <w:t xml:space="preserve"> </w:t>
      </w:r>
      <w:r w:rsidRPr="001811D7">
        <w:rPr>
          <w:rFonts w:eastAsia="Aptos"/>
        </w:rPr>
        <w:t>them</w:t>
      </w:r>
      <w:r>
        <w:rPr>
          <w:rFonts w:eastAsia="Aptos"/>
        </w:rPr>
        <w:t xml:space="preserve"> </w:t>
      </w:r>
      <w:r w:rsidRPr="001811D7">
        <w:rPr>
          <w:rFonts w:eastAsia="Aptos"/>
        </w:rPr>
        <w:t>of</w:t>
      </w:r>
      <w:r>
        <w:rPr>
          <w:rFonts w:eastAsia="Aptos"/>
        </w:rPr>
        <w:t xml:space="preserve"> </w:t>
      </w:r>
      <w:r w:rsidRPr="001811D7">
        <w:rPr>
          <w:rFonts w:eastAsia="Aptos"/>
        </w:rPr>
        <w:t>laws</w:t>
      </w:r>
      <w:r>
        <w:rPr>
          <w:rFonts w:eastAsia="Aptos"/>
        </w:rPr>
        <w:t xml:space="preserve"> </w:t>
      </w:r>
      <w:r w:rsidRPr="001811D7">
        <w:rPr>
          <w:rFonts w:eastAsia="Aptos"/>
        </w:rPr>
        <w:t>around</w:t>
      </w:r>
      <w:r>
        <w:rPr>
          <w:rFonts w:eastAsia="Aptos"/>
        </w:rPr>
        <w:t xml:space="preserve"> </w:t>
      </w:r>
      <w:r w:rsidRPr="001811D7">
        <w:rPr>
          <w:rFonts w:eastAsia="Aptos"/>
        </w:rPr>
        <w:t>rental</w:t>
      </w:r>
      <w:r>
        <w:rPr>
          <w:rFonts w:eastAsia="Aptos"/>
        </w:rPr>
        <w:t xml:space="preserve"> </w:t>
      </w:r>
      <w:r w:rsidRPr="001811D7">
        <w:rPr>
          <w:rFonts w:eastAsia="Aptos"/>
        </w:rPr>
        <w:t>pricing</w:t>
      </w:r>
      <w:r>
        <w:rPr>
          <w:rFonts w:eastAsia="Aptos"/>
        </w:rPr>
        <w:t xml:space="preserve"> </w:t>
      </w:r>
      <w:r w:rsidRPr="001811D7">
        <w:rPr>
          <w:rFonts w:eastAsia="Aptos"/>
        </w:rPr>
        <w:t>practices</w:t>
      </w:r>
    </w:p>
    <w:p w14:paraId="07ED2539" w14:textId="77777777" w:rsidR="00856406" w:rsidRDefault="00856406" w:rsidP="00F45F3A">
      <w:pPr>
        <w:pStyle w:val="ListBullet"/>
        <w:rPr>
          <w:rFonts w:eastAsia="Aptos"/>
        </w:rPr>
      </w:pPr>
      <w:r w:rsidRPr="001811D7">
        <w:rPr>
          <w:rFonts w:eastAsia="Aptos"/>
        </w:rPr>
        <w:t>targeted</w:t>
      </w:r>
      <w:r>
        <w:rPr>
          <w:rFonts w:eastAsia="Aptos"/>
        </w:rPr>
        <w:t xml:space="preserve"> </w:t>
      </w:r>
      <w:r w:rsidRPr="001811D7">
        <w:rPr>
          <w:rFonts w:eastAsia="Aptos"/>
        </w:rPr>
        <w:t>communications</w:t>
      </w:r>
      <w:r>
        <w:rPr>
          <w:rFonts w:eastAsia="Aptos"/>
        </w:rPr>
        <w:t xml:space="preserve"> </w:t>
      </w:r>
      <w:r w:rsidRPr="001811D7">
        <w:rPr>
          <w:rFonts w:eastAsia="Aptos"/>
        </w:rPr>
        <w:t>to</w:t>
      </w:r>
      <w:r>
        <w:rPr>
          <w:rFonts w:eastAsia="Aptos"/>
        </w:rPr>
        <w:t xml:space="preserve"> </w:t>
      </w:r>
      <w:r w:rsidRPr="001811D7">
        <w:rPr>
          <w:rFonts w:eastAsia="Aptos"/>
        </w:rPr>
        <w:t>agents</w:t>
      </w:r>
      <w:r>
        <w:rPr>
          <w:rFonts w:eastAsia="Aptos"/>
        </w:rPr>
        <w:t xml:space="preserve"> </w:t>
      </w:r>
      <w:r w:rsidRPr="001811D7">
        <w:rPr>
          <w:rFonts w:eastAsia="Aptos"/>
        </w:rPr>
        <w:t>managing</w:t>
      </w:r>
      <w:r>
        <w:rPr>
          <w:rFonts w:eastAsia="Aptos"/>
        </w:rPr>
        <w:t xml:space="preserve"> </w:t>
      </w:r>
      <w:r w:rsidRPr="001811D7">
        <w:rPr>
          <w:rFonts w:eastAsia="Aptos"/>
        </w:rPr>
        <w:t>properties</w:t>
      </w:r>
      <w:r>
        <w:rPr>
          <w:rFonts w:eastAsia="Aptos"/>
        </w:rPr>
        <w:t xml:space="preserve"> that were found not to meet minimum standards; and</w:t>
      </w:r>
    </w:p>
    <w:p w14:paraId="2FB9B52E" w14:textId="77777777" w:rsidR="00856406" w:rsidRPr="00A4404F" w:rsidRDefault="00856406" w:rsidP="00F45F3A">
      <w:pPr>
        <w:pStyle w:val="ListBullet"/>
      </w:pPr>
      <w:r>
        <w:rPr>
          <w:rFonts w:eastAsia="Aptos"/>
        </w:rPr>
        <w:t>ongoing engagement with the Real Estate Institute of Victoria (REIV)</w:t>
      </w:r>
      <w:r w:rsidRPr="00A4404F">
        <w:rPr>
          <w:rFonts w:eastAsia="Aptos"/>
        </w:rPr>
        <w:t>.</w:t>
      </w:r>
    </w:p>
    <w:p w14:paraId="02686567" w14:textId="77777777" w:rsidR="00856406" w:rsidRDefault="00856406" w:rsidP="00F45F3A">
      <w:pPr>
        <w:pStyle w:val="BodyText"/>
      </w:pPr>
      <w:r>
        <w:rPr>
          <w:rFonts w:eastAsia="Aptos"/>
        </w:rPr>
        <w:t>CAV also ran a widespread Funda-rentals communications campaign, discussed further below.</w:t>
      </w:r>
    </w:p>
    <w:p w14:paraId="7A06E307" w14:textId="77777777" w:rsidR="00856406" w:rsidRPr="006568A2" w:rsidRDefault="00856406" w:rsidP="00F45F3A">
      <w:pPr>
        <w:pStyle w:val="BodyText"/>
        <w:rPr>
          <w:rFonts w:eastAsia="Aptos"/>
        </w:rPr>
      </w:pPr>
      <w:r>
        <w:rPr>
          <w:rFonts w:eastAsia="Aptos"/>
        </w:rPr>
        <w:t xml:space="preserve">The taskforce will continue to engage with the industry and rental providers to help them understand and meet their obligations, but it </w:t>
      </w:r>
      <w:r w:rsidRPr="006568A2">
        <w:rPr>
          <w:rFonts w:eastAsia="Aptos"/>
        </w:rPr>
        <w:t>takes</w:t>
      </w:r>
      <w:r>
        <w:rPr>
          <w:rFonts w:eastAsia="Aptos"/>
        </w:rPr>
        <w:t xml:space="preserve"> </w:t>
      </w:r>
      <w:r w:rsidRPr="006568A2">
        <w:rPr>
          <w:rFonts w:eastAsia="Aptos"/>
        </w:rPr>
        <w:t>a</w:t>
      </w:r>
      <w:r>
        <w:rPr>
          <w:rFonts w:eastAsia="Aptos"/>
        </w:rPr>
        <w:t xml:space="preserve"> </w:t>
      </w:r>
      <w:r w:rsidRPr="006568A2">
        <w:rPr>
          <w:rFonts w:eastAsia="Aptos"/>
        </w:rPr>
        <w:t>zero</w:t>
      </w:r>
      <w:r>
        <w:rPr>
          <w:rFonts w:eastAsia="Aptos"/>
        </w:rPr>
        <w:t xml:space="preserve"> </w:t>
      </w:r>
      <w:r w:rsidRPr="006568A2">
        <w:rPr>
          <w:rFonts w:eastAsia="Aptos"/>
        </w:rPr>
        <w:t>tolerance</w:t>
      </w:r>
      <w:r>
        <w:rPr>
          <w:rFonts w:eastAsia="Aptos"/>
        </w:rPr>
        <w:t xml:space="preserve"> </w:t>
      </w:r>
      <w:r w:rsidRPr="006568A2">
        <w:rPr>
          <w:rFonts w:eastAsia="Aptos"/>
        </w:rPr>
        <w:t>approach</w:t>
      </w:r>
      <w:r>
        <w:rPr>
          <w:rFonts w:eastAsia="Aptos"/>
        </w:rPr>
        <w:t xml:space="preserve"> </w:t>
      </w:r>
      <w:r w:rsidRPr="006568A2">
        <w:rPr>
          <w:rFonts w:eastAsia="Aptos"/>
        </w:rPr>
        <w:t>if</w:t>
      </w:r>
      <w:r>
        <w:rPr>
          <w:rFonts w:eastAsia="Aptos"/>
        </w:rPr>
        <w:t xml:space="preserve"> </w:t>
      </w:r>
      <w:r w:rsidRPr="006568A2">
        <w:rPr>
          <w:rFonts w:eastAsia="Aptos"/>
        </w:rPr>
        <w:t>a</w:t>
      </w:r>
      <w:r>
        <w:rPr>
          <w:rFonts w:eastAsia="Aptos"/>
        </w:rPr>
        <w:t xml:space="preserve"> </w:t>
      </w:r>
      <w:r w:rsidRPr="006568A2">
        <w:rPr>
          <w:rFonts w:eastAsia="Aptos"/>
        </w:rPr>
        <w:t>breach</w:t>
      </w:r>
      <w:r>
        <w:rPr>
          <w:rFonts w:eastAsia="Aptos"/>
        </w:rPr>
        <w:t xml:space="preserve"> is </w:t>
      </w:r>
      <w:r w:rsidRPr="006568A2">
        <w:rPr>
          <w:rFonts w:eastAsia="Aptos"/>
        </w:rPr>
        <w:t>identified.</w:t>
      </w:r>
      <w:r>
        <w:rPr>
          <w:rFonts w:eastAsia="Aptos"/>
        </w:rPr>
        <w:t xml:space="preserve"> </w:t>
      </w:r>
      <w:r w:rsidRPr="006568A2">
        <w:rPr>
          <w:rFonts w:eastAsia="Aptos"/>
        </w:rPr>
        <w:t>This</w:t>
      </w:r>
      <w:r>
        <w:rPr>
          <w:rFonts w:eastAsia="Aptos"/>
        </w:rPr>
        <w:t xml:space="preserve"> </w:t>
      </w:r>
      <w:r w:rsidRPr="006568A2">
        <w:rPr>
          <w:rFonts w:eastAsia="Aptos"/>
        </w:rPr>
        <w:t>means</w:t>
      </w:r>
      <w:r>
        <w:rPr>
          <w:rFonts w:eastAsia="Aptos"/>
        </w:rPr>
        <w:t xml:space="preserve"> </w:t>
      </w:r>
      <w:r w:rsidRPr="006568A2">
        <w:rPr>
          <w:rFonts w:eastAsia="Aptos"/>
        </w:rPr>
        <w:t>that</w:t>
      </w:r>
      <w:r>
        <w:rPr>
          <w:rFonts w:eastAsia="Aptos"/>
        </w:rPr>
        <w:t xml:space="preserve"> </w:t>
      </w:r>
      <w:r w:rsidRPr="006568A2">
        <w:rPr>
          <w:rFonts w:eastAsia="Aptos"/>
        </w:rPr>
        <w:t>if</w:t>
      </w:r>
      <w:r>
        <w:rPr>
          <w:rFonts w:eastAsia="Aptos"/>
        </w:rPr>
        <w:t xml:space="preserve"> </w:t>
      </w:r>
      <w:r w:rsidRPr="006568A2">
        <w:rPr>
          <w:rFonts w:eastAsia="Aptos"/>
        </w:rPr>
        <w:t>an</w:t>
      </w:r>
      <w:r>
        <w:rPr>
          <w:rFonts w:eastAsia="Aptos"/>
        </w:rPr>
        <w:t xml:space="preserve"> </w:t>
      </w:r>
      <w:r w:rsidRPr="006568A2">
        <w:rPr>
          <w:rFonts w:eastAsia="Aptos"/>
        </w:rPr>
        <w:t>agent</w:t>
      </w:r>
      <w:r>
        <w:rPr>
          <w:rFonts w:eastAsia="Aptos"/>
        </w:rPr>
        <w:t xml:space="preserve"> </w:t>
      </w:r>
      <w:r w:rsidRPr="006568A2">
        <w:rPr>
          <w:rFonts w:eastAsia="Aptos"/>
        </w:rPr>
        <w:t>or</w:t>
      </w:r>
      <w:r>
        <w:rPr>
          <w:rFonts w:eastAsia="Aptos"/>
        </w:rPr>
        <w:t xml:space="preserve"> </w:t>
      </w:r>
      <w:r w:rsidRPr="006568A2">
        <w:rPr>
          <w:rFonts w:eastAsia="Aptos"/>
        </w:rPr>
        <w:t>a</w:t>
      </w:r>
      <w:r>
        <w:rPr>
          <w:rFonts w:eastAsia="Aptos"/>
        </w:rPr>
        <w:t xml:space="preserve"> </w:t>
      </w:r>
      <w:r w:rsidRPr="006568A2">
        <w:rPr>
          <w:rFonts w:eastAsia="Aptos"/>
        </w:rPr>
        <w:t>rental</w:t>
      </w:r>
      <w:r>
        <w:rPr>
          <w:rFonts w:eastAsia="Aptos"/>
        </w:rPr>
        <w:t xml:space="preserve"> </w:t>
      </w:r>
      <w:r w:rsidRPr="006568A2">
        <w:rPr>
          <w:rFonts w:eastAsia="Aptos"/>
        </w:rPr>
        <w:t>provider</w:t>
      </w:r>
      <w:r>
        <w:rPr>
          <w:rFonts w:eastAsia="Aptos"/>
        </w:rPr>
        <w:t xml:space="preserve"> </w:t>
      </w:r>
      <w:r w:rsidRPr="006568A2">
        <w:rPr>
          <w:rFonts w:eastAsia="Aptos"/>
        </w:rPr>
        <w:t>is</w:t>
      </w:r>
      <w:r>
        <w:rPr>
          <w:rFonts w:eastAsia="Aptos"/>
        </w:rPr>
        <w:t xml:space="preserve"> </w:t>
      </w:r>
      <w:r w:rsidRPr="006568A2">
        <w:rPr>
          <w:rFonts w:eastAsia="Aptos"/>
        </w:rPr>
        <w:t>found</w:t>
      </w:r>
      <w:r>
        <w:rPr>
          <w:rFonts w:eastAsia="Aptos"/>
        </w:rPr>
        <w:t xml:space="preserve"> </w:t>
      </w:r>
      <w:r w:rsidRPr="006568A2">
        <w:rPr>
          <w:rFonts w:eastAsia="Aptos"/>
        </w:rPr>
        <w:t>to</w:t>
      </w:r>
      <w:r>
        <w:rPr>
          <w:rFonts w:eastAsia="Aptos"/>
        </w:rPr>
        <w:t xml:space="preserve"> </w:t>
      </w:r>
      <w:r w:rsidRPr="006568A2">
        <w:rPr>
          <w:rFonts w:eastAsia="Aptos"/>
        </w:rPr>
        <w:t>have</w:t>
      </w:r>
      <w:r>
        <w:rPr>
          <w:rFonts w:eastAsia="Aptos"/>
        </w:rPr>
        <w:t xml:space="preserve"> </w:t>
      </w:r>
      <w:r w:rsidRPr="006568A2">
        <w:rPr>
          <w:rFonts w:eastAsia="Aptos"/>
        </w:rPr>
        <w:t>breached</w:t>
      </w:r>
      <w:r>
        <w:rPr>
          <w:rFonts w:eastAsia="Aptos"/>
        </w:rPr>
        <w:t xml:space="preserve"> </w:t>
      </w:r>
      <w:r w:rsidRPr="006568A2">
        <w:rPr>
          <w:rFonts w:eastAsia="Aptos"/>
        </w:rPr>
        <w:t>a</w:t>
      </w:r>
      <w:r>
        <w:rPr>
          <w:rFonts w:eastAsia="Aptos"/>
        </w:rPr>
        <w:t xml:space="preserve"> </w:t>
      </w:r>
      <w:r w:rsidRPr="006568A2">
        <w:rPr>
          <w:rFonts w:eastAsia="Aptos"/>
        </w:rPr>
        <w:t>rental</w:t>
      </w:r>
      <w:r>
        <w:rPr>
          <w:rFonts w:eastAsia="Aptos"/>
        </w:rPr>
        <w:t xml:space="preserve"> </w:t>
      </w:r>
      <w:r w:rsidRPr="006568A2">
        <w:rPr>
          <w:rFonts w:eastAsia="Aptos"/>
        </w:rPr>
        <w:t>law,</w:t>
      </w:r>
      <w:r>
        <w:rPr>
          <w:rFonts w:eastAsia="Aptos"/>
        </w:rPr>
        <w:t xml:space="preserve"> </w:t>
      </w:r>
      <w:r w:rsidRPr="006568A2">
        <w:rPr>
          <w:rFonts w:eastAsia="Aptos"/>
        </w:rPr>
        <w:t>they</w:t>
      </w:r>
      <w:r>
        <w:rPr>
          <w:rFonts w:eastAsia="Aptos"/>
        </w:rPr>
        <w:t xml:space="preserve"> </w:t>
      </w:r>
      <w:r w:rsidRPr="006568A2">
        <w:rPr>
          <w:rFonts w:eastAsia="Aptos"/>
        </w:rPr>
        <w:t>can</w:t>
      </w:r>
      <w:r>
        <w:rPr>
          <w:rFonts w:eastAsia="Aptos"/>
        </w:rPr>
        <w:t xml:space="preserve"> </w:t>
      </w:r>
      <w:r w:rsidRPr="006568A2">
        <w:rPr>
          <w:rFonts w:eastAsia="Aptos"/>
        </w:rPr>
        <w:t>expect</w:t>
      </w:r>
      <w:r>
        <w:rPr>
          <w:rFonts w:eastAsia="Aptos"/>
        </w:rPr>
        <w:t xml:space="preserve"> </w:t>
      </w:r>
      <w:r w:rsidRPr="006568A2">
        <w:rPr>
          <w:rFonts w:eastAsia="Aptos"/>
        </w:rPr>
        <w:t>to</w:t>
      </w:r>
      <w:r>
        <w:rPr>
          <w:rFonts w:eastAsia="Aptos"/>
        </w:rPr>
        <w:t xml:space="preserve"> </w:t>
      </w:r>
      <w:r w:rsidRPr="006568A2">
        <w:rPr>
          <w:rFonts w:eastAsia="Aptos"/>
        </w:rPr>
        <w:t>receive</w:t>
      </w:r>
      <w:r>
        <w:rPr>
          <w:rFonts w:eastAsia="Aptos"/>
        </w:rPr>
        <w:t xml:space="preserve"> </w:t>
      </w:r>
      <w:r w:rsidRPr="006568A2">
        <w:rPr>
          <w:rFonts w:eastAsia="Aptos"/>
        </w:rPr>
        <w:t>a</w:t>
      </w:r>
      <w:r>
        <w:rPr>
          <w:rFonts w:eastAsia="Aptos"/>
        </w:rPr>
        <w:t xml:space="preserve"> </w:t>
      </w:r>
      <w:r w:rsidRPr="006568A2">
        <w:rPr>
          <w:rFonts w:eastAsia="Aptos"/>
        </w:rPr>
        <w:t>compliance</w:t>
      </w:r>
      <w:r>
        <w:rPr>
          <w:rFonts w:eastAsia="Aptos"/>
        </w:rPr>
        <w:t xml:space="preserve"> </w:t>
      </w:r>
      <w:r w:rsidRPr="006568A2">
        <w:rPr>
          <w:rFonts w:eastAsia="Aptos"/>
        </w:rPr>
        <w:t>response.</w:t>
      </w:r>
      <w:r>
        <w:rPr>
          <w:rFonts w:eastAsia="Aptos"/>
        </w:rPr>
        <w:t xml:space="preserve"> A dedicated complaints webform makes it easy for the public to report suspected breaches to the taskforce.</w:t>
      </w:r>
    </w:p>
    <w:p w14:paraId="75406FBD" w14:textId="2D88557A" w:rsidR="00856406" w:rsidRDefault="00856406" w:rsidP="00F45F3A">
      <w:pPr>
        <w:pStyle w:val="BodyText"/>
        <w:rPr>
          <w:rFonts w:eastAsia="Aptos"/>
        </w:rPr>
      </w:pPr>
      <w:r>
        <w:rPr>
          <w:rFonts w:eastAsia="Aptos"/>
        </w:rPr>
        <w:t xml:space="preserve">In </w:t>
      </w:r>
      <w:r w:rsidR="00EE79C3">
        <w:rPr>
          <w:rFonts w:eastAsia="Aptos"/>
        </w:rPr>
        <w:t>2024–25</w:t>
      </w:r>
      <w:r>
        <w:rPr>
          <w:rFonts w:eastAsia="Aptos"/>
        </w:rPr>
        <w:t xml:space="preserve">, the taskforce </w:t>
      </w:r>
      <w:r w:rsidRPr="001811D7">
        <w:rPr>
          <w:rFonts w:eastAsia="Aptos"/>
        </w:rPr>
        <w:t>issued</w:t>
      </w:r>
      <w:r>
        <w:rPr>
          <w:rFonts w:eastAsia="Aptos"/>
        </w:rPr>
        <w:t xml:space="preserve"> 129 official warnings and 89 infringements totalling </w:t>
      </w:r>
      <w:r w:rsidRPr="001811D7">
        <w:rPr>
          <w:rFonts w:eastAsia="Aptos"/>
        </w:rPr>
        <w:t>more</w:t>
      </w:r>
      <w:r>
        <w:rPr>
          <w:rFonts w:eastAsia="Aptos"/>
        </w:rPr>
        <w:t xml:space="preserve"> </w:t>
      </w:r>
      <w:r w:rsidRPr="001811D7">
        <w:rPr>
          <w:rFonts w:eastAsia="Aptos"/>
        </w:rPr>
        <w:t>than</w:t>
      </w:r>
      <w:r>
        <w:rPr>
          <w:rFonts w:eastAsia="Aptos"/>
        </w:rPr>
        <w:t xml:space="preserve"> </w:t>
      </w:r>
      <w:r w:rsidRPr="001811D7">
        <w:rPr>
          <w:rFonts w:eastAsia="Aptos"/>
        </w:rPr>
        <w:t>$700,000</w:t>
      </w:r>
      <w:r>
        <w:rPr>
          <w:rFonts w:eastAsia="Aptos"/>
        </w:rPr>
        <w:t xml:space="preserve"> </w:t>
      </w:r>
      <w:r w:rsidRPr="001811D7">
        <w:rPr>
          <w:rFonts w:eastAsia="Aptos"/>
        </w:rPr>
        <w:t>in</w:t>
      </w:r>
      <w:r>
        <w:rPr>
          <w:rFonts w:eastAsia="Aptos"/>
        </w:rPr>
        <w:t xml:space="preserve"> </w:t>
      </w:r>
      <w:r w:rsidRPr="001811D7">
        <w:rPr>
          <w:rFonts w:eastAsia="Aptos"/>
        </w:rPr>
        <w:t>fines</w:t>
      </w:r>
      <w:r>
        <w:rPr>
          <w:rFonts w:eastAsia="Aptos"/>
        </w:rPr>
        <w:t xml:space="preserve">, </w:t>
      </w:r>
      <w:r w:rsidRPr="001811D7">
        <w:rPr>
          <w:rFonts w:eastAsia="Aptos"/>
        </w:rPr>
        <w:t>for</w:t>
      </w:r>
      <w:r>
        <w:rPr>
          <w:rFonts w:eastAsia="Aptos"/>
        </w:rPr>
        <w:t xml:space="preserve"> </w:t>
      </w:r>
      <w:r w:rsidRPr="001811D7">
        <w:rPr>
          <w:rFonts w:eastAsia="Aptos"/>
        </w:rPr>
        <w:t>offences</w:t>
      </w:r>
      <w:r>
        <w:rPr>
          <w:rFonts w:eastAsia="Aptos"/>
        </w:rPr>
        <w:t xml:space="preserve"> </w:t>
      </w:r>
      <w:r w:rsidRPr="001811D7">
        <w:rPr>
          <w:rFonts w:eastAsia="Aptos"/>
        </w:rPr>
        <w:t>including</w:t>
      </w:r>
      <w:r>
        <w:rPr>
          <w:rFonts w:eastAsia="Aptos"/>
        </w:rPr>
        <w:t xml:space="preserve"> </w:t>
      </w:r>
      <w:r w:rsidRPr="001811D7">
        <w:rPr>
          <w:rFonts w:eastAsia="Aptos"/>
        </w:rPr>
        <w:t>not</w:t>
      </w:r>
      <w:r>
        <w:rPr>
          <w:rFonts w:eastAsia="Aptos"/>
        </w:rPr>
        <w:t xml:space="preserve"> </w:t>
      </w:r>
      <w:r w:rsidRPr="001811D7">
        <w:rPr>
          <w:rFonts w:eastAsia="Aptos"/>
        </w:rPr>
        <w:t>advertising</w:t>
      </w:r>
      <w:r>
        <w:rPr>
          <w:rFonts w:eastAsia="Aptos"/>
        </w:rPr>
        <w:t xml:space="preserve"> </w:t>
      </w:r>
      <w:r w:rsidRPr="001811D7">
        <w:rPr>
          <w:rFonts w:eastAsia="Aptos"/>
        </w:rPr>
        <w:t>a</w:t>
      </w:r>
      <w:r>
        <w:rPr>
          <w:rFonts w:eastAsia="Aptos"/>
        </w:rPr>
        <w:t xml:space="preserve"> </w:t>
      </w:r>
      <w:r w:rsidRPr="001811D7">
        <w:rPr>
          <w:rFonts w:eastAsia="Aptos"/>
        </w:rPr>
        <w:t>property</w:t>
      </w:r>
      <w:r>
        <w:rPr>
          <w:rFonts w:eastAsia="Aptos"/>
        </w:rPr>
        <w:t xml:space="preserve"> </w:t>
      </w:r>
      <w:r w:rsidRPr="001811D7">
        <w:rPr>
          <w:rFonts w:eastAsia="Aptos"/>
        </w:rPr>
        <w:t>at</w:t>
      </w:r>
      <w:r>
        <w:rPr>
          <w:rFonts w:eastAsia="Aptos"/>
        </w:rPr>
        <w:t xml:space="preserve"> </w:t>
      </w:r>
      <w:r w:rsidRPr="001811D7">
        <w:rPr>
          <w:rFonts w:eastAsia="Aptos"/>
        </w:rPr>
        <w:t>a</w:t>
      </w:r>
      <w:r>
        <w:rPr>
          <w:rFonts w:eastAsia="Aptos"/>
        </w:rPr>
        <w:t xml:space="preserve"> </w:t>
      </w:r>
      <w:r w:rsidRPr="001811D7">
        <w:rPr>
          <w:rFonts w:eastAsia="Aptos"/>
        </w:rPr>
        <w:t>fixed</w:t>
      </w:r>
      <w:r>
        <w:rPr>
          <w:rFonts w:eastAsia="Aptos"/>
        </w:rPr>
        <w:t xml:space="preserve"> </w:t>
      </w:r>
      <w:r w:rsidRPr="001811D7">
        <w:rPr>
          <w:rFonts w:eastAsia="Aptos"/>
        </w:rPr>
        <w:t>price,</w:t>
      </w:r>
      <w:r>
        <w:rPr>
          <w:rFonts w:eastAsia="Aptos"/>
        </w:rPr>
        <w:t xml:space="preserve"> </w:t>
      </w:r>
      <w:r w:rsidRPr="001811D7">
        <w:rPr>
          <w:rFonts w:eastAsia="Aptos"/>
        </w:rPr>
        <w:t>not</w:t>
      </w:r>
      <w:r>
        <w:rPr>
          <w:rFonts w:eastAsia="Aptos"/>
        </w:rPr>
        <w:t xml:space="preserve"> </w:t>
      </w:r>
      <w:r w:rsidRPr="001811D7">
        <w:rPr>
          <w:rFonts w:eastAsia="Aptos"/>
        </w:rPr>
        <w:t>lodging</w:t>
      </w:r>
      <w:r>
        <w:rPr>
          <w:rFonts w:eastAsia="Aptos"/>
        </w:rPr>
        <w:t xml:space="preserve"> </w:t>
      </w:r>
      <w:r w:rsidRPr="001811D7">
        <w:rPr>
          <w:rFonts w:eastAsia="Aptos"/>
        </w:rPr>
        <w:t>a</w:t>
      </w:r>
      <w:r>
        <w:rPr>
          <w:rFonts w:eastAsia="Aptos"/>
        </w:rPr>
        <w:t xml:space="preserve"> </w:t>
      </w:r>
      <w:r w:rsidRPr="001811D7">
        <w:rPr>
          <w:rFonts w:eastAsia="Aptos"/>
        </w:rPr>
        <w:t>bond</w:t>
      </w:r>
      <w:r>
        <w:rPr>
          <w:rFonts w:eastAsia="Aptos"/>
        </w:rPr>
        <w:t xml:space="preserve">, </w:t>
      </w:r>
      <w:r w:rsidRPr="001811D7">
        <w:rPr>
          <w:rFonts w:eastAsia="Aptos"/>
        </w:rPr>
        <w:t>and</w:t>
      </w:r>
      <w:r>
        <w:rPr>
          <w:rFonts w:eastAsia="Aptos"/>
        </w:rPr>
        <w:t xml:space="preserve"> </w:t>
      </w:r>
      <w:r w:rsidRPr="001811D7">
        <w:rPr>
          <w:rFonts w:eastAsia="Aptos"/>
        </w:rPr>
        <w:t>leasing</w:t>
      </w:r>
      <w:r>
        <w:rPr>
          <w:rFonts w:eastAsia="Aptos"/>
        </w:rPr>
        <w:t xml:space="preserve"> </w:t>
      </w:r>
      <w:r w:rsidRPr="001811D7">
        <w:rPr>
          <w:rFonts w:eastAsia="Aptos"/>
        </w:rPr>
        <w:t>a</w:t>
      </w:r>
      <w:r>
        <w:rPr>
          <w:rFonts w:eastAsia="Aptos"/>
        </w:rPr>
        <w:t xml:space="preserve"> </w:t>
      </w:r>
      <w:r w:rsidRPr="001811D7">
        <w:rPr>
          <w:rFonts w:eastAsia="Aptos"/>
        </w:rPr>
        <w:t>property</w:t>
      </w:r>
      <w:r>
        <w:rPr>
          <w:rFonts w:eastAsia="Aptos"/>
        </w:rPr>
        <w:t xml:space="preserve"> </w:t>
      </w:r>
      <w:r w:rsidRPr="001811D7">
        <w:rPr>
          <w:rFonts w:eastAsia="Aptos"/>
        </w:rPr>
        <w:t>which</w:t>
      </w:r>
      <w:r>
        <w:rPr>
          <w:rFonts w:eastAsia="Aptos"/>
        </w:rPr>
        <w:t xml:space="preserve"> did not </w:t>
      </w:r>
      <w:r w:rsidRPr="001811D7">
        <w:rPr>
          <w:rFonts w:eastAsia="Aptos"/>
        </w:rPr>
        <w:t>meet</w:t>
      </w:r>
      <w:r>
        <w:rPr>
          <w:rFonts w:eastAsia="Aptos"/>
        </w:rPr>
        <w:t xml:space="preserve"> </w:t>
      </w:r>
      <w:r w:rsidRPr="001811D7">
        <w:rPr>
          <w:rFonts w:eastAsia="Aptos"/>
        </w:rPr>
        <w:t>minimum</w:t>
      </w:r>
      <w:r>
        <w:rPr>
          <w:rFonts w:eastAsia="Aptos"/>
        </w:rPr>
        <w:t xml:space="preserve"> </w:t>
      </w:r>
      <w:r w:rsidRPr="001811D7">
        <w:rPr>
          <w:rFonts w:eastAsia="Aptos"/>
        </w:rPr>
        <w:t>standards.</w:t>
      </w:r>
    </w:p>
    <w:p w14:paraId="440BA1AB" w14:textId="77777777" w:rsidR="00856406" w:rsidRDefault="00856406" w:rsidP="00F45F3A">
      <w:pPr>
        <w:pStyle w:val="BodyText"/>
        <w:rPr>
          <w:rFonts w:eastAsia="Aptos"/>
        </w:rPr>
      </w:pPr>
      <w:r>
        <w:rPr>
          <w:rFonts w:eastAsia="Aptos"/>
        </w:rPr>
        <w:t>The taskforce also commenced criminal court actions against five estate agencies that elected to have infringement matters heard in court for rental bidding breaches of not advertising rentals at fixed prices. Using price ranges or phrases such as ‘contact agent’ instead of advertising a fixed price were prohibited as part of the 130 rental reforms introduced in 2021, as they can leave renters unclear about what rental price is being asked, and encourage offers to bid up the rent.</w:t>
      </w:r>
    </w:p>
    <w:p w14:paraId="0D45E847" w14:textId="77777777" w:rsidR="00856406" w:rsidRDefault="00856406" w:rsidP="00F45F3A">
      <w:pPr>
        <w:pStyle w:val="BodyText"/>
        <w:rPr>
          <w:rFonts w:eastAsia="Aptos"/>
        </w:rPr>
      </w:pPr>
      <w:r>
        <w:rPr>
          <w:rFonts w:eastAsia="Aptos"/>
        </w:rPr>
        <w:t>The taskforce has several other matters under investigation and will continue to undertake its important work in the coming year.</w:t>
      </w:r>
    </w:p>
    <w:p w14:paraId="4DECA663" w14:textId="77777777" w:rsidR="00856406" w:rsidRPr="00A4404F" w:rsidRDefault="00856406" w:rsidP="00962057">
      <w:pPr>
        <w:pStyle w:val="Caption"/>
        <w:rPr>
          <w:i/>
          <w:lang w:eastAsia="ja-JP"/>
        </w:rPr>
      </w:pPr>
      <w:bookmarkStart w:id="47" w:name="_Toc212562073"/>
      <w:r w:rsidRPr="00A4404F">
        <w:rPr>
          <w:lang w:eastAsia="ja-JP"/>
        </w:rPr>
        <w:t>Table</w:t>
      </w:r>
      <w:r>
        <w:rPr>
          <w:lang w:eastAsia="ja-JP"/>
        </w:rPr>
        <w:t xml:space="preserve"> 6</w:t>
      </w:r>
      <w:r w:rsidRPr="00A4404F">
        <w:rPr>
          <w:lang w:eastAsia="ja-JP"/>
        </w:rPr>
        <w:t>:</w:t>
      </w:r>
      <w:r>
        <w:rPr>
          <w:lang w:eastAsia="ja-JP"/>
        </w:rPr>
        <w:t xml:space="preserve"> Renting taskforce </w:t>
      </w:r>
      <w:r w:rsidRPr="00A4404F">
        <w:rPr>
          <w:lang w:eastAsia="ja-JP"/>
        </w:rPr>
        <w:t>activities</w:t>
      </w:r>
      <w:bookmarkEnd w:id="47"/>
    </w:p>
    <w:tbl>
      <w:tblPr>
        <w:tblStyle w:val="TableGrid"/>
        <w:tblW w:w="9072" w:type="dxa"/>
        <w:tblLook w:val="04A0" w:firstRow="1" w:lastRow="0" w:firstColumn="1" w:lastColumn="0" w:noHBand="0" w:noVBand="1"/>
      </w:tblPr>
      <w:tblGrid>
        <w:gridCol w:w="7487"/>
        <w:gridCol w:w="1585"/>
      </w:tblGrid>
      <w:tr w:rsidR="00856406" w:rsidRPr="00EF4E40" w14:paraId="736B0335" w14:textId="77777777" w:rsidTr="005B7969">
        <w:trPr>
          <w:cnfStyle w:val="100000000000" w:firstRow="1" w:lastRow="0" w:firstColumn="0" w:lastColumn="0" w:oddVBand="0" w:evenVBand="0" w:oddHBand="0" w:evenHBand="0" w:firstRowFirstColumn="0" w:firstRowLastColumn="0" w:lastRowFirstColumn="0" w:lastRowLastColumn="0"/>
          <w:tblHeader/>
        </w:trPr>
        <w:tc>
          <w:tcPr>
            <w:tcW w:w="7371" w:type="dxa"/>
          </w:tcPr>
          <w:p w14:paraId="0AB7FF75" w14:textId="0B7AD1D8" w:rsidR="00856406" w:rsidRPr="005136EF" w:rsidRDefault="00A25171" w:rsidP="00962057">
            <w:pPr>
              <w:pStyle w:val="TableColHead"/>
              <w:rPr>
                <w:lang w:eastAsia="ja-JP"/>
              </w:rPr>
            </w:pPr>
            <w:r>
              <w:rPr>
                <w:lang w:val="en-US" w:eastAsia="ja-JP"/>
              </w:rPr>
              <w:t>Activity</w:t>
            </w:r>
          </w:p>
        </w:tc>
        <w:tc>
          <w:tcPr>
            <w:tcW w:w="1560" w:type="dxa"/>
          </w:tcPr>
          <w:p w14:paraId="4FCFD6A9" w14:textId="63C769C2" w:rsidR="00856406" w:rsidRPr="005136EF" w:rsidRDefault="00EE79C3" w:rsidP="00962057">
            <w:pPr>
              <w:pStyle w:val="TableColHeadRight"/>
              <w:rPr>
                <w:lang w:eastAsia="ja-JP"/>
              </w:rPr>
            </w:pPr>
            <w:r>
              <w:rPr>
                <w:lang w:eastAsia="ja-JP"/>
              </w:rPr>
              <w:t>2024–25</w:t>
            </w:r>
          </w:p>
        </w:tc>
      </w:tr>
      <w:tr w:rsidR="00856406" w14:paraId="70E8B479" w14:textId="77777777" w:rsidTr="00962057">
        <w:tc>
          <w:tcPr>
            <w:tcW w:w="7371" w:type="dxa"/>
          </w:tcPr>
          <w:p w14:paraId="6B670515" w14:textId="77777777" w:rsidR="00856406" w:rsidRPr="005136EF" w:rsidRDefault="00856406" w:rsidP="00962057">
            <w:pPr>
              <w:pStyle w:val="TableText"/>
              <w:rPr>
                <w:lang w:eastAsia="ja-JP"/>
              </w:rPr>
            </w:pPr>
            <w:r>
              <w:rPr>
                <w:lang w:val="en-US" w:eastAsia="ja-JP"/>
              </w:rPr>
              <w:t>C</w:t>
            </w:r>
            <w:r w:rsidRPr="00E13BC0">
              <w:rPr>
                <w:lang w:val="en-US" w:eastAsia="ja-JP"/>
              </w:rPr>
              <w:t>omplaints</w:t>
            </w:r>
            <w:r>
              <w:rPr>
                <w:lang w:val="en-US" w:eastAsia="ja-JP"/>
              </w:rPr>
              <w:t xml:space="preserve"> </w:t>
            </w:r>
            <w:r w:rsidRPr="00E13BC0">
              <w:rPr>
                <w:lang w:val="en-US" w:eastAsia="ja-JP"/>
              </w:rPr>
              <w:t>via</w:t>
            </w:r>
            <w:r>
              <w:rPr>
                <w:lang w:val="en-US" w:eastAsia="ja-JP"/>
              </w:rPr>
              <w:t xml:space="preserve"> </w:t>
            </w:r>
            <w:r w:rsidRPr="00E13BC0">
              <w:rPr>
                <w:lang w:val="en-US" w:eastAsia="ja-JP"/>
              </w:rPr>
              <w:t>the</w:t>
            </w:r>
            <w:r>
              <w:rPr>
                <w:lang w:val="en-US" w:eastAsia="ja-JP"/>
              </w:rPr>
              <w:t xml:space="preserve"> </w:t>
            </w:r>
            <w:r w:rsidRPr="00E13BC0">
              <w:rPr>
                <w:lang w:val="en-US" w:eastAsia="ja-JP"/>
              </w:rPr>
              <w:t>dedicated</w:t>
            </w:r>
            <w:r>
              <w:rPr>
                <w:lang w:val="en-US" w:eastAsia="ja-JP"/>
              </w:rPr>
              <w:t xml:space="preserve"> </w:t>
            </w:r>
            <w:r w:rsidRPr="00E13BC0">
              <w:rPr>
                <w:lang w:val="en-US" w:eastAsia="ja-JP"/>
              </w:rPr>
              <w:t>webform</w:t>
            </w:r>
          </w:p>
        </w:tc>
        <w:tc>
          <w:tcPr>
            <w:tcW w:w="1560" w:type="dxa"/>
          </w:tcPr>
          <w:p w14:paraId="6A3AE825" w14:textId="77777777" w:rsidR="00856406" w:rsidRPr="001623EB" w:rsidRDefault="00856406" w:rsidP="00962057">
            <w:pPr>
              <w:pStyle w:val="TableTextRight"/>
              <w:rPr>
                <w:lang w:eastAsia="ja-JP"/>
              </w:rPr>
            </w:pPr>
            <w:r w:rsidRPr="001623EB">
              <w:rPr>
                <w:lang w:eastAsia="ja-JP"/>
              </w:rPr>
              <w:t>696</w:t>
            </w:r>
          </w:p>
        </w:tc>
      </w:tr>
      <w:tr w:rsidR="00856406" w:rsidRPr="00EF746F" w14:paraId="4114B137" w14:textId="77777777" w:rsidTr="00962057">
        <w:tc>
          <w:tcPr>
            <w:tcW w:w="7371" w:type="dxa"/>
          </w:tcPr>
          <w:p w14:paraId="2A60686A" w14:textId="77777777" w:rsidR="00856406" w:rsidRPr="005136EF" w:rsidRDefault="00856406" w:rsidP="00962057">
            <w:pPr>
              <w:pStyle w:val="TableText"/>
              <w:rPr>
                <w:lang w:eastAsia="ja-JP"/>
              </w:rPr>
            </w:pPr>
            <w:r>
              <w:rPr>
                <w:lang w:eastAsia="ja-JP"/>
              </w:rPr>
              <w:t>Visits to CAV’s minimum standards webpage (driven by the Funda-rentals campaign)</w:t>
            </w:r>
          </w:p>
        </w:tc>
        <w:tc>
          <w:tcPr>
            <w:tcW w:w="1560" w:type="dxa"/>
          </w:tcPr>
          <w:p w14:paraId="4F92780F" w14:textId="77777777" w:rsidR="00856406" w:rsidRPr="001623EB" w:rsidRDefault="00856406" w:rsidP="00962057">
            <w:pPr>
              <w:pStyle w:val="TableTextRight"/>
              <w:rPr>
                <w:lang w:eastAsia="ja-JP"/>
              </w:rPr>
            </w:pPr>
            <w:r w:rsidRPr="001623EB">
              <w:rPr>
                <w:lang w:eastAsia="ja-JP"/>
              </w:rPr>
              <w:t>280,245</w:t>
            </w:r>
          </w:p>
        </w:tc>
      </w:tr>
      <w:tr w:rsidR="00856406" w:rsidRPr="00EF746F" w14:paraId="5AC831D7" w14:textId="77777777" w:rsidTr="00962057">
        <w:tc>
          <w:tcPr>
            <w:tcW w:w="7371" w:type="dxa"/>
          </w:tcPr>
          <w:p w14:paraId="51DF55AF" w14:textId="77777777" w:rsidR="00856406" w:rsidRPr="005136EF" w:rsidRDefault="00856406" w:rsidP="00962057">
            <w:pPr>
              <w:pStyle w:val="TableText"/>
              <w:rPr>
                <w:lang w:eastAsia="ja-JP"/>
              </w:rPr>
            </w:pPr>
            <w:r>
              <w:rPr>
                <w:lang w:val="en-US" w:eastAsia="ja-JP"/>
              </w:rPr>
              <w:t>R</w:t>
            </w:r>
            <w:r w:rsidRPr="00BD2960">
              <w:rPr>
                <w:lang w:val="en-US" w:eastAsia="ja-JP"/>
              </w:rPr>
              <w:t>ental</w:t>
            </w:r>
            <w:r>
              <w:rPr>
                <w:lang w:val="en-US" w:eastAsia="ja-JP"/>
              </w:rPr>
              <w:t xml:space="preserve"> </w:t>
            </w:r>
            <w:r w:rsidRPr="00BD2960">
              <w:rPr>
                <w:lang w:val="en-US" w:eastAsia="ja-JP"/>
              </w:rPr>
              <w:t>property</w:t>
            </w:r>
            <w:r>
              <w:rPr>
                <w:lang w:val="en-US" w:eastAsia="ja-JP"/>
              </w:rPr>
              <w:t xml:space="preserve"> </w:t>
            </w:r>
            <w:r w:rsidRPr="00BD2960">
              <w:rPr>
                <w:lang w:val="en-US" w:eastAsia="ja-JP"/>
              </w:rPr>
              <w:t>cases</w:t>
            </w:r>
            <w:r>
              <w:rPr>
                <w:lang w:val="en-US" w:eastAsia="ja-JP"/>
              </w:rPr>
              <w:t xml:space="preserve"> </w:t>
            </w:r>
            <w:r w:rsidRPr="00BD2960">
              <w:rPr>
                <w:lang w:val="en-US" w:eastAsia="ja-JP"/>
              </w:rPr>
              <w:t>assessed</w:t>
            </w:r>
            <w:r>
              <w:rPr>
                <w:lang w:val="en-US" w:eastAsia="ja-JP"/>
              </w:rPr>
              <w:t xml:space="preserve"> </w:t>
            </w:r>
          </w:p>
        </w:tc>
        <w:tc>
          <w:tcPr>
            <w:tcW w:w="1560" w:type="dxa"/>
          </w:tcPr>
          <w:p w14:paraId="7FE6F815" w14:textId="77777777" w:rsidR="00856406" w:rsidRPr="001623EB" w:rsidRDefault="00856406" w:rsidP="00962057">
            <w:pPr>
              <w:pStyle w:val="TableTextRight"/>
              <w:rPr>
                <w:lang w:eastAsia="ja-JP"/>
              </w:rPr>
            </w:pPr>
            <w:r w:rsidRPr="001623EB">
              <w:rPr>
                <w:lang w:eastAsia="ja-JP"/>
              </w:rPr>
              <w:t>1,523</w:t>
            </w:r>
          </w:p>
        </w:tc>
      </w:tr>
      <w:tr w:rsidR="00856406" w14:paraId="5D882235" w14:textId="77777777" w:rsidTr="00962057">
        <w:tc>
          <w:tcPr>
            <w:tcW w:w="7371" w:type="dxa"/>
          </w:tcPr>
          <w:p w14:paraId="4D2CFAD1" w14:textId="77777777" w:rsidR="00856406" w:rsidRPr="005136EF" w:rsidRDefault="00856406" w:rsidP="00962057">
            <w:pPr>
              <w:pStyle w:val="TableText"/>
              <w:rPr>
                <w:lang w:eastAsia="ja-JP"/>
              </w:rPr>
            </w:pPr>
            <w:r>
              <w:rPr>
                <w:lang w:val="en-US" w:eastAsia="ja-JP"/>
              </w:rPr>
              <w:t>Mi</w:t>
            </w:r>
            <w:r w:rsidRPr="00BD2960">
              <w:rPr>
                <w:lang w:val="en-US" w:eastAsia="ja-JP"/>
              </w:rPr>
              <w:t>nimum</w:t>
            </w:r>
            <w:r>
              <w:rPr>
                <w:lang w:val="en-US" w:eastAsia="ja-JP"/>
              </w:rPr>
              <w:t xml:space="preserve"> </w:t>
            </w:r>
            <w:r w:rsidRPr="00BD2960">
              <w:rPr>
                <w:lang w:val="en-US" w:eastAsia="ja-JP"/>
              </w:rPr>
              <w:t>standards</w:t>
            </w:r>
            <w:r>
              <w:rPr>
                <w:lang w:val="en-US" w:eastAsia="ja-JP"/>
              </w:rPr>
              <w:t xml:space="preserve"> </w:t>
            </w:r>
            <w:r w:rsidRPr="00BD2960">
              <w:rPr>
                <w:lang w:val="en-US" w:eastAsia="ja-JP"/>
              </w:rPr>
              <w:t>inspections</w:t>
            </w:r>
            <w:r>
              <w:rPr>
                <w:lang w:val="en-US" w:eastAsia="ja-JP"/>
              </w:rPr>
              <w:t xml:space="preserve"> </w:t>
            </w:r>
            <w:r w:rsidRPr="00BD2960">
              <w:rPr>
                <w:lang w:val="en-US" w:eastAsia="ja-JP"/>
              </w:rPr>
              <w:t>blitzes</w:t>
            </w:r>
            <w:r>
              <w:rPr>
                <w:lang w:val="en-US" w:eastAsia="ja-JP"/>
              </w:rPr>
              <w:t xml:space="preserve"> (</w:t>
            </w:r>
            <w:r w:rsidRPr="00BD2960">
              <w:rPr>
                <w:lang w:val="en-US" w:eastAsia="ja-JP"/>
              </w:rPr>
              <w:t>advertised</w:t>
            </w:r>
            <w:r>
              <w:rPr>
                <w:lang w:val="en-US" w:eastAsia="ja-JP"/>
              </w:rPr>
              <w:t xml:space="preserve"> </w:t>
            </w:r>
            <w:r w:rsidRPr="00BD2960">
              <w:rPr>
                <w:lang w:val="en-US" w:eastAsia="ja-JP"/>
              </w:rPr>
              <w:t>rental</w:t>
            </w:r>
            <w:r>
              <w:rPr>
                <w:lang w:val="en-US" w:eastAsia="ja-JP"/>
              </w:rPr>
              <w:t xml:space="preserve"> </w:t>
            </w:r>
            <w:r w:rsidRPr="00BD2960">
              <w:rPr>
                <w:lang w:val="en-US" w:eastAsia="ja-JP"/>
              </w:rPr>
              <w:t>properties</w:t>
            </w:r>
            <w:r>
              <w:rPr>
                <w:lang w:val="en-US" w:eastAsia="ja-JP"/>
              </w:rPr>
              <w:t xml:space="preserve"> </w:t>
            </w:r>
            <w:r w:rsidRPr="00BD2960">
              <w:rPr>
                <w:lang w:val="en-US" w:eastAsia="ja-JP"/>
              </w:rPr>
              <w:t>inspected</w:t>
            </w:r>
            <w:r>
              <w:rPr>
                <w:lang w:val="en-US" w:eastAsia="ja-JP"/>
              </w:rPr>
              <w:t xml:space="preserve"> </w:t>
            </w:r>
            <w:r w:rsidRPr="00BD2960">
              <w:rPr>
                <w:lang w:val="en-US" w:eastAsia="ja-JP"/>
              </w:rPr>
              <w:t>for</w:t>
            </w:r>
            <w:r>
              <w:rPr>
                <w:lang w:val="en-US" w:eastAsia="ja-JP"/>
              </w:rPr>
              <w:t xml:space="preserve"> </w:t>
            </w:r>
            <w:r w:rsidRPr="00BD2960">
              <w:rPr>
                <w:lang w:val="en-US" w:eastAsia="ja-JP"/>
              </w:rPr>
              <w:t>minimum</w:t>
            </w:r>
            <w:r>
              <w:rPr>
                <w:lang w:val="en-US" w:eastAsia="ja-JP"/>
              </w:rPr>
              <w:t xml:space="preserve"> </w:t>
            </w:r>
            <w:r w:rsidRPr="00BD2960">
              <w:rPr>
                <w:lang w:val="en-US" w:eastAsia="ja-JP"/>
              </w:rPr>
              <w:t>standards</w:t>
            </w:r>
            <w:r>
              <w:rPr>
                <w:lang w:val="en-US" w:eastAsia="ja-JP"/>
              </w:rPr>
              <w:t xml:space="preserve"> </w:t>
            </w:r>
            <w:r w:rsidRPr="00BD2960">
              <w:rPr>
                <w:lang w:val="en-US" w:eastAsia="ja-JP"/>
              </w:rPr>
              <w:t>breaches</w:t>
            </w:r>
            <w:r>
              <w:rPr>
                <w:lang w:val="en-US" w:eastAsia="ja-JP"/>
              </w:rPr>
              <w:t>)</w:t>
            </w:r>
          </w:p>
        </w:tc>
        <w:tc>
          <w:tcPr>
            <w:tcW w:w="1560" w:type="dxa"/>
          </w:tcPr>
          <w:p w14:paraId="519F0B7A" w14:textId="77777777" w:rsidR="00856406" w:rsidRPr="001623EB" w:rsidRDefault="00856406" w:rsidP="00962057">
            <w:pPr>
              <w:pStyle w:val="TableTextRight"/>
              <w:rPr>
                <w:lang w:eastAsia="ja-JP"/>
              </w:rPr>
            </w:pPr>
            <w:r w:rsidRPr="001623EB">
              <w:rPr>
                <w:lang w:eastAsia="ja-JP"/>
              </w:rPr>
              <w:t>74</w:t>
            </w:r>
          </w:p>
        </w:tc>
      </w:tr>
      <w:tr w:rsidR="00856406" w14:paraId="72B54C3D" w14:textId="77777777" w:rsidTr="00962057">
        <w:tc>
          <w:tcPr>
            <w:tcW w:w="7371" w:type="dxa"/>
          </w:tcPr>
          <w:p w14:paraId="4A9531C1" w14:textId="77777777" w:rsidR="00856406" w:rsidRPr="001B5BD2" w:rsidRDefault="00856406" w:rsidP="00962057">
            <w:pPr>
              <w:pStyle w:val="TableText"/>
              <w:rPr>
                <w:szCs w:val="21"/>
                <w:lang w:eastAsia="ja-JP"/>
              </w:rPr>
            </w:pPr>
            <w:r>
              <w:rPr>
                <w:lang w:val="en-US" w:eastAsia="ja-JP"/>
              </w:rPr>
              <w:t>O</w:t>
            </w:r>
            <w:r w:rsidRPr="00E0466C">
              <w:rPr>
                <w:lang w:val="en-US" w:eastAsia="ja-JP"/>
              </w:rPr>
              <w:t>fficial</w:t>
            </w:r>
            <w:r>
              <w:rPr>
                <w:lang w:val="en-US" w:eastAsia="ja-JP"/>
              </w:rPr>
              <w:t xml:space="preserve"> </w:t>
            </w:r>
            <w:r w:rsidRPr="00E0466C">
              <w:rPr>
                <w:lang w:val="en-US" w:eastAsia="ja-JP"/>
              </w:rPr>
              <w:t>warnings</w:t>
            </w:r>
            <w:r>
              <w:rPr>
                <w:lang w:val="en-US" w:eastAsia="ja-JP"/>
              </w:rPr>
              <w:t xml:space="preserve"> </w:t>
            </w:r>
            <w:r w:rsidRPr="00E0466C">
              <w:rPr>
                <w:lang w:val="en-US" w:eastAsia="ja-JP"/>
              </w:rPr>
              <w:t>issued</w:t>
            </w:r>
          </w:p>
        </w:tc>
        <w:tc>
          <w:tcPr>
            <w:tcW w:w="1560" w:type="dxa"/>
          </w:tcPr>
          <w:p w14:paraId="58A2A589" w14:textId="77777777" w:rsidR="00856406" w:rsidRPr="001623EB" w:rsidRDefault="00856406" w:rsidP="00962057">
            <w:pPr>
              <w:pStyle w:val="TableTextRight"/>
              <w:rPr>
                <w:lang w:eastAsia="ja-JP"/>
              </w:rPr>
            </w:pPr>
            <w:r w:rsidRPr="001623EB">
              <w:rPr>
                <w:lang w:eastAsia="ja-JP"/>
              </w:rPr>
              <w:t>129</w:t>
            </w:r>
          </w:p>
        </w:tc>
      </w:tr>
      <w:tr w:rsidR="00856406" w14:paraId="0A81F749" w14:textId="77777777" w:rsidTr="00962057">
        <w:tc>
          <w:tcPr>
            <w:tcW w:w="7371" w:type="dxa"/>
          </w:tcPr>
          <w:p w14:paraId="303AA756" w14:textId="77777777" w:rsidR="00856406" w:rsidRDefault="00856406" w:rsidP="00962057">
            <w:pPr>
              <w:pStyle w:val="TableText"/>
              <w:rPr>
                <w:lang w:val="en-US" w:eastAsia="ja-JP"/>
              </w:rPr>
            </w:pPr>
            <w:r w:rsidRPr="00A4404F">
              <w:rPr>
                <w:rFonts w:eastAsia="VIC"/>
                <w:lang w:val="en-US"/>
              </w:rPr>
              <w:t>Infringement</w:t>
            </w:r>
            <w:r>
              <w:rPr>
                <w:rFonts w:eastAsia="VIC"/>
                <w:lang w:val="en-US"/>
              </w:rPr>
              <w:t xml:space="preserve"> </w:t>
            </w:r>
            <w:r w:rsidRPr="00A4404F">
              <w:rPr>
                <w:rFonts w:eastAsia="VIC"/>
                <w:lang w:val="en-US"/>
              </w:rPr>
              <w:t>notices</w:t>
            </w:r>
            <w:r>
              <w:rPr>
                <w:rFonts w:eastAsia="VIC"/>
                <w:lang w:val="en-US"/>
              </w:rPr>
              <w:t xml:space="preserve"> </w:t>
            </w:r>
            <w:r w:rsidRPr="00A4404F">
              <w:rPr>
                <w:rFonts w:eastAsia="VIC"/>
                <w:lang w:val="en-US"/>
              </w:rPr>
              <w:t>issued</w:t>
            </w:r>
          </w:p>
        </w:tc>
        <w:tc>
          <w:tcPr>
            <w:tcW w:w="1560" w:type="dxa"/>
          </w:tcPr>
          <w:p w14:paraId="55326CBA" w14:textId="77777777" w:rsidR="00856406" w:rsidRPr="001623EB" w:rsidRDefault="00856406" w:rsidP="00962057">
            <w:pPr>
              <w:pStyle w:val="TableTextRight"/>
              <w:rPr>
                <w:lang w:eastAsia="ja-JP"/>
              </w:rPr>
            </w:pPr>
            <w:r w:rsidRPr="00E926FE">
              <w:rPr>
                <w:rFonts w:eastAsia="VIC"/>
                <w:sz w:val="20"/>
                <w:szCs w:val="20"/>
              </w:rPr>
              <w:t>89</w:t>
            </w:r>
          </w:p>
        </w:tc>
      </w:tr>
      <w:tr w:rsidR="00856406" w14:paraId="166FE3B9" w14:textId="77777777" w:rsidTr="00962057">
        <w:tc>
          <w:tcPr>
            <w:tcW w:w="7371" w:type="dxa"/>
          </w:tcPr>
          <w:p w14:paraId="36F86B96" w14:textId="77777777" w:rsidR="00856406" w:rsidRDefault="00856406" w:rsidP="00962057">
            <w:pPr>
              <w:pStyle w:val="TableText"/>
              <w:rPr>
                <w:lang w:val="en-US" w:eastAsia="ja-JP"/>
              </w:rPr>
            </w:pPr>
            <w:r w:rsidRPr="00A4404F">
              <w:rPr>
                <w:rFonts w:eastAsia="VIC"/>
                <w:lang w:val="en-US"/>
              </w:rPr>
              <w:t>Fines</w:t>
            </w:r>
            <w:r>
              <w:rPr>
                <w:rFonts w:eastAsia="VIC"/>
                <w:lang w:val="en-US"/>
              </w:rPr>
              <w:t xml:space="preserve"> </w:t>
            </w:r>
            <w:r w:rsidRPr="00A4404F">
              <w:rPr>
                <w:rFonts w:eastAsia="VIC"/>
                <w:lang w:val="en-US"/>
              </w:rPr>
              <w:t>issued</w:t>
            </w:r>
          </w:p>
        </w:tc>
        <w:tc>
          <w:tcPr>
            <w:tcW w:w="1560" w:type="dxa"/>
          </w:tcPr>
          <w:p w14:paraId="73441894" w14:textId="77777777" w:rsidR="00856406" w:rsidRPr="001623EB" w:rsidRDefault="00856406" w:rsidP="00962057">
            <w:pPr>
              <w:pStyle w:val="TableTextRight"/>
              <w:rPr>
                <w:lang w:eastAsia="ja-JP"/>
              </w:rPr>
            </w:pPr>
            <w:r w:rsidRPr="00E926FE">
              <w:rPr>
                <w:rFonts w:eastAsia="VIC"/>
                <w:sz w:val="20"/>
                <w:szCs w:val="20"/>
              </w:rPr>
              <w:t>$706,004</w:t>
            </w:r>
          </w:p>
        </w:tc>
      </w:tr>
      <w:tr w:rsidR="00856406" w14:paraId="68C37D40" w14:textId="77777777" w:rsidTr="00962057">
        <w:tc>
          <w:tcPr>
            <w:tcW w:w="7371" w:type="dxa"/>
          </w:tcPr>
          <w:p w14:paraId="5D7FF0B8" w14:textId="77777777" w:rsidR="00856406" w:rsidRPr="000C40BA" w:rsidRDefault="00856406" w:rsidP="00962057">
            <w:pPr>
              <w:pStyle w:val="TableText"/>
              <w:rPr>
                <w:szCs w:val="18"/>
                <w:lang w:eastAsia="ja-JP"/>
              </w:rPr>
            </w:pPr>
            <w:r>
              <w:rPr>
                <w:lang w:val="en-US" w:eastAsia="ja-JP"/>
              </w:rPr>
              <w:t>D</w:t>
            </w:r>
            <w:r w:rsidRPr="00521261">
              <w:rPr>
                <w:lang w:val="en-US" w:eastAsia="ja-JP"/>
              </w:rPr>
              <w:t>irect</w:t>
            </w:r>
            <w:r>
              <w:rPr>
                <w:lang w:val="en-US" w:eastAsia="ja-JP"/>
              </w:rPr>
              <w:t xml:space="preserve"> </w:t>
            </w:r>
            <w:r w:rsidRPr="00521261">
              <w:rPr>
                <w:lang w:val="en-US" w:eastAsia="ja-JP"/>
              </w:rPr>
              <w:t>engagements</w:t>
            </w:r>
            <w:r>
              <w:rPr>
                <w:lang w:val="en-US" w:eastAsia="ja-JP"/>
              </w:rPr>
              <w:t xml:space="preserve"> </w:t>
            </w:r>
            <w:r w:rsidRPr="00521261">
              <w:rPr>
                <w:lang w:val="en-US" w:eastAsia="ja-JP"/>
              </w:rPr>
              <w:t>with</w:t>
            </w:r>
            <w:r>
              <w:rPr>
                <w:lang w:val="en-US" w:eastAsia="ja-JP"/>
              </w:rPr>
              <w:t xml:space="preserve"> </w:t>
            </w:r>
            <w:r w:rsidRPr="00521261">
              <w:rPr>
                <w:lang w:val="en-US" w:eastAsia="ja-JP"/>
              </w:rPr>
              <w:t>renters</w:t>
            </w:r>
            <w:r>
              <w:rPr>
                <w:lang w:val="en-US" w:eastAsia="ja-JP"/>
              </w:rPr>
              <w:t xml:space="preserve"> </w:t>
            </w:r>
            <w:r w:rsidRPr="00521261">
              <w:rPr>
                <w:lang w:val="en-US" w:eastAsia="ja-JP"/>
              </w:rPr>
              <w:t>living</w:t>
            </w:r>
            <w:r>
              <w:rPr>
                <w:lang w:val="en-US" w:eastAsia="ja-JP"/>
              </w:rPr>
              <w:t xml:space="preserve"> </w:t>
            </w:r>
            <w:r w:rsidRPr="00521261">
              <w:rPr>
                <w:lang w:val="en-US" w:eastAsia="ja-JP"/>
              </w:rPr>
              <w:t>in</w:t>
            </w:r>
            <w:r>
              <w:rPr>
                <w:lang w:val="en-US" w:eastAsia="ja-JP"/>
              </w:rPr>
              <w:t xml:space="preserve"> </w:t>
            </w:r>
            <w:r w:rsidRPr="00521261">
              <w:rPr>
                <w:lang w:val="en-US" w:eastAsia="ja-JP"/>
              </w:rPr>
              <w:t>properties</w:t>
            </w:r>
            <w:r>
              <w:rPr>
                <w:lang w:val="en-US" w:eastAsia="ja-JP"/>
              </w:rPr>
              <w:t xml:space="preserve"> </w:t>
            </w:r>
            <w:r w:rsidRPr="00521261">
              <w:rPr>
                <w:lang w:val="en-US" w:eastAsia="ja-JP"/>
              </w:rPr>
              <w:t>at</w:t>
            </w:r>
            <w:r>
              <w:rPr>
                <w:lang w:val="en-US" w:eastAsia="ja-JP"/>
              </w:rPr>
              <w:t xml:space="preserve"> </w:t>
            </w:r>
            <w:r w:rsidRPr="00521261">
              <w:rPr>
                <w:lang w:val="en-US" w:eastAsia="ja-JP"/>
              </w:rPr>
              <w:t>risk</w:t>
            </w:r>
            <w:r>
              <w:rPr>
                <w:lang w:val="en-US" w:eastAsia="ja-JP"/>
              </w:rPr>
              <w:t xml:space="preserve"> </w:t>
            </w:r>
            <w:r w:rsidRPr="00521261">
              <w:rPr>
                <w:lang w:val="en-US" w:eastAsia="ja-JP"/>
              </w:rPr>
              <w:t>of</w:t>
            </w:r>
            <w:r>
              <w:rPr>
                <w:lang w:val="en-US" w:eastAsia="ja-JP"/>
              </w:rPr>
              <w:t xml:space="preserve"> </w:t>
            </w:r>
            <w:r w:rsidRPr="00521261">
              <w:rPr>
                <w:lang w:val="en-US" w:eastAsia="ja-JP"/>
              </w:rPr>
              <w:t>not</w:t>
            </w:r>
            <w:r>
              <w:rPr>
                <w:lang w:val="en-US" w:eastAsia="ja-JP"/>
              </w:rPr>
              <w:t xml:space="preserve"> </w:t>
            </w:r>
            <w:r w:rsidRPr="00521261">
              <w:rPr>
                <w:lang w:val="en-US" w:eastAsia="ja-JP"/>
              </w:rPr>
              <w:t>meeting</w:t>
            </w:r>
            <w:r>
              <w:rPr>
                <w:lang w:val="en-US" w:eastAsia="ja-JP"/>
              </w:rPr>
              <w:t xml:space="preserve"> </w:t>
            </w:r>
            <w:r w:rsidRPr="00521261">
              <w:rPr>
                <w:lang w:val="en-US" w:eastAsia="ja-JP"/>
              </w:rPr>
              <w:t>minimum</w:t>
            </w:r>
            <w:r>
              <w:rPr>
                <w:lang w:val="en-US" w:eastAsia="ja-JP"/>
              </w:rPr>
              <w:t xml:space="preserve"> </w:t>
            </w:r>
            <w:r w:rsidRPr="00521261">
              <w:rPr>
                <w:lang w:val="en-US" w:eastAsia="ja-JP"/>
              </w:rPr>
              <w:t>standards</w:t>
            </w:r>
            <w:r>
              <w:rPr>
                <w:szCs w:val="18"/>
                <w:lang w:eastAsia="ja-JP"/>
              </w:rPr>
              <w:t xml:space="preserve"> </w:t>
            </w:r>
          </w:p>
        </w:tc>
        <w:tc>
          <w:tcPr>
            <w:tcW w:w="1560" w:type="dxa"/>
          </w:tcPr>
          <w:p w14:paraId="1042ABBF" w14:textId="77777777" w:rsidR="00856406" w:rsidRPr="001623EB" w:rsidRDefault="00856406" w:rsidP="00962057">
            <w:pPr>
              <w:pStyle w:val="TableTextRight"/>
              <w:rPr>
                <w:lang w:eastAsia="ja-JP"/>
              </w:rPr>
            </w:pPr>
            <w:r w:rsidRPr="001623EB">
              <w:rPr>
                <w:lang w:eastAsia="ja-JP"/>
              </w:rPr>
              <w:t>163</w:t>
            </w:r>
          </w:p>
        </w:tc>
      </w:tr>
      <w:tr w:rsidR="00856406" w14:paraId="3D69BBBD" w14:textId="77777777" w:rsidTr="00962057">
        <w:tc>
          <w:tcPr>
            <w:tcW w:w="7371" w:type="dxa"/>
          </w:tcPr>
          <w:p w14:paraId="2EA8E94D" w14:textId="77777777" w:rsidR="00856406" w:rsidRDefault="00856406" w:rsidP="00962057">
            <w:pPr>
              <w:pStyle w:val="TableText"/>
              <w:rPr>
                <w:lang w:val="en-US" w:eastAsia="ja-JP"/>
              </w:rPr>
            </w:pPr>
            <w:r>
              <w:rPr>
                <w:lang w:val="en-US" w:eastAsia="ja-JP"/>
              </w:rPr>
              <w:t>Court proceedings initiated</w:t>
            </w:r>
          </w:p>
        </w:tc>
        <w:tc>
          <w:tcPr>
            <w:tcW w:w="1560" w:type="dxa"/>
          </w:tcPr>
          <w:p w14:paraId="210AFBC7" w14:textId="77777777" w:rsidR="00856406" w:rsidRPr="001623EB" w:rsidRDefault="00856406" w:rsidP="00962057">
            <w:pPr>
              <w:pStyle w:val="TableTextRight"/>
              <w:rPr>
                <w:lang w:eastAsia="ja-JP"/>
              </w:rPr>
            </w:pPr>
            <w:r>
              <w:rPr>
                <w:lang w:eastAsia="ja-JP"/>
              </w:rPr>
              <w:t>5</w:t>
            </w:r>
          </w:p>
        </w:tc>
      </w:tr>
    </w:tbl>
    <w:p w14:paraId="5FD86461" w14:textId="77777777" w:rsidR="00856406" w:rsidRDefault="00856406" w:rsidP="00447322">
      <w:pPr>
        <w:pStyle w:val="Heading3"/>
      </w:pPr>
      <w:r>
        <w:t>Underquoting taskforce</w:t>
      </w:r>
    </w:p>
    <w:p w14:paraId="0B8FCE4F" w14:textId="77777777" w:rsidR="00856406" w:rsidRDefault="00856406" w:rsidP="00F45F3A">
      <w:pPr>
        <w:pStyle w:val="BodyText"/>
        <w:rPr>
          <w:lang w:eastAsia="ja-JP"/>
        </w:rPr>
      </w:pPr>
      <w:r>
        <w:rPr>
          <w:lang w:eastAsia="ja-JP"/>
        </w:rPr>
        <w:t>CAV’s u</w:t>
      </w:r>
      <w:r w:rsidRPr="00D8337E">
        <w:rPr>
          <w:lang w:eastAsia="ja-JP"/>
        </w:rPr>
        <w:t>nderquoting</w:t>
      </w:r>
      <w:r>
        <w:rPr>
          <w:lang w:eastAsia="ja-JP"/>
        </w:rPr>
        <w:t xml:space="preserve"> t</w:t>
      </w:r>
      <w:r w:rsidRPr="00D8337E">
        <w:rPr>
          <w:lang w:eastAsia="ja-JP"/>
        </w:rPr>
        <w:t>askforce</w:t>
      </w:r>
      <w:r>
        <w:rPr>
          <w:lang w:eastAsia="ja-JP"/>
        </w:rPr>
        <w:t xml:space="preserve"> </w:t>
      </w:r>
      <w:r w:rsidRPr="00D8337E">
        <w:rPr>
          <w:lang w:eastAsia="ja-JP"/>
        </w:rPr>
        <w:t>combats</w:t>
      </w:r>
      <w:r>
        <w:rPr>
          <w:lang w:eastAsia="ja-JP"/>
        </w:rPr>
        <w:t xml:space="preserve"> </w:t>
      </w:r>
      <w:r w:rsidRPr="00D8337E">
        <w:rPr>
          <w:lang w:eastAsia="ja-JP"/>
        </w:rPr>
        <w:t>the</w:t>
      </w:r>
      <w:r>
        <w:rPr>
          <w:lang w:eastAsia="ja-JP"/>
        </w:rPr>
        <w:t xml:space="preserve"> serious </w:t>
      </w:r>
      <w:r w:rsidRPr="00D8337E">
        <w:rPr>
          <w:lang w:eastAsia="ja-JP"/>
        </w:rPr>
        <w:t>issue</w:t>
      </w:r>
      <w:r>
        <w:rPr>
          <w:lang w:eastAsia="ja-JP"/>
        </w:rPr>
        <w:t xml:space="preserve"> </w:t>
      </w:r>
      <w:r w:rsidRPr="00D8337E">
        <w:rPr>
          <w:lang w:eastAsia="ja-JP"/>
        </w:rPr>
        <w:t>of</w:t>
      </w:r>
      <w:r>
        <w:rPr>
          <w:lang w:eastAsia="ja-JP"/>
        </w:rPr>
        <w:t xml:space="preserve"> </w:t>
      </w:r>
      <w:r w:rsidRPr="00D8337E">
        <w:rPr>
          <w:lang w:eastAsia="ja-JP"/>
        </w:rPr>
        <w:t>underquoting</w:t>
      </w:r>
      <w:r>
        <w:rPr>
          <w:lang w:eastAsia="ja-JP"/>
        </w:rPr>
        <w:t xml:space="preserve"> </w:t>
      </w:r>
      <w:r w:rsidRPr="00D8337E">
        <w:rPr>
          <w:lang w:eastAsia="ja-JP"/>
        </w:rPr>
        <w:t>in</w:t>
      </w:r>
      <w:r>
        <w:rPr>
          <w:lang w:eastAsia="ja-JP"/>
        </w:rPr>
        <w:t xml:space="preserve"> </w:t>
      </w:r>
      <w:r w:rsidRPr="00D8337E">
        <w:rPr>
          <w:lang w:eastAsia="ja-JP"/>
        </w:rPr>
        <w:t>the</w:t>
      </w:r>
      <w:r>
        <w:rPr>
          <w:lang w:eastAsia="ja-JP"/>
        </w:rPr>
        <w:t xml:space="preserve"> </w:t>
      </w:r>
      <w:r w:rsidRPr="00D8337E">
        <w:rPr>
          <w:lang w:eastAsia="ja-JP"/>
        </w:rPr>
        <w:t>real</w:t>
      </w:r>
      <w:r>
        <w:rPr>
          <w:lang w:eastAsia="ja-JP"/>
        </w:rPr>
        <w:t xml:space="preserve"> </w:t>
      </w:r>
      <w:r w:rsidRPr="00D8337E">
        <w:rPr>
          <w:lang w:eastAsia="ja-JP"/>
        </w:rPr>
        <w:t>estate</w:t>
      </w:r>
      <w:r>
        <w:rPr>
          <w:lang w:eastAsia="ja-JP"/>
        </w:rPr>
        <w:t xml:space="preserve"> </w:t>
      </w:r>
      <w:r w:rsidRPr="00D8337E">
        <w:rPr>
          <w:lang w:eastAsia="ja-JP"/>
        </w:rPr>
        <w:t>industry.</w:t>
      </w:r>
      <w:r>
        <w:rPr>
          <w:lang w:eastAsia="ja-JP"/>
        </w:rPr>
        <w:t xml:space="preserve"> </w:t>
      </w:r>
      <w:r w:rsidRPr="00D8337E">
        <w:rPr>
          <w:lang w:eastAsia="ja-JP"/>
        </w:rPr>
        <w:t>Underquoting</w:t>
      </w:r>
      <w:r>
        <w:rPr>
          <w:lang w:eastAsia="ja-JP"/>
        </w:rPr>
        <w:t xml:space="preserve"> is </w:t>
      </w:r>
      <w:r w:rsidRPr="00D8337E">
        <w:rPr>
          <w:lang w:eastAsia="ja-JP"/>
        </w:rPr>
        <w:t>a</w:t>
      </w:r>
      <w:r>
        <w:rPr>
          <w:lang w:eastAsia="ja-JP"/>
        </w:rPr>
        <w:t xml:space="preserve">n unfair and illegal </w:t>
      </w:r>
      <w:r w:rsidRPr="00D8337E">
        <w:rPr>
          <w:lang w:eastAsia="ja-JP"/>
        </w:rPr>
        <w:t>practice</w:t>
      </w:r>
      <w:r>
        <w:rPr>
          <w:lang w:eastAsia="ja-JP"/>
        </w:rPr>
        <w:t xml:space="preserve"> where a property is advertised for less than its realistic sale price. This causes buyers to waste time and money on properties outside their budget and can distort the market.</w:t>
      </w:r>
    </w:p>
    <w:p w14:paraId="26EA63D9" w14:textId="77777777" w:rsidR="00856406" w:rsidRDefault="00856406" w:rsidP="00F45F3A">
      <w:pPr>
        <w:pStyle w:val="BodyText"/>
        <w:rPr>
          <w:lang w:eastAsia="ja-JP"/>
        </w:rPr>
      </w:pPr>
      <w:r>
        <w:rPr>
          <w:lang w:eastAsia="ja-JP"/>
        </w:rPr>
        <w:t>Underquoting remains a major source of frustration for many Victorians and is the top real estate-related issue, outside renting, reported to CAV each year. In August 2024, the government announced the taskforce would be made a permanent enforcement arm of CAV, to ensure action continues to stamp out this practice.</w:t>
      </w:r>
    </w:p>
    <w:p w14:paraId="090549B0" w14:textId="1BC80733" w:rsidR="00856406" w:rsidRDefault="00856406" w:rsidP="00F45F3A">
      <w:pPr>
        <w:pStyle w:val="BodyText"/>
        <w:rPr>
          <w:lang w:eastAsia="ja-JP"/>
        </w:rPr>
      </w:pPr>
      <w:r>
        <w:rPr>
          <w:lang w:eastAsia="ja-JP"/>
        </w:rPr>
        <w:t xml:space="preserve">CAV takes </w:t>
      </w:r>
      <w:r w:rsidRPr="00887045">
        <w:rPr>
          <w:lang w:eastAsia="ja-JP"/>
        </w:rPr>
        <w:t>a</w:t>
      </w:r>
      <w:r>
        <w:rPr>
          <w:lang w:eastAsia="ja-JP"/>
        </w:rPr>
        <w:t xml:space="preserve"> </w:t>
      </w:r>
      <w:r w:rsidRPr="00887045">
        <w:rPr>
          <w:lang w:eastAsia="ja-JP"/>
        </w:rPr>
        <w:t>zero</w:t>
      </w:r>
      <w:r>
        <w:rPr>
          <w:lang w:eastAsia="ja-JP"/>
        </w:rPr>
        <w:t xml:space="preserve"> </w:t>
      </w:r>
      <w:r w:rsidRPr="00887045">
        <w:rPr>
          <w:lang w:eastAsia="ja-JP"/>
        </w:rPr>
        <w:t>tolerance</w:t>
      </w:r>
      <w:r>
        <w:rPr>
          <w:lang w:eastAsia="ja-JP"/>
        </w:rPr>
        <w:t xml:space="preserve"> </w:t>
      </w:r>
      <w:r w:rsidRPr="00887045">
        <w:rPr>
          <w:lang w:eastAsia="ja-JP"/>
        </w:rPr>
        <w:t>approach</w:t>
      </w:r>
      <w:r>
        <w:rPr>
          <w:lang w:eastAsia="ja-JP"/>
        </w:rPr>
        <w:t xml:space="preserve"> </w:t>
      </w:r>
      <w:r w:rsidRPr="00887045">
        <w:rPr>
          <w:lang w:eastAsia="ja-JP"/>
        </w:rPr>
        <w:t>to</w:t>
      </w:r>
      <w:r>
        <w:rPr>
          <w:lang w:eastAsia="ja-JP"/>
        </w:rPr>
        <w:t xml:space="preserve"> </w:t>
      </w:r>
      <w:r w:rsidRPr="00887045">
        <w:rPr>
          <w:lang w:eastAsia="ja-JP"/>
        </w:rPr>
        <w:t>underquoting,</w:t>
      </w:r>
      <w:r>
        <w:rPr>
          <w:lang w:eastAsia="ja-JP"/>
        </w:rPr>
        <w:t xml:space="preserve"> </w:t>
      </w:r>
      <w:r w:rsidRPr="00887045">
        <w:rPr>
          <w:lang w:eastAsia="ja-JP"/>
        </w:rPr>
        <w:t>which</w:t>
      </w:r>
      <w:r>
        <w:rPr>
          <w:lang w:eastAsia="ja-JP"/>
        </w:rPr>
        <w:t xml:space="preserve"> </w:t>
      </w:r>
      <w:r w:rsidRPr="00887045">
        <w:rPr>
          <w:lang w:eastAsia="ja-JP"/>
        </w:rPr>
        <w:t>means</w:t>
      </w:r>
      <w:r>
        <w:rPr>
          <w:lang w:eastAsia="ja-JP"/>
        </w:rPr>
        <w:t xml:space="preserve"> </w:t>
      </w:r>
      <w:r w:rsidRPr="00887045">
        <w:rPr>
          <w:lang w:eastAsia="ja-JP"/>
        </w:rPr>
        <w:t>all</w:t>
      </w:r>
      <w:r>
        <w:rPr>
          <w:lang w:eastAsia="ja-JP"/>
        </w:rPr>
        <w:t xml:space="preserve"> </w:t>
      </w:r>
      <w:r w:rsidRPr="00887045">
        <w:rPr>
          <w:lang w:eastAsia="ja-JP"/>
        </w:rPr>
        <w:t>instances</w:t>
      </w:r>
      <w:r>
        <w:rPr>
          <w:lang w:eastAsia="ja-JP"/>
        </w:rPr>
        <w:t xml:space="preserve"> </w:t>
      </w:r>
      <w:r w:rsidRPr="00887045">
        <w:rPr>
          <w:lang w:eastAsia="ja-JP"/>
        </w:rPr>
        <w:t>of</w:t>
      </w:r>
      <w:r>
        <w:rPr>
          <w:lang w:eastAsia="ja-JP"/>
        </w:rPr>
        <w:t xml:space="preserve"> </w:t>
      </w:r>
      <w:r w:rsidRPr="00887045">
        <w:rPr>
          <w:lang w:eastAsia="ja-JP"/>
        </w:rPr>
        <w:t>suspected</w:t>
      </w:r>
      <w:r>
        <w:rPr>
          <w:lang w:eastAsia="ja-JP"/>
        </w:rPr>
        <w:t xml:space="preserve"> </w:t>
      </w:r>
      <w:r w:rsidRPr="00887045">
        <w:rPr>
          <w:lang w:eastAsia="ja-JP"/>
        </w:rPr>
        <w:t>non-compliance</w:t>
      </w:r>
      <w:r>
        <w:rPr>
          <w:lang w:eastAsia="ja-JP"/>
        </w:rPr>
        <w:t xml:space="preserve"> </w:t>
      </w:r>
      <w:r w:rsidRPr="00887045">
        <w:rPr>
          <w:lang w:eastAsia="ja-JP"/>
        </w:rPr>
        <w:t>result</w:t>
      </w:r>
      <w:r>
        <w:rPr>
          <w:lang w:eastAsia="ja-JP"/>
        </w:rPr>
        <w:t xml:space="preserve"> </w:t>
      </w:r>
      <w:r w:rsidRPr="00887045">
        <w:rPr>
          <w:lang w:eastAsia="ja-JP"/>
        </w:rPr>
        <w:t>in</w:t>
      </w:r>
      <w:r>
        <w:rPr>
          <w:lang w:eastAsia="ja-JP"/>
        </w:rPr>
        <w:t xml:space="preserve"> </w:t>
      </w:r>
      <w:r w:rsidRPr="00887045">
        <w:rPr>
          <w:lang w:eastAsia="ja-JP"/>
        </w:rPr>
        <w:t>a</w:t>
      </w:r>
      <w:r>
        <w:rPr>
          <w:lang w:eastAsia="ja-JP"/>
        </w:rPr>
        <w:t xml:space="preserve"> </w:t>
      </w:r>
      <w:r w:rsidRPr="00887045">
        <w:rPr>
          <w:lang w:eastAsia="ja-JP"/>
        </w:rPr>
        <w:t>regulatory</w:t>
      </w:r>
      <w:r>
        <w:rPr>
          <w:lang w:eastAsia="ja-JP"/>
        </w:rPr>
        <w:t xml:space="preserve"> </w:t>
      </w:r>
      <w:r w:rsidRPr="00887045">
        <w:rPr>
          <w:lang w:eastAsia="ja-JP"/>
        </w:rPr>
        <w:t>response</w:t>
      </w:r>
      <w:r>
        <w:rPr>
          <w:lang w:eastAsia="ja-JP"/>
        </w:rPr>
        <w:t xml:space="preserve">. </w:t>
      </w:r>
      <w:r w:rsidRPr="004F7A03">
        <w:rPr>
          <w:lang w:eastAsia="ja-JP"/>
        </w:rPr>
        <w:t>In</w:t>
      </w:r>
      <w:r>
        <w:rPr>
          <w:lang w:eastAsia="ja-JP"/>
        </w:rPr>
        <w:t xml:space="preserve"> </w:t>
      </w:r>
      <w:r w:rsidR="00EE79C3">
        <w:rPr>
          <w:lang w:eastAsia="ja-JP"/>
        </w:rPr>
        <w:t>2024–25</w:t>
      </w:r>
      <w:r w:rsidRPr="004F7A03">
        <w:rPr>
          <w:lang w:eastAsia="ja-JP"/>
        </w:rPr>
        <w:t>,</w:t>
      </w:r>
      <w:r>
        <w:rPr>
          <w:lang w:eastAsia="ja-JP"/>
        </w:rPr>
        <w:t xml:space="preserve"> </w:t>
      </w:r>
      <w:r w:rsidRPr="004F7A03">
        <w:rPr>
          <w:lang w:eastAsia="ja-JP"/>
        </w:rPr>
        <w:t>the</w:t>
      </w:r>
      <w:r>
        <w:rPr>
          <w:lang w:eastAsia="ja-JP"/>
        </w:rPr>
        <w:t xml:space="preserve"> taskforce initiated </w:t>
      </w:r>
      <w:r w:rsidRPr="004F7A03">
        <w:rPr>
          <w:lang w:eastAsia="ja-JP"/>
        </w:rPr>
        <w:t>several</w:t>
      </w:r>
      <w:r>
        <w:rPr>
          <w:lang w:eastAsia="ja-JP"/>
        </w:rPr>
        <w:t xml:space="preserve"> </w:t>
      </w:r>
      <w:r w:rsidRPr="004F7A03">
        <w:rPr>
          <w:lang w:eastAsia="ja-JP"/>
        </w:rPr>
        <w:t>legal</w:t>
      </w:r>
      <w:r>
        <w:rPr>
          <w:lang w:eastAsia="ja-JP"/>
        </w:rPr>
        <w:t xml:space="preserve"> </w:t>
      </w:r>
      <w:r w:rsidRPr="004F7A03">
        <w:rPr>
          <w:lang w:eastAsia="ja-JP"/>
        </w:rPr>
        <w:t>cases</w:t>
      </w:r>
      <w:r>
        <w:rPr>
          <w:lang w:eastAsia="ja-JP"/>
        </w:rPr>
        <w:t xml:space="preserve"> across the </w:t>
      </w:r>
      <w:r w:rsidRPr="004F7A03">
        <w:rPr>
          <w:lang w:eastAsia="ja-JP"/>
        </w:rPr>
        <w:t>Federal</w:t>
      </w:r>
      <w:r>
        <w:rPr>
          <w:lang w:eastAsia="ja-JP"/>
        </w:rPr>
        <w:t xml:space="preserve"> </w:t>
      </w:r>
      <w:r w:rsidRPr="004F7A03">
        <w:rPr>
          <w:lang w:eastAsia="ja-JP"/>
        </w:rPr>
        <w:t>and</w:t>
      </w:r>
      <w:r>
        <w:rPr>
          <w:lang w:eastAsia="ja-JP"/>
        </w:rPr>
        <w:t xml:space="preserve"> </w:t>
      </w:r>
      <w:r w:rsidRPr="004F7A03">
        <w:rPr>
          <w:lang w:eastAsia="ja-JP"/>
        </w:rPr>
        <w:t>Magistrates</w:t>
      </w:r>
      <w:r>
        <w:rPr>
          <w:lang w:eastAsia="ja-JP"/>
        </w:rPr>
        <w:t xml:space="preserve">’ </w:t>
      </w:r>
      <w:r w:rsidRPr="004F7A03">
        <w:rPr>
          <w:lang w:eastAsia="ja-JP"/>
        </w:rPr>
        <w:t>Courts</w:t>
      </w:r>
      <w:r>
        <w:rPr>
          <w:lang w:eastAsia="ja-JP"/>
        </w:rPr>
        <w:t xml:space="preserve"> and VCAT </w:t>
      </w:r>
      <w:r w:rsidRPr="004F7A03">
        <w:rPr>
          <w:lang w:eastAsia="ja-JP"/>
        </w:rPr>
        <w:t>for</w:t>
      </w:r>
      <w:r>
        <w:rPr>
          <w:lang w:eastAsia="ja-JP"/>
        </w:rPr>
        <w:t xml:space="preserve"> serious </w:t>
      </w:r>
      <w:r w:rsidRPr="004F7A03">
        <w:rPr>
          <w:lang w:eastAsia="ja-JP"/>
        </w:rPr>
        <w:t>suspected</w:t>
      </w:r>
      <w:r>
        <w:rPr>
          <w:lang w:eastAsia="ja-JP"/>
        </w:rPr>
        <w:t xml:space="preserve"> </w:t>
      </w:r>
      <w:r w:rsidRPr="004F7A03">
        <w:rPr>
          <w:lang w:eastAsia="ja-JP"/>
        </w:rPr>
        <w:t>rule</w:t>
      </w:r>
      <w:r>
        <w:rPr>
          <w:lang w:eastAsia="ja-JP"/>
        </w:rPr>
        <w:t xml:space="preserve"> </w:t>
      </w:r>
      <w:r w:rsidRPr="004F7A03">
        <w:rPr>
          <w:lang w:eastAsia="ja-JP"/>
        </w:rPr>
        <w:t>breaking.</w:t>
      </w:r>
      <w:r>
        <w:rPr>
          <w:lang w:eastAsia="ja-JP"/>
        </w:rPr>
        <w:t xml:space="preserve"> It also continued to issue infringements or official warnings for detected breaches, resulting in 79 official warnings and 48 infringements totalling $564,300 in fines.</w:t>
      </w:r>
    </w:p>
    <w:p w14:paraId="2AE88DDA" w14:textId="47CFD4C3" w:rsidR="00856406" w:rsidRDefault="00856406" w:rsidP="00F45F3A">
      <w:pPr>
        <w:pStyle w:val="BodyText"/>
        <w:rPr>
          <w:lang w:eastAsia="ja-JP"/>
        </w:rPr>
      </w:pPr>
      <w:r>
        <w:rPr>
          <w:lang w:eastAsia="ja-JP"/>
        </w:rPr>
        <w:t>The taskforce has continued to undertake its activities to educate the public and the industry about the issue, track market trends, monitor property sales campaigns, inspect estate agencies and attend auctions</w:t>
      </w:r>
      <w:r w:rsidRPr="004B2F0C">
        <w:rPr>
          <w:lang w:eastAsia="ja-JP"/>
        </w:rPr>
        <w:t>.</w:t>
      </w:r>
      <w:r>
        <w:rPr>
          <w:lang w:eastAsia="ja-JP"/>
        </w:rPr>
        <w:t xml:space="preserve"> The </w:t>
      </w:r>
      <w:r w:rsidRPr="004B2F0C">
        <w:rPr>
          <w:lang w:eastAsia="ja-JP"/>
        </w:rPr>
        <w:t>public</w:t>
      </w:r>
      <w:r w:rsidR="009421C7">
        <w:rPr>
          <w:lang w:eastAsia="ja-JP"/>
        </w:rPr>
        <w:t>’</w:t>
      </w:r>
      <w:r w:rsidRPr="004B2F0C">
        <w:rPr>
          <w:lang w:eastAsia="ja-JP"/>
        </w:rPr>
        <w:t>s</w:t>
      </w:r>
      <w:r>
        <w:rPr>
          <w:lang w:eastAsia="ja-JP"/>
        </w:rPr>
        <w:t xml:space="preserve"> </w:t>
      </w:r>
      <w:r w:rsidRPr="004B2F0C">
        <w:rPr>
          <w:lang w:eastAsia="ja-JP"/>
        </w:rPr>
        <w:t>help</w:t>
      </w:r>
      <w:r>
        <w:rPr>
          <w:lang w:eastAsia="ja-JP"/>
        </w:rPr>
        <w:t xml:space="preserve"> is vital, with the </w:t>
      </w:r>
      <w:r w:rsidRPr="006B5EB9">
        <w:rPr>
          <w:lang w:eastAsia="ja-JP"/>
        </w:rPr>
        <w:t>dedicated</w:t>
      </w:r>
      <w:r>
        <w:rPr>
          <w:lang w:eastAsia="ja-JP"/>
        </w:rPr>
        <w:t xml:space="preserve"> </w:t>
      </w:r>
      <w:r w:rsidRPr="006B5EB9">
        <w:rPr>
          <w:lang w:eastAsia="ja-JP"/>
        </w:rPr>
        <w:t>underquoting</w:t>
      </w:r>
      <w:r>
        <w:rPr>
          <w:lang w:eastAsia="ja-JP"/>
        </w:rPr>
        <w:t xml:space="preserve"> </w:t>
      </w:r>
      <w:r w:rsidRPr="006B5EB9">
        <w:rPr>
          <w:lang w:eastAsia="ja-JP"/>
        </w:rPr>
        <w:t>complaints</w:t>
      </w:r>
      <w:r>
        <w:rPr>
          <w:lang w:eastAsia="ja-JP"/>
        </w:rPr>
        <w:t xml:space="preserve"> web</w:t>
      </w:r>
      <w:r w:rsidRPr="006B5EB9">
        <w:rPr>
          <w:lang w:eastAsia="ja-JP"/>
        </w:rPr>
        <w:t>form</w:t>
      </w:r>
      <w:r>
        <w:rPr>
          <w:lang w:eastAsia="ja-JP"/>
        </w:rPr>
        <w:t xml:space="preserve"> used to help identify suspected breaches. It has continued to see a steady stream of reports lodged this year, with all reports reviewed by the taskforce.</w:t>
      </w:r>
    </w:p>
    <w:p w14:paraId="36969E6A" w14:textId="77777777" w:rsidR="00856406" w:rsidRDefault="00856406" w:rsidP="00F45F3A">
      <w:pPr>
        <w:pStyle w:val="BodyText"/>
        <w:rPr>
          <w:lang w:eastAsia="ja-JP"/>
        </w:rPr>
      </w:pPr>
      <w:r>
        <w:rPr>
          <w:lang w:eastAsia="ja-JP"/>
        </w:rPr>
        <w:t xml:space="preserve">While compliance actions remain a priority, </w:t>
      </w:r>
      <w:r w:rsidRPr="004F7A03" w:rsidDel="00EE52C6">
        <w:rPr>
          <w:lang w:eastAsia="ja-JP"/>
        </w:rPr>
        <w:t>the</w:t>
      </w:r>
      <w:r>
        <w:rPr>
          <w:lang w:eastAsia="ja-JP"/>
        </w:rPr>
        <w:t xml:space="preserve"> taskforce </w:t>
      </w:r>
      <w:r w:rsidRPr="004F7A03">
        <w:rPr>
          <w:lang w:eastAsia="ja-JP"/>
        </w:rPr>
        <w:t>also</w:t>
      </w:r>
      <w:r>
        <w:rPr>
          <w:lang w:eastAsia="ja-JP"/>
        </w:rPr>
        <w:t xml:space="preserve"> improved cooperation with the property industry, working with the REIV, talking to agents at </w:t>
      </w:r>
      <w:r w:rsidRPr="004F7A03">
        <w:rPr>
          <w:lang w:eastAsia="ja-JP"/>
        </w:rPr>
        <w:t>auctions</w:t>
      </w:r>
      <w:r>
        <w:rPr>
          <w:lang w:eastAsia="ja-JP"/>
        </w:rPr>
        <w:t xml:space="preserve"> </w:t>
      </w:r>
      <w:r w:rsidRPr="004F7A03">
        <w:rPr>
          <w:lang w:eastAsia="ja-JP"/>
        </w:rPr>
        <w:t>and</w:t>
      </w:r>
      <w:r>
        <w:rPr>
          <w:lang w:eastAsia="ja-JP"/>
        </w:rPr>
        <w:t xml:space="preserve"> </w:t>
      </w:r>
      <w:r w:rsidRPr="004F7A03">
        <w:rPr>
          <w:lang w:eastAsia="ja-JP"/>
        </w:rPr>
        <w:t>sharing</w:t>
      </w:r>
      <w:r>
        <w:rPr>
          <w:lang w:eastAsia="ja-JP"/>
        </w:rPr>
        <w:t xml:space="preserve"> </w:t>
      </w:r>
      <w:r w:rsidRPr="004F7A03">
        <w:rPr>
          <w:lang w:eastAsia="ja-JP"/>
        </w:rPr>
        <w:t>updates</w:t>
      </w:r>
      <w:r>
        <w:rPr>
          <w:lang w:eastAsia="ja-JP"/>
        </w:rPr>
        <w:t xml:space="preserve"> </w:t>
      </w:r>
      <w:r w:rsidRPr="004F7A03">
        <w:rPr>
          <w:lang w:eastAsia="ja-JP"/>
        </w:rPr>
        <w:t>and</w:t>
      </w:r>
      <w:r>
        <w:rPr>
          <w:lang w:eastAsia="ja-JP"/>
        </w:rPr>
        <w:t xml:space="preserve"> </w:t>
      </w:r>
      <w:r w:rsidRPr="004F7A03">
        <w:rPr>
          <w:lang w:eastAsia="ja-JP"/>
        </w:rPr>
        <w:t>news</w:t>
      </w:r>
      <w:r>
        <w:rPr>
          <w:lang w:eastAsia="ja-JP"/>
        </w:rPr>
        <w:t xml:space="preserve"> </w:t>
      </w:r>
      <w:r w:rsidRPr="004F7A03">
        <w:rPr>
          <w:lang w:eastAsia="ja-JP"/>
        </w:rPr>
        <w:t>about</w:t>
      </w:r>
      <w:r>
        <w:rPr>
          <w:lang w:eastAsia="ja-JP"/>
        </w:rPr>
        <w:t xml:space="preserve"> </w:t>
      </w:r>
      <w:r w:rsidRPr="004F7A03">
        <w:rPr>
          <w:lang w:eastAsia="ja-JP"/>
        </w:rPr>
        <w:t>compliance.</w:t>
      </w:r>
      <w:r>
        <w:rPr>
          <w:lang w:eastAsia="ja-JP"/>
        </w:rPr>
        <w:t xml:space="preserve"> </w:t>
      </w:r>
      <w:r w:rsidRPr="004F7A03">
        <w:rPr>
          <w:lang w:eastAsia="ja-JP"/>
        </w:rPr>
        <w:t>These</w:t>
      </w:r>
      <w:r>
        <w:rPr>
          <w:lang w:eastAsia="ja-JP"/>
        </w:rPr>
        <w:t xml:space="preserve"> </w:t>
      </w:r>
      <w:r w:rsidRPr="004F7A03">
        <w:rPr>
          <w:lang w:eastAsia="ja-JP"/>
        </w:rPr>
        <w:t>actions</w:t>
      </w:r>
      <w:r>
        <w:rPr>
          <w:lang w:eastAsia="ja-JP"/>
        </w:rPr>
        <w:t xml:space="preserve"> </w:t>
      </w:r>
      <w:r w:rsidRPr="004F7A03">
        <w:rPr>
          <w:lang w:eastAsia="ja-JP"/>
        </w:rPr>
        <w:t>have</w:t>
      </w:r>
      <w:r>
        <w:rPr>
          <w:lang w:eastAsia="ja-JP"/>
        </w:rPr>
        <w:t xml:space="preserve"> </w:t>
      </w:r>
      <w:r w:rsidRPr="004F7A03">
        <w:rPr>
          <w:lang w:eastAsia="ja-JP"/>
        </w:rPr>
        <w:t>improved</w:t>
      </w:r>
      <w:r>
        <w:rPr>
          <w:lang w:eastAsia="ja-JP"/>
        </w:rPr>
        <w:t xml:space="preserve"> </w:t>
      </w:r>
      <w:r w:rsidRPr="004F7A03">
        <w:rPr>
          <w:lang w:eastAsia="ja-JP"/>
        </w:rPr>
        <w:t>training</w:t>
      </w:r>
      <w:r>
        <w:rPr>
          <w:lang w:eastAsia="ja-JP"/>
        </w:rPr>
        <w:t xml:space="preserve"> </w:t>
      </w:r>
      <w:r w:rsidRPr="004F7A03">
        <w:rPr>
          <w:lang w:eastAsia="ja-JP"/>
        </w:rPr>
        <w:t>for</w:t>
      </w:r>
      <w:r>
        <w:rPr>
          <w:lang w:eastAsia="ja-JP"/>
        </w:rPr>
        <w:t xml:space="preserve"> </w:t>
      </w:r>
      <w:r w:rsidRPr="004F7A03">
        <w:rPr>
          <w:lang w:eastAsia="ja-JP"/>
        </w:rPr>
        <w:t>agents</w:t>
      </w:r>
      <w:r>
        <w:rPr>
          <w:lang w:eastAsia="ja-JP"/>
        </w:rPr>
        <w:t xml:space="preserve"> </w:t>
      </w:r>
      <w:r w:rsidRPr="004F7A03">
        <w:rPr>
          <w:lang w:eastAsia="ja-JP"/>
        </w:rPr>
        <w:t>and</w:t>
      </w:r>
      <w:r>
        <w:rPr>
          <w:lang w:eastAsia="ja-JP"/>
        </w:rPr>
        <w:t xml:space="preserve"> helped convey </w:t>
      </w:r>
      <w:r w:rsidRPr="004F7A03">
        <w:rPr>
          <w:lang w:eastAsia="ja-JP"/>
        </w:rPr>
        <w:t>a</w:t>
      </w:r>
      <w:r>
        <w:rPr>
          <w:lang w:eastAsia="ja-JP"/>
        </w:rPr>
        <w:t xml:space="preserve"> </w:t>
      </w:r>
      <w:r w:rsidRPr="004F7A03">
        <w:rPr>
          <w:lang w:eastAsia="ja-JP"/>
        </w:rPr>
        <w:t>consistent</w:t>
      </w:r>
      <w:r>
        <w:rPr>
          <w:lang w:eastAsia="ja-JP"/>
        </w:rPr>
        <w:t xml:space="preserve"> </w:t>
      </w:r>
      <w:r w:rsidRPr="004F7A03">
        <w:rPr>
          <w:lang w:eastAsia="ja-JP"/>
        </w:rPr>
        <w:t>message</w:t>
      </w:r>
      <w:r>
        <w:rPr>
          <w:lang w:eastAsia="ja-JP"/>
        </w:rPr>
        <w:t xml:space="preserve"> </w:t>
      </w:r>
      <w:r w:rsidRPr="004F7A03">
        <w:rPr>
          <w:lang w:eastAsia="ja-JP"/>
        </w:rPr>
        <w:t>to</w:t>
      </w:r>
      <w:r>
        <w:rPr>
          <w:lang w:eastAsia="ja-JP"/>
        </w:rPr>
        <w:t xml:space="preserve"> </w:t>
      </w:r>
      <w:r w:rsidRPr="004F7A03">
        <w:rPr>
          <w:lang w:eastAsia="ja-JP"/>
        </w:rPr>
        <w:t>everyone</w:t>
      </w:r>
      <w:r>
        <w:rPr>
          <w:lang w:eastAsia="ja-JP"/>
        </w:rPr>
        <w:t xml:space="preserve"> </w:t>
      </w:r>
      <w:r w:rsidRPr="004F7A03">
        <w:rPr>
          <w:lang w:eastAsia="ja-JP"/>
        </w:rPr>
        <w:t>in</w:t>
      </w:r>
      <w:r>
        <w:rPr>
          <w:lang w:eastAsia="ja-JP"/>
        </w:rPr>
        <w:t xml:space="preserve"> </w:t>
      </w:r>
      <w:r w:rsidRPr="004F7A03">
        <w:rPr>
          <w:lang w:eastAsia="ja-JP"/>
        </w:rPr>
        <w:t>the</w:t>
      </w:r>
      <w:r>
        <w:rPr>
          <w:lang w:eastAsia="ja-JP"/>
        </w:rPr>
        <w:t xml:space="preserve"> </w:t>
      </w:r>
      <w:r w:rsidRPr="004F7A03">
        <w:rPr>
          <w:lang w:eastAsia="ja-JP"/>
        </w:rPr>
        <w:t>industry.</w:t>
      </w:r>
      <w:r>
        <w:rPr>
          <w:lang w:eastAsia="ja-JP"/>
        </w:rPr>
        <w:t xml:space="preserve"> It is clear many estate agents share a strong commitment to eliminating underquoting from their industry. Agent reports consistently account for about a third of all webform reports to CAV about underquoting.</w:t>
      </w:r>
    </w:p>
    <w:p w14:paraId="4B482784" w14:textId="77777777" w:rsidR="00856406" w:rsidRPr="00721505" w:rsidRDefault="00856406" w:rsidP="00F45F3A">
      <w:pPr>
        <w:pStyle w:val="BodyText"/>
        <w:rPr>
          <w:lang w:eastAsia="ja-JP"/>
        </w:rPr>
      </w:pPr>
      <w:r>
        <w:rPr>
          <w:lang w:eastAsia="ja-JP"/>
        </w:rPr>
        <w:t>CAV will continue its priority focus on underquoting in the coming year, with a strong commitment to driving this deceptive practice out of the property market.</w:t>
      </w:r>
    </w:p>
    <w:p w14:paraId="2A20D915" w14:textId="58C22159" w:rsidR="00856406" w:rsidRPr="00A4404F" w:rsidRDefault="00856406" w:rsidP="00962057">
      <w:pPr>
        <w:pStyle w:val="Caption"/>
        <w:rPr>
          <w:i/>
          <w:lang w:eastAsia="ja-JP"/>
        </w:rPr>
      </w:pPr>
      <w:bookmarkStart w:id="48" w:name="_Toc208394173"/>
      <w:bookmarkStart w:id="49" w:name="_Toc212562074"/>
      <w:bookmarkStart w:id="50" w:name="_Toc199142535"/>
      <w:r w:rsidRPr="00A4404F">
        <w:t>Table</w:t>
      </w:r>
      <w:r>
        <w:t xml:space="preserve"> 7</w:t>
      </w:r>
      <w:r w:rsidRPr="00A4404F">
        <w:t>:</w:t>
      </w:r>
      <w:r>
        <w:t xml:space="preserve"> </w:t>
      </w:r>
      <w:r w:rsidRPr="00A4404F">
        <w:t>Underquoting</w:t>
      </w:r>
      <w:r>
        <w:t xml:space="preserve"> t</w:t>
      </w:r>
      <w:r w:rsidRPr="00A4404F">
        <w:t>askforce</w:t>
      </w:r>
      <w:r>
        <w:t xml:space="preserve"> </w:t>
      </w:r>
      <w:r w:rsidRPr="00A4404F">
        <w:t>activit</w:t>
      </w:r>
      <w:bookmarkEnd w:id="48"/>
      <w:r w:rsidR="00A25171">
        <w:t>ies</w:t>
      </w:r>
      <w:bookmarkEnd w:id="49"/>
    </w:p>
    <w:tbl>
      <w:tblPr>
        <w:tblStyle w:val="TableGrid"/>
        <w:tblW w:w="9072" w:type="dxa"/>
        <w:tblLook w:val="06A0" w:firstRow="1" w:lastRow="0" w:firstColumn="1" w:lastColumn="0" w:noHBand="1" w:noVBand="1"/>
      </w:tblPr>
      <w:tblGrid>
        <w:gridCol w:w="6350"/>
        <w:gridCol w:w="1361"/>
        <w:gridCol w:w="1361"/>
      </w:tblGrid>
      <w:tr w:rsidR="00856406" w:rsidRPr="00EF4E40" w14:paraId="7D6B25F1" w14:textId="77777777" w:rsidTr="005B7969">
        <w:trPr>
          <w:cnfStyle w:val="100000000000" w:firstRow="1" w:lastRow="0" w:firstColumn="0" w:lastColumn="0" w:oddVBand="0" w:evenVBand="0" w:oddHBand="0" w:evenHBand="0" w:firstRowFirstColumn="0" w:firstRowLastColumn="0" w:lastRowFirstColumn="0" w:lastRowLastColumn="0"/>
          <w:tblHeader/>
        </w:trPr>
        <w:tc>
          <w:tcPr>
            <w:tcW w:w="6350" w:type="dxa"/>
          </w:tcPr>
          <w:p w14:paraId="4934C435" w14:textId="77777777" w:rsidR="00856406" w:rsidRPr="00097C18" w:rsidRDefault="00856406" w:rsidP="00962057">
            <w:pPr>
              <w:pStyle w:val="TableColHead"/>
              <w:rPr>
                <w:lang w:eastAsia="ja-JP"/>
              </w:rPr>
            </w:pPr>
            <w:r w:rsidRPr="00097C18">
              <w:rPr>
                <w:lang w:eastAsia="ja-JP"/>
              </w:rPr>
              <w:t>Activity</w:t>
            </w:r>
          </w:p>
        </w:tc>
        <w:tc>
          <w:tcPr>
            <w:tcW w:w="1361" w:type="dxa"/>
          </w:tcPr>
          <w:p w14:paraId="08580D55" w14:textId="1377A1A0" w:rsidR="00856406" w:rsidRPr="00097C18" w:rsidRDefault="00EE79C3" w:rsidP="00962057">
            <w:pPr>
              <w:pStyle w:val="TableColHeadRight"/>
              <w:rPr>
                <w:lang w:eastAsia="ja-JP"/>
              </w:rPr>
            </w:pPr>
            <w:r>
              <w:rPr>
                <w:lang w:eastAsia="ja-JP"/>
              </w:rPr>
              <w:t>2023–24</w:t>
            </w:r>
          </w:p>
        </w:tc>
        <w:tc>
          <w:tcPr>
            <w:tcW w:w="1361" w:type="dxa"/>
          </w:tcPr>
          <w:p w14:paraId="350434D2" w14:textId="3073C41A" w:rsidR="00856406" w:rsidRPr="00097C18" w:rsidRDefault="00EE79C3" w:rsidP="00962057">
            <w:pPr>
              <w:pStyle w:val="TableColHeadRight"/>
              <w:rPr>
                <w:lang w:eastAsia="ja-JP"/>
              </w:rPr>
            </w:pPr>
            <w:r>
              <w:rPr>
                <w:lang w:eastAsia="ja-JP"/>
              </w:rPr>
              <w:t>2024–25</w:t>
            </w:r>
          </w:p>
        </w:tc>
      </w:tr>
      <w:tr w:rsidR="00856406" w14:paraId="5919E2DE" w14:textId="77777777" w:rsidTr="005B7969">
        <w:tc>
          <w:tcPr>
            <w:tcW w:w="6350" w:type="dxa"/>
          </w:tcPr>
          <w:p w14:paraId="129B7D99" w14:textId="77777777" w:rsidR="00856406" w:rsidRPr="00097C18" w:rsidRDefault="00856406" w:rsidP="00962057">
            <w:pPr>
              <w:pStyle w:val="TableText"/>
              <w:rPr>
                <w:lang w:eastAsia="ja-JP"/>
              </w:rPr>
            </w:pPr>
            <w:r w:rsidRPr="00097C18">
              <w:rPr>
                <w:lang w:eastAsia="ja-JP"/>
              </w:rPr>
              <w:t>Unique</w:t>
            </w:r>
            <w:r>
              <w:rPr>
                <w:lang w:eastAsia="ja-JP"/>
              </w:rPr>
              <w:t xml:space="preserve"> </w:t>
            </w:r>
            <w:r w:rsidRPr="00097C18">
              <w:rPr>
                <w:lang w:eastAsia="ja-JP"/>
              </w:rPr>
              <w:t>complaints</w:t>
            </w:r>
            <w:r>
              <w:rPr>
                <w:lang w:eastAsia="ja-JP"/>
              </w:rPr>
              <w:t xml:space="preserve"> </w:t>
            </w:r>
            <w:r w:rsidRPr="00097C18">
              <w:rPr>
                <w:lang w:eastAsia="ja-JP"/>
              </w:rPr>
              <w:t>submitted</w:t>
            </w:r>
            <w:r>
              <w:rPr>
                <w:lang w:eastAsia="ja-JP"/>
              </w:rPr>
              <w:t xml:space="preserve"> </w:t>
            </w:r>
            <w:r w:rsidRPr="00097C18">
              <w:rPr>
                <w:lang w:eastAsia="ja-JP"/>
              </w:rPr>
              <w:t>via</w:t>
            </w:r>
            <w:r>
              <w:rPr>
                <w:lang w:eastAsia="ja-JP"/>
              </w:rPr>
              <w:t xml:space="preserve"> </w:t>
            </w:r>
            <w:r w:rsidRPr="00097C18">
              <w:rPr>
                <w:lang w:eastAsia="ja-JP"/>
              </w:rPr>
              <w:t>webform</w:t>
            </w:r>
          </w:p>
        </w:tc>
        <w:tc>
          <w:tcPr>
            <w:tcW w:w="1361" w:type="dxa"/>
          </w:tcPr>
          <w:p w14:paraId="722E118C" w14:textId="77777777" w:rsidR="00856406" w:rsidRPr="00097C18" w:rsidRDefault="00856406" w:rsidP="00962057">
            <w:pPr>
              <w:pStyle w:val="TableTextRight"/>
              <w:rPr>
                <w:lang w:eastAsia="ja-JP"/>
              </w:rPr>
            </w:pPr>
            <w:r w:rsidRPr="00097C18">
              <w:rPr>
                <w:lang w:eastAsia="ja-JP"/>
              </w:rPr>
              <w:t>1,848</w:t>
            </w:r>
          </w:p>
        </w:tc>
        <w:tc>
          <w:tcPr>
            <w:tcW w:w="1361" w:type="dxa"/>
          </w:tcPr>
          <w:p w14:paraId="6C642630" w14:textId="77777777" w:rsidR="00856406" w:rsidRPr="00097C18" w:rsidRDefault="00856406" w:rsidP="00962057">
            <w:pPr>
              <w:pStyle w:val="TableTextRight"/>
              <w:rPr>
                <w:lang w:eastAsia="ja-JP"/>
              </w:rPr>
            </w:pPr>
            <w:r w:rsidRPr="00097C18">
              <w:rPr>
                <w:lang w:eastAsia="ja-JP"/>
              </w:rPr>
              <w:t>1,647</w:t>
            </w:r>
          </w:p>
        </w:tc>
      </w:tr>
      <w:tr w:rsidR="00856406" w14:paraId="0CF2421A" w14:textId="77777777" w:rsidTr="005B7969">
        <w:tc>
          <w:tcPr>
            <w:tcW w:w="6350" w:type="dxa"/>
          </w:tcPr>
          <w:p w14:paraId="512139FC" w14:textId="77777777" w:rsidR="00856406" w:rsidRPr="00097C18" w:rsidRDefault="00856406" w:rsidP="00962057">
            <w:pPr>
              <w:pStyle w:val="TableText"/>
              <w:rPr>
                <w:lang w:eastAsia="ja-JP"/>
              </w:rPr>
            </w:pPr>
            <w:r w:rsidRPr="00097C18">
              <w:rPr>
                <w:lang w:eastAsia="ja-JP"/>
              </w:rPr>
              <w:t>Sales</w:t>
            </w:r>
            <w:r>
              <w:rPr>
                <w:lang w:eastAsia="ja-JP"/>
              </w:rPr>
              <w:t xml:space="preserve"> </w:t>
            </w:r>
            <w:r w:rsidRPr="00097C18">
              <w:rPr>
                <w:lang w:eastAsia="ja-JP"/>
              </w:rPr>
              <w:t>campaigns</w:t>
            </w:r>
            <w:r>
              <w:rPr>
                <w:lang w:eastAsia="ja-JP"/>
              </w:rPr>
              <w:t xml:space="preserve"> </w:t>
            </w:r>
            <w:r w:rsidRPr="00097C18">
              <w:rPr>
                <w:lang w:eastAsia="ja-JP"/>
              </w:rPr>
              <w:t>reviewed</w:t>
            </w:r>
          </w:p>
        </w:tc>
        <w:tc>
          <w:tcPr>
            <w:tcW w:w="1361" w:type="dxa"/>
          </w:tcPr>
          <w:p w14:paraId="02BA6280" w14:textId="77777777" w:rsidR="00856406" w:rsidRPr="00097C18" w:rsidRDefault="00856406" w:rsidP="00962057">
            <w:pPr>
              <w:pStyle w:val="TableTextRight"/>
              <w:rPr>
                <w:lang w:eastAsia="ja-JP"/>
              </w:rPr>
            </w:pPr>
            <w:r w:rsidRPr="00097C18">
              <w:rPr>
                <w:lang w:eastAsia="ja-JP"/>
              </w:rPr>
              <w:t>1,547</w:t>
            </w:r>
          </w:p>
        </w:tc>
        <w:tc>
          <w:tcPr>
            <w:tcW w:w="1361" w:type="dxa"/>
          </w:tcPr>
          <w:p w14:paraId="436175D5" w14:textId="77777777" w:rsidR="00856406" w:rsidRPr="00097C18" w:rsidRDefault="00856406" w:rsidP="00962057">
            <w:pPr>
              <w:pStyle w:val="TableTextRight"/>
              <w:rPr>
                <w:lang w:eastAsia="ja-JP"/>
              </w:rPr>
            </w:pPr>
            <w:r w:rsidRPr="00097C18">
              <w:rPr>
                <w:lang w:eastAsia="ja-JP"/>
              </w:rPr>
              <w:t>600</w:t>
            </w:r>
          </w:p>
        </w:tc>
      </w:tr>
      <w:tr w:rsidR="00856406" w14:paraId="5756135F" w14:textId="77777777" w:rsidTr="005B7969">
        <w:tc>
          <w:tcPr>
            <w:tcW w:w="6350" w:type="dxa"/>
          </w:tcPr>
          <w:p w14:paraId="44DEA222" w14:textId="77777777" w:rsidR="00856406" w:rsidRPr="00097C18" w:rsidRDefault="00856406" w:rsidP="00962057">
            <w:pPr>
              <w:pStyle w:val="TableText"/>
              <w:rPr>
                <w:lang w:eastAsia="ja-JP"/>
              </w:rPr>
            </w:pPr>
            <w:r w:rsidRPr="00097C18">
              <w:rPr>
                <w:lang w:eastAsia="ja-JP"/>
              </w:rPr>
              <w:t>Auctions</w:t>
            </w:r>
            <w:r>
              <w:rPr>
                <w:lang w:eastAsia="ja-JP"/>
              </w:rPr>
              <w:t xml:space="preserve"> </w:t>
            </w:r>
            <w:r w:rsidRPr="00097C18">
              <w:rPr>
                <w:lang w:eastAsia="ja-JP"/>
              </w:rPr>
              <w:t>attended</w:t>
            </w:r>
          </w:p>
        </w:tc>
        <w:tc>
          <w:tcPr>
            <w:tcW w:w="1361" w:type="dxa"/>
          </w:tcPr>
          <w:p w14:paraId="2BFEBF28" w14:textId="77777777" w:rsidR="00856406" w:rsidRPr="00097C18" w:rsidRDefault="00856406" w:rsidP="00962057">
            <w:pPr>
              <w:pStyle w:val="TableTextRight"/>
              <w:rPr>
                <w:lang w:eastAsia="ja-JP"/>
              </w:rPr>
            </w:pPr>
            <w:r w:rsidRPr="00097C18">
              <w:rPr>
                <w:lang w:eastAsia="ja-JP"/>
              </w:rPr>
              <w:t>147</w:t>
            </w:r>
          </w:p>
        </w:tc>
        <w:tc>
          <w:tcPr>
            <w:tcW w:w="1361" w:type="dxa"/>
          </w:tcPr>
          <w:p w14:paraId="66F81BF9" w14:textId="77777777" w:rsidR="00856406" w:rsidRPr="00097C18" w:rsidRDefault="00856406" w:rsidP="00962057">
            <w:pPr>
              <w:pStyle w:val="TableTextRight"/>
              <w:rPr>
                <w:lang w:eastAsia="ja-JP"/>
              </w:rPr>
            </w:pPr>
            <w:r w:rsidRPr="00097C18">
              <w:rPr>
                <w:lang w:eastAsia="ja-JP"/>
              </w:rPr>
              <w:t>92</w:t>
            </w:r>
          </w:p>
        </w:tc>
      </w:tr>
      <w:tr w:rsidR="00856406" w14:paraId="76F72E27" w14:textId="77777777" w:rsidTr="005B7969">
        <w:tc>
          <w:tcPr>
            <w:tcW w:w="6350" w:type="dxa"/>
          </w:tcPr>
          <w:p w14:paraId="1C31FD47" w14:textId="77777777" w:rsidR="00856406" w:rsidRPr="00097C18" w:rsidRDefault="00856406" w:rsidP="00962057">
            <w:pPr>
              <w:pStyle w:val="TableText"/>
              <w:rPr>
                <w:lang w:eastAsia="ja-JP"/>
              </w:rPr>
            </w:pPr>
            <w:r w:rsidRPr="00097C18">
              <w:rPr>
                <w:lang w:eastAsia="ja-JP"/>
              </w:rPr>
              <w:t>Infringement</w:t>
            </w:r>
            <w:r>
              <w:rPr>
                <w:lang w:eastAsia="ja-JP"/>
              </w:rPr>
              <w:t xml:space="preserve"> </w:t>
            </w:r>
            <w:r w:rsidRPr="00097C18">
              <w:rPr>
                <w:lang w:eastAsia="ja-JP"/>
              </w:rPr>
              <w:t>notices</w:t>
            </w:r>
            <w:r>
              <w:rPr>
                <w:lang w:eastAsia="ja-JP"/>
              </w:rPr>
              <w:t xml:space="preserve"> </w:t>
            </w:r>
            <w:r w:rsidRPr="00097C18">
              <w:rPr>
                <w:lang w:eastAsia="ja-JP"/>
              </w:rPr>
              <w:t>issued</w:t>
            </w:r>
          </w:p>
        </w:tc>
        <w:tc>
          <w:tcPr>
            <w:tcW w:w="1361" w:type="dxa"/>
          </w:tcPr>
          <w:p w14:paraId="44CE577F" w14:textId="77777777" w:rsidR="00856406" w:rsidRPr="00097C18" w:rsidRDefault="00856406" w:rsidP="00962057">
            <w:pPr>
              <w:pStyle w:val="TableTextRight"/>
              <w:rPr>
                <w:lang w:eastAsia="ja-JP"/>
              </w:rPr>
            </w:pPr>
            <w:r w:rsidRPr="00097C18">
              <w:rPr>
                <w:lang w:eastAsia="ja-JP"/>
              </w:rPr>
              <w:t>89</w:t>
            </w:r>
          </w:p>
        </w:tc>
        <w:tc>
          <w:tcPr>
            <w:tcW w:w="1361" w:type="dxa"/>
          </w:tcPr>
          <w:p w14:paraId="3AFF80A6" w14:textId="77777777" w:rsidR="00856406" w:rsidRPr="00097C18" w:rsidRDefault="00856406" w:rsidP="00962057">
            <w:pPr>
              <w:pStyle w:val="TableTextRight"/>
              <w:rPr>
                <w:lang w:eastAsia="ja-JP"/>
              </w:rPr>
            </w:pPr>
            <w:r w:rsidRPr="00097C18">
              <w:rPr>
                <w:lang w:eastAsia="ja-JP"/>
              </w:rPr>
              <w:t>48</w:t>
            </w:r>
          </w:p>
        </w:tc>
      </w:tr>
      <w:tr w:rsidR="00856406" w14:paraId="3FB5E2CC" w14:textId="77777777" w:rsidTr="005B7969">
        <w:tc>
          <w:tcPr>
            <w:tcW w:w="6350" w:type="dxa"/>
          </w:tcPr>
          <w:p w14:paraId="03B283CF" w14:textId="77777777" w:rsidR="00856406" w:rsidRPr="00097C18" w:rsidRDefault="00856406" w:rsidP="00962057">
            <w:pPr>
              <w:pStyle w:val="TableText"/>
              <w:rPr>
                <w:lang w:eastAsia="ja-JP"/>
              </w:rPr>
            </w:pPr>
            <w:r w:rsidRPr="00097C18">
              <w:rPr>
                <w:lang w:eastAsia="ja-JP"/>
              </w:rPr>
              <w:t>Fines</w:t>
            </w:r>
            <w:r>
              <w:rPr>
                <w:lang w:eastAsia="ja-JP"/>
              </w:rPr>
              <w:t xml:space="preserve"> </w:t>
            </w:r>
            <w:r w:rsidRPr="00097C18">
              <w:rPr>
                <w:lang w:eastAsia="ja-JP"/>
              </w:rPr>
              <w:t>issued</w:t>
            </w:r>
            <w:r>
              <w:rPr>
                <w:lang w:eastAsia="ja-JP"/>
              </w:rPr>
              <w:t xml:space="preserve"> </w:t>
            </w:r>
          </w:p>
        </w:tc>
        <w:tc>
          <w:tcPr>
            <w:tcW w:w="1361" w:type="dxa"/>
          </w:tcPr>
          <w:p w14:paraId="72775691" w14:textId="77777777" w:rsidR="00856406" w:rsidRPr="00097C18" w:rsidRDefault="00856406" w:rsidP="00962057">
            <w:pPr>
              <w:pStyle w:val="TableTextRight"/>
              <w:rPr>
                <w:lang w:eastAsia="ja-JP"/>
              </w:rPr>
            </w:pPr>
            <w:r>
              <w:rPr>
                <w:lang w:eastAsia="ja-JP"/>
              </w:rPr>
              <w:t>$</w:t>
            </w:r>
            <w:r w:rsidRPr="00097C18">
              <w:rPr>
                <w:lang w:eastAsia="ja-JP"/>
              </w:rPr>
              <w:t>1,001,720</w:t>
            </w:r>
          </w:p>
        </w:tc>
        <w:tc>
          <w:tcPr>
            <w:tcW w:w="1361" w:type="dxa"/>
          </w:tcPr>
          <w:p w14:paraId="6740E59F" w14:textId="77777777" w:rsidR="00856406" w:rsidRPr="00097C18" w:rsidRDefault="00856406" w:rsidP="00962057">
            <w:pPr>
              <w:pStyle w:val="TableTextRight"/>
              <w:rPr>
                <w:lang w:eastAsia="ja-JP"/>
              </w:rPr>
            </w:pPr>
            <w:r>
              <w:rPr>
                <w:lang w:eastAsia="ja-JP"/>
              </w:rPr>
              <w:t>$</w:t>
            </w:r>
            <w:r w:rsidRPr="00097C18">
              <w:rPr>
                <w:lang w:eastAsia="ja-JP"/>
              </w:rPr>
              <w:t>564,</w:t>
            </w:r>
            <w:r>
              <w:rPr>
                <w:lang w:eastAsia="ja-JP"/>
              </w:rPr>
              <w:t>300</w:t>
            </w:r>
          </w:p>
        </w:tc>
      </w:tr>
      <w:tr w:rsidR="00856406" w14:paraId="53CE1D16" w14:textId="77777777" w:rsidTr="005B7969">
        <w:tc>
          <w:tcPr>
            <w:tcW w:w="6350" w:type="dxa"/>
          </w:tcPr>
          <w:p w14:paraId="3FCA8460" w14:textId="77777777" w:rsidR="00856406" w:rsidRPr="00097C18" w:rsidRDefault="00856406" w:rsidP="00962057">
            <w:pPr>
              <w:pStyle w:val="TableText"/>
              <w:rPr>
                <w:lang w:eastAsia="ja-JP"/>
              </w:rPr>
            </w:pPr>
            <w:r w:rsidRPr="00097C18">
              <w:rPr>
                <w:lang w:eastAsia="ja-JP"/>
              </w:rPr>
              <w:t>Official</w:t>
            </w:r>
            <w:r>
              <w:rPr>
                <w:lang w:eastAsia="ja-JP"/>
              </w:rPr>
              <w:t xml:space="preserve"> </w:t>
            </w:r>
            <w:r w:rsidRPr="00097C18">
              <w:rPr>
                <w:lang w:eastAsia="ja-JP"/>
              </w:rPr>
              <w:t>warnings</w:t>
            </w:r>
            <w:r>
              <w:rPr>
                <w:lang w:eastAsia="ja-JP"/>
              </w:rPr>
              <w:t xml:space="preserve"> </w:t>
            </w:r>
            <w:r w:rsidRPr="00097C18">
              <w:rPr>
                <w:lang w:eastAsia="ja-JP"/>
              </w:rPr>
              <w:t>issued</w:t>
            </w:r>
          </w:p>
        </w:tc>
        <w:tc>
          <w:tcPr>
            <w:tcW w:w="1361" w:type="dxa"/>
          </w:tcPr>
          <w:p w14:paraId="57452FAA" w14:textId="77777777" w:rsidR="00856406" w:rsidRPr="00097C18" w:rsidRDefault="00856406" w:rsidP="00962057">
            <w:pPr>
              <w:pStyle w:val="TableTextRight"/>
              <w:rPr>
                <w:lang w:eastAsia="ja-JP"/>
              </w:rPr>
            </w:pPr>
            <w:r w:rsidRPr="00097C18">
              <w:rPr>
                <w:lang w:eastAsia="ja-JP"/>
              </w:rPr>
              <w:t>128</w:t>
            </w:r>
          </w:p>
        </w:tc>
        <w:tc>
          <w:tcPr>
            <w:tcW w:w="1361" w:type="dxa"/>
          </w:tcPr>
          <w:p w14:paraId="14426FF7" w14:textId="77777777" w:rsidR="00856406" w:rsidRPr="00097C18" w:rsidRDefault="00856406" w:rsidP="00962057">
            <w:pPr>
              <w:pStyle w:val="TableTextRight"/>
              <w:rPr>
                <w:lang w:eastAsia="ja-JP"/>
              </w:rPr>
            </w:pPr>
            <w:r w:rsidRPr="00097C18">
              <w:rPr>
                <w:lang w:eastAsia="ja-JP"/>
              </w:rPr>
              <w:t>79</w:t>
            </w:r>
          </w:p>
        </w:tc>
      </w:tr>
      <w:tr w:rsidR="00856406" w14:paraId="5119F7F4" w14:textId="77777777" w:rsidTr="005B7969">
        <w:tc>
          <w:tcPr>
            <w:tcW w:w="6350" w:type="dxa"/>
          </w:tcPr>
          <w:p w14:paraId="253EC456" w14:textId="77777777" w:rsidR="00856406" w:rsidRPr="00097C18" w:rsidRDefault="00856406" w:rsidP="00962057">
            <w:pPr>
              <w:pStyle w:val="TableText"/>
              <w:rPr>
                <w:lang w:eastAsia="ja-JP"/>
              </w:rPr>
            </w:pPr>
            <w:r w:rsidRPr="00097C18">
              <w:rPr>
                <w:lang w:eastAsia="ja-JP"/>
              </w:rPr>
              <w:t>Court</w:t>
            </w:r>
            <w:r>
              <w:rPr>
                <w:lang w:eastAsia="ja-JP"/>
              </w:rPr>
              <w:t xml:space="preserve"> </w:t>
            </w:r>
            <w:r w:rsidRPr="00097C18">
              <w:rPr>
                <w:lang w:eastAsia="ja-JP"/>
              </w:rPr>
              <w:t>proceedings</w:t>
            </w:r>
            <w:r>
              <w:rPr>
                <w:lang w:eastAsia="ja-JP"/>
              </w:rPr>
              <w:t xml:space="preserve"> </w:t>
            </w:r>
            <w:r w:rsidRPr="00097C18">
              <w:rPr>
                <w:lang w:eastAsia="ja-JP"/>
              </w:rPr>
              <w:t>initiated</w:t>
            </w:r>
          </w:p>
        </w:tc>
        <w:tc>
          <w:tcPr>
            <w:tcW w:w="1361" w:type="dxa"/>
          </w:tcPr>
          <w:p w14:paraId="73FEEDEE" w14:textId="77777777" w:rsidR="00856406" w:rsidRPr="00097C18" w:rsidRDefault="00856406" w:rsidP="00962057">
            <w:pPr>
              <w:pStyle w:val="TableTextRight"/>
              <w:rPr>
                <w:lang w:eastAsia="ja-JP"/>
              </w:rPr>
            </w:pPr>
            <w:r w:rsidRPr="00097C18">
              <w:rPr>
                <w:lang w:eastAsia="ja-JP"/>
              </w:rPr>
              <w:t>1</w:t>
            </w:r>
          </w:p>
        </w:tc>
        <w:tc>
          <w:tcPr>
            <w:tcW w:w="1361" w:type="dxa"/>
          </w:tcPr>
          <w:p w14:paraId="15FAC9BC" w14:textId="77777777" w:rsidR="00856406" w:rsidRPr="00097C18" w:rsidRDefault="00856406" w:rsidP="00962057">
            <w:pPr>
              <w:pStyle w:val="TableTextRight"/>
              <w:rPr>
                <w:lang w:eastAsia="ja-JP"/>
              </w:rPr>
            </w:pPr>
            <w:r w:rsidRPr="00097C18">
              <w:rPr>
                <w:lang w:eastAsia="ja-JP"/>
              </w:rPr>
              <w:t>4</w:t>
            </w:r>
          </w:p>
        </w:tc>
      </w:tr>
    </w:tbl>
    <w:p w14:paraId="75333E57" w14:textId="77777777" w:rsidR="00856406" w:rsidRPr="00EB0C9A" w:rsidRDefault="00856406" w:rsidP="00447322">
      <w:pPr>
        <w:pStyle w:val="Heading3"/>
      </w:pPr>
      <w:bookmarkStart w:id="51" w:name="_Toc204243159"/>
      <w:bookmarkEnd w:id="50"/>
      <w:r w:rsidRPr="00EB0C9A">
        <w:t>Trust</w:t>
      </w:r>
      <w:r>
        <w:t xml:space="preserve"> </w:t>
      </w:r>
      <w:r w:rsidRPr="00EB0C9A">
        <w:t>account</w:t>
      </w:r>
      <w:r>
        <w:t xml:space="preserve"> </w:t>
      </w:r>
      <w:r w:rsidRPr="00EB0C9A">
        <w:t>auditing</w:t>
      </w:r>
      <w:bookmarkEnd w:id="51"/>
    </w:p>
    <w:p w14:paraId="49EB9773" w14:textId="77777777" w:rsidR="00856406" w:rsidRDefault="00856406" w:rsidP="00F45F3A">
      <w:pPr>
        <w:pStyle w:val="BodyText"/>
      </w:pPr>
      <w:r w:rsidRPr="00717004">
        <w:t>Trust</w:t>
      </w:r>
      <w:r>
        <w:t xml:space="preserve"> </w:t>
      </w:r>
      <w:r w:rsidRPr="00717004">
        <w:t>accounts</w:t>
      </w:r>
      <w:r>
        <w:t xml:space="preserve"> </w:t>
      </w:r>
      <w:r w:rsidRPr="00717004">
        <w:t>are</w:t>
      </w:r>
      <w:r>
        <w:t xml:space="preserve"> </w:t>
      </w:r>
      <w:r w:rsidRPr="00717004">
        <w:t>vital</w:t>
      </w:r>
      <w:r>
        <w:t xml:space="preserve"> </w:t>
      </w:r>
      <w:r w:rsidRPr="00717004">
        <w:t>for</w:t>
      </w:r>
      <w:r>
        <w:t xml:space="preserve"> </w:t>
      </w:r>
      <w:r w:rsidRPr="00717004">
        <w:t>protecting</w:t>
      </w:r>
      <w:r>
        <w:t xml:space="preserve"> </w:t>
      </w:r>
      <w:r w:rsidRPr="00717004">
        <w:t>consumers</w:t>
      </w:r>
      <w:r>
        <w:t xml:space="preserve"> </w:t>
      </w:r>
      <w:r w:rsidRPr="00717004">
        <w:t>who</w:t>
      </w:r>
      <w:r>
        <w:t xml:space="preserve"> </w:t>
      </w:r>
      <w:r w:rsidRPr="00717004">
        <w:t>make</w:t>
      </w:r>
      <w:r>
        <w:t xml:space="preserve"> </w:t>
      </w:r>
      <w:r w:rsidRPr="00717004">
        <w:t>payments</w:t>
      </w:r>
      <w:r>
        <w:t xml:space="preserve">, such as rent, deposits or fees, </w:t>
      </w:r>
      <w:r w:rsidRPr="00717004">
        <w:t>to</w:t>
      </w:r>
      <w:r>
        <w:t xml:space="preserve"> </w:t>
      </w:r>
      <w:r w:rsidRPr="00717004">
        <w:t>real</w:t>
      </w:r>
      <w:r>
        <w:t xml:space="preserve"> </w:t>
      </w:r>
      <w:r w:rsidRPr="00717004">
        <w:t>estate</w:t>
      </w:r>
      <w:r>
        <w:t xml:space="preserve"> </w:t>
      </w:r>
      <w:r w:rsidRPr="00717004">
        <w:t>agents</w:t>
      </w:r>
      <w:r>
        <w:t xml:space="preserve"> </w:t>
      </w:r>
      <w:r w:rsidRPr="00717004">
        <w:t>and</w:t>
      </w:r>
      <w:r>
        <w:t xml:space="preserve"> </w:t>
      </w:r>
      <w:r w:rsidRPr="00717004">
        <w:t>conveyancers.</w:t>
      </w:r>
      <w:r>
        <w:t xml:space="preserve"> </w:t>
      </w:r>
      <w:r w:rsidRPr="00717004">
        <w:t>By</w:t>
      </w:r>
      <w:r>
        <w:t xml:space="preserve"> </w:t>
      </w:r>
      <w:r w:rsidRPr="00717004">
        <w:t>law,</w:t>
      </w:r>
      <w:r>
        <w:t xml:space="preserve"> </w:t>
      </w:r>
      <w:r w:rsidRPr="00717004">
        <w:t>real</w:t>
      </w:r>
      <w:r>
        <w:t xml:space="preserve"> </w:t>
      </w:r>
      <w:r w:rsidRPr="00717004">
        <w:t>estate</w:t>
      </w:r>
      <w:r>
        <w:t xml:space="preserve"> </w:t>
      </w:r>
      <w:r w:rsidRPr="00717004">
        <w:t>agents</w:t>
      </w:r>
      <w:r>
        <w:t xml:space="preserve"> </w:t>
      </w:r>
      <w:r w:rsidRPr="00717004">
        <w:t>and</w:t>
      </w:r>
      <w:r>
        <w:t xml:space="preserve"> </w:t>
      </w:r>
      <w:r w:rsidRPr="00717004">
        <w:t>conveyancers</w:t>
      </w:r>
      <w:r>
        <w:t xml:space="preserve"> </w:t>
      </w:r>
      <w:r w:rsidRPr="00717004">
        <w:t>are</w:t>
      </w:r>
      <w:r>
        <w:t xml:space="preserve"> </w:t>
      </w:r>
      <w:r w:rsidRPr="00717004">
        <w:t>required</w:t>
      </w:r>
      <w:r>
        <w:t xml:space="preserve"> </w:t>
      </w:r>
      <w:r w:rsidRPr="00717004">
        <w:t>to</w:t>
      </w:r>
      <w:r>
        <w:t xml:space="preserve"> </w:t>
      </w:r>
      <w:r w:rsidRPr="00717004">
        <w:t>deposit</w:t>
      </w:r>
      <w:r>
        <w:t xml:space="preserve"> </w:t>
      </w:r>
      <w:r w:rsidRPr="00717004">
        <w:t>advance</w:t>
      </w:r>
      <w:r>
        <w:t xml:space="preserve"> </w:t>
      </w:r>
      <w:r w:rsidRPr="00717004">
        <w:t>client</w:t>
      </w:r>
      <w:r>
        <w:t xml:space="preserve"> </w:t>
      </w:r>
      <w:r w:rsidRPr="00717004">
        <w:t>payments</w:t>
      </w:r>
      <w:r>
        <w:t xml:space="preserve"> </w:t>
      </w:r>
      <w:r w:rsidRPr="00717004">
        <w:t>into</w:t>
      </w:r>
      <w:r>
        <w:t xml:space="preserve"> </w:t>
      </w:r>
      <w:r w:rsidRPr="00717004">
        <w:t>statutory</w:t>
      </w:r>
      <w:r>
        <w:t xml:space="preserve"> </w:t>
      </w:r>
      <w:r w:rsidRPr="00717004">
        <w:t>trust</w:t>
      </w:r>
      <w:r>
        <w:t xml:space="preserve"> </w:t>
      </w:r>
      <w:r w:rsidRPr="00717004">
        <w:t>accounts,</w:t>
      </w:r>
      <w:r>
        <w:t xml:space="preserve"> </w:t>
      </w:r>
      <w:r w:rsidRPr="00717004">
        <w:t>ensuring</w:t>
      </w:r>
      <w:r>
        <w:t xml:space="preserve"> </w:t>
      </w:r>
      <w:r w:rsidRPr="00717004">
        <w:t>the</w:t>
      </w:r>
      <w:r>
        <w:t xml:space="preserve"> </w:t>
      </w:r>
      <w:r w:rsidRPr="00717004">
        <w:t>funds</w:t>
      </w:r>
      <w:r>
        <w:t xml:space="preserve"> </w:t>
      </w:r>
      <w:r w:rsidRPr="00717004">
        <w:t>are</w:t>
      </w:r>
      <w:r>
        <w:t xml:space="preserve"> </w:t>
      </w:r>
      <w:r w:rsidRPr="00717004">
        <w:t>securely</w:t>
      </w:r>
      <w:r>
        <w:t xml:space="preserve"> </w:t>
      </w:r>
      <w:r w:rsidRPr="00717004">
        <w:t>held</w:t>
      </w:r>
      <w:r>
        <w:t xml:space="preserve"> </w:t>
      </w:r>
      <w:r w:rsidRPr="00717004">
        <w:t>and</w:t>
      </w:r>
      <w:r>
        <w:t xml:space="preserve"> </w:t>
      </w:r>
      <w:r w:rsidRPr="00717004">
        <w:t>protected.</w:t>
      </w:r>
      <w:r>
        <w:t xml:space="preserve"> </w:t>
      </w:r>
      <w:r w:rsidRPr="00717004">
        <w:t>As</w:t>
      </w:r>
      <w:r>
        <w:t xml:space="preserve"> </w:t>
      </w:r>
      <w:r w:rsidRPr="00717004">
        <w:t>of</w:t>
      </w:r>
      <w:r>
        <w:t xml:space="preserve"> </w:t>
      </w:r>
      <w:r w:rsidRPr="00717004">
        <w:t>30</w:t>
      </w:r>
      <w:r>
        <w:t xml:space="preserve"> </w:t>
      </w:r>
      <w:r w:rsidRPr="00717004">
        <w:t>June</w:t>
      </w:r>
      <w:r>
        <w:t xml:space="preserve"> </w:t>
      </w:r>
      <w:r w:rsidRPr="00717004">
        <w:t>2025,</w:t>
      </w:r>
      <w:r>
        <w:t xml:space="preserve"> Victoria’s </w:t>
      </w:r>
      <w:r w:rsidRPr="00717004">
        <w:t>estate</w:t>
      </w:r>
      <w:r>
        <w:t xml:space="preserve"> </w:t>
      </w:r>
      <w:r w:rsidRPr="00717004">
        <w:t>agency</w:t>
      </w:r>
      <w:r>
        <w:t xml:space="preserve"> </w:t>
      </w:r>
      <w:r w:rsidRPr="00717004">
        <w:t>businesses</w:t>
      </w:r>
      <w:r>
        <w:t xml:space="preserve"> </w:t>
      </w:r>
      <w:r w:rsidRPr="00717004">
        <w:t>operate</w:t>
      </w:r>
      <w:r>
        <w:t xml:space="preserve"> </w:t>
      </w:r>
      <w:r w:rsidRPr="00717004">
        <w:t>6,210</w:t>
      </w:r>
      <w:r>
        <w:t xml:space="preserve"> </w:t>
      </w:r>
      <w:r w:rsidRPr="00717004">
        <w:t>statutory</w:t>
      </w:r>
      <w:r>
        <w:t xml:space="preserve"> </w:t>
      </w:r>
      <w:r w:rsidRPr="00717004">
        <w:t>trust</w:t>
      </w:r>
      <w:r>
        <w:t xml:space="preserve"> </w:t>
      </w:r>
      <w:r w:rsidRPr="00717004">
        <w:t>accounts,</w:t>
      </w:r>
      <w:r>
        <w:t xml:space="preserve"> and </w:t>
      </w:r>
      <w:r w:rsidRPr="00717004">
        <w:t>conveyancing</w:t>
      </w:r>
      <w:r>
        <w:t xml:space="preserve"> </w:t>
      </w:r>
      <w:r w:rsidRPr="00717004">
        <w:t>businesses</w:t>
      </w:r>
      <w:r>
        <w:t xml:space="preserve"> </w:t>
      </w:r>
      <w:r w:rsidRPr="00717004">
        <w:t>manage</w:t>
      </w:r>
      <w:r>
        <w:t xml:space="preserve"> </w:t>
      </w:r>
      <w:r w:rsidRPr="00717004">
        <w:t>374</w:t>
      </w:r>
      <w:r>
        <w:t xml:space="preserve"> </w:t>
      </w:r>
      <w:r w:rsidRPr="00717004">
        <w:t>such</w:t>
      </w:r>
      <w:r>
        <w:t xml:space="preserve"> </w:t>
      </w:r>
      <w:r w:rsidRPr="00717004">
        <w:t>accounts.</w:t>
      </w:r>
    </w:p>
    <w:p w14:paraId="6E1DFCC1" w14:textId="77777777" w:rsidR="00856406" w:rsidRPr="00717004" w:rsidRDefault="00856406" w:rsidP="00F45F3A">
      <w:pPr>
        <w:pStyle w:val="BodyText"/>
      </w:pPr>
      <w:r w:rsidRPr="00717004">
        <w:t>Annual</w:t>
      </w:r>
      <w:r>
        <w:t xml:space="preserve"> </w:t>
      </w:r>
      <w:r w:rsidRPr="00717004">
        <w:t>audits</w:t>
      </w:r>
      <w:r>
        <w:t xml:space="preserve"> </w:t>
      </w:r>
      <w:r w:rsidRPr="00717004">
        <w:t>of</w:t>
      </w:r>
      <w:r>
        <w:t xml:space="preserve"> </w:t>
      </w:r>
      <w:r w:rsidRPr="00717004">
        <w:t>these</w:t>
      </w:r>
      <w:r>
        <w:t xml:space="preserve"> </w:t>
      </w:r>
      <w:r w:rsidRPr="00717004">
        <w:t>accounts</w:t>
      </w:r>
      <w:r>
        <w:t xml:space="preserve"> </w:t>
      </w:r>
      <w:r w:rsidRPr="00717004">
        <w:t>are</w:t>
      </w:r>
      <w:r>
        <w:t xml:space="preserve"> </w:t>
      </w:r>
      <w:r w:rsidRPr="00717004">
        <w:t>crucial</w:t>
      </w:r>
      <w:r>
        <w:t xml:space="preserve"> </w:t>
      </w:r>
      <w:r w:rsidRPr="00717004">
        <w:t>to</w:t>
      </w:r>
      <w:r>
        <w:t xml:space="preserve"> </w:t>
      </w:r>
      <w:r w:rsidRPr="00717004">
        <w:t>prevent</w:t>
      </w:r>
      <w:r>
        <w:t xml:space="preserve"> </w:t>
      </w:r>
      <w:r w:rsidRPr="00717004">
        <w:t>the</w:t>
      </w:r>
      <w:r>
        <w:t xml:space="preserve"> </w:t>
      </w:r>
      <w:r w:rsidRPr="00717004">
        <w:t>misuse</w:t>
      </w:r>
      <w:r>
        <w:t xml:space="preserve"> </w:t>
      </w:r>
      <w:r w:rsidRPr="00717004">
        <w:t>or</w:t>
      </w:r>
      <w:r>
        <w:t xml:space="preserve"> </w:t>
      </w:r>
      <w:r w:rsidRPr="00717004">
        <w:t>theft</w:t>
      </w:r>
      <w:r>
        <w:t xml:space="preserve"> of client funds</w:t>
      </w:r>
      <w:r w:rsidRPr="00717004">
        <w:t>.</w:t>
      </w:r>
      <w:r>
        <w:t xml:space="preserve"> </w:t>
      </w:r>
      <w:r w:rsidRPr="00717004">
        <w:t>Estate</w:t>
      </w:r>
      <w:r>
        <w:t xml:space="preserve"> </w:t>
      </w:r>
      <w:r w:rsidRPr="00717004">
        <w:t>agents</w:t>
      </w:r>
      <w:r>
        <w:t xml:space="preserve"> </w:t>
      </w:r>
      <w:r w:rsidRPr="00717004">
        <w:t>and</w:t>
      </w:r>
      <w:r>
        <w:t xml:space="preserve"> </w:t>
      </w:r>
      <w:r w:rsidRPr="00717004">
        <w:t>conveyancers</w:t>
      </w:r>
      <w:r>
        <w:t xml:space="preserve"> </w:t>
      </w:r>
      <w:r w:rsidRPr="00717004">
        <w:t>who</w:t>
      </w:r>
      <w:r>
        <w:t xml:space="preserve"> </w:t>
      </w:r>
      <w:r w:rsidRPr="00717004">
        <w:t>manage</w:t>
      </w:r>
      <w:r>
        <w:t xml:space="preserve"> </w:t>
      </w:r>
      <w:r w:rsidRPr="00717004">
        <w:t>trust</w:t>
      </w:r>
      <w:r>
        <w:t xml:space="preserve"> </w:t>
      </w:r>
      <w:r w:rsidRPr="00717004">
        <w:t>funds</w:t>
      </w:r>
      <w:r>
        <w:t xml:space="preserve"> </w:t>
      </w:r>
      <w:r w:rsidRPr="00717004">
        <w:t>during</w:t>
      </w:r>
      <w:r>
        <w:t xml:space="preserve"> </w:t>
      </w:r>
      <w:r w:rsidRPr="00717004">
        <w:t>the</w:t>
      </w:r>
      <w:r>
        <w:t xml:space="preserve"> </w:t>
      </w:r>
      <w:r w:rsidRPr="00717004">
        <w:t>financial</w:t>
      </w:r>
      <w:r>
        <w:t xml:space="preserve"> </w:t>
      </w:r>
      <w:r w:rsidRPr="00717004">
        <w:t>year</w:t>
      </w:r>
      <w:r>
        <w:t xml:space="preserve"> </w:t>
      </w:r>
      <w:r w:rsidRPr="00717004">
        <w:t>must</w:t>
      </w:r>
      <w:r>
        <w:t xml:space="preserve"> </w:t>
      </w:r>
      <w:r w:rsidRPr="00717004">
        <w:t>submit</w:t>
      </w:r>
      <w:r>
        <w:t xml:space="preserve"> </w:t>
      </w:r>
      <w:r w:rsidRPr="00717004">
        <w:t>an</w:t>
      </w:r>
      <w:r>
        <w:t xml:space="preserve"> </w:t>
      </w:r>
      <w:r w:rsidRPr="00717004">
        <w:t>annual</w:t>
      </w:r>
      <w:r>
        <w:t xml:space="preserve"> </w:t>
      </w:r>
      <w:r w:rsidRPr="00717004">
        <w:t>trust</w:t>
      </w:r>
      <w:r>
        <w:t xml:space="preserve"> </w:t>
      </w:r>
      <w:r w:rsidRPr="00717004">
        <w:t>account</w:t>
      </w:r>
      <w:r>
        <w:t xml:space="preserve"> </w:t>
      </w:r>
      <w:r w:rsidRPr="00717004">
        <w:t>audit</w:t>
      </w:r>
      <w:r>
        <w:t xml:space="preserve">. While most meet their trust account auditing obligations without concern each year, for several years CAV has pursued a </w:t>
      </w:r>
      <w:r w:rsidRPr="00717004">
        <w:t>zero</w:t>
      </w:r>
      <w:r>
        <w:t xml:space="preserve"> </w:t>
      </w:r>
      <w:r w:rsidRPr="00717004">
        <w:t>tolerance</w:t>
      </w:r>
      <w:r>
        <w:t xml:space="preserve"> </w:t>
      </w:r>
      <w:r w:rsidRPr="00717004">
        <w:t>stance</w:t>
      </w:r>
      <w:r>
        <w:t xml:space="preserve"> </w:t>
      </w:r>
      <w:r w:rsidRPr="00717004">
        <w:t>on</w:t>
      </w:r>
      <w:r>
        <w:t xml:space="preserve"> </w:t>
      </w:r>
      <w:r w:rsidRPr="00717004">
        <w:t>non-compliance</w:t>
      </w:r>
      <w:r>
        <w:t xml:space="preserve"> </w:t>
      </w:r>
      <w:r w:rsidRPr="00717004">
        <w:t>with</w:t>
      </w:r>
      <w:r>
        <w:t xml:space="preserve"> these </w:t>
      </w:r>
      <w:r w:rsidRPr="00717004">
        <w:t>obligations</w:t>
      </w:r>
      <w:r>
        <w:t>, given their importance as a protection for consumers</w:t>
      </w:r>
      <w:r w:rsidRPr="00717004">
        <w:t>.</w:t>
      </w:r>
    </w:p>
    <w:p w14:paraId="0F765A1F" w14:textId="0E436C4E" w:rsidR="00856406" w:rsidRDefault="00856406" w:rsidP="00F45F3A">
      <w:pPr>
        <w:pStyle w:val="BodyText"/>
      </w:pPr>
      <w:r w:rsidRPr="00717004">
        <w:t>For</w:t>
      </w:r>
      <w:r>
        <w:t xml:space="preserve"> </w:t>
      </w:r>
      <w:r w:rsidRPr="00717004">
        <w:t>the</w:t>
      </w:r>
      <w:r>
        <w:t xml:space="preserve"> </w:t>
      </w:r>
      <w:r w:rsidR="00EE79C3">
        <w:t>2024–25</w:t>
      </w:r>
      <w:r>
        <w:t xml:space="preserve"> </w:t>
      </w:r>
      <w:r w:rsidRPr="00717004">
        <w:t>financial</w:t>
      </w:r>
      <w:r>
        <w:t xml:space="preserve"> </w:t>
      </w:r>
      <w:r w:rsidRPr="00717004">
        <w:t>year,</w:t>
      </w:r>
      <w:r>
        <w:t xml:space="preserve"> </w:t>
      </w:r>
      <w:r w:rsidRPr="00717004">
        <w:t>82</w:t>
      </w:r>
      <w:r>
        <w:t xml:space="preserve"> </w:t>
      </w:r>
      <w:r w:rsidRPr="00717004">
        <w:t>infringements</w:t>
      </w:r>
      <w:r>
        <w:t xml:space="preserve"> </w:t>
      </w:r>
      <w:r w:rsidRPr="00717004">
        <w:t>were</w:t>
      </w:r>
      <w:r>
        <w:t xml:space="preserve"> </w:t>
      </w:r>
      <w:r w:rsidRPr="00717004">
        <w:t>issued</w:t>
      </w:r>
      <w:r>
        <w:t xml:space="preserve"> </w:t>
      </w:r>
      <w:r w:rsidRPr="00717004">
        <w:t>to</w:t>
      </w:r>
      <w:r>
        <w:t xml:space="preserve"> </w:t>
      </w:r>
      <w:r w:rsidRPr="00717004">
        <w:t>estate</w:t>
      </w:r>
      <w:r>
        <w:t xml:space="preserve"> </w:t>
      </w:r>
      <w:r w:rsidRPr="00717004">
        <w:t>agents</w:t>
      </w:r>
      <w:r>
        <w:t xml:space="preserve"> </w:t>
      </w:r>
      <w:r w:rsidRPr="00717004">
        <w:t>and</w:t>
      </w:r>
      <w:r>
        <w:t xml:space="preserve"> </w:t>
      </w:r>
      <w:r w:rsidRPr="00717004">
        <w:t>4</w:t>
      </w:r>
      <w:r>
        <w:t xml:space="preserve"> </w:t>
      </w:r>
      <w:r w:rsidRPr="00717004">
        <w:t>to</w:t>
      </w:r>
      <w:r>
        <w:t xml:space="preserve"> </w:t>
      </w:r>
      <w:r w:rsidRPr="00717004">
        <w:t>conveyancers</w:t>
      </w:r>
      <w:r>
        <w:t xml:space="preserve">, </w:t>
      </w:r>
      <w:r w:rsidRPr="00717004">
        <w:t>for</w:t>
      </w:r>
      <w:r>
        <w:t xml:space="preserve"> </w:t>
      </w:r>
      <w:r w:rsidRPr="00717004">
        <w:t>audit</w:t>
      </w:r>
      <w:r>
        <w:t xml:space="preserve"> </w:t>
      </w:r>
      <w:r w:rsidRPr="00717004">
        <w:t>breaches</w:t>
      </w:r>
      <w:r>
        <w:t xml:space="preserve">. We also commenced 7 </w:t>
      </w:r>
      <w:r w:rsidRPr="00717004">
        <w:t>new</w:t>
      </w:r>
      <w:r>
        <w:t xml:space="preserve"> </w:t>
      </w:r>
      <w:r w:rsidRPr="00717004">
        <w:t>disciplinary</w:t>
      </w:r>
      <w:r>
        <w:t xml:space="preserve"> </w:t>
      </w:r>
      <w:r w:rsidRPr="00717004">
        <w:t>cases</w:t>
      </w:r>
      <w:r>
        <w:t xml:space="preserve"> at VCAT </w:t>
      </w:r>
      <w:r w:rsidRPr="00717004">
        <w:t>for</w:t>
      </w:r>
      <w:r>
        <w:t xml:space="preserve"> </w:t>
      </w:r>
      <w:r w:rsidRPr="00717004">
        <w:t>ongoing,</w:t>
      </w:r>
      <w:r>
        <w:t xml:space="preserve"> </w:t>
      </w:r>
      <w:r w:rsidRPr="00717004">
        <w:t>deliberate</w:t>
      </w:r>
      <w:r>
        <w:t xml:space="preserve"> </w:t>
      </w:r>
      <w:r w:rsidRPr="00717004">
        <w:t>non-compliance.</w:t>
      </w:r>
      <w:r>
        <w:t xml:space="preserve"> </w:t>
      </w:r>
      <w:r w:rsidRPr="00717004">
        <w:t>Serious</w:t>
      </w:r>
      <w:r>
        <w:t xml:space="preserve"> </w:t>
      </w:r>
      <w:r w:rsidRPr="00717004">
        <w:t>cases</w:t>
      </w:r>
      <w:r>
        <w:t xml:space="preserve"> </w:t>
      </w:r>
      <w:r w:rsidRPr="00717004">
        <w:t>are</w:t>
      </w:r>
      <w:r>
        <w:t xml:space="preserve"> </w:t>
      </w:r>
      <w:r w:rsidRPr="00717004">
        <w:t>referred</w:t>
      </w:r>
      <w:r>
        <w:t xml:space="preserve"> </w:t>
      </w:r>
      <w:r w:rsidRPr="00717004">
        <w:t>to</w:t>
      </w:r>
      <w:r>
        <w:t xml:space="preserve"> </w:t>
      </w:r>
      <w:r w:rsidRPr="00717004">
        <w:t>VCAT,</w:t>
      </w:r>
      <w:r>
        <w:t xml:space="preserve"> </w:t>
      </w:r>
      <w:r w:rsidRPr="00717004">
        <w:t>where</w:t>
      </w:r>
      <w:r>
        <w:t xml:space="preserve"> </w:t>
      </w:r>
      <w:r w:rsidRPr="00717004">
        <w:t>agents</w:t>
      </w:r>
      <w:r>
        <w:t xml:space="preserve"> and conveyancers </w:t>
      </w:r>
      <w:r w:rsidRPr="00717004">
        <w:t>risk</w:t>
      </w:r>
      <w:r>
        <w:t xml:space="preserve"> </w:t>
      </w:r>
      <w:r w:rsidRPr="00717004">
        <w:t>suspension</w:t>
      </w:r>
      <w:r>
        <w:t xml:space="preserve"> </w:t>
      </w:r>
      <w:r w:rsidRPr="00717004">
        <w:t>or</w:t>
      </w:r>
      <w:r>
        <w:t xml:space="preserve"> </w:t>
      </w:r>
      <w:r w:rsidRPr="00717004">
        <w:t>even</w:t>
      </w:r>
      <w:r>
        <w:t xml:space="preserve"> </w:t>
      </w:r>
      <w:r w:rsidRPr="00717004">
        <w:t>cancellation</w:t>
      </w:r>
      <w:r>
        <w:t xml:space="preserve"> </w:t>
      </w:r>
      <w:r w:rsidRPr="00717004">
        <w:t>of</w:t>
      </w:r>
      <w:r>
        <w:t xml:space="preserve"> </w:t>
      </w:r>
      <w:r w:rsidRPr="00717004">
        <w:t>their</w:t>
      </w:r>
      <w:r>
        <w:t xml:space="preserve"> </w:t>
      </w:r>
      <w:r w:rsidRPr="00717004">
        <w:t>licences,</w:t>
      </w:r>
      <w:r>
        <w:t xml:space="preserve"> </w:t>
      </w:r>
      <w:r w:rsidRPr="00717004">
        <w:t>highlighting</w:t>
      </w:r>
      <w:r>
        <w:t xml:space="preserve"> </w:t>
      </w:r>
      <w:r w:rsidRPr="00717004">
        <w:t>the</w:t>
      </w:r>
      <w:r>
        <w:t xml:space="preserve"> </w:t>
      </w:r>
      <w:r w:rsidRPr="00717004">
        <w:t>importance</w:t>
      </w:r>
      <w:r>
        <w:t xml:space="preserve"> </w:t>
      </w:r>
      <w:r w:rsidRPr="00717004">
        <w:t>of</w:t>
      </w:r>
      <w:r>
        <w:t xml:space="preserve"> </w:t>
      </w:r>
      <w:r w:rsidRPr="00717004">
        <w:t>safeguarding</w:t>
      </w:r>
      <w:r>
        <w:t xml:space="preserve"> </w:t>
      </w:r>
      <w:r w:rsidRPr="00717004">
        <w:t>consumer</w:t>
      </w:r>
      <w:r>
        <w:t xml:space="preserve"> </w:t>
      </w:r>
      <w:r w:rsidRPr="00717004">
        <w:t>trust.</w:t>
      </w:r>
    </w:p>
    <w:p w14:paraId="4A6C2137" w14:textId="77777777" w:rsidR="00856406" w:rsidRPr="005136EF" w:rsidRDefault="00856406" w:rsidP="00945164">
      <w:pPr>
        <w:pStyle w:val="Heading4"/>
      </w:pPr>
      <w:r w:rsidRPr="005136EF">
        <w:t>Victorian</w:t>
      </w:r>
      <w:r>
        <w:t xml:space="preserve"> </w:t>
      </w:r>
      <w:r w:rsidRPr="005136EF">
        <w:t>Property</w:t>
      </w:r>
      <w:r>
        <w:t xml:space="preserve"> </w:t>
      </w:r>
      <w:r w:rsidRPr="005136EF">
        <w:t>Fund</w:t>
      </w:r>
    </w:p>
    <w:p w14:paraId="31431F89" w14:textId="77777777" w:rsidR="00856406" w:rsidRPr="00EB0C9A" w:rsidRDefault="00856406" w:rsidP="00F45F3A">
      <w:pPr>
        <w:pStyle w:val="BodyText"/>
      </w:pPr>
      <w:r w:rsidRPr="00EB0C9A">
        <w:t>While</w:t>
      </w:r>
      <w:r>
        <w:t xml:space="preserve"> </w:t>
      </w:r>
      <w:r w:rsidRPr="00EB0C9A">
        <w:t>CAV’s</w:t>
      </w:r>
      <w:r>
        <w:t xml:space="preserve"> </w:t>
      </w:r>
      <w:r w:rsidRPr="00EB0C9A">
        <w:t>regulatory</w:t>
      </w:r>
      <w:r>
        <w:t xml:space="preserve"> </w:t>
      </w:r>
      <w:r w:rsidRPr="00EB0C9A">
        <w:t>presence</w:t>
      </w:r>
      <w:r>
        <w:t xml:space="preserve"> </w:t>
      </w:r>
      <w:r w:rsidRPr="00EB0C9A">
        <w:t>ensures</w:t>
      </w:r>
      <w:r>
        <w:t xml:space="preserve"> </w:t>
      </w:r>
      <w:r w:rsidRPr="00EB0C9A">
        <w:t>a</w:t>
      </w:r>
      <w:r>
        <w:t xml:space="preserve"> </w:t>
      </w:r>
      <w:r w:rsidRPr="00EB0C9A">
        <w:t>high</w:t>
      </w:r>
      <w:r>
        <w:t xml:space="preserve"> </w:t>
      </w:r>
      <w:r w:rsidRPr="00EB0C9A">
        <w:t>level</w:t>
      </w:r>
      <w:r>
        <w:t xml:space="preserve"> </w:t>
      </w:r>
      <w:r w:rsidRPr="00EB0C9A">
        <w:t>of</w:t>
      </w:r>
      <w:r>
        <w:t xml:space="preserve"> </w:t>
      </w:r>
      <w:r w:rsidRPr="00EB0C9A">
        <w:t>integrity</w:t>
      </w:r>
      <w:r>
        <w:t xml:space="preserve"> </w:t>
      </w:r>
      <w:r w:rsidRPr="00EB0C9A">
        <w:t>regarding</w:t>
      </w:r>
      <w:r>
        <w:t xml:space="preserve"> </w:t>
      </w:r>
      <w:r w:rsidRPr="00EB0C9A">
        <w:t>the</w:t>
      </w:r>
      <w:r>
        <w:t xml:space="preserve"> </w:t>
      </w:r>
      <w:r w:rsidRPr="00EB0C9A">
        <w:t>management</w:t>
      </w:r>
      <w:r>
        <w:t xml:space="preserve"> </w:t>
      </w:r>
      <w:r w:rsidRPr="00EB0C9A">
        <w:t>of</w:t>
      </w:r>
      <w:r>
        <w:t xml:space="preserve"> </w:t>
      </w:r>
      <w:r w:rsidRPr="00EB0C9A">
        <w:t>trust</w:t>
      </w:r>
      <w:r>
        <w:t xml:space="preserve"> </w:t>
      </w:r>
      <w:r w:rsidRPr="00EB0C9A">
        <w:t>accounts,</w:t>
      </w:r>
      <w:r>
        <w:t xml:space="preserve"> </w:t>
      </w:r>
      <w:r w:rsidRPr="00EB0C9A">
        <w:t>sometimes</w:t>
      </w:r>
      <w:r>
        <w:t xml:space="preserve"> </w:t>
      </w:r>
      <w:r w:rsidRPr="00EB0C9A">
        <w:t>estate</w:t>
      </w:r>
      <w:r>
        <w:t xml:space="preserve"> </w:t>
      </w:r>
      <w:r w:rsidRPr="00EB0C9A">
        <w:t>agents</w:t>
      </w:r>
      <w:r>
        <w:t xml:space="preserve"> </w:t>
      </w:r>
      <w:r w:rsidRPr="00EB0C9A">
        <w:t>or</w:t>
      </w:r>
      <w:r>
        <w:t xml:space="preserve"> </w:t>
      </w:r>
      <w:r w:rsidRPr="00EB0C9A">
        <w:t>conveyancers</w:t>
      </w:r>
      <w:r>
        <w:t xml:space="preserve"> </w:t>
      </w:r>
      <w:r w:rsidRPr="00EB0C9A">
        <w:t>do</w:t>
      </w:r>
      <w:r>
        <w:t xml:space="preserve"> </w:t>
      </w:r>
      <w:r w:rsidRPr="00EB0C9A">
        <w:t>the</w:t>
      </w:r>
      <w:r>
        <w:t xml:space="preserve"> </w:t>
      </w:r>
      <w:r w:rsidRPr="00EB0C9A">
        <w:t>wrong</w:t>
      </w:r>
      <w:r>
        <w:t xml:space="preserve"> </w:t>
      </w:r>
      <w:r w:rsidRPr="00EB0C9A">
        <w:t>thing.</w:t>
      </w:r>
      <w:r>
        <w:t xml:space="preserve"> </w:t>
      </w:r>
      <w:r w:rsidRPr="00EB0C9A">
        <w:t>The</w:t>
      </w:r>
      <w:r>
        <w:t xml:space="preserve"> </w:t>
      </w:r>
      <w:r w:rsidRPr="00EB0C9A">
        <w:t>Victorian</w:t>
      </w:r>
      <w:r>
        <w:t xml:space="preserve"> </w:t>
      </w:r>
      <w:r w:rsidRPr="00EB0C9A">
        <w:t>Property</w:t>
      </w:r>
      <w:r>
        <w:t xml:space="preserve"> </w:t>
      </w:r>
      <w:r w:rsidRPr="00EB0C9A">
        <w:t>Fund</w:t>
      </w:r>
      <w:r>
        <w:t xml:space="preserve"> </w:t>
      </w:r>
      <w:r w:rsidRPr="00EB0C9A">
        <w:t>(VPF),</w:t>
      </w:r>
      <w:r>
        <w:t xml:space="preserve"> </w:t>
      </w:r>
      <w:r w:rsidRPr="00EB0C9A">
        <w:t>administered</w:t>
      </w:r>
      <w:r>
        <w:t xml:space="preserve"> </w:t>
      </w:r>
      <w:r w:rsidRPr="00EB0C9A">
        <w:t>by</w:t>
      </w:r>
      <w:r>
        <w:t xml:space="preserve"> </w:t>
      </w:r>
      <w:r w:rsidRPr="00EB0C9A">
        <w:t>CAV,</w:t>
      </w:r>
      <w:r>
        <w:t xml:space="preserve"> </w:t>
      </w:r>
      <w:r w:rsidRPr="00EB0C9A">
        <w:t>provides</w:t>
      </w:r>
      <w:r>
        <w:t xml:space="preserve"> </w:t>
      </w:r>
      <w:r w:rsidRPr="00EB0C9A">
        <w:t>compensation</w:t>
      </w:r>
      <w:r>
        <w:t xml:space="preserve"> </w:t>
      </w:r>
      <w:r w:rsidRPr="00EB0C9A">
        <w:t>to</w:t>
      </w:r>
      <w:r>
        <w:t xml:space="preserve"> </w:t>
      </w:r>
      <w:r w:rsidRPr="00EB0C9A">
        <w:t>consumers</w:t>
      </w:r>
      <w:r>
        <w:t xml:space="preserve"> </w:t>
      </w:r>
      <w:r w:rsidRPr="00EB0C9A">
        <w:t>when</w:t>
      </w:r>
      <w:r>
        <w:t xml:space="preserve"> </w:t>
      </w:r>
      <w:r w:rsidRPr="00EB0C9A">
        <w:t>an</w:t>
      </w:r>
      <w:r>
        <w:t xml:space="preserve"> </w:t>
      </w:r>
      <w:r w:rsidRPr="00EB0C9A">
        <w:t>estate</w:t>
      </w:r>
      <w:r>
        <w:t xml:space="preserve"> </w:t>
      </w:r>
      <w:r w:rsidRPr="00EB0C9A">
        <w:t>agent,</w:t>
      </w:r>
      <w:r>
        <w:t xml:space="preserve"> </w:t>
      </w:r>
      <w:r w:rsidRPr="00EB0C9A">
        <w:t>conveyancer</w:t>
      </w:r>
      <w:r>
        <w:t xml:space="preserve"> </w:t>
      </w:r>
      <w:r w:rsidRPr="00EB0C9A">
        <w:t>or</w:t>
      </w:r>
      <w:r>
        <w:t xml:space="preserve"> </w:t>
      </w:r>
      <w:r w:rsidRPr="00EB0C9A">
        <w:t>their</w:t>
      </w:r>
      <w:r>
        <w:t xml:space="preserve"> </w:t>
      </w:r>
      <w:r w:rsidRPr="00EB0C9A">
        <w:t>respective</w:t>
      </w:r>
      <w:r>
        <w:t xml:space="preserve"> </w:t>
      </w:r>
      <w:r w:rsidRPr="00EB0C9A">
        <w:t>representative</w:t>
      </w:r>
      <w:r>
        <w:t xml:space="preserve"> </w:t>
      </w:r>
      <w:r w:rsidRPr="00EB0C9A">
        <w:t>has</w:t>
      </w:r>
      <w:r>
        <w:t xml:space="preserve"> </w:t>
      </w:r>
      <w:r w:rsidRPr="00EB0C9A">
        <w:t>misused</w:t>
      </w:r>
      <w:r>
        <w:t xml:space="preserve"> </w:t>
      </w:r>
      <w:r w:rsidRPr="00EB0C9A">
        <w:t>or</w:t>
      </w:r>
      <w:r>
        <w:t xml:space="preserve"> </w:t>
      </w:r>
      <w:r w:rsidRPr="00EB0C9A">
        <w:t>misappropriated</w:t>
      </w:r>
      <w:r>
        <w:t xml:space="preserve"> </w:t>
      </w:r>
      <w:r w:rsidRPr="00EB0C9A">
        <w:t>trust</w:t>
      </w:r>
      <w:r>
        <w:t xml:space="preserve"> </w:t>
      </w:r>
      <w:r w:rsidRPr="00EB0C9A">
        <w:t>money</w:t>
      </w:r>
      <w:r>
        <w:t xml:space="preserve"> </w:t>
      </w:r>
      <w:r w:rsidRPr="00EB0C9A">
        <w:t>or</w:t>
      </w:r>
      <w:r>
        <w:t xml:space="preserve"> </w:t>
      </w:r>
      <w:r w:rsidRPr="00EB0C9A">
        <w:t>property</w:t>
      </w:r>
      <w:r>
        <w:t xml:space="preserve"> </w:t>
      </w:r>
      <w:r w:rsidRPr="00EB0C9A">
        <w:t>in</w:t>
      </w:r>
      <w:r>
        <w:t xml:space="preserve"> </w:t>
      </w:r>
      <w:r w:rsidRPr="00EB0C9A">
        <w:t>the</w:t>
      </w:r>
      <w:r>
        <w:t xml:space="preserve"> </w:t>
      </w:r>
      <w:r w:rsidRPr="00EB0C9A">
        <w:t>course</w:t>
      </w:r>
      <w:r>
        <w:t xml:space="preserve"> </w:t>
      </w:r>
      <w:r w:rsidRPr="00EB0C9A">
        <w:t>of</w:t>
      </w:r>
      <w:r>
        <w:t xml:space="preserve"> </w:t>
      </w:r>
      <w:r w:rsidRPr="00EB0C9A">
        <w:t>their</w:t>
      </w:r>
      <w:r>
        <w:t xml:space="preserve"> </w:t>
      </w:r>
      <w:r w:rsidRPr="00EB0C9A">
        <w:t>work.</w:t>
      </w:r>
    </w:p>
    <w:p w14:paraId="771D9B77" w14:textId="77777777" w:rsidR="00856406" w:rsidRPr="00EB0C9A" w:rsidRDefault="00856406" w:rsidP="00F45F3A">
      <w:pPr>
        <w:pStyle w:val="BodyText"/>
      </w:pPr>
      <w:r w:rsidRPr="00EB0C9A">
        <w:t>VPF</w:t>
      </w:r>
      <w:r>
        <w:t xml:space="preserve"> </w:t>
      </w:r>
      <w:r w:rsidRPr="00EB0C9A">
        <w:t>income</w:t>
      </w:r>
      <w:r>
        <w:t xml:space="preserve"> </w:t>
      </w:r>
      <w:r w:rsidRPr="00EB0C9A">
        <w:t>comes</w:t>
      </w:r>
      <w:r>
        <w:t xml:space="preserve"> </w:t>
      </w:r>
      <w:r w:rsidRPr="00EB0C9A">
        <w:t>from</w:t>
      </w:r>
      <w:r>
        <w:t xml:space="preserve"> </w:t>
      </w:r>
      <w:r w:rsidRPr="00EB0C9A">
        <w:t>licence</w:t>
      </w:r>
      <w:r>
        <w:t xml:space="preserve"> </w:t>
      </w:r>
      <w:r w:rsidRPr="00EB0C9A">
        <w:t>fees</w:t>
      </w:r>
      <w:r>
        <w:t xml:space="preserve"> </w:t>
      </w:r>
      <w:r w:rsidRPr="00EB0C9A">
        <w:t>paid</w:t>
      </w:r>
      <w:r>
        <w:t xml:space="preserve"> </w:t>
      </w:r>
      <w:r w:rsidRPr="00EB0C9A">
        <w:t>by</w:t>
      </w:r>
      <w:r>
        <w:t xml:space="preserve"> </w:t>
      </w:r>
      <w:r w:rsidRPr="00EB0C9A">
        <w:t>estate</w:t>
      </w:r>
      <w:r>
        <w:t xml:space="preserve"> </w:t>
      </w:r>
      <w:r w:rsidRPr="00EB0C9A">
        <w:t>agents</w:t>
      </w:r>
      <w:r>
        <w:t xml:space="preserve"> </w:t>
      </w:r>
      <w:r w:rsidRPr="00EB0C9A">
        <w:t>and</w:t>
      </w:r>
      <w:r>
        <w:t xml:space="preserve"> </w:t>
      </w:r>
      <w:r w:rsidRPr="00EB0C9A">
        <w:t>conveyancers,</w:t>
      </w:r>
      <w:r>
        <w:t xml:space="preserve"> </w:t>
      </w:r>
      <w:r w:rsidRPr="00EB0C9A">
        <w:t>fines</w:t>
      </w:r>
      <w:r>
        <w:t xml:space="preserve"> </w:t>
      </w:r>
      <w:r w:rsidRPr="00EB0C9A">
        <w:t>and</w:t>
      </w:r>
      <w:r>
        <w:t xml:space="preserve"> </w:t>
      </w:r>
      <w:r w:rsidRPr="00EB0C9A">
        <w:t>penalties</w:t>
      </w:r>
      <w:r>
        <w:t xml:space="preserve"> </w:t>
      </w:r>
      <w:r w:rsidRPr="00EB0C9A">
        <w:t>imposed</w:t>
      </w:r>
      <w:r>
        <w:t xml:space="preserve"> </w:t>
      </w:r>
      <w:r w:rsidRPr="00EB0C9A">
        <w:t>under</w:t>
      </w:r>
      <w:r>
        <w:t xml:space="preserve"> </w:t>
      </w:r>
      <w:r w:rsidRPr="00EB0C9A">
        <w:t>the</w:t>
      </w:r>
      <w:r>
        <w:t xml:space="preserve"> </w:t>
      </w:r>
      <w:r w:rsidRPr="00EB0C9A">
        <w:rPr>
          <w:i/>
        </w:rPr>
        <w:t>Estate</w:t>
      </w:r>
      <w:r>
        <w:rPr>
          <w:i/>
        </w:rPr>
        <w:t xml:space="preserve"> </w:t>
      </w:r>
      <w:r w:rsidRPr="00EB0C9A">
        <w:rPr>
          <w:i/>
        </w:rPr>
        <w:t>Agents</w:t>
      </w:r>
      <w:r>
        <w:rPr>
          <w:i/>
        </w:rPr>
        <w:t xml:space="preserve"> </w:t>
      </w:r>
      <w:r w:rsidRPr="00EB0C9A">
        <w:rPr>
          <w:i/>
        </w:rPr>
        <w:t>Act</w:t>
      </w:r>
      <w:r>
        <w:rPr>
          <w:i/>
        </w:rPr>
        <w:t xml:space="preserve"> </w:t>
      </w:r>
      <w:r w:rsidRPr="00EB0C9A">
        <w:rPr>
          <w:i/>
        </w:rPr>
        <w:t>1980</w:t>
      </w:r>
      <w:r>
        <w:t xml:space="preserve"> </w:t>
      </w:r>
      <w:r w:rsidRPr="00EB0C9A">
        <w:t>and</w:t>
      </w:r>
      <w:r>
        <w:t xml:space="preserve"> </w:t>
      </w:r>
      <w:r w:rsidRPr="00EB0C9A">
        <w:t>the</w:t>
      </w:r>
      <w:r>
        <w:t xml:space="preserve"> </w:t>
      </w:r>
      <w:r w:rsidRPr="00EB0C9A">
        <w:rPr>
          <w:i/>
        </w:rPr>
        <w:t>Conveyancers</w:t>
      </w:r>
      <w:r>
        <w:rPr>
          <w:i/>
        </w:rPr>
        <w:t xml:space="preserve"> </w:t>
      </w:r>
      <w:r w:rsidRPr="00EB0C9A">
        <w:rPr>
          <w:i/>
        </w:rPr>
        <w:t>Act</w:t>
      </w:r>
      <w:r>
        <w:rPr>
          <w:i/>
        </w:rPr>
        <w:t xml:space="preserve"> </w:t>
      </w:r>
      <w:r w:rsidRPr="00EB0C9A">
        <w:rPr>
          <w:i/>
        </w:rPr>
        <w:t>2006</w:t>
      </w:r>
      <w:r w:rsidRPr="00EB0C9A">
        <w:t>,</w:t>
      </w:r>
      <w:r>
        <w:t xml:space="preserve"> </w:t>
      </w:r>
      <w:r w:rsidRPr="00EB0C9A">
        <w:t>interest</w:t>
      </w:r>
      <w:r>
        <w:t xml:space="preserve"> </w:t>
      </w:r>
      <w:r w:rsidRPr="00EB0C9A">
        <w:t>paid</w:t>
      </w:r>
      <w:r>
        <w:t xml:space="preserve"> </w:t>
      </w:r>
      <w:r w:rsidRPr="00EB0C9A">
        <w:t>on</w:t>
      </w:r>
      <w:r>
        <w:t xml:space="preserve"> </w:t>
      </w:r>
      <w:r w:rsidRPr="00EB0C9A">
        <w:t>trust</w:t>
      </w:r>
      <w:r>
        <w:t xml:space="preserve"> </w:t>
      </w:r>
      <w:r w:rsidRPr="00EB0C9A">
        <w:t>accounts</w:t>
      </w:r>
      <w:r>
        <w:t xml:space="preserve"> </w:t>
      </w:r>
      <w:r w:rsidRPr="00EB0C9A">
        <w:t>of</w:t>
      </w:r>
      <w:r>
        <w:t xml:space="preserve"> </w:t>
      </w:r>
      <w:r w:rsidRPr="00EB0C9A">
        <w:t>licensed</w:t>
      </w:r>
      <w:r>
        <w:t xml:space="preserve"> </w:t>
      </w:r>
      <w:r w:rsidRPr="00EB0C9A">
        <w:t>estate</w:t>
      </w:r>
      <w:r>
        <w:t xml:space="preserve"> </w:t>
      </w:r>
      <w:r w:rsidRPr="00EB0C9A">
        <w:t>agents</w:t>
      </w:r>
      <w:r>
        <w:t xml:space="preserve"> </w:t>
      </w:r>
      <w:r w:rsidRPr="00EB0C9A">
        <w:t>and</w:t>
      </w:r>
      <w:r>
        <w:t xml:space="preserve"> </w:t>
      </w:r>
      <w:r w:rsidRPr="00EB0C9A">
        <w:t>conveyancers</w:t>
      </w:r>
      <w:r>
        <w:t xml:space="preserve">, </w:t>
      </w:r>
      <w:r w:rsidRPr="00EB0C9A">
        <w:t>and</w:t>
      </w:r>
      <w:r>
        <w:t xml:space="preserve"> </w:t>
      </w:r>
      <w:r w:rsidRPr="00EB0C9A">
        <w:t>investment</w:t>
      </w:r>
      <w:r>
        <w:t xml:space="preserve"> </w:t>
      </w:r>
      <w:r w:rsidRPr="00EB0C9A">
        <w:t>income.</w:t>
      </w:r>
    </w:p>
    <w:p w14:paraId="45E2161F" w14:textId="1FB07CE0" w:rsidR="00856406" w:rsidRDefault="00856406" w:rsidP="00F45F3A">
      <w:pPr>
        <w:pStyle w:val="BodyText"/>
      </w:pPr>
      <w:r w:rsidRPr="00EB0C9A">
        <w:t>In</w:t>
      </w:r>
      <w:r>
        <w:t xml:space="preserve"> </w:t>
      </w:r>
      <w:r w:rsidR="00EE79C3">
        <w:t>2024–25</w:t>
      </w:r>
      <w:r w:rsidRPr="00EB0C9A">
        <w:t>,</w:t>
      </w:r>
      <w:r>
        <w:t xml:space="preserve"> </w:t>
      </w:r>
      <w:r w:rsidRPr="00EB0C9A">
        <w:t>45</w:t>
      </w:r>
      <w:r>
        <w:t xml:space="preserve"> compensation </w:t>
      </w:r>
      <w:r w:rsidRPr="00EB0C9A">
        <w:t>claims</w:t>
      </w:r>
      <w:r>
        <w:t xml:space="preserve"> </w:t>
      </w:r>
      <w:r w:rsidRPr="00EB0C9A">
        <w:t>totalling</w:t>
      </w:r>
      <w:r>
        <w:t xml:space="preserve"> more than </w:t>
      </w:r>
      <w:r w:rsidRPr="00EB0C9A">
        <w:t>$3.8</w:t>
      </w:r>
      <w:r>
        <w:t xml:space="preserve"> </w:t>
      </w:r>
      <w:r w:rsidRPr="00EB0C9A">
        <w:t>million</w:t>
      </w:r>
      <w:r>
        <w:t xml:space="preserve"> were paid </w:t>
      </w:r>
      <w:r w:rsidRPr="00EB0C9A">
        <w:t>from</w:t>
      </w:r>
      <w:r>
        <w:t xml:space="preserve"> </w:t>
      </w:r>
      <w:r w:rsidRPr="00EB0C9A">
        <w:t>the</w:t>
      </w:r>
      <w:r>
        <w:t xml:space="preserve"> </w:t>
      </w:r>
      <w:r w:rsidRPr="00EB0C9A">
        <w:t>VPF.</w:t>
      </w:r>
    </w:p>
    <w:p w14:paraId="0D7780B3" w14:textId="77777777" w:rsidR="00856406" w:rsidRPr="00A4404F" w:rsidRDefault="00856406" w:rsidP="00962057">
      <w:pPr>
        <w:pStyle w:val="Caption"/>
      </w:pPr>
      <w:bookmarkStart w:id="52" w:name="_Toc212562075"/>
      <w:r w:rsidRPr="00A4404F">
        <w:t>Table</w:t>
      </w:r>
      <w:r>
        <w:t xml:space="preserve"> 8</w:t>
      </w:r>
      <w:r w:rsidRPr="00A4404F">
        <w:t>:</w:t>
      </w:r>
      <w:r>
        <w:t xml:space="preserve"> </w:t>
      </w:r>
      <w:r w:rsidRPr="00A4404F">
        <w:t>VPF</w:t>
      </w:r>
      <w:r>
        <w:t xml:space="preserve"> </w:t>
      </w:r>
      <w:r w:rsidRPr="00A4404F">
        <w:t>claims</w:t>
      </w:r>
      <w:bookmarkEnd w:id="52"/>
    </w:p>
    <w:tbl>
      <w:tblPr>
        <w:tblStyle w:val="TableGrid"/>
        <w:tblW w:w="9072" w:type="dxa"/>
        <w:tblLook w:val="06A0" w:firstRow="1" w:lastRow="0" w:firstColumn="1" w:lastColumn="0" w:noHBand="1" w:noVBand="1"/>
      </w:tblPr>
      <w:tblGrid>
        <w:gridCol w:w="4989"/>
        <w:gridCol w:w="1361"/>
        <w:gridCol w:w="1361"/>
        <w:gridCol w:w="1361"/>
      </w:tblGrid>
      <w:tr w:rsidR="00856406" w14:paraId="49B26995" w14:textId="77777777" w:rsidTr="005B7969">
        <w:trPr>
          <w:cnfStyle w:val="100000000000" w:firstRow="1" w:lastRow="0" w:firstColumn="0" w:lastColumn="0" w:oddVBand="0" w:evenVBand="0" w:oddHBand="0" w:evenHBand="0" w:firstRowFirstColumn="0" w:firstRowLastColumn="0" w:lastRowFirstColumn="0" w:lastRowLastColumn="0"/>
          <w:trHeight w:val="285"/>
          <w:tblHeader/>
        </w:trPr>
        <w:tc>
          <w:tcPr>
            <w:tcW w:w="4990" w:type="dxa"/>
          </w:tcPr>
          <w:p w14:paraId="3C9119E9" w14:textId="77777777" w:rsidR="00856406" w:rsidRDefault="00856406" w:rsidP="00901484">
            <w:pPr>
              <w:pStyle w:val="TableColHead"/>
            </w:pPr>
          </w:p>
        </w:tc>
        <w:tc>
          <w:tcPr>
            <w:tcW w:w="1361" w:type="dxa"/>
          </w:tcPr>
          <w:p w14:paraId="259BD30B" w14:textId="409CFD03" w:rsidR="00856406" w:rsidRPr="008E5C97" w:rsidRDefault="00EE79C3" w:rsidP="00901484">
            <w:pPr>
              <w:pStyle w:val="TableColHeadRight"/>
            </w:pPr>
            <w:r>
              <w:t>2022–23</w:t>
            </w:r>
            <w:r w:rsidR="00856406">
              <w:t xml:space="preserve"> </w:t>
            </w:r>
          </w:p>
        </w:tc>
        <w:tc>
          <w:tcPr>
            <w:tcW w:w="1361" w:type="dxa"/>
          </w:tcPr>
          <w:p w14:paraId="65FC06D7" w14:textId="65732CB6" w:rsidR="00856406" w:rsidRPr="008E5C97" w:rsidRDefault="00EE79C3" w:rsidP="00901484">
            <w:pPr>
              <w:pStyle w:val="TableColHeadRight"/>
            </w:pPr>
            <w:r>
              <w:t>2023–24</w:t>
            </w:r>
            <w:r w:rsidR="00856406">
              <w:t xml:space="preserve"> </w:t>
            </w:r>
          </w:p>
        </w:tc>
        <w:tc>
          <w:tcPr>
            <w:tcW w:w="1361" w:type="dxa"/>
          </w:tcPr>
          <w:p w14:paraId="109F48A4" w14:textId="0B50FFF0" w:rsidR="00856406" w:rsidRPr="008E5C97" w:rsidRDefault="00EE79C3" w:rsidP="00901484">
            <w:pPr>
              <w:pStyle w:val="TableColHeadRight"/>
            </w:pPr>
            <w:r>
              <w:t>2024–25</w:t>
            </w:r>
            <w:r w:rsidR="00856406">
              <w:t xml:space="preserve"> </w:t>
            </w:r>
          </w:p>
        </w:tc>
      </w:tr>
      <w:tr w:rsidR="00856406" w14:paraId="0575F8F3" w14:textId="77777777" w:rsidTr="005B7969">
        <w:trPr>
          <w:trHeight w:val="285"/>
        </w:trPr>
        <w:tc>
          <w:tcPr>
            <w:tcW w:w="4990" w:type="dxa"/>
          </w:tcPr>
          <w:p w14:paraId="5C896732" w14:textId="77777777" w:rsidR="00856406" w:rsidRDefault="00856406" w:rsidP="00901484">
            <w:pPr>
              <w:pStyle w:val="TableText"/>
            </w:pPr>
            <w:r w:rsidRPr="000C0591">
              <w:t>Claims</w:t>
            </w:r>
            <w:r>
              <w:t xml:space="preserve"> </w:t>
            </w:r>
            <w:r w:rsidRPr="000C0591">
              <w:t>allowed</w:t>
            </w:r>
            <w:r>
              <w:t xml:space="preserve"> </w:t>
            </w:r>
            <w:r w:rsidRPr="000C0591">
              <w:t>against</w:t>
            </w:r>
            <w:r>
              <w:t xml:space="preserve"> </w:t>
            </w:r>
            <w:r w:rsidRPr="008E5C97">
              <w:t>estate</w:t>
            </w:r>
            <w:r>
              <w:t xml:space="preserve"> </w:t>
            </w:r>
            <w:r w:rsidRPr="008E5C97">
              <w:t>agents</w:t>
            </w:r>
            <w:r>
              <w:t xml:space="preserve"> </w:t>
            </w:r>
          </w:p>
        </w:tc>
        <w:tc>
          <w:tcPr>
            <w:tcW w:w="1361" w:type="dxa"/>
          </w:tcPr>
          <w:p w14:paraId="1E48E2DA" w14:textId="77777777" w:rsidR="00856406" w:rsidRDefault="00856406" w:rsidP="00901484">
            <w:pPr>
              <w:pStyle w:val="TableTextRight"/>
            </w:pPr>
            <w:r>
              <w:t>40</w:t>
            </w:r>
          </w:p>
        </w:tc>
        <w:tc>
          <w:tcPr>
            <w:tcW w:w="1361" w:type="dxa"/>
          </w:tcPr>
          <w:p w14:paraId="6D337812" w14:textId="77777777" w:rsidR="00856406" w:rsidRDefault="00856406" w:rsidP="00901484">
            <w:pPr>
              <w:pStyle w:val="TableTextRight"/>
            </w:pPr>
            <w:r>
              <w:t>47</w:t>
            </w:r>
          </w:p>
        </w:tc>
        <w:tc>
          <w:tcPr>
            <w:tcW w:w="1361" w:type="dxa"/>
          </w:tcPr>
          <w:p w14:paraId="6A923130" w14:textId="77777777" w:rsidR="00856406" w:rsidRDefault="00856406" w:rsidP="00901484">
            <w:pPr>
              <w:pStyle w:val="TableTextRight"/>
            </w:pPr>
            <w:r>
              <w:t>37</w:t>
            </w:r>
          </w:p>
        </w:tc>
      </w:tr>
      <w:tr w:rsidR="00856406" w14:paraId="4BB545F1" w14:textId="77777777" w:rsidTr="005B7969">
        <w:trPr>
          <w:trHeight w:val="285"/>
        </w:trPr>
        <w:tc>
          <w:tcPr>
            <w:tcW w:w="4990" w:type="dxa"/>
          </w:tcPr>
          <w:p w14:paraId="19DC3515" w14:textId="77777777" w:rsidR="00856406" w:rsidRDefault="00856406" w:rsidP="00901484">
            <w:pPr>
              <w:pStyle w:val="TableText"/>
            </w:pPr>
            <w:r w:rsidRPr="004B24E9">
              <w:t>Claims</w:t>
            </w:r>
            <w:r>
              <w:t xml:space="preserve"> </w:t>
            </w:r>
            <w:r w:rsidRPr="004B24E9">
              <w:t>allowed</w:t>
            </w:r>
            <w:r>
              <w:t xml:space="preserve"> </w:t>
            </w:r>
            <w:r w:rsidRPr="004B24E9">
              <w:t>against</w:t>
            </w:r>
            <w:r>
              <w:t xml:space="preserve"> </w:t>
            </w:r>
            <w:r w:rsidRPr="008E5C97">
              <w:t>conveyancers</w:t>
            </w:r>
            <w:r>
              <w:t xml:space="preserve"> </w:t>
            </w:r>
          </w:p>
        </w:tc>
        <w:tc>
          <w:tcPr>
            <w:tcW w:w="1361" w:type="dxa"/>
          </w:tcPr>
          <w:p w14:paraId="2FED1FF3" w14:textId="77777777" w:rsidR="00856406" w:rsidRDefault="00856406" w:rsidP="00901484">
            <w:pPr>
              <w:pStyle w:val="TableTextRight"/>
            </w:pPr>
            <w:r>
              <w:t>6</w:t>
            </w:r>
          </w:p>
        </w:tc>
        <w:tc>
          <w:tcPr>
            <w:tcW w:w="1361" w:type="dxa"/>
          </w:tcPr>
          <w:p w14:paraId="36EF8565" w14:textId="77777777" w:rsidR="00856406" w:rsidRDefault="00856406" w:rsidP="00901484">
            <w:pPr>
              <w:pStyle w:val="TableTextRight"/>
            </w:pPr>
            <w:r>
              <w:t>7</w:t>
            </w:r>
          </w:p>
        </w:tc>
        <w:tc>
          <w:tcPr>
            <w:tcW w:w="1361" w:type="dxa"/>
          </w:tcPr>
          <w:p w14:paraId="1DDD3E8C" w14:textId="77777777" w:rsidR="00856406" w:rsidRDefault="00856406" w:rsidP="00901484">
            <w:pPr>
              <w:pStyle w:val="TableTextRight"/>
            </w:pPr>
            <w:r>
              <w:t>8</w:t>
            </w:r>
          </w:p>
        </w:tc>
      </w:tr>
      <w:tr w:rsidR="00856406" w:rsidRPr="00884540" w14:paraId="64DFFBA2" w14:textId="77777777" w:rsidTr="005B7969">
        <w:trPr>
          <w:trHeight w:val="285"/>
        </w:trPr>
        <w:tc>
          <w:tcPr>
            <w:tcW w:w="4990" w:type="dxa"/>
          </w:tcPr>
          <w:p w14:paraId="04491A87" w14:textId="77777777" w:rsidR="00856406" w:rsidRPr="00EB0C9A" w:rsidRDefault="00856406" w:rsidP="00901484">
            <w:pPr>
              <w:pStyle w:val="TableTextBold"/>
            </w:pPr>
            <w:r w:rsidRPr="00EB0C9A">
              <w:t>Total</w:t>
            </w:r>
            <w:r>
              <w:t xml:space="preserve"> </w:t>
            </w:r>
            <w:r w:rsidRPr="00EB0C9A">
              <w:t>number</w:t>
            </w:r>
            <w:r>
              <w:t xml:space="preserve"> </w:t>
            </w:r>
            <w:r w:rsidRPr="00EB0C9A">
              <w:t>of</w:t>
            </w:r>
            <w:r>
              <w:t xml:space="preserve"> </w:t>
            </w:r>
            <w:r w:rsidRPr="00EB0C9A">
              <w:t>claims</w:t>
            </w:r>
            <w:r>
              <w:t xml:space="preserve"> </w:t>
            </w:r>
            <w:r w:rsidRPr="00EB0C9A">
              <w:t>allowed</w:t>
            </w:r>
            <w:r>
              <w:t xml:space="preserve"> </w:t>
            </w:r>
          </w:p>
        </w:tc>
        <w:tc>
          <w:tcPr>
            <w:tcW w:w="1361" w:type="dxa"/>
          </w:tcPr>
          <w:p w14:paraId="038B56B5" w14:textId="77777777" w:rsidR="00856406" w:rsidRPr="00EB0C9A" w:rsidRDefault="00856406" w:rsidP="00901484">
            <w:pPr>
              <w:pStyle w:val="TableTextRightBold"/>
            </w:pPr>
            <w:r w:rsidRPr="00EB0C9A">
              <w:t>46</w:t>
            </w:r>
          </w:p>
        </w:tc>
        <w:tc>
          <w:tcPr>
            <w:tcW w:w="1361" w:type="dxa"/>
          </w:tcPr>
          <w:p w14:paraId="138A10EF" w14:textId="77777777" w:rsidR="00856406" w:rsidRPr="00EB0C9A" w:rsidRDefault="00856406" w:rsidP="00901484">
            <w:pPr>
              <w:pStyle w:val="TableTextRightBold"/>
            </w:pPr>
            <w:r w:rsidRPr="00EB0C9A">
              <w:t>54</w:t>
            </w:r>
          </w:p>
        </w:tc>
        <w:tc>
          <w:tcPr>
            <w:tcW w:w="1361" w:type="dxa"/>
          </w:tcPr>
          <w:p w14:paraId="32B856A0" w14:textId="77777777" w:rsidR="00856406" w:rsidRPr="00EB0C9A" w:rsidRDefault="00856406" w:rsidP="00901484">
            <w:pPr>
              <w:pStyle w:val="TableTextRightBold"/>
            </w:pPr>
            <w:r w:rsidRPr="00EB0C9A">
              <w:t>45</w:t>
            </w:r>
          </w:p>
        </w:tc>
      </w:tr>
      <w:tr w:rsidR="00856406" w14:paraId="621C8271" w14:textId="77777777" w:rsidTr="005B7969">
        <w:trPr>
          <w:trHeight w:val="285"/>
        </w:trPr>
        <w:tc>
          <w:tcPr>
            <w:tcW w:w="4990" w:type="dxa"/>
          </w:tcPr>
          <w:p w14:paraId="7FC568F0" w14:textId="77777777" w:rsidR="00856406" w:rsidRDefault="00856406" w:rsidP="00901484">
            <w:pPr>
              <w:pStyle w:val="TableText"/>
            </w:pPr>
            <w:r w:rsidRPr="006F703E">
              <w:t>Number</w:t>
            </w:r>
            <w:r>
              <w:t xml:space="preserve"> </w:t>
            </w:r>
            <w:r w:rsidRPr="006F703E">
              <w:t>of</w:t>
            </w:r>
            <w:r>
              <w:t xml:space="preserve"> </w:t>
            </w:r>
            <w:r w:rsidRPr="008E5C97">
              <w:t>estate</w:t>
            </w:r>
            <w:r>
              <w:t xml:space="preserve"> </w:t>
            </w:r>
            <w:r w:rsidRPr="008E5C97">
              <w:t>agents</w:t>
            </w:r>
            <w:r>
              <w:t xml:space="preserve"> </w:t>
            </w:r>
          </w:p>
        </w:tc>
        <w:tc>
          <w:tcPr>
            <w:tcW w:w="1361" w:type="dxa"/>
          </w:tcPr>
          <w:p w14:paraId="5357BF64" w14:textId="77777777" w:rsidR="00856406" w:rsidRPr="008E5C97" w:rsidRDefault="00856406" w:rsidP="00901484">
            <w:pPr>
              <w:pStyle w:val="TableTextRight"/>
            </w:pPr>
            <w:r w:rsidRPr="008E5C97">
              <w:t>9</w:t>
            </w:r>
          </w:p>
        </w:tc>
        <w:tc>
          <w:tcPr>
            <w:tcW w:w="1361" w:type="dxa"/>
          </w:tcPr>
          <w:p w14:paraId="68563113" w14:textId="77777777" w:rsidR="00856406" w:rsidRDefault="00856406" w:rsidP="00901484">
            <w:pPr>
              <w:pStyle w:val="TableTextRight"/>
            </w:pPr>
            <w:r>
              <w:t>6</w:t>
            </w:r>
          </w:p>
        </w:tc>
        <w:tc>
          <w:tcPr>
            <w:tcW w:w="1361" w:type="dxa"/>
          </w:tcPr>
          <w:p w14:paraId="4DA58642" w14:textId="77777777" w:rsidR="00856406" w:rsidRDefault="00856406" w:rsidP="00901484">
            <w:pPr>
              <w:pStyle w:val="TableTextRight"/>
            </w:pPr>
            <w:r>
              <w:t>13</w:t>
            </w:r>
          </w:p>
        </w:tc>
      </w:tr>
      <w:tr w:rsidR="00856406" w14:paraId="40D37901" w14:textId="77777777" w:rsidTr="005B7969">
        <w:trPr>
          <w:trHeight w:val="285"/>
        </w:trPr>
        <w:tc>
          <w:tcPr>
            <w:tcW w:w="4990" w:type="dxa"/>
          </w:tcPr>
          <w:p w14:paraId="7AC51B8A" w14:textId="77777777" w:rsidR="00856406" w:rsidRDefault="00856406" w:rsidP="00901484">
            <w:pPr>
              <w:pStyle w:val="TableText"/>
            </w:pPr>
            <w:r w:rsidRPr="006F703E">
              <w:t>Number</w:t>
            </w:r>
            <w:r>
              <w:t xml:space="preserve"> </w:t>
            </w:r>
            <w:r w:rsidRPr="006F703E">
              <w:t>of</w:t>
            </w:r>
            <w:r>
              <w:t xml:space="preserve"> </w:t>
            </w:r>
            <w:r w:rsidRPr="008E5C97">
              <w:t>conveyancers</w:t>
            </w:r>
            <w:r>
              <w:t xml:space="preserve"> </w:t>
            </w:r>
          </w:p>
        </w:tc>
        <w:tc>
          <w:tcPr>
            <w:tcW w:w="1361" w:type="dxa"/>
          </w:tcPr>
          <w:p w14:paraId="76BE6BF3" w14:textId="77777777" w:rsidR="00856406" w:rsidRPr="008E5C97" w:rsidRDefault="00856406" w:rsidP="00901484">
            <w:pPr>
              <w:pStyle w:val="TableTextRight"/>
            </w:pPr>
            <w:r w:rsidRPr="008E5C97">
              <w:t>2</w:t>
            </w:r>
          </w:p>
        </w:tc>
        <w:tc>
          <w:tcPr>
            <w:tcW w:w="1361" w:type="dxa"/>
          </w:tcPr>
          <w:p w14:paraId="02403BFF" w14:textId="77777777" w:rsidR="00856406" w:rsidRDefault="00856406" w:rsidP="00901484">
            <w:pPr>
              <w:pStyle w:val="TableTextRight"/>
            </w:pPr>
            <w:r>
              <w:t>3</w:t>
            </w:r>
          </w:p>
        </w:tc>
        <w:tc>
          <w:tcPr>
            <w:tcW w:w="1361" w:type="dxa"/>
          </w:tcPr>
          <w:p w14:paraId="754A5CB5" w14:textId="77777777" w:rsidR="00856406" w:rsidRDefault="00856406" w:rsidP="00901484">
            <w:pPr>
              <w:pStyle w:val="TableTextRight"/>
            </w:pPr>
            <w:r>
              <w:t>4</w:t>
            </w:r>
          </w:p>
        </w:tc>
      </w:tr>
      <w:tr w:rsidR="00856406" w:rsidRPr="00884540" w14:paraId="7DF57124" w14:textId="77777777" w:rsidTr="005B7969">
        <w:trPr>
          <w:trHeight w:val="285"/>
        </w:trPr>
        <w:tc>
          <w:tcPr>
            <w:tcW w:w="4990" w:type="dxa"/>
          </w:tcPr>
          <w:p w14:paraId="0BD5DF7A" w14:textId="77777777" w:rsidR="00856406" w:rsidRPr="00EB0C9A" w:rsidRDefault="00856406" w:rsidP="00901484">
            <w:pPr>
              <w:pStyle w:val="TableTextBold"/>
            </w:pPr>
            <w:r w:rsidRPr="00EB0C9A">
              <w:t>Total</w:t>
            </w:r>
            <w:r>
              <w:t xml:space="preserve"> </w:t>
            </w:r>
            <w:r w:rsidRPr="00EB0C9A">
              <w:t>number</w:t>
            </w:r>
            <w:r>
              <w:t xml:space="preserve"> </w:t>
            </w:r>
            <w:r w:rsidRPr="00EB0C9A">
              <w:t>of</w:t>
            </w:r>
            <w:r>
              <w:t xml:space="preserve"> </w:t>
            </w:r>
            <w:r w:rsidRPr="00EB0C9A">
              <w:t>respondents</w:t>
            </w:r>
            <w:r>
              <w:t xml:space="preserve"> </w:t>
            </w:r>
          </w:p>
        </w:tc>
        <w:tc>
          <w:tcPr>
            <w:tcW w:w="1361" w:type="dxa"/>
          </w:tcPr>
          <w:p w14:paraId="26EB0312" w14:textId="77777777" w:rsidR="00856406" w:rsidRPr="00EB0C9A" w:rsidRDefault="00856406" w:rsidP="00901484">
            <w:pPr>
              <w:pStyle w:val="TableTextRightBold"/>
            </w:pPr>
            <w:r w:rsidRPr="00EB0C9A">
              <w:t>11</w:t>
            </w:r>
          </w:p>
        </w:tc>
        <w:tc>
          <w:tcPr>
            <w:tcW w:w="1361" w:type="dxa"/>
          </w:tcPr>
          <w:p w14:paraId="20E18269" w14:textId="77777777" w:rsidR="00856406" w:rsidRPr="00EB0C9A" w:rsidRDefault="00856406" w:rsidP="00901484">
            <w:pPr>
              <w:pStyle w:val="TableTextRightBold"/>
            </w:pPr>
            <w:r w:rsidRPr="00EB0C9A">
              <w:t>9</w:t>
            </w:r>
          </w:p>
        </w:tc>
        <w:tc>
          <w:tcPr>
            <w:tcW w:w="1361" w:type="dxa"/>
          </w:tcPr>
          <w:p w14:paraId="0654CAD1" w14:textId="77777777" w:rsidR="00856406" w:rsidRPr="00EB0C9A" w:rsidRDefault="00856406" w:rsidP="00901484">
            <w:pPr>
              <w:pStyle w:val="TableTextRightBold"/>
            </w:pPr>
            <w:r w:rsidRPr="00EB0C9A">
              <w:t>17</w:t>
            </w:r>
          </w:p>
        </w:tc>
      </w:tr>
      <w:tr w:rsidR="00856406" w:rsidRPr="00884540" w14:paraId="646C4D32" w14:textId="77777777" w:rsidTr="005B7969">
        <w:trPr>
          <w:trHeight w:val="285"/>
        </w:trPr>
        <w:tc>
          <w:tcPr>
            <w:tcW w:w="4990" w:type="dxa"/>
          </w:tcPr>
          <w:p w14:paraId="4C025B47" w14:textId="77777777" w:rsidR="00856406" w:rsidRPr="00EB0C9A" w:rsidRDefault="00856406" w:rsidP="00901484">
            <w:pPr>
              <w:pStyle w:val="TableTextBold"/>
            </w:pPr>
            <w:r w:rsidRPr="00EB0C9A">
              <w:t>Total</w:t>
            </w:r>
            <w:r>
              <w:t xml:space="preserve"> </w:t>
            </w:r>
            <w:r w:rsidRPr="00EB0C9A">
              <w:t>value</w:t>
            </w:r>
            <w:r>
              <w:t xml:space="preserve"> </w:t>
            </w:r>
            <w:r w:rsidRPr="00EB0C9A">
              <w:t>paid</w:t>
            </w:r>
            <w:r>
              <w:t xml:space="preserve"> </w:t>
            </w:r>
            <w:r w:rsidRPr="00EB0C9A">
              <w:t>out</w:t>
            </w:r>
            <w:r>
              <w:t xml:space="preserve"> </w:t>
            </w:r>
          </w:p>
        </w:tc>
        <w:tc>
          <w:tcPr>
            <w:tcW w:w="1361" w:type="dxa"/>
          </w:tcPr>
          <w:p w14:paraId="11748D89" w14:textId="77777777" w:rsidR="00856406" w:rsidRPr="00EB0C9A" w:rsidRDefault="00856406" w:rsidP="00901484">
            <w:pPr>
              <w:pStyle w:val="TableTextRightBold"/>
            </w:pPr>
            <w:r w:rsidRPr="00EB0C9A">
              <w:t>$3,164,715</w:t>
            </w:r>
          </w:p>
        </w:tc>
        <w:tc>
          <w:tcPr>
            <w:tcW w:w="1361" w:type="dxa"/>
          </w:tcPr>
          <w:p w14:paraId="3F6672F9" w14:textId="77777777" w:rsidR="00856406" w:rsidRPr="00EB0C9A" w:rsidRDefault="00856406" w:rsidP="00901484">
            <w:pPr>
              <w:pStyle w:val="TableTextRightBold"/>
            </w:pPr>
            <w:r w:rsidRPr="00EB0C9A">
              <w:t>$1,133,745</w:t>
            </w:r>
          </w:p>
        </w:tc>
        <w:tc>
          <w:tcPr>
            <w:tcW w:w="1361" w:type="dxa"/>
          </w:tcPr>
          <w:p w14:paraId="585588C2" w14:textId="77777777" w:rsidR="00856406" w:rsidRPr="00EB0C9A" w:rsidRDefault="00856406" w:rsidP="00901484">
            <w:pPr>
              <w:pStyle w:val="TableTextRightBold"/>
            </w:pPr>
            <w:r w:rsidRPr="00EB0C9A">
              <w:t>$3,845,305</w:t>
            </w:r>
          </w:p>
        </w:tc>
      </w:tr>
    </w:tbl>
    <w:p w14:paraId="3A7041DC" w14:textId="77777777" w:rsidR="00856406" w:rsidRDefault="00856406" w:rsidP="00447322">
      <w:pPr>
        <w:pStyle w:val="Heading3"/>
      </w:pPr>
      <w:r w:rsidRPr="00EB0C9A">
        <w:t>Motor</w:t>
      </w:r>
      <w:r>
        <w:t xml:space="preserve"> c</w:t>
      </w:r>
      <w:r w:rsidRPr="00EB0C9A">
        <w:t>ar</w:t>
      </w:r>
      <w:r>
        <w:t xml:space="preserve"> t</w:t>
      </w:r>
      <w:r w:rsidRPr="00EB0C9A">
        <w:t>rading</w:t>
      </w:r>
    </w:p>
    <w:p w14:paraId="7F9B65EA" w14:textId="77777777" w:rsidR="00856406" w:rsidRDefault="00856406" w:rsidP="00F45F3A">
      <w:pPr>
        <w:pStyle w:val="BodyText"/>
      </w:pPr>
      <w:r w:rsidRPr="000F6D97">
        <w:t>With</w:t>
      </w:r>
      <w:r>
        <w:t xml:space="preserve"> </w:t>
      </w:r>
      <w:r w:rsidRPr="000F6D97">
        <w:t>many</w:t>
      </w:r>
      <w:r>
        <w:t xml:space="preserve"> </w:t>
      </w:r>
      <w:r w:rsidRPr="000F6D97">
        <w:t>Victorians</w:t>
      </w:r>
      <w:r>
        <w:t xml:space="preserve"> </w:t>
      </w:r>
      <w:r w:rsidRPr="000F6D97">
        <w:t>facing</w:t>
      </w:r>
      <w:r>
        <w:t xml:space="preserve"> </w:t>
      </w:r>
      <w:r w:rsidRPr="000F6D97" w:rsidDel="005F2751">
        <w:t>cost</w:t>
      </w:r>
      <w:r>
        <w:t xml:space="preserve"> of living </w:t>
      </w:r>
      <w:r w:rsidRPr="000F6D97">
        <w:t>challenges</w:t>
      </w:r>
      <w:r>
        <w:t xml:space="preserve"> </w:t>
      </w:r>
      <w:r w:rsidRPr="000F6D97">
        <w:t>and</w:t>
      </w:r>
      <w:r>
        <w:t xml:space="preserve"> </w:t>
      </w:r>
      <w:r w:rsidRPr="000F6D97">
        <w:t>relying</w:t>
      </w:r>
      <w:r>
        <w:t xml:space="preserve"> </w:t>
      </w:r>
      <w:r w:rsidRPr="000F6D97">
        <w:t>on</w:t>
      </w:r>
      <w:r>
        <w:t xml:space="preserve"> </w:t>
      </w:r>
      <w:r w:rsidRPr="000F6D97">
        <w:t>cars</w:t>
      </w:r>
      <w:r>
        <w:t xml:space="preserve"> </w:t>
      </w:r>
      <w:r w:rsidRPr="000F6D97">
        <w:t>for</w:t>
      </w:r>
      <w:r>
        <w:t xml:space="preserve"> </w:t>
      </w:r>
      <w:r w:rsidRPr="000F6D97">
        <w:t>essential</w:t>
      </w:r>
      <w:r>
        <w:t xml:space="preserve"> </w:t>
      </w:r>
      <w:r w:rsidRPr="000F6D97">
        <w:t>daily</w:t>
      </w:r>
      <w:r>
        <w:t xml:space="preserve"> </w:t>
      </w:r>
      <w:r w:rsidRPr="000F6D97">
        <w:t>activities</w:t>
      </w:r>
      <w:r>
        <w:t xml:space="preserve"> </w:t>
      </w:r>
      <w:r w:rsidRPr="000F6D97">
        <w:t>(such</w:t>
      </w:r>
      <w:r>
        <w:t xml:space="preserve"> </w:t>
      </w:r>
      <w:r w:rsidRPr="000F6D97">
        <w:t>as</w:t>
      </w:r>
      <w:r>
        <w:t xml:space="preserve"> </w:t>
      </w:r>
      <w:r w:rsidRPr="000F6D97">
        <w:t>commuting,</w:t>
      </w:r>
      <w:r>
        <w:t xml:space="preserve"> </w:t>
      </w:r>
      <w:r w:rsidRPr="000F6D97">
        <w:t>caregiving</w:t>
      </w:r>
      <w:r>
        <w:t xml:space="preserve"> </w:t>
      </w:r>
      <w:r w:rsidRPr="000F6D97">
        <w:t>and</w:t>
      </w:r>
      <w:r>
        <w:t xml:space="preserve"> </w:t>
      </w:r>
      <w:r w:rsidRPr="000F6D97">
        <w:t>attending</w:t>
      </w:r>
      <w:r>
        <w:t xml:space="preserve"> </w:t>
      </w:r>
      <w:r w:rsidRPr="000F6D97">
        <w:t>important</w:t>
      </w:r>
      <w:r>
        <w:t xml:space="preserve"> </w:t>
      </w:r>
      <w:r w:rsidRPr="000F6D97">
        <w:t>events),</w:t>
      </w:r>
      <w:r>
        <w:t xml:space="preserve"> </w:t>
      </w:r>
      <w:r w:rsidRPr="000F6D97">
        <w:t>unfair</w:t>
      </w:r>
      <w:r>
        <w:t xml:space="preserve"> </w:t>
      </w:r>
      <w:r w:rsidRPr="000F6D97">
        <w:t>conduct</w:t>
      </w:r>
      <w:r>
        <w:t xml:space="preserve"> </w:t>
      </w:r>
      <w:r w:rsidRPr="000F6D97">
        <w:t>by</w:t>
      </w:r>
      <w:r>
        <w:t xml:space="preserve"> </w:t>
      </w:r>
      <w:r w:rsidRPr="000F6D97">
        <w:t>traders</w:t>
      </w:r>
      <w:r>
        <w:t xml:space="preserve"> </w:t>
      </w:r>
      <w:r w:rsidRPr="000F6D97">
        <w:t>impacts</w:t>
      </w:r>
      <w:r>
        <w:t xml:space="preserve"> </w:t>
      </w:r>
      <w:r w:rsidRPr="000F6D97">
        <w:t>individuals’</w:t>
      </w:r>
      <w:r>
        <w:t xml:space="preserve"> </w:t>
      </w:r>
      <w:r w:rsidRPr="000F6D97">
        <w:t>financial</w:t>
      </w:r>
      <w:r>
        <w:t xml:space="preserve"> </w:t>
      </w:r>
      <w:r w:rsidRPr="000F6D97">
        <w:t>stability</w:t>
      </w:r>
      <w:r>
        <w:t xml:space="preserve"> </w:t>
      </w:r>
      <w:r w:rsidRPr="000F6D97">
        <w:t>and</w:t>
      </w:r>
      <w:r>
        <w:t xml:space="preserve"> causes significant distress</w:t>
      </w:r>
      <w:r w:rsidRPr="000F6D97">
        <w:t>.</w:t>
      </w:r>
    </w:p>
    <w:p w14:paraId="07A1CFC7" w14:textId="26557423" w:rsidR="00856406" w:rsidRDefault="00856406" w:rsidP="00F45F3A">
      <w:pPr>
        <w:pStyle w:val="BodyText"/>
      </w:pPr>
      <w:r w:rsidRPr="00674176">
        <w:t>In</w:t>
      </w:r>
      <w:r>
        <w:t xml:space="preserve"> </w:t>
      </w:r>
      <w:r w:rsidR="00EE79C3">
        <w:t>2024–25</w:t>
      </w:r>
      <w:r w:rsidRPr="00674176">
        <w:t>,</w:t>
      </w:r>
      <w:r>
        <w:t xml:space="preserve"> </w:t>
      </w:r>
      <w:r w:rsidRPr="00674176">
        <w:t>CAV</w:t>
      </w:r>
      <w:r>
        <w:t xml:space="preserve"> </w:t>
      </w:r>
      <w:r w:rsidRPr="00674176">
        <w:t>piloted</w:t>
      </w:r>
      <w:r>
        <w:t xml:space="preserve"> </w:t>
      </w:r>
      <w:r w:rsidRPr="00674176">
        <w:t>a</w:t>
      </w:r>
      <w:r>
        <w:t xml:space="preserve"> </w:t>
      </w:r>
      <w:r w:rsidRPr="00674176">
        <w:t>programmatic</w:t>
      </w:r>
      <w:r>
        <w:t xml:space="preserve"> </w:t>
      </w:r>
      <w:r w:rsidRPr="00674176">
        <w:t>approach</w:t>
      </w:r>
      <w:r>
        <w:t xml:space="preserve"> </w:t>
      </w:r>
      <w:r w:rsidRPr="00674176">
        <w:t>to</w:t>
      </w:r>
      <w:r>
        <w:t xml:space="preserve"> </w:t>
      </w:r>
      <w:r w:rsidRPr="00674176">
        <w:t>its</w:t>
      </w:r>
      <w:r>
        <w:t xml:space="preserve"> </w:t>
      </w:r>
      <w:r w:rsidRPr="00674176">
        <w:t>motor</w:t>
      </w:r>
      <w:r>
        <w:t xml:space="preserve"> </w:t>
      </w:r>
      <w:r w:rsidRPr="00674176">
        <w:t>car</w:t>
      </w:r>
      <w:r>
        <w:t xml:space="preserve"> </w:t>
      </w:r>
      <w:r w:rsidRPr="00674176">
        <w:t>regulatory</w:t>
      </w:r>
      <w:r>
        <w:t xml:space="preserve"> </w:t>
      </w:r>
      <w:r w:rsidRPr="00674176">
        <w:t>functions</w:t>
      </w:r>
      <w:r>
        <w:t>. We f</w:t>
      </w:r>
      <w:r w:rsidRPr="00674176">
        <w:t>ocused</w:t>
      </w:r>
      <w:r>
        <w:t xml:space="preserve"> </w:t>
      </w:r>
      <w:r w:rsidRPr="00674176">
        <w:t>on</w:t>
      </w:r>
      <w:r>
        <w:t xml:space="preserve"> </w:t>
      </w:r>
      <w:r w:rsidRPr="00674176">
        <w:t>consumer</w:t>
      </w:r>
      <w:r>
        <w:t xml:space="preserve"> </w:t>
      </w:r>
      <w:r w:rsidRPr="00674176">
        <w:t>harms</w:t>
      </w:r>
      <w:r>
        <w:t xml:space="preserve"> </w:t>
      </w:r>
      <w:r w:rsidRPr="00674176">
        <w:t>arising</w:t>
      </w:r>
      <w:r>
        <w:t xml:space="preserve"> </w:t>
      </w:r>
      <w:r w:rsidRPr="00674176">
        <w:t>from</w:t>
      </w:r>
      <w:r>
        <w:t xml:space="preserve"> </w:t>
      </w:r>
      <w:r w:rsidRPr="00674176">
        <w:t>motor</w:t>
      </w:r>
      <w:r>
        <w:t xml:space="preserve"> </w:t>
      </w:r>
      <w:r w:rsidRPr="00674176">
        <w:t>car</w:t>
      </w:r>
      <w:r>
        <w:t xml:space="preserve"> </w:t>
      </w:r>
      <w:r w:rsidRPr="00674176">
        <w:t>traders</w:t>
      </w:r>
      <w:r>
        <w:t>:</w:t>
      </w:r>
    </w:p>
    <w:p w14:paraId="65ACABE1" w14:textId="77777777" w:rsidR="00856406" w:rsidRDefault="00856406" w:rsidP="00F45F3A">
      <w:pPr>
        <w:pStyle w:val="ListBullet"/>
      </w:pPr>
      <w:r w:rsidRPr="00674176">
        <w:t>not</w:t>
      </w:r>
      <w:r>
        <w:t xml:space="preserve"> </w:t>
      </w:r>
      <w:r w:rsidRPr="00674176">
        <w:t>honouring</w:t>
      </w:r>
      <w:r>
        <w:t xml:space="preserve"> </w:t>
      </w:r>
      <w:r w:rsidRPr="00674176">
        <w:t>consumer</w:t>
      </w:r>
      <w:r>
        <w:t xml:space="preserve"> </w:t>
      </w:r>
      <w:r w:rsidRPr="00674176">
        <w:t>guarantees</w:t>
      </w:r>
    </w:p>
    <w:p w14:paraId="2C4AC57C" w14:textId="77777777" w:rsidR="00856406" w:rsidRDefault="00856406" w:rsidP="00F45F3A">
      <w:pPr>
        <w:pStyle w:val="ListBullet"/>
      </w:pPr>
      <w:r w:rsidRPr="00674176">
        <w:t>making</w:t>
      </w:r>
      <w:r>
        <w:t xml:space="preserve"> </w:t>
      </w:r>
      <w:r w:rsidRPr="00674176">
        <w:t>false</w:t>
      </w:r>
      <w:r>
        <w:t xml:space="preserve"> </w:t>
      </w:r>
      <w:r w:rsidRPr="00674176">
        <w:t>or</w:t>
      </w:r>
      <w:r>
        <w:t xml:space="preserve"> </w:t>
      </w:r>
      <w:r w:rsidRPr="00674176">
        <w:t>misleading</w:t>
      </w:r>
      <w:r>
        <w:t xml:space="preserve"> </w:t>
      </w:r>
      <w:r w:rsidRPr="00674176">
        <w:t>representations</w:t>
      </w:r>
      <w:r>
        <w:t xml:space="preserve"> when </w:t>
      </w:r>
      <w:r w:rsidRPr="00674176">
        <w:t>selling</w:t>
      </w:r>
      <w:r>
        <w:t xml:space="preserve"> </w:t>
      </w:r>
      <w:r w:rsidRPr="00674176">
        <w:t>used</w:t>
      </w:r>
      <w:r>
        <w:t xml:space="preserve"> </w:t>
      </w:r>
      <w:r w:rsidRPr="00674176">
        <w:t>cars</w:t>
      </w:r>
    </w:p>
    <w:p w14:paraId="4B86EB5B" w14:textId="77777777" w:rsidR="00856406" w:rsidRDefault="00856406" w:rsidP="00F45F3A">
      <w:pPr>
        <w:pStyle w:val="ListBullet"/>
      </w:pPr>
      <w:r>
        <w:t xml:space="preserve">failing to supply </w:t>
      </w:r>
      <w:r w:rsidRPr="00674176">
        <w:t>goods</w:t>
      </w:r>
      <w:r>
        <w:t xml:space="preserve"> </w:t>
      </w:r>
      <w:r w:rsidRPr="00674176">
        <w:t>or</w:t>
      </w:r>
      <w:r>
        <w:t xml:space="preserve"> </w:t>
      </w:r>
      <w:r w:rsidRPr="00674176">
        <w:t>services</w:t>
      </w:r>
      <w:r>
        <w:t xml:space="preserve"> </w:t>
      </w:r>
      <w:r w:rsidRPr="00674176">
        <w:t>within</w:t>
      </w:r>
      <w:r>
        <w:t xml:space="preserve"> </w:t>
      </w:r>
      <w:r w:rsidRPr="00674176">
        <w:t>a</w:t>
      </w:r>
      <w:r>
        <w:t xml:space="preserve"> </w:t>
      </w:r>
      <w:r w:rsidRPr="00674176">
        <w:t>reasonable</w:t>
      </w:r>
      <w:r>
        <w:t xml:space="preserve"> </w:t>
      </w:r>
      <w:r w:rsidRPr="00674176">
        <w:t>or</w:t>
      </w:r>
      <w:r>
        <w:t xml:space="preserve"> </w:t>
      </w:r>
      <w:r w:rsidRPr="00674176">
        <w:t>specified</w:t>
      </w:r>
      <w:r>
        <w:t xml:space="preserve"> </w:t>
      </w:r>
      <w:r w:rsidRPr="00674176">
        <w:t>time</w:t>
      </w:r>
      <w:r>
        <w:t xml:space="preserve"> </w:t>
      </w:r>
      <w:r w:rsidRPr="00674176">
        <w:t>after</w:t>
      </w:r>
      <w:r>
        <w:t xml:space="preserve"> </w:t>
      </w:r>
      <w:r w:rsidRPr="00674176">
        <w:t>accepting</w:t>
      </w:r>
      <w:r>
        <w:t xml:space="preserve"> </w:t>
      </w:r>
      <w:r w:rsidRPr="00674176">
        <w:t>payment</w:t>
      </w:r>
      <w:r>
        <w:t xml:space="preserve">; </w:t>
      </w:r>
      <w:r w:rsidRPr="00674176">
        <w:t>and</w:t>
      </w:r>
    </w:p>
    <w:p w14:paraId="11FFDC93" w14:textId="77777777" w:rsidR="00856406" w:rsidRDefault="00856406" w:rsidP="00F45F3A">
      <w:pPr>
        <w:pStyle w:val="ListBullet"/>
      </w:pPr>
      <w:r w:rsidRPr="00674176">
        <w:t>engaging</w:t>
      </w:r>
      <w:r>
        <w:t xml:space="preserve"> </w:t>
      </w:r>
      <w:r w:rsidRPr="00674176">
        <w:t>in</w:t>
      </w:r>
      <w:r>
        <w:t xml:space="preserve"> </w:t>
      </w:r>
      <w:r w:rsidRPr="00674176">
        <w:t>other</w:t>
      </w:r>
      <w:r>
        <w:t xml:space="preserve"> </w:t>
      </w:r>
      <w:r w:rsidRPr="00674176">
        <w:t>unlawful</w:t>
      </w:r>
      <w:r>
        <w:t xml:space="preserve"> </w:t>
      </w:r>
      <w:r w:rsidRPr="00674176">
        <w:t>or</w:t>
      </w:r>
      <w:r>
        <w:t xml:space="preserve"> </w:t>
      </w:r>
      <w:r w:rsidRPr="00674176">
        <w:t>unfair</w:t>
      </w:r>
      <w:r>
        <w:t xml:space="preserve"> </w:t>
      </w:r>
      <w:r w:rsidRPr="00674176">
        <w:t>behaviour.</w:t>
      </w:r>
    </w:p>
    <w:p w14:paraId="1FBDB711" w14:textId="77777777" w:rsidR="00856406" w:rsidRDefault="00856406" w:rsidP="00F45F3A">
      <w:pPr>
        <w:pStyle w:val="BodyText"/>
      </w:pPr>
      <w:r w:rsidRPr="00674176">
        <w:t>CAV</w:t>
      </w:r>
      <w:r>
        <w:t xml:space="preserve"> </w:t>
      </w:r>
      <w:r w:rsidRPr="00674176">
        <w:t>identified</w:t>
      </w:r>
      <w:r>
        <w:t xml:space="preserve"> </w:t>
      </w:r>
      <w:r w:rsidRPr="00674176">
        <w:t>the</w:t>
      </w:r>
      <w:r>
        <w:t xml:space="preserve"> </w:t>
      </w:r>
      <w:r w:rsidRPr="00674176">
        <w:t>motor</w:t>
      </w:r>
      <w:r>
        <w:t xml:space="preserve"> </w:t>
      </w:r>
      <w:r w:rsidRPr="00674176">
        <w:t>car</w:t>
      </w:r>
      <w:r>
        <w:t xml:space="preserve"> </w:t>
      </w:r>
      <w:r w:rsidRPr="00674176">
        <w:t>traders</w:t>
      </w:r>
      <w:r>
        <w:t xml:space="preserve"> </w:t>
      </w:r>
      <w:r w:rsidRPr="00674176">
        <w:t>of</w:t>
      </w:r>
      <w:r>
        <w:t xml:space="preserve"> </w:t>
      </w:r>
      <w:r w:rsidRPr="00674176">
        <w:t>most</w:t>
      </w:r>
      <w:r>
        <w:t xml:space="preserve"> </w:t>
      </w:r>
      <w:r w:rsidRPr="00674176">
        <w:t>concern</w:t>
      </w:r>
      <w:r>
        <w:t xml:space="preserve"> </w:t>
      </w:r>
      <w:r w:rsidRPr="00674176">
        <w:t>based</w:t>
      </w:r>
      <w:r>
        <w:t xml:space="preserve"> </w:t>
      </w:r>
      <w:r w:rsidRPr="00674176">
        <w:t>on</w:t>
      </w:r>
      <w:r>
        <w:t xml:space="preserve"> an analysis of intelligence from various </w:t>
      </w:r>
      <w:r w:rsidRPr="00674176">
        <w:t>sources.</w:t>
      </w:r>
      <w:r>
        <w:t xml:space="preserve"> We </w:t>
      </w:r>
      <w:r w:rsidRPr="00674176">
        <w:t>undertook</w:t>
      </w:r>
      <w:r>
        <w:t xml:space="preserve"> </w:t>
      </w:r>
      <w:r w:rsidRPr="00674176">
        <w:t>targeted</w:t>
      </w:r>
      <w:r>
        <w:t xml:space="preserve"> </w:t>
      </w:r>
      <w:r w:rsidRPr="00674176">
        <w:t>compliance</w:t>
      </w:r>
      <w:r>
        <w:t xml:space="preserve"> </w:t>
      </w:r>
      <w:r w:rsidRPr="00674176">
        <w:t>intervention</w:t>
      </w:r>
      <w:r>
        <w:t xml:space="preserve"> </w:t>
      </w:r>
      <w:r w:rsidRPr="00674176">
        <w:t>activities</w:t>
      </w:r>
      <w:r>
        <w:t xml:space="preserve"> </w:t>
      </w:r>
      <w:r w:rsidRPr="00674176">
        <w:t>designed</w:t>
      </w:r>
      <w:r>
        <w:t xml:space="preserve"> </w:t>
      </w:r>
      <w:r w:rsidRPr="00674176">
        <w:t>to</w:t>
      </w:r>
      <w:r>
        <w:t xml:space="preserve"> educate and </w:t>
      </w:r>
      <w:r w:rsidRPr="00674176">
        <w:t>change</w:t>
      </w:r>
      <w:r>
        <w:t xml:space="preserve"> </w:t>
      </w:r>
      <w:r w:rsidRPr="00674176">
        <w:t>the</w:t>
      </w:r>
      <w:r>
        <w:t xml:space="preserve"> </w:t>
      </w:r>
      <w:r w:rsidRPr="00674176">
        <w:t>behaviour</w:t>
      </w:r>
      <w:r>
        <w:t xml:space="preserve"> </w:t>
      </w:r>
      <w:r w:rsidRPr="00674176">
        <w:t>of</w:t>
      </w:r>
      <w:r>
        <w:t xml:space="preserve"> </w:t>
      </w:r>
      <w:r w:rsidRPr="00674176">
        <w:t>those</w:t>
      </w:r>
      <w:r>
        <w:t xml:space="preserve"> </w:t>
      </w:r>
      <w:r w:rsidRPr="00674176">
        <w:t>traders</w:t>
      </w:r>
      <w:r>
        <w:t xml:space="preserve">, </w:t>
      </w:r>
      <w:r w:rsidRPr="00674176">
        <w:t>and</w:t>
      </w:r>
      <w:r>
        <w:t xml:space="preserve"> </w:t>
      </w:r>
      <w:r w:rsidRPr="00674176">
        <w:t>increase</w:t>
      </w:r>
      <w:r>
        <w:t xml:space="preserve"> </w:t>
      </w:r>
      <w:r w:rsidRPr="00674176">
        <w:t>the</w:t>
      </w:r>
      <w:r>
        <w:t xml:space="preserve"> </w:t>
      </w:r>
      <w:r w:rsidRPr="00674176">
        <w:t>number</w:t>
      </w:r>
      <w:r>
        <w:t xml:space="preserve"> </w:t>
      </w:r>
      <w:r w:rsidRPr="00674176">
        <w:t>of</w:t>
      </w:r>
      <w:r>
        <w:t xml:space="preserve"> </w:t>
      </w:r>
      <w:r w:rsidRPr="00674176">
        <w:t>consumers</w:t>
      </w:r>
      <w:r>
        <w:t xml:space="preserve"> </w:t>
      </w:r>
      <w:r w:rsidRPr="00674176">
        <w:t>who</w:t>
      </w:r>
      <w:r>
        <w:t xml:space="preserve"> </w:t>
      </w:r>
      <w:r w:rsidRPr="00674176">
        <w:t>receive</w:t>
      </w:r>
      <w:r>
        <w:t xml:space="preserve"> </w:t>
      </w:r>
      <w:r w:rsidRPr="00674176">
        <w:t>remedies</w:t>
      </w:r>
      <w:r>
        <w:t xml:space="preserve"> </w:t>
      </w:r>
      <w:r w:rsidRPr="00674176">
        <w:t>from</w:t>
      </w:r>
      <w:r>
        <w:t xml:space="preserve"> </w:t>
      </w:r>
      <w:r w:rsidRPr="00674176">
        <w:t>them</w:t>
      </w:r>
      <w:r>
        <w:t xml:space="preserve"> </w:t>
      </w:r>
      <w:r w:rsidRPr="00674176">
        <w:t>when</w:t>
      </w:r>
      <w:r>
        <w:t xml:space="preserve"> </w:t>
      </w:r>
      <w:r w:rsidRPr="00674176">
        <w:t>a</w:t>
      </w:r>
      <w:r>
        <w:t xml:space="preserve"> </w:t>
      </w:r>
      <w:r w:rsidRPr="00674176">
        <w:t>vehicle</w:t>
      </w:r>
      <w:r>
        <w:t xml:space="preserve"> </w:t>
      </w:r>
      <w:r w:rsidRPr="00674176">
        <w:t>fails</w:t>
      </w:r>
      <w:r>
        <w:t xml:space="preserve"> </w:t>
      </w:r>
      <w:r w:rsidRPr="00674176">
        <w:t>to</w:t>
      </w:r>
      <w:r>
        <w:t xml:space="preserve"> </w:t>
      </w:r>
      <w:r w:rsidRPr="00674176">
        <w:t>meet</w:t>
      </w:r>
      <w:r>
        <w:t xml:space="preserve"> </w:t>
      </w:r>
      <w:r w:rsidRPr="00674176">
        <w:t>consumer</w:t>
      </w:r>
      <w:r>
        <w:t xml:space="preserve"> </w:t>
      </w:r>
      <w:r w:rsidRPr="00674176">
        <w:t>guarantees</w:t>
      </w:r>
      <w:r>
        <w:t xml:space="preserve"> to be </w:t>
      </w:r>
      <w:r w:rsidRPr="00674176">
        <w:t>of</w:t>
      </w:r>
      <w:r>
        <w:t xml:space="preserve"> an </w:t>
      </w:r>
      <w:r w:rsidRPr="00674176">
        <w:t>acceptable</w:t>
      </w:r>
      <w:r>
        <w:t xml:space="preserve"> </w:t>
      </w:r>
      <w:r w:rsidRPr="00674176">
        <w:t>standard.</w:t>
      </w:r>
      <w:r>
        <w:t xml:space="preserve"> </w:t>
      </w:r>
      <w:r w:rsidRPr="00C44DDB">
        <w:t>CAV</w:t>
      </w:r>
      <w:r>
        <w:t xml:space="preserve"> </w:t>
      </w:r>
      <w:r w:rsidRPr="00C44DDB">
        <w:t>also</w:t>
      </w:r>
      <w:r>
        <w:t xml:space="preserve"> </w:t>
      </w:r>
      <w:r w:rsidRPr="00C44DDB">
        <w:t>worked</w:t>
      </w:r>
      <w:r>
        <w:t xml:space="preserve"> </w:t>
      </w:r>
      <w:r w:rsidRPr="00C44DDB">
        <w:t>with</w:t>
      </w:r>
      <w:r>
        <w:t xml:space="preserve"> </w:t>
      </w:r>
      <w:r w:rsidRPr="00C44DDB">
        <w:t>traders</w:t>
      </w:r>
      <w:r>
        <w:t xml:space="preserve"> </w:t>
      </w:r>
      <w:r w:rsidRPr="00C44DDB">
        <w:t>to</w:t>
      </w:r>
      <w:r>
        <w:t xml:space="preserve"> </w:t>
      </w:r>
      <w:r w:rsidRPr="00C44DDB">
        <w:t>encourage</w:t>
      </w:r>
      <w:r>
        <w:t xml:space="preserve"> the development of better complaint-handling systems and increase their understanding of the benefits of avoiding regulatory intervention through improved business practices.</w:t>
      </w:r>
    </w:p>
    <w:p w14:paraId="4C24BB7A" w14:textId="77777777" w:rsidR="00856406" w:rsidRDefault="00856406" w:rsidP="00F45F3A">
      <w:pPr>
        <w:pStyle w:val="BodyText"/>
      </w:pPr>
      <w:r w:rsidRPr="00674176">
        <w:t>CAV</w:t>
      </w:r>
      <w:r>
        <w:t xml:space="preserve"> </w:t>
      </w:r>
      <w:r w:rsidRPr="00674176">
        <w:t>established</w:t>
      </w:r>
      <w:r>
        <w:t xml:space="preserve"> </w:t>
      </w:r>
      <w:r w:rsidRPr="00674176">
        <w:t>productive</w:t>
      </w:r>
      <w:r>
        <w:t xml:space="preserve"> </w:t>
      </w:r>
      <w:r w:rsidRPr="00674176">
        <w:t>relationships</w:t>
      </w:r>
      <w:r>
        <w:t xml:space="preserve"> </w:t>
      </w:r>
      <w:r w:rsidRPr="00674176">
        <w:t>with</w:t>
      </w:r>
      <w:r>
        <w:t xml:space="preserve"> </w:t>
      </w:r>
      <w:r w:rsidRPr="00674176">
        <w:t>our</w:t>
      </w:r>
      <w:r>
        <w:t xml:space="preserve"> </w:t>
      </w:r>
      <w:r w:rsidRPr="00674176">
        <w:t>industry</w:t>
      </w:r>
      <w:r>
        <w:t xml:space="preserve"> </w:t>
      </w:r>
      <w:r w:rsidRPr="00674176">
        <w:t>co-regulators</w:t>
      </w:r>
      <w:r>
        <w:t xml:space="preserve"> </w:t>
      </w:r>
      <w:r w:rsidRPr="00674176">
        <w:t>and</w:t>
      </w:r>
      <w:r>
        <w:t xml:space="preserve"> </w:t>
      </w:r>
      <w:r w:rsidRPr="00674176">
        <w:t>stakeholders</w:t>
      </w:r>
      <w:r>
        <w:t xml:space="preserve"> to support intervention when traders fail to facilitate the transfer of vehicle registration to a purchaser</w:t>
      </w:r>
      <w:r w:rsidRPr="00674176">
        <w:t>.</w:t>
      </w:r>
      <w:r>
        <w:t xml:space="preserve"> We also strengthened our partnerships with interstate and national regulators regarding extended warranties and finance lending in the industry. </w:t>
      </w:r>
      <w:r w:rsidRPr="00674176">
        <w:t>Th</w:t>
      </w:r>
      <w:r>
        <w:t>ese partnerships provide valuable insights into consumer issues in the broader market and enhance targeting for our compliance activities.</w:t>
      </w:r>
    </w:p>
    <w:p w14:paraId="383908EB" w14:textId="58DC0978" w:rsidR="00856406" w:rsidRDefault="00856406" w:rsidP="00F45F3A">
      <w:pPr>
        <w:pStyle w:val="BodyText"/>
      </w:pPr>
      <w:r>
        <w:t>When deemed necessary, we did not hesitate to pursue further enforcement responses. I</w:t>
      </w:r>
      <w:r w:rsidRPr="00315F2E">
        <w:t>n</w:t>
      </w:r>
      <w:r>
        <w:t xml:space="preserve"> </w:t>
      </w:r>
      <w:r w:rsidR="00EE79C3">
        <w:t>2024–25</w:t>
      </w:r>
      <w:r>
        <w:t xml:space="preserve"> we issued 23 infringements for motor car trading breaches, up from 3 the previous financial year. We also commenced disciplinary proceedings against a licensed motor car trader for serious alleged conduct. This included </w:t>
      </w:r>
      <w:r w:rsidRPr="00717004">
        <w:t>fail</w:t>
      </w:r>
      <w:r>
        <w:t xml:space="preserve">ing </w:t>
      </w:r>
      <w:r w:rsidRPr="00717004">
        <w:t>to</w:t>
      </w:r>
      <w:r>
        <w:t xml:space="preserve"> </w:t>
      </w:r>
      <w:r w:rsidRPr="00717004">
        <w:t>deliver</w:t>
      </w:r>
      <w:r>
        <w:t xml:space="preserve"> </w:t>
      </w:r>
      <w:r w:rsidRPr="00717004">
        <w:t>cars</w:t>
      </w:r>
      <w:r>
        <w:t xml:space="preserve"> </w:t>
      </w:r>
      <w:r w:rsidRPr="00717004">
        <w:t>to</w:t>
      </w:r>
      <w:r>
        <w:t xml:space="preserve"> </w:t>
      </w:r>
      <w:r w:rsidRPr="00717004">
        <w:t>customers,</w:t>
      </w:r>
      <w:r>
        <w:t xml:space="preserve"> </w:t>
      </w:r>
      <w:r w:rsidRPr="00717004">
        <w:t>pay</w:t>
      </w:r>
      <w:r>
        <w:t xml:space="preserve"> </w:t>
      </w:r>
      <w:r w:rsidRPr="00717004">
        <w:t>stamp</w:t>
      </w:r>
      <w:r>
        <w:t xml:space="preserve"> </w:t>
      </w:r>
      <w:r w:rsidRPr="00717004">
        <w:t>duty</w:t>
      </w:r>
      <w:r>
        <w:t xml:space="preserve">, and </w:t>
      </w:r>
      <w:r w:rsidRPr="00717004">
        <w:t>return</w:t>
      </w:r>
      <w:r>
        <w:t xml:space="preserve"> </w:t>
      </w:r>
      <w:r w:rsidRPr="00717004">
        <w:t>deposits</w:t>
      </w:r>
      <w:r>
        <w:t xml:space="preserve"> </w:t>
      </w:r>
      <w:r w:rsidRPr="00717004">
        <w:t>on</w:t>
      </w:r>
      <w:r>
        <w:t xml:space="preserve"> </w:t>
      </w:r>
      <w:r w:rsidRPr="00717004">
        <w:t>cancelled</w:t>
      </w:r>
      <w:r>
        <w:t xml:space="preserve"> </w:t>
      </w:r>
      <w:r w:rsidRPr="00717004">
        <w:t>contracts</w:t>
      </w:r>
      <w:r>
        <w:t>. Criminal proceedings are also being undertaken against another party for alleged unlicensed trading.</w:t>
      </w:r>
    </w:p>
    <w:p w14:paraId="7F17F1CA" w14:textId="77777777" w:rsidR="00856406" w:rsidRDefault="00856406" w:rsidP="00F45F3A">
      <w:pPr>
        <w:pStyle w:val="BodyText"/>
      </w:pPr>
      <w:r>
        <w:t xml:space="preserve">We significantly increased our frontline help to consumers with car disputes. This saw a 147 per cent increase in advice provided to help resolve issues through our frontline compliance response. The Motor Car Traders’ Guarantee Fund (MCTGF) also plays a crucial role in protecting consumers. It provides compensation to people who have suffered a financial loss after purchasing a car from a licensed Victorian motor car trader who fails to meet certain conditions of the </w:t>
      </w:r>
      <w:r w:rsidRPr="008E5C97">
        <w:rPr>
          <w:i/>
        </w:rPr>
        <w:t>Motor</w:t>
      </w:r>
      <w:r>
        <w:rPr>
          <w:i/>
        </w:rPr>
        <w:t xml:space="preserve"> </w:t>
      </w:r>
      <w:r w:rsidRPr="008E5C97">
        <w:rPr>
          <w:i/>
        </w:rPr>
        <w:t>Car</w:t>
      </w:r>
      <w:r>
        <w:rPr>
          <w:i/>
        </w:rPr>
        <w:t xml:space="preserve"> </w:t>
      </w:r>
      <w:r w:rsidRPr="008E5C97">
        <w:rPr>
          <w:i/>
        </w:rPr>
        <w:t>Traders</w:t>
      </w:r>
      <w:r>
        <w:rPr>
          <w:i/>
        </w:rPr>
        <w:t xml:space="preserve"> </w:t>
      </w:r>
      <w:r w:rsidRPr="008E5C97">
        <w:rPr>
          <w:i/>
        </w:rPr>
        <w:t>Act</w:t>
      </w:r>
      <w:r>
        <w:rPr>
          <w:i/>
        </w:rPr>
        <w:t xml:space="preserve"> </w:t>
      </w:r>
      <w:r w:rsidRPr="008E5C97">
        <w:rPr>
          <w:i/>
        </w:rPr>
        <w:t>1986</w:t>
      </w:r>
      <w:r>
        <w:t>, such as not repairing a fault covered by statutory warranty, or failing to pay transfer or registration fees or stamp duty to VicRoads</w:t>
      </w:r>
      <w:r w:rsidRPr="715F0599">
        <w:t>.</w:t>
      </w:r>
      <w:r>
        <w:t xml:space="preserve"> The Motor Car Trader Claims Committee assesses and decides on claims for compensation from the MCTGF. Its functions and operations are supported by CAV.</w:t>
      </w:r>
    </w:p>
    <w:p w14:paraId="54A3CB17" w14:textId="584C5A87" w:rsidR="00856406" w:rsidRPr="00C227CE" w:rsidRDefault="00856406" w:rsidP="00F45F3A">
      <w:pPr>
        <w:pStyle w:val="BodyText"/>
      </w:pPr>
      <w:r>
        <w:t xml:space="preserve">In </w:t>
      </w:r>
      <w:r w:rsidR="00EE79C3">
        <w:t>2024–25</w:t>
      </w:r>
      <w:r>
        <w:t>, the committee awarded 217 claims, totalling $439,905, to compensate consumers for losses incurred due to a trader</w:t>
      </w:r>
      <w:r w:rsidR="009421C7">
        <w:t>’</w:t>
      </w:r>
      <w:r>
        <w:t>s failure to comply with requirements. This included a significant number of claims related to two companies that went into external administration. The lead company is now facing disciplinary proceedings.</w:t>
      </w:r>
    </w:p>
    <w:p w14:paraId="2AB3232C" w14:textId="11B30887" w:rsidR="00856406" w:rsidRPr="00A4404F" w:rsidRDefault="00856406" w:rsidP="00FF14A3">
      <w:pPr>
        <w:pStyle w:val="Caption"/>
      </w:pPr>
      <w:bookmarkStart w:id="53" w:name="_Toc212562076"/>
      <w:r w:rsidRPr="00A4404F">
        <w:t>Table</w:t>
      </w:r>
      <w:r>
        <w:t xml:space="preserve"> 9</w:t>
      </w:r>
      <w:r w:rsidRPr="00A4404F">
        <w:t>:</w:t>
      </w:r>
      <w:r>
        <w:t xml:space="preserve"> </w:t>
      </w:r>
      <w:r w:rsidRPr="00A4404F">
        <w:t>MCTGF</w:t>
      </w:r>
      <w:r>
        <w:t xml:space="preserve"> </w:t>
      </w:r>
      <w:r w:rsidRPr="00A4404F">
        <w:t>claims</w:t>
      </w:r>
      <w:bookmarkEnd w:id="53"/>
    </w:p>
    <w:tbl>
      <w:tblPr>
        <w:tblStyle w:val="TableGrid"/>
        <w:tblW w:w="9006" w:type="dxa"/>
        <w:tblLook w:val="06A0" w:firstRow="1" w:lastRow="0" w:firstColumn="1" w:lastColumn="0" w:noHBand="1" w:noVBand="1"/>
      </w:tblPr>
      <w:tblGrid>
        <w:gridCol w:w="4938"/>
        <w:gridCol w:w="1356"/>
        <w:gridCol w:w="1356"/>
        <w:gridCol w:w="1356"/>
      </w:tblGrid>
      <w:tr w:rsidR="00856406" w14:paraId="2F25AC5B" w14:textId="77777777" w:rsidTr="005B7969">
        <w:trPr>
          <w:cnfStyle w:val="100000000000" w:firstRow="1" w:lastRow="0" w:firstColumn="0" w:lastColumn="0" w:oddVBand="0" w:evenVBand="0" w:oddHBand="0" w:evenHBand="0" w:firstRowFirstColumn="0" w:firstRowLastColumn="0" w:lastRowFirstColumn="0" w:lastRowLastColumn="0"/>
          <w:trHeight w:val="285"/>
          <w:tblHeader/>
        </w:trPr>
        <w:tc>
          <w:tcPr>
            <w:tcW w:w="4990" w:type="dxa"/>
          </w:tcPr>
          <w:p w14:paraId="35592574" w14:textId="77777777" w:rsidR="00856406" w:rsidRPr="003239FD" w:rsidRDefault="00856406" w:rsidP="00FF14A3">
            <w:pPr>
              <w:pStyle w:val="TableColHead"/>
            </w:pPr>
          </w:p>
        </w:tc>
        <w:tc>
          <w:tcPr>
            <w:tcW w:w="1361" w:type="dxa"/>
          </w:tcPr>
          <w:p w14:paraId="37FE9E25" w14:textId="4BFFCCA7" w:rsidR="00856406" w:rsidRDefault="00EE79C3" w:rsidP="00FF14A3">
            <w:pPr>
              <w:pStyle w:val="TableColHeadRight"/>
            </w:pPr>
            <w:r>
              <w:t>2022–23</w:t>
            </w:r>
            <w:r w:rsidR="00856406">
              <w:rPr>
                <w:rFonts w:eastAsia="Arial"/>
              </w:rPr>
              <w:t xml:space="preserve"> </w:t>
            </w:r>
          </w:p>
        </w:tc>
        <w:tc>
          <w:tcPr>
            <w:tcW w:w="1361" w:type="dxa"/>
          </w:tcPr>
          <w:p w14:paraId="3E05C476" w14:textId="71312D33" w:rsidR="00856406" w:rsidRDefault="00EE79C3" w:rsidP="00FF14A3">
            <w:pPr>
              <w:pStyle w:val="TableColHeadRight"/>
            </w:pPr>
            <w:r>
              <w:t>2023–24</w:t>
            </w:r>
            <w:r w:rsidR="00856406">
              <w:rPr>
                <w:rFonts w:eastAsia="Arial"/>
              </w:rPr>
              <w:t xml:space="preserve"> </w:t>
            </w:r>
          </w:p>
        </w:tc>
        <w:tc>
          <w:tcPr>
            <w:tcW w:w="1361" w:type="dxa"/>
          </w:tcPr>
          <w:p w14:paraId="7E4EC698" w14:textId="36681EBD" w:rsidR="00856406" w:rsidRDefault="00EE79C3" w:rsidP="00FF14A3">
            <w:pPr>
              <w:pStyle w:val="TableColHeadRight"/>
            </w:pPr>
            <w:r>
              <w:t>2024–25</w:t>
            </w:r>
            <w:r w:rsidR="00856406">
              <w:rPr>
                <w:rFonts w:eastAsia="Arial"/>
              </w:rPr>
              <w:t xml:space="preserve"> </w:t>
            </w:r>
          </w:p>
        </w:tc>
      </w:tr>
      <w:tr w:rsidR="00856406" w14:paraId="44D4490C" w14:textId="77777777" w:rsidTr="005B7969">
        <w:trPr>
          <w:trHeight w:val="285"/>
        </w:trPr>
        <w:tc>
          <w:tcPr>
            <w:tcW w:w="4990" w:type="dxa"/>
          </w:tcPr>
          <w:p w14:paraId="5351F1B4" w14:textId="77777777" w:rsidR="00856406" w:rsidRDefault="00856406" w:rsidP="00FF14A3">
            <w:pPr>
              <w:pStyle w:val="TableText"/>
            </w:pPr>
            <w:r w:rsidRPr="001623EB">
              <w:t>Number</w:t>
            </w:r>
            <w:r>
              <w:t xml:space="preserve"> </w:t>
            </w:r>
            <w:r w:rsidRPr="001623EB">
              <w:t>of</w:t>
            </w:r>
            <w:r>
              <w:t xml:space="preserve"> </w:t>
            </w:r>
            <w:r w:rsidRPr="001623EB">
              <w:t>claims</w:t>
            </w:r>
            <w:r>
              <w:t xml:space="preserve"> </w:t>
            </w:r>
            <w:r w:rsidRPr="001623EB">
              <w:t>processed</w:t>
            </w:r>
            <w:r>
              <w:t xml:space="preserve"> </w:t>
            </w:r>
            <w:r w:rsidRPr="001623EB">
              <w:t>from</w:t>
            </w:r>
            <w:r>
              <w:t xml:space="preserve"> </w:t>
            </w:r>
            <w:r w:rsidRPr="001623EB">
              <w:t>the</w:t>
            </w:r>
            <w:r>
              <w:t xml:space="preserve"> </w:t>
            </w:r>
            <w:r w:rsidRPr="001623EB">
              <w:t>MCTGF</w:t>
            </w:r>
            <w:r>
              <w:t xml:space="preserve"> </w:t>
            </w:r>
            <w:r>
              <w:br/>
            </w:r>
            <w:r w:rsidRPr="001623EB">
              <w:t>(includes</w:t>
            </w:r>
            <w:r>
              <w:t xml:space="preserve"> </w:t>
            </w:r>
            <w:r w:rsidRPr="001623EB">
              <w:t>refused</w:t>
            </w:r>
            <w:r>
              <w:t xml:space="preserve"> </w:t>
            </w:r>
            <w:r w:rsidRPr="001623EB">
              <w:t>and</w:t>
            </w:r>
            <w:r>
              <w:t xml:space="preserve"> </w:t>
            </w:r>
            <w:r w:rsidRPr="001623EB">
              <w:t>withdrawn</w:t>
            </w:r>
            <w:r>
              <w:t xml:space="preserve"> </w:t>
            </w:r>
            <w:r w:rsidRPr="001623EB">
              <w:t>claims)</w:t>
            </w:r>
            <w:r>
              <w:t xml:space="preserve"> </w:t>
            </w:r>
          </w:p>
        </w:tc>
        <w:tc>
          <w:tcPr>
            <w:tcW w:w="1361" w:type="dxa"/>
          </w:tcPr>
          <w:p w14:paraId="09B26DA5" w14:textId="77777777" w:rsidR="00856406" w:rsidRDefault="00856406" w:rsidP="00FF14A3">
            <w:pPr>
              <w:pStyle w:val="TableTextRight"/>
            </w:pPr>
            <w:r w:rsidRPr="085FA71C">
              <w:t>95</w:t>
            </w:r>
          </w:p>
        </w:tc>
        <w:tc>
          <w:tcPr>
            <w:tcW w:w="1361" w:type="dxa"/>
          </w:tcPr>
          <w:p w14:paraId="1D2511F5" w14:textId="77777777" w:rsidR="00856406" w:rsidRDefault="00856406" w:rsidP="00FF14A3">
            <w:pPr>
              <w:pStyle w:val="TableTextRight"/>
            </w:pPr>
            <w:r w:rsidRPr="085FA71C">
              <w:t>94</w:t>
            </w:r>
          </w:p>
        </w:tc>
        <w:tc>
          <w:tcPr>
            <w:tcW w:w="1361" w:type="dxa"/>
          </w:tcPr>
          <w:p w14:paraId="322EB4A1" w14:textId="77777777" w:rsidR="00856406" w:rsidRDefault="00856406" w:rsidP="00FF14A3">
            <w:pPr>
              <w:pStyle w:val="TableTextRight"/>
            </w:pPr>
            <w:r w:rsidRPr="085FA71C">
              <w:t>309</w:t>
            </w:r>
          </w:p>
        </w:tc>
      </w:tr>
      <w:tr w:rsidR="00856406" w14:paraId="2AE2BF58" w14:textId="77777777" w:rsidTr="005B7969">
        <w:trPr>
          <w:trHeight w:val="285"/>
        </w:trPr>
        <w:tc>
          <w:tcPr>
            <w:tcW w:w="4990" w:type="dxa"/>
          </w:tcPr>
          <w:p w14:paraId="1F0332EB" w14:textId="77777777" w:rsidR="00856406" w:rsidRDefault="00856406" w:rsidP="00FF14A3">
            <w:pPr>
              <w:pStyle w:val="TableText"/>
            </w:pPr>
            <w:r w:rsidRPr="001623EB">
              <w:t>Number</w:t>
            </w:r>
            <w:r>
              <w:t xml:space="preserve"> </w:t>
            </w:r>
            <w:r w:rsidRPr="001623EB">
              <w:t>of</w:t>
            </w:r>
            <w:r>
              <w:t xml:space="preserve"> </w:t>
            </w:r>
            <w:r w:rsidRPr="001623EB">
              <w:t>claims</w:t>
            </w:r>
            <w:r>
              <w:t xml:space="preserve"> </w:t>
            </w:r>
            <w:r w:rsidRPr="001623EB">
              <w:t>paid</w:t>
            </w:r>
            <w:r>
              <w:t xml:space="preserve"> </w:t>
            </w:r>
          </w:p>
        </w:tc>
        <w:tc>
          <w:tcPr>
            <w:tcW w:w="1361" w:type="dxa"/>
          </w:tcPr>
          <w:p w14:paraId="58C527E1" w14:textId="77777777" w:rsidR="00856406" w:rsidRDefault="00856406" w:rsidP="00FF14A3">
            <w:pPr>
              <w:pStyle w:val="TableTextRight"/>
            </w:pPr>
            <w:r w:rsidRPr="085FA71C">
              <w:t>10</w:t>
            </w:r>
          </w:p>
        </w:tc>
        <w:tc>
          <w:tcPr>
            <w:tcW w:w="1361" w:type="dxa"/>
          </w:tcPr>
          <w:p w14:paraId="1E97B9A8" w14:textId="77777777" w:rsidR="00856406" w:rsidRDefault="00856406" w:rsidP="00FF14A3">
            <w:pPr>
              <w:pStyle w:val="TableTextRight"/>
            </w:pPr>
            <w:r w:rsidRPr="085FA71C">
              <w:t>12</w:t>
            </w:r>
          </w:p>
        </w:tc>
        <w:tc>
          <w:tcPr>
            <w:tcW w:w="1361" w:type="dxa"/>
          </w:tcPr>
          <w:p w14:paraId="3DBA307B" w14:textId="77777777" w:rsidR="00856406" w:rsidRDefault="00856406" w:rsidP="00FF14A3">
            <w:pPr>
              <w:pStyle w:val="TableTextRight"/>
            </w:pPr>
            <w:r w:rsidRPr="085FA71C">
              <w:t>21</w:t>
            </w:r>
            <w:r>
              <w:t>7</w:t>
            </w:r>
          </w:p>
        </w:tc>
      </w:tr>
      <w:tr w:rsidR="00856406" w14:paraId="3E30F98C" w14:textId="77777777" w:rsidTr="005B7969">
        <w:trPr>
          <w:trHeight w:val="285"/>
        </w:trPr>
        <w:tc>
          <w:tcPr>
            <w:tcW w:w="4990" w:type="dxa"/>
          </w:tcPr>
          <w:p w14:paraId="57D35295" w14:textId="77777777" w:rsidR="00856406" w:rsidRDefault="00856406" w:rsidP="00FF14A3">
            <w:pPr>
              <w:pStyle w:val="TableText"/>
            </w:pPr>
            <w:r w:rsidRPr="1EA42993">
              <w:t>Total</w:t>
            </w:r>
            <w:r>
              <w:t xml:space="preserve"> </w:t>
            </w:r>
            <w:r w:rsidRPr="1EA42993">
              <w:t>value</w:t>
            </w:r>
            <w:r>
              <w:t xml:space="preserve"> </w:t>
            </w:r>
            <w:r w:rsidRPr="1EA42993">
              <w:t>paid</w:t>
            </w:r>
            <w:r>
              <w:t xml:space="preserve"> </w:t>
            </w:r>
            <w:r w:rsidRPr="5196B0F9">
              <w:t>out</w:t>
            </w:r>
            <w:r>
              <w:t xml:space="preserve"> </w:t>
            </w:r>
          </w:p>
        </w:tc>
        <w:tc>
          <w:tcPr>
            <w:tcW w:w="1361" w:type="dxa"/>
          </w:tcPr>
          <w:p w14:paraId="61140022" w14:textId="77777777" w:rsidR="00856406" w:rsidRDefault="00856406" w:rsidP="00FF14A3">
            <w:pPr>
              <w:pStyle w:val="TableTextRightBold"/>
            </w:pPr>
            <w:r w:rsidRPr="101F1CD2">
              <w:t>$108,3</w:t>
            </w:r>
            <w:r>
              <w:t>60</w:t>
            </w:r>
          </w:p>
        </w:tc>
        <w:tc>
          <w:tcPr>
            <w:tcW w:w="1361" w:type="dxa"/>
          </w:tcPr>
          <w:p w14:paraId="575608AB" w14:textId="77777777" w:rsidR="00856406" w:rsidRDefault="00856406" w:rsidP="00FF14A3">
            <w:pPr>
              <w:pStyle w:val="TableTextRightBold"/>
            </w:pPr>
            <w:r w:rsidRPr="0E82B868">
              <w:t>$101,769</w:t>
            </w:r>
          </w:p>
        </w:tc>
        <w:tc>
          <w:tcPr>
            <w:tcW w:w="1361" w:type="dxa"/>
          </w:tcPr>
          <w:p w14:paraId="1A976CAD" w14:textId="77777777" w:rsidR="00856406" w:rsidRDefault="00856406" w:rsidP="00FF14A3">
            <w:pPr>
              <w:pStyle w:val="TableTextRightBold"/>
            </w:pPr>
            <w:r w:rsidRPr="0E82B868">
              <w:t>$439,90</w:t>
            </w:r>
            <w:r>
              <w:t>5</w:t>
            </w:r>
          </w:p>
        </w:tc>
      </w:tr>
    </w:tbl>
    <w:p w14:paraId="77E23B62" w14:textId="77777777" w:rsidR="00856406" w:rsidRPr="00EB0C9A" w:rsidRDefault="00856406" w:rsidP="00447322">
      <w:pPr>
        <w:pStyle w:val="Heading3"/>
      </w:pPr>
      <w:bookmarkStart w:id="54" w:name="_Toc204243162"/>
      <w:r w:rsidRPr="00EB0C9A">
        <w:t>Enforcement</w:t>
      </w:r>
      <w:r>
        <w:t xml:space="preserve"> </w:t>
      </w:r>
      <w:r w:rsidRPr="00EB0C9A">
        <w:t>actions</w:t>
      </w:r>
      <w:bookmarkEnd w:id="54"/>
    </w:p>
    <w:p w14:paraId="3D0D2267" w14:textId="77777777" w:rsidR="00856406" w:rsidRPr="00EB0C9A" w:rsidRDefault="00856406" w:rsidP="00447322">
      <w:pPr>
        <w:pStyle w:val="Heading4"/>
      </w:pPr>
      <w:r w:rsidRPr="00EB0C9A">
        <w:t>Public</w:t>
      </w:r>
      <w:r>
        <w:t xml:space="preserve"> </w:t>
      </w:r>
      <w:r w:rsidRPr="00EB0C9A">
        <w:t>warnings</w:t>
      </w:r>
    </w:p>
    <w:p w14:paraId="3BED9060" w14:textId="3E7F84C1" w:rsidR="00856406" w:rsidRDefault="00856406" w:rsidP="00F45F3A">
      <w:pPr>
        <w:pStyle w:val="BodyText"/>
      </w:pPr>
      <w:r>
        <w:t>In CAV’s 2023</w:t>
      </w:r>
      <w:r w:rsidR="00EE79C3">
        <w:t>–2</w:t>
      </w:r>
      <w:r>
        <w:t>6 Strategic Plan, we committed to decreasing our response time to cases of serious non-compliance. We have undertaken a range of actions to achieve this, including improving our early intervention with potentially problematic traders, and making changes to speed up our investigations.</w:t>
      </w:r>
    </w:p>
    <w:p w14:paraId="23C88D3E" w14:textId="77777777" w:rsidR="00856406" w:rsidRDefault="00856406" w:rsidP="00F45F3A">
      <w:pPr>
        <w:pStyle w:val="BodyText"/>
      </w:pPr>
      <w:r>
        <w:t xml:space="preserve">Formal public warnings are another important way we can respond more quickly to risks to consumers in the marketplace by getting the word out to protect potential purchasers. Under both the Australian Consumer Law and </w:t>
      </w:r>
      <w:r w:rsidRPr="00261872">
        <w:t>the</w:t>
      </w:r>
      <w:r>
        <w:t xml:space="preserve"> </w:t>
      </w:r>
      <w:r w:rsidRPr="00EB0C9A">
        <w:rPr>
          <w:i/>
        </w:rPr>
        <w:t>Australian</w:t>
      </w:r>
      <w:r>
        <w:rPr>
          <w:i/>
        </w:rPr>
        <w:t xml:space="preserve"> </w:t>
      </w:r>
      <w:r w:rsidRPr="00EB0C9A">
        <w:rPr>
          <w:i/>
        </w:rPr>
        <w:t>Consumer</w:t>
      </w:r>
      <w:r>
        <w:rPr>
          <w:i/>
        </w:rPr>
        <w:t xml:space="preserve"> </w:t>
      </w:r>
      <w:r w:rsidRPr="00EB0C9A">
        <w:rPr>
          <w:i/>
        </w:rPr>
        <w:t>Law</w:t>
      </w:r>
      <w:r>
        <w:rPr>
          <w:i/>
        </w:rPr>
        <w:t xml:space="preserve"> </w:t>
      </w:r>
      <w:r w:rsidRPr="00EB0C9A">
        <w:rPr>
          <w:i/>
        </w:rPr>
        <w:t>and</w:t>
      </w:r>
      <w:r>
        <w:rPr>
          <w:i/>
        </w:rPr>
        <w:t xml:space="preserve"> </w:t>
      </w:r>
      <w:r w:rsidRPr="00EB0C9A">
        <w:rPr>
          <w:i/>
        </w:rPr>
        <w:t>Fair</w:t>
      </w:r>
      <w:r>
        <w:rPr>
          <w:i/>
        </w:rPr>
        <w:t xml:space="preserve"> </w:t>
      </w:r>
      <w:r w:rsidRPr="00EB0C9A">
        <w:rPr>
          <w:i/>
        </w:rPr>
        <w:t>Trading</w:t>
      </w:r>
      <w:r>
        <w:rPr>
          <w:i/>
        </w:rPr>
        <w:t xml:space="preserve"> </w:t>
      </w:r>
      <w:r w:rsidRPr="00EB0C9A">
        <w:rPr>
          <w:i/>
        </w:rPr>
        <w:t>Act</w:t>
      </w:r>
      <w:r>
        <w:rPr>
          <w:i/>
        </w:rPr>
        <w:t xml:space="preserve"> </w:t>
      </w:r>
      <w:r w:rsidRPr="00EB0C9A">
        <w:rPr>
          <w:i/>
        </w:rPr>
        <w:t>2012</w:t>
      </w:r>
      <w:r w:rsidRPr="00261872">
        <w:t>,</w:t>
      </w:r>
      <w:r>
        <w:t xml:space="preserve"> </w:t>
      </w:r>
      <w:r w:rsidRPr="00261872">
        <w:t>the</w:t>
      </w:r>
      <w:r>
        <w:t xml:space="preserve"> </w:t>
      </w:r>
      <w:r w:rsidRPr="00261872">
        <w:t>Director</w:t>
      </w:r>
      <w:r>
        <w:t xml:space="preserve"> </w:t>
      </w:r>
      <w:r w:rsidRPr="00261872">
        <w:t>of</w:t>
      </w:r>
      <w:r>
        <w:t xml:space="preserve"> </w:t>
      </w:r>
      <w:r w:rsidRPr="00261872">
        <w:t>CAV</w:t>
      </w:r>
      <w:r>
        <w:t xml:space="preserve"> </w:t>
      </w:r>
      <w:r w:rsidRPr="00261872">
        <w:t>can</w:t>
      </w:r>
      <w:r>
        <w:t xml:space="preserve"> </w:t>
      </w:r>
      <w:r w:rsidRPr="00261872">
        <w:t>issue</w:t>
      </w:r>
      <w:r>
        <w:t xml:space="preserve"> </w:t>
      </w:r>
      <w:r w:rsidRPr="00261872">
        <w:t>warnings</w:t>
      </w:r>
      <w:r>
        <w:t xml:space="preserve"> </w:t>
      </w:r>
      <w:r w:rsidRPr="00261872">
        <w:t>in</w:t>
      </w:r>
      <w:r>
        <w:t xml:space="preserve"> </w:t>
      </w:r>
      <w:r w:rsidRPr="00261872">
        <w:t>the</w:t>
      </w:r>
      <w:r>
        <w:t xml:space="preserve"> </w:t>
      </w:r>
      <w:r w:rsidRPr="00261872">
        <w:t>public</w:t>
      </w:r>
      <w:r>
        <w:t xml:space="preserve"> </w:t>
      </w:r>
      <w:r w:rsidRPr="00261872">
        <w:t>interest</w:t>
      </w:r>
      <w:r>
        <w:t xml:space="preserve">, to </w:t>
      </w:r>
      <w:r w:rsidRPr="00261872">
        <w:t>expose</w:t>
      </w:r>
      <w:r>
        <w:t xml:space="preserve"> </w:t>
      </w:r>
      <w:r w:rsidRPr="00261872">
        <w:t>unfair</w:t>
      </w:r>
      <w:r>
        <w:t xml:space="preserve"> </w:t>
      </w:r>
      <w:r w:rsidRPr="00261872">
        <w:t>practices,</w:t>
      </w:r>
      <w:r>
        <w:t xml:space="preserve"> </w:t>
      </w:r>
      <w:r w:rsidRPr="00261872">
        <w:t>helping</w:t>
      </w:r>
      <w:r>
        <w:t xml:space="preserve"> </w:t>
      </w:r>
      <w:r w:rsidRPr="00261872">
        <w:t>people</w:t>
      </w:r>
      <w:r>
        <w:t xml:space="preserve"> </w:t>
      </w:r>
      <w:r w:rsidRPr="00261872">
        <w:t>stay</w:t>
      </w:r>
      <w:r>
        <w:t xml:space="preserve"> </w:t>
      </w:r>
      <w:r w:rsidRPr="00261872">
        <w:t>informed</w:t>
      </w:r>
      <w:r>
        <w:t xml:space="preserve"> </w:t>
      </w:r>
      <w:r w:rsidRPr="00261872">
        <w:t>and</w:t>
      </w:r>
      <w:r>
        <w:t xml:space="preserve"> </w:t>
      </w:r>
      <w:r w:rsidRPr="00261872">
        <w:t>make</w:t>
      </w:r>
      <w:r>
        <w:t xml:space="preserve"> </w:t>
      </w:r>
      <w:r w:rsidRPr="00261872">
        <w:t>safer</w:t>
      </w:r>
      <w:r>
        <w:t xml:space="preserve"> </w:t>
      </w:r>
      <w:r w:rsidRPr="00261872">
        <w:t>decisions.</w:t>
      </w:r>
    </w:p>
    <w:p w14:paraId="39672866" w14:textId="77777777" w:rsidR="00A02E61" w:rsidRPr="00A02E61" w:rsidRDefault="00A02E61" w:rsidP="00A02E61">
      <w:pPr>
        <w:pStyle w:val="BodyText"/>
      </w:pPr>
      <w:r w:rsidRPr="00A02E61">
        <w:br w:type="page"/>
      </w:r>
    </w:p>
    <w:p w14:paraId="5FDF393F" w14:textId="1650EB7F" w:rsidR="00856406" w:rsidRPr="00A4404F" w:rsidRDefault="00856406" w:rsidP="00FF14A3">
      <w:pPr>
        <w:pStyle w:val="Caption"/>
      </w:pPr>
      <w:bookmarkStart w:id="55" w:name="_Toc212562077"/>
      <w:r w:rsidRPr="00A4404F">
        <w:t>Table</w:t>
      </w:r>
      <w:r>
        <w:t xml:space="preserve"> 10: </w:t>
      </w:r>
      <w:r w:rsidRPr="00A4404F">
        <w:t>Public</w:t>
      </w:r>
      <w:r>
        <w:t xml:space="preserve"> </w:t>
      </w:r>
      <w:r w:rsidRPr="00A4404F">
        <w:t>warnings</w:t>
      </w:r>
      <w:r>
        <w:t xml:space="preserve"> </w:t>
      </w:r>
      <w:r w:rsidRPr="00A4404F">
        <w:t>issued</w:t>
      </w:r>
      <w:r>
        <w:t xml:space="preserve"> </w:t>
      </w:r>
      <w:r w:rsidRPr="00A4404F">
        <w:t>in</w:t>
      </w:r>
      <w:r>
        <w:t xml:space="preserve"> </w:t>
      </w:r>
      <w:r w:rsidR="00EE79C3">
        <w:t>2024–25</w:t>
      </w:r>
      <w:bookmarkEnd w:id="55"/>
    </w:p>
    <w:tbl>
      <w:tblPr>
        <w:tblStyle w:val="TableGrid"/>
        <w:tblW w:w="9072" w:type="dxa"/>
        <w:tblLook w:val="06A0" w:firstRow="1" w:lastRow="0" w:firstColumn="1" w:lastColumn="0" w:noHBand="1" w:noVBand="1"/>
      </w:tblPr>
      <w:tblGrid>
        <w:gridCol w:w="3969"/>
        <w:gridCol w:w="5103"/>
      </w:tblGrid>
      <w:tr w:rsidR="00856406" w:rsidRPr="009C1F7F" w14:paraId="5072B4AF" w14:textId="77777777" w:rsidTr="005B7969">
        <w:trPr>
          <w:cnfStyle w:val="100000000000" w:firstRow="1" w:lastRow="0" w:firstColumn="0" w:lastColumn="0" w:oddVBand="0" w:evenVBand="0" w:oddHBand="0" w:evenHBand="0" w:firstRowFirstColumn="0" w:firstRowLastColumn="0" w:lastRowFirstColumn="0" w:lastRowLastColumn="0"/>
          <w:trHeight w:val="300"/>
          <w:tblHeader/>
        </w:trPr>
        <w:tc>
          <w:tcPr>
            <w:tcW w:w="3969" w:type="dxa"/>
            <w:hideMark/>
          </w:tcPr>
          <w:p w14:paraId="11A408CC" w14:textId="48ABECD4" w:rsidR="00856406" w:rsidRPr="003239FD" w:rsidRDefault="00856406" w:rsidP="00FF14A3">
            <w:pPr>
              <w:pStyle w:val="TableColHead"/>
            </w:pPr>
            <w:r w:rsidRPr="003239FD">
              <w:t>Legislation</w:t>
            </w:r>
            <w:r>
              <w:t xml:space="preserve"> </w:t>
            </w:r>
          </w:p>
        </w:tc>
        <w:tc>
          <w:tcPr>
            <w:tcW w:w="5103" w:type="dxa"/>
            <w:hideMark/>
          </w:tcPr>
          <w:p w14:paraId="5CF22498" w14:textId="77777777" w:rsidR="00856406" w:rsidRPr="003239FD" w:rsidRDefault="00856406" w:rsidP="00FF14A3">
            <w:pPr>
              <w:pStyle w:val="TableColHead"/>
            </w:pPr>
            <w:r w:rsidRPr="003239FD">
              <w:t>Parties</w:t>
            </w:r>
            <w:r>
              <w:t xml:space="preserve"> </w:t>
            </w:r>
          </w:p>
        </w:tc>
      </w:tr>
      <w:tr w:rsidR="00856406" w:rsidRPr="009C1F7F" w14:paraId="64BDEBE1" w14:textId="77777777" w:rsidTr="005B7969">
        <w:trPr>
          <w:trHeight w:val="300"/>
        </w:trPr>
        <w:tc>
          <w:tcPr>
            <w:tcW w:w="3969" w:type="dxa"/>
          </w:tcPr>
          <w:p w14:paraId="5B8A72C4"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6961B732" w14:textId="77777777" w:rsidR="00856406" w:rsidRPr="003239FD" w:rsidRDefault="00856406" w:rsidP="00FF14A3">
            <w:pPr>
              <w:pStyle w:val="TableText"/>
            </w:pPr>
            <w:r w:rsidRPr="003239FD">
              <w:t>Light</w:t>
            </w:r>
            <w:r>
              <w:t>-</w:t>
            </w:r>
            <w:r w:rsidRPr="003239FD">
              <w:t>up</w:t>
            </w:r>
            <w:r>
              <w:t xml:space="preserve"> </w:t>
            </w:r>
            <w:r w:rsidRPr="003239FD">
              <w:t>shoe</w:t>
            </w:r>
            <w:r>
              <w:t xml:space="preserve"> </w:t>
            </w:r>
            <w:r w:rsidRPr="003239FD">
              <w:t>charms</w:t>
            </w:r>
            <w:r>
              <w:t xml:space="preserve"> </w:t>
            </w:r>
            <w:r w:rsidRPr="003239FD">
              <w:t>and</w:t>
            </w:r>
            <w:r>
              <w:t xml:space="preserve"> </w:t>
            </w:r>
            <w:r w:rsidRPr="003239FD">
              <w:t>accessories</w:t>
            </w:r>
            <w:r>
              <w:t xml:space="preserve"> </w:t>
            </w:r>
            <w:r w:rsidRPr="003239FD">
              <w:t>containing</w:t>
            </w:r>
            <w:r>
              <w:t xml:space="preserve"> </w:t>
            </w:r>
            <w:r w:rsidRPr="003239FD">
              <w:t>button</w:t>
            </w:r>
            <w:r>
              <w:t xml:space="preserve"> </w:t>
            </w:r>
            <w:r w:rsidRPr="003239FD">
              <w:t>batteries,</w:t>
            </w:r>
            <w:r>
              <w:t xml:space="preserve"> </w:t>
            </w:r>
            <w:r w:rsidRPr="003239FD">
              <w:t>sold</w:t>
            </w:r>
            <w:r>
              <w:t xml:space="preserve"> </w:t>
            </w:r>
            <w:r w:rsidRPr="003239FD">
              <w:t>at</w:t>
            </w:r>
            <w:r>
              <w:t xml:space="preserve"> </w:t>
            </w:r>
            <w:r w:rsidRPr="003239FD">
              <w:t>various</w:t>
            </w:r>
            <w:r>
              <w:t xml:space="preserve"> </w:t>
            </w:r>
            <w:r w:rsidRPr="003239FD">
              <w:t>pop-up</w:t>
            </w:r>
            <w:r>
              <w:t xml:space="preserve"> </w:t>
            </w:r>
            <w:r w:rsidRPr="003239FD">
              <w:t>stores</w:t>
            </w:r>
            <w:r>
              <w:t xml:space="preserve"> </w:t>
            </w:r>
            <w:r w:rsidRPr="003239FD">
              <w:t>in</w:t>
            </w:r>
            <w:r>
              <w:t xml:space="preserve"> </w:t>
            </w:r>
            <w:r w:rsidRPr="003239FD">
              <w:t>shopping</w:t>
            </w:r>
            <w:r>
              <w:t xml:space="preserve"> </w:t>
            </w:r>
            <w:r w:rsidRPr="003239FD">
              <w:t>centres</w:t>
            </w:r>
            <w:r>
              <w:t xml:space="preserve"> </w:t>
            </w:r>
            <w:r w:rsidRPr="003239FD">
              <w:t>including</w:t>
            </w:r>
            <w:r>
              <w:t xml:space="preserve"> </w:t>
            </w:r>
            <w:r w:rsidRPr="003239FD">
              <w:t>Melbourne</w:t>
            </w:r>
            <w:r>
              <w:t xml:space="preserve"> </w:t>
            </w:r>
            <w:r w:rsidRPr="003239FD">
              <w:t>Central,</w:t>
            </w:r>
            <w:r>
              <w:t xml:space="preserve"> </w:t>
            </w:r>
            <w:r w:rsidRPr="003239FD">
              <w:t>Chirnside</w:t>
            </w:r>
            <w:r>
              <w:t xml:space="preserve"> </w:t>
            </w:r>
            <w:r w:rsidRPr="003239FD">
              <w:t>Park</w:t>
            </w:r>
            <w:r>
              <w:t xml:space="preserve"> </w:t>
            </w:r>
            <w:r w:rsidRPr="003239FD">
              <w:t>and</w:t>
            </w:r>
            <w:r>
              <w:t xml:space="preserve"> </w:t>
            </w:r>
            <w:r w:rsidRPr="003239FD">
              <w:t>Northland</w:t>
            </w:r>
          </w:p>
        </w:tc>
      </w:tr>
      <w:tr w:rsidR="00856406" w:rsidRPr="009C1F7F" w14:paraId="578625F0" w14:textId="77777777" w:rsidTr="005B7969">
        <w:trPr>
          <w:trHeight w:val="300"/>
        </w:trPr>
        <w:tc>
          <w:tcPr>
            <w:tcW w:w="3969" w:type="dxa"/>
          </w:tcPr>
          <w:p w14:paraId="650EF419"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09B7495D" w14:textId="77777777" w:rsidR="00856406" w:rsidRPr="003239FD" w:rsidRDefault="00856406" w:rsidP="00FF14A3">
            <w:pPr>
              <w:pStyle w:val="TableText"/>
            </w:pPr>
            <w:r w:rsidRPr="003239FD">
              <w:t>Wise</w:t>
            </w:r>
            <w:r>
              <w:t xml:space="preserve"> </w:t>
            </w:r>
            <w:r w:rsidRPr="003239FD">
              <w:t>Tech</w:t>
            </w:r>
            <w:r>
              <w:t xml:space="preserve"> </w:t>
            </w:r>
            <w:r w:rsidRPr="003239FD">
              <w:t>Services</w:t>
            </w:r>
            <w:r>
              <w:t xml:space="preserve"> </w:t>
            </w:r>
            <w:r w:rsidRPr="003239FD">
              <w:t>Pty</w:t>
            </w:r>
            <w:r>
              <w:t xml:space="preserve"> </w:t>
            </w:r>
            <w:r w:rsidRPr="003239FD">
              <w:t>Ltd</w:t>
            </w:r>
            <w:r>
              <w:t xml:space="preserve"> </w:t>
            </w:r>
            <w:r w:rsidRPr="003239FD">
              <w:t>t/as</w:t>
            </w:r>
            <w:r>
              <w:t xml:space="preserve"> </w:t>
            </w:r>
            <w:r w:rsidRPr="003239FD">
              <w:t>Pick</w:t>
            </w:r>
            <w:r>
              <w:t xml:space="preserve"> </w:t>
            </w:r>
            <w:r w:rsidRPr="003239FD">
              <w:t>&amp;</w:t>
            </w:r>
            <w:r>
              <w:t xml:space="preserve"> </w:t>
            </w:r>
            <w:r w:rsidRPr="003239FD">
              <w:t>Lock</w:t>
            </w:r>
          </w:p>
        </w:tc>
      </w:tr>
      <w:tr w:rsidR="00856406" w:rsidRPr="009C1F7F" w14:paraId="483BA69F" w14:textId="77777777" w:rsidTr="005B7969">
        <w:trPr>
          <w:trHeight w:val="300"/>
        </w:trPr>
        <w:tc>
          <w:tcPr>
            <w:tcW w:w="3969" w:type="dxa"/>
          </w:tcPr>
          <w:p w14:paraId="506A4805"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1859CDDF" w14:textId="77777777" w:rsidR="00856406" w:rsidRPr="003239FD" w:rsidRDefault="00856406" w:rsidP="00FF14A3">
            <w:pPr>
              <w:pStyle w:val="TableText"/>
            </w:pPr>
            <w:r w:rsidRPr="003239FD">
              <w:t>Panda</w:t>
            </w:r>
            <w:r>
              <w:t xml:space="preserve"> </w:t>
            </w:r>
            <w:r w:rsidRPr="003239FD">
              <w:t>Mart</w:t>
            </w:r>
            <w:r>
              <w:t xml:space="preserve"> </w:t>
            </w:r>
            <w:r w:rsidRPr="003239FD">
              <w:t>Trading</w:t>
            </w:r>
            <w:r>
              <w:t xml:space="preserve"> </w:t>
            </w:r>
            <w:r w:rsidRPr="003239FD">
              <w:t>Pty</w:t>
            </w:r>
            <w:r>
              <w:t xml:space="preserve"> </w:t>
            </w:r>
            <w:r w:rsidRPr="003239FD">
              <w:t>Ltd</w:t>
            </w:r>
            <w:r>
              <w:t xml:space="preserve"> </w:t>
            </w:r>
            <w:r w:rsidRPr="003239FD">
              <w:t>t/as</w:t>
            </w:r>
            <w:r>
              <w:t xml:space="preserve"> </w:t>
            </w:r>
            <w:r w:rsidRPr="003239FD">
              <w:t>Panda</w:t>
            </w:r>
            <w:r>
              <w:t xml:space="preserve"> </w:t>
            </w:r>
            <w:r w:rsidRPr="003239FD">
              <w:t>Mart</w:t>
            </w:r>
          </w:p>
        </w:tc>
      </w:tr>
      <w:tr w:rsidR="00856406" w:rsidRPr="009C1F7F" w14:paraId="1FEF2201" w14:textId="77777777" w:rsidTr="005B7969">
        <w:trPr>
          <w:trHeight w:val="300"/>
        </w:trPr>
        <w:tc>
          <w:tcPr>
            <w:tcW w:w="3969" w:type="dxa"/>
          </w:tcPr>
          <w:p w14:paraId="33740DF6"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064854F0" w14:textId="0E07F9F8" w:rsidR="00856406" w:rsidRPr="00EC1589" w:rsidRDefault="00856406" w:rsidP="00FF14A3">
            <w:pPr>
              <w:pStyle w:val="TableText"/>
              <w:rPr>
                <w:szCs w:val="18"/>
              </w:rPr>
            </w:pPr>
            <w:r w:rsidRPr="00EC1589">
              <w:rPr>
                <w:szCs w:val="18"/>
              </w:rPr>
              <w:t>Plumbing Australia (Vic) Pty Ltd t/as General Home Services; WWW.MRDRAINMELBOURNE.COM.AU; 247 Local Plumber; Plumb patrol; Revive a Pipe; and 247 LOCAL PLUMBER</w:t>
            </w:r>
          </w:p>
        </w:tc>
      </w:tr>
      <w:tr w:rsidR="00856406" w:rsidRPr="009C1F7F" w14:paraId="130B02A8" w14:textId="77777777" w:rsidTr="005B7969">
        <w:trPr>
          <w:trHeight w:val="300"/>
        </w:trPr>
        <w:tc>
          <w:tcPr>
            <w:tcW w:w="3969" w:type="dxa"/>
          </w:tcPr>
          <w:p w14:paraId="33F83749"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546DCAD4" w14:textId="77777777" w:rsidR="00856406" w:rsidRPr="003239FD" w:rsidRDefault="00856406" w:rsidP="00FF14A3">
            <w:pPr>
              <w:pStyle w:val="TableText"/>
            </w:pPr>
            <w:r w:rsidRPr="003239FD">
              <w:t>Shannakian</w:t>
            </w:r>
            <w:r>
              <w:t xml:space="preserve"> </w:t>
            </w:r>
            <w:r w:rsidRPr="003239FD">
              <w:t>Jewellery</w:t>
            </w:r>
            <w:r>
              <w:t xml:space="preserve"> </w:t>
            </w:r>
            <w:r w:rsidRPr="003239FD">
              <w:t>Pty</w:t>
            </w:r>
            <w:r>
              <w:t xml:space="preserve"> </w:t>
            </w:r>
            <w:r w:rsidRPr="003239FD">
              <w:t>Ltd</w:t>
            </w:r>
            <w:r>
              <w:t xml:space="preserve"> </w:t>
            </w:r>
            <w:r w:rsidRPr="003239FD">
              <w:t>t/as</w:t>
            </w:r>
            <w:r>
              <w:t xml:space="preserve"> </w:t>
            </w:r>
            <w:r w:rsidRPr="003239FD">
              <w:t>Shannakian</w:t>
            </w:r>
            <w:r>
              <w:t xml:space="preserve"> </w:t>
            </w:r>
            <w:r w:rsidRPr="003239FD">
              <w:t>Fine</w:t>
            </w:r>
            <w:r>
              <w:t xml:space="preserve"> </w:t>
            </w:r>
            <w:r w:rsidRPr="003239FD">
              <w:t>Jewellery</w:t>
            </w:r>
          </w:p>
        </w:tc>
      </w:tr>
    </w:tbl>
    <w:p w14:paraId="2871A021" w14:textId="77777777" w:rsidR="00856406" w:rsidRDefault="00856406" w:rsidP="00447322">
      <w:pPr>
        <w:pStyle w:val="Heading4"/>
      </w:pPr>
      <w:r w:rsidRPr="00EB0C9A">
        <w:t>Court</w:t>
      </w:r>
      <w:r>
        <w:t xml:space="preserve"> </w:t>
      </w:r>
      <w:r w:rsidRPr="00EB0C9A">
        <w:t>and</w:t>
      </w:r>
      <w:r>
        <w:t xml:space="preserve"> </w:t>
      </w:r>
      <w:r w:rsidRPr="00EB0C9A">
        <w:t>tribunal</w:t>
      </w:r>
      <w:r>
        <w:t xml:space="preserve"> </w:t>
      </w:r>
      <w:r w:rsidRPr="00EB0C9A">
        <w:t>proceedings</w:t>
      </w:r>
    </w:p>
    <w:p w14:paraId="2A18D533" w14:textId="2799B18A" w:rsidR="00856406" w:rsidRDefault="00856406" w:rsidP="00F45F3A">
      <w:pPr>
        <w:pStyle w:val="BodyText"/>
      </w:pPr>
      <w:r w:rsidRPr="009C0EF7">
        <w:t>In</w:t>
      </w:r>
      <w:r>
        <w:t xml:space="preserve"> </w:t>
      </w:r>
      <w:r w:rsidR="00EE79C3">
        <w:t>2024–25</w:t>
      </w:r>
      <w:r>
        <w:t xml:space="preserve">, </w:t>
      </w:r>
      <w:r w:rsidRPr="009C0EF7">
        <w:t>we</w:t>
      </w:r>
      <w:r>
        <w:t xml:space="preserve"> finalised </w:t>
      </w:r>
      <w:r w:rsidRPr="009C0EF7">
        <w:t>significant</w:t>
      </w:r>
      <w:r>
        <w:t xml:space="preserve"> </w:t>
      </w:r>
      <w:r w:rsidRPr="009C0EF7">
        <w:t>enforcement</w:t>
      </w:r>
      <w:r>
        <w:t xml:space="preserve"> </w:t>
      </w:r>
      <w:r w:rsidRPr="009C0EF7">
        <w:t>action</w:t>
      </w:r>
      <w:r>
        <w:t xml:space="preserve"> in 8 criminal prosecutions and a further 7 civil and disciplinary proceedings</w:t>
      </w:r>
      <w:r w:rsidRPr="009C0EF7">
        <w:t>,</w:t>
      </w:r>
      <w:r>
        <w:t xml:space="preserve"> </w:t>
      </w:r>
      <w:r w:rsidRPr="009C0EF7">
        <w:t>addressing</w:t>
      </w:r>
      <w:r>
        <w:t xml:space="preserve"> </w:t>
      </w:r>
      <w:r w:rsidRPr="009C0EF7">
        <w:t>serious</w:t>
      </w:r>
      <w:r>
        <w:t xml:space="preserve"> </w:t>
      </w:r>
      <w:r w:rsidRPr="009C0EF7">
        <w:t>breaches</w:t>
      </w:r>
      <w:r>
        <w:t xml:space="preserve"> </w:t>
      </w:r>
      <w:r w:rsidRPr="009C0EF7">
        <w:t>of</w:t>
      </w:r>
      <w:r>
        <w:t xml:space="preserve"> </w:t>
      </w:r>
      <w:r w:rsidRPr="009C0EF7">
        <w:t>consumer</w:t>
      </w:r>
      <w:r>
        <w:t xml:space="preserve"> and renting </w:t>
      </w:r>
      <w:r w:rsidRPr="009C0EF7">
        <w:t>laws</w:t>
      </w:r>
      <w:r>
        <w:t xml:space="preserve"> </w:t>
      </w:r>
      <w:r w:rsidRPr="009C0EF7">
        <w:t>by</w:t>
      </w:r>
      <w:r>
        <w:t xml:space="preserve"> </w:t>
      </w:r>
      <w:r w:rsidRPr="009C0EF7">
        <w:t>individuals</w:t>
      </w:r>
      <w:r>
        <w:t xml:space="preserve"> </w:t>
      </w:r>
      <w:r w:rsidRPr="009C0EF7">
        <w:t>and</w:t>
      </w:r>
      <w:r>
        <w:t xml:space="preserve"> </w:t>
      </w:r>
      <w:r w:rsidRPr="009C0EF7">
        <w:t>businesses</w:t>
      </w:r>
      <w:r>
        <w:t xml:space="preserve"> </w:t>
      </w:r>
      <w:r w:rsidRPr="009C0EF7">
        <w:t>across</w:t>
      </w:r>
      <w:r>
        <w:t xml:space="preserve"> </w:t>
      </w:r>
      <w:r w:rsidRPr="009C0EF7">
        <w:t>various</w:t>
      </w:r>
      <w:r>
        <w:t xml:space="preserve"> </w:t>
      </w:r>
      <w:r w:rsidRPr="009C0EF7">
        <w:t>industries.</w:t>
      </w:r>
    </w:p>
    <w:p w14:paraId="15B7DCBF" w14:textId="77777777" w:rsidR="00856406" w:rsidRDefault="00856406" w:rsidP="00F45F3A">
      <w:pPr>
        <w:pStyle w:val="BodyText"/>
      </w:pPr>
      <w:r>
        <w:t>F</w:t>
      </w:r>
      <w:r w:rsidRPr="009C0EF7">
        <w:t>ormer</w:t>
      </w:r>
      <w:r>
        <w:t xml:space="preserve"> </w:t>
      </w:r>
      <w:r w:rsidRPr="009C0EF7">
        <w:t>estate</w:t>
      </w:r>
      <w:r>
        <w:t xml:space="preserve"> </w:t>
      </w:r>
      <w:r w:rsidRPr="009C0EF7">
        <w:t>agent</w:t>
      </w:r>
      <w:r>
        <w:t xml:space="preserve"> </w:t>
      </w:r>
      <w:r w:rsidRPr="009C0EF7">
        <w:t>Justin</w:t>
      </w:r>
      <w:r>
        <w:t xml:space="preserve"> </w:t>
      </w:r>
      <w:r w:rsidRPr="009C0EF7">
        <w:t>Scavo</w:t>
      </w:r>
      <w:r>
        <w:t xml:space="preserve"> </w:t>
      </w:r>
      <w:r w:rsidRPr="009C0EF7">
        <w:t>was</w:t>
      </w:r>
      <w:r>
        <w:t xml:space="preserve"> </w:t>
      </w:r>
      <w:r w:rsidRPr="009C0EF7">
        <w:t>sentenced</w:t>
      </w:r>
      <w:r>
        <w:t xml:space="preserve"> </w:t>
      </w:r>
      <w:r w:rsidRPr="009C0EF7">
        <w:t>to</w:t>
      </w:r>
      <w:r>
        <w:t xml:space="preserve"> </w:t>
      </w:r>
      <w:r w:rsidRPr="009C0EF7">
        <w:t>four</w:t>
      </w:r>
      <w:r>
        <w:t xml:space="preserve"> </w:t>
      </w:r>
      <w:r w:rsidRPr="009C0EF7">
        <w:t>months</w:t>
      </w:r>
      <w:r>
        <w:t xml:space="preserve"> </w:t>
      </w:r>
      <w:r w:rsidRPr="009C0EF7">
        <w:t>in</w:t>
      </w:r>
      <w:r>
        <w:t xml:space="preserve"> </w:t>
      </w:r>
      <w:r w:rsidRPr="009C0EF7">
        <w:t>prison</w:t>
      </w:r>
      <w:r>
        <w:t xml:space="preserve"> </w:t>
      </w:r>
      <w:r w:rsidRPr="009C0EF7">
        <w:t>and</w:t>
      </w:r>
      <w:r>
        <w:t xml:space="preserve"> </w:t>
      </w:r>
      <w:r w:rsidRPr="009C0EF7">
        <w:t>a</w:t>
      </w:r>
      <w:r>
        <w:t xml:space="preserve"> </w:t>
      </w:r>
      <w:r w:rsidRPr="009C0EF7">
        <w:t>two-year</w:t>
      </w:r>
      <w:r>
        <w:t xml:space="preserve"> </w:t>
      </w:r>
      <w:r w:rsidRPr="009C0EF7">
        <w:t>Community</w:t>
      </w:r>
      <w:r>
        <w:t xml:space="preserve"> </w:t>
      </w:r>
      <w:r w:rsidRPr="009C0EF7">
        <w:t>Corrections</w:t>
      </w:r>
      <w:r>
        <w:t xml:space="preserve"> </w:t>
      </w:r>
      <w:r w:rsidRPr="009C0EF7">
        <w:t>Order</w:t>
      </w:r>
      <w:r>
        <w:t xml:space="preserve"> </w:t>
      </w:r>
      <w:r w:rsidRPr="009C0EF7">
        <w:t>for</w:t>
      </w:r>
      <w:r>
        <w:t xml:space="preserve"> </w:t>
      </w:r>
      <w:r w:rsidRPr="009C0EF7">
        <w:t>misusing</w:t>
      </w:r>
      <w:r>
        <w:t xml:space="preserve"> </w:t>
      </w:r>
      <w:r w:rsidRPr="009C0EF7">
        <w:t>over</w:t>
      </w:r>
      <w:r>
        <w:t xml:space="preserve"> </w:t>
      </w:r>
      <w:r w:rsidRPr="009C0EF7">
        <w:t>$180,000</w:t>
      </w:r>
      <w:r>
        <w:t xml:space="preserve"> </w:t>
      </w:r>
      <w:r w:rsidRPr="009C0EF7">
        <w:t>in</w:t>
      </w:r>
      <w:r>
        <w:t xml:space="preserve"> </w:t>
      </w:r>
      <w:r w:rsidRPr="009C0EF7">
        <w:t>trust</w:t>
      </w:r>
      <w:r>
        <w:t xml:space="preserve"> </w:t>
      </w:r>
      <w:r w:rsidRPr="009C0EF7">
        <w:t>funds.</w:t>
      </w:r>
      <w:r>
        <w:t xml:space="preserve"> Another e</w:t>
      </w:r>
      <w:r w:rsidRPr="009C0EF7">
        <w:t>state</w:t>
      </w:r>
      <w:r>
        <w:t xml:space="preserve"> </w:t>
      </w:r>
      <w:r w:rsidRPr="009C0EF7">
        <w:t>agent</w:t>
      </w:r>
      <w:r>
        <w:t xml:space="preserve"> who misused rent and bond money, </w:t>
      </w:r>
      <w:r w:rsidRPr="009C0EF7">
        <w:t>Xuan</w:t>
      </w:r>
      <w:r>
        <w:t xml:space="preserve"> </w:t>
      </w:r>
      <w:r w:rsidRPr="009C0EF7">
        <w:t>Sang</w:t>
      </w:r>
      <w:r>
        <w:t xml:space="preserve"> </w:t>
      </w:r>
      <w:r w:rsidRPr="009C0EF7">
        <w:t>Nguyen</w:t>
      </w:r>
      <w:r>
        <w:t>, was fined and his licence cancelled for 10 years.</w:t>
      </w:r>
    </w:p>
    <w:p w14:paraId="499C4F59" w14:textId="77777777" w:rsidR="00856406" w:rsidRPr="009C0EF7" w:rsidRDefault="00856406" w:rsidP="00F45F3A">
      <w:pPr>
        <w:pStyle w:val="BodyText"/>
      </w:pPr>
      <w:r w:rsidRPr="009C0EF7">
        <w:t>Unregistered</w:t>
      </w:r>
      <w:r>
        <w:t xml:space="preserve"> </w:t>
      </w:r>
      <w:r w:rsidRPr="009C0EF7">
        <w:t>builder</w:t>
      </w:r>
      <w:r>
        <w:t xml:space="preserve"> </w:t>
      </w:r>
      <w:r w:rsidRPr="009C0EF7">
        <w:t>Mark</w:t>
      </w:r>
      <w:r>
        <w:t xml:space="preserve"> </w:t>
      </w:r>
      <w:r w:rsidRPr="009C0EF7">
        <w:t>(Najy)</w:t>
      </w:r>
      <w:r>
        <w:t xml:space="preserve"> </w:t>
      </w:r>
      <w:r w:rsidRPr="009C0EF7">
        <w:t>Rayes</w:t>
      </w:r>
      <w:r>
        <w:t xml:space="preserve"> </w:t>
      </w:r>
      <w:r w:rsidRPr="009C0EF7">
        <w:t>was</w:t>
      </w:r>
      <w:r>
        <w:t xml:space="preserve"> </w:t>
      </w:r>
      <w:r w:rsidRPr="009C0EF7">
        <w:t>convicted</w:t>
      </w:r>
      <w:r>
        <w:t xml:space="preserve"> </w:t>
      </w:r>
      <w:r w:rsidRPr="009C0EF7">
        <w:t>and</w:t>
      </w:r>
      <w:r>
        <w:t xml:space="preserve"> </w:t>
      </w:r>
      <w:r w:rsidRPr="009C0EF7">
        <w:t>fined</w:t>
      </w:r>
      <w:r>
        <w:t xml:space="preserve"> </w:t>
      </w:r>
      <w:r w:rsidRPr="009C0EF7">
        <w:t>$16,000</w:t>
      </w:r>
      <w:r>
        <w:t xml:space="preserve"> </w:t>
      </w:r>
      <w:r w:rsidRPr="009C0EF7">
        <w:t>for</w:t>
      </w:r>
      <w:r>
        <w:t xml:space="preserve"> </w:t>
      </w:r>
      <w:r w:rsidRPr="009C0EF7">
        <w:t>offences</w:t>
      </w:r>
      <w:r>
        <w:t xml:space="preserve"> </w:t>
      </w:r>
      <w:r w:rsidRPr="009C0EF7">
        <w:t>under</w:t>
      </w:r>
      <w:r>
        <w:t xml:space="preserve"> </w:t>
      </w:r>
      <w:r w:rsidRPr="009C0EF7">
        <w:t>the</w:t>
      </w:r>
      <w:r>
        <w:t xml:space="preserve"> </w:t>
      </w:r>
      <w:r w:rsidRPr="00EB0C9A">
        <w:t>Australian</w:t>
      </w:r>
      <w:r>
        <w:t xml:space="preserve"> </w:t>
      </w:r>
      <w:r w:rsidRPr="00EB0C9A">
        <w:t>Consumer</w:t>
      </w:r>
      <w:r>
        <w:t xml:space="preserve"> </w:t>
      </w:r>
      <w:r w:rsidRPr="00EB0C9A">
        <w:t>Law</w:t>
      </w:r>
      <w:r>
        <w:t xml:space="preserve"> </w:t>
      </w:r>
      <w:r w:rsidRPr="009C0EF7">
        <w:t>and</w:t>
      </w:r>
      <w:r>
        <w:t xml:space="preserve"> </w:t>
      </w:r>
      <w:r w:rsidRPr="009C0EF7">
        <w:t>the</w:t>
      </w:r>
      <w:r>
        <w:t xml:space="preserve"> </w:t>
      </w:r>
      <w:r w:rsidRPr="009C0EF7">
        <w:rPr>
          <w:i/>
          <w:iCs/>
        </w:rPr>
        <w:t>Domestic</w:t>
      </w:r>
      <w:r>
        <w:rPr>
          <w:i/>
          <w:iCs/>
        </w:rPr>
        <w:t xml:space="preserve"> </w:t>
      </w:r>
      <w:r w:rsidRPr="009C0EF7">
        <w:rPr>
          <w:i/>
          <w:iCs/>
        </w:rPr>
        <w:t>Building</w:t>
      </w:r>
      <w:r>
        <w:rPr>
          <w:i/>
          <w:iCs/>
        </w:rPr>
        <w:t xml:space="preserve"> </w:t>
      </w:r>
      <w:r w:rsidRPr="009C0EF7">
        <w:rPr>
          <w:i/>
          <w:iCs/>
        </w:rPr>
        <w:t>Contracts</w:t>
      </w:r>
      <w:r>
        <w:rPr>
          <w:i/>
          <w:iCs/>
        </w:rPr>
        <w:t xml:space="preserve"> </w:t>
      </w:r>
      <w:r w:rsidRPr="009C0EF7">
        <w:rPr>
          <w:i/>
          <w:iCs/>
        </w:rPr>
        <w:t>Act</w:t>
      </w:r>
      <w:r>
        <w:rPr>
          <w:i/>
          <w:iCs/>
        </w:rPr>
        <w:t xml:space="preserve"> </w:t>
      </w:r>
      <w:r w:rsidRPr="009C0EF7">
        <w:rPr>
          <w:i/>
          <w:iCs/>
        </w:rPr>
        <w:t>1995</w:t>
      </w:r>
      <w:r w:rsidRPr="009C0EF7">
        <w:t>.</w:t>
      </w:r>
      <w:r>
        <w:t xml:space="preserve"> </w:t>
      </w:r>
      <w:r w:rsidRPr="009C0EF7">
        <w:t>Christopher</w:t>
      </w:r>
      <w:r>
        <w:t xml:space="preserve"> </w:t>
      </w:r>
      <w:r w:rsidRPr="009C0EF7">
        <w:t>Michael,</w:t>
      </w:r>
      <w:r>
        <w:t xml:space="preserve"> the director of Australian Property Management Solutions Pty Ltd, was convicted and fined $6,000 for engaging in </w:t>
      </w:r>
      <w:r w:rsidRPr="009C0EF7">
        <w:t>misleading</w:t>
      </w:r>
      <w:r>
        <w:t xml:space="preserve"> </w:t>
      </w:r>
      <w:r w:rsidRPr="009C0EF7">
        <w:t>conduct</w:t>
      </w:r>
      <w:r>
        <w:t xml:space="preserve"> </w:t>
      </w:r>
      <w:r w:rsidRPr="009C0EF7">
        <w:t>and</w:t>
      </w:r>
      <w:r>
        <w:t xml:space="preserve"> </w:t>
      </w:r>
      <w:r w:rsidRPr="009C0EF7">
        <w:t>accepting</w:t>
      </w:r>
      <w:r>
        <w:t xml:space="preserve"> </w:t>
      </w:r>
      <w:r w:rsidRPr="009C0EF7">
        <w:t>payments</w:t>
      </w:r>
      <w:r>
        <w:t xml:space="preserve"> </w:t>
      </w:r>
      <w:r w:rsidRPr="009C0EF7">
        <w:t>for</w:t>
      </w:r>
      <w:r>
        <w:t xml:space="preserve"> </w:t>
      </w:r>
      <w:r w:rsidRPr="009C0EF7">
        <w:t>services</w:t>
      </w:r>
      <w:r>
        <w:t xml:space="preserve"> </w:t>
      </w:r>
      <w:r w:rsidRPr="009C0EF7">
        <w:t>not</w:t>
      </w:r>
      <w:r>
        <w:t xml:space="preserve"> </w:t>
      </w:r>
      <w:r w:rsidRPr="009C0EF7">
        <w:t>provided</w:t>
      </w:r>
      <w:r>
        <w:t xml:space="preserve"> to other small businesses</w:t>
      </w:r>
      <w:r w:rsidRPr="009C0EF7">
        <w:t>.</w:t>
      </w:r>
      <w:r>
        <w:t xml:space="preserve"> </w:t>
      </w:r>
      <w:r w:rsidRPr="009C0EF7">
        <w:t>Zequn</w:t>
      </w:r>
      <w:r>
        <w:t xml:space="preserve"> </w:t>
      </w:r>
      <w:r w:rsidRPr="009C0EF7">
        <w:t>Wang</w:t>
      </w:r>
      <w:r>
        <w:t xml:space="preserve"> </w:t>
      </w:r>
      <w:r w:rsidRPr="009C0EF7">
        <w:t>was</w:t>
      </w:r>
      <w:r>
        <w:t xml:space="preserve"> </w:t>
      </w:r>
      <w:r w:rsidRPr="009C0EF7">
        <w:t>fined</w:t>
      </w:r>
      <w:r>
        <w:t xml:space="preserve"> </w:t>
      </w:r>
      <w:r w:rsidRPr="009C0EF7">
        <w:t>$25,000</w:t>
      </w:r>
      <w:r>
        <w:t xml:space="preserve"> </w:t>
      </w:r>
      <w:r w:rsidRPr="009C0EF7">
        <w:t>for</w:t>
      </w:r>
      <w:r>
        <w:t xml:space="preserve"> </w:t>
      </w:r>
      <w:r w:rsidRPr="009C0EF7">
        <w:t>unlicensed</w:t>
      </w:r>
      <w:r>
        <w:t xml:space="preserve"> </w:t>
      </w:r>
      <w:r w:rsidRPr="009C0EF7">
        <w:t>motor</w:t>
      </w:r>
      <w:r>
        <w:t xml:space="preserve"> </w:t>
      </w:r>
      <w:r w:rsidRPr="009C0EF7">
        <w:t>vehicle</w:t>
      </w:r>
      <w:r>
        <w:t xml:space="preserve"> </w:t>
      </w:r>
      <w:r w:rsidRPr="009C0EF7">
        <w:t>trading</w:t>
      </w:r>
      <w:r>
        <w:t xml:space="preserve"> (with the penalty subsequently increased on appeal).</w:t>
      </w:r>
    </w:p>
    <w:p w14:paraId="0C9CD982" w14:textId="0C1CC4A7" w:rsidR="00856406" w:rsidRDefault="00856406" w:rsidP="00F45F3A">
      <w:pPr>
        <w:pStyle w:val="BodyText"/>
      </w:pPr>
      <w:r>
        <w:t xml:space="preserve">CAV commenced 14 new criminal prosecutions and 6 new civil and disciplinary proceedings </w:t>
      </w:r>
      <w:r w:rsidR="00FF14A3">
        <w:br/>
      </w:r>
      <w:r>
        <w:t xml:space="preserve">in </w:t>
      </w:r>
      <w:r w:rsidR="00EE79C3">
        <w:t>2024–25</w:t>
      </w:r>
      <w:r>
        <w:t>.</w:t>
      </w:r>
    </w:p>
    <w:p w14:paraId="78511156" w14:textId="77777777" w:rsidR="00856406" w:rsidRDefault="00856406" w:rsidP="00F45F3A">
      <w:pPr>
        <w:pStyle w:val="BodyText"/>
      </w:pPr>
      <w:r>
        <w:t>We initiated proceedings in several cases where businesses and individuals are alleged to have accepted payments from consumers but not supplied the products within a reasonable time or at all, in breach of the Australian Consumer Law.</w:t>
      </w:r>
    </w:p>
    <w:p w14:paraId="59130A86" w14:textId="77777777" w:rsidR="00856406" w:rsidRDefault="00856406" w:rsidP="00F45F3A">
      <w:pPr>
        <w:pStyle w:val="BodyText"/>
      </w:pPr>
      <w:r>
        <w:t>These include:</w:t>
      </w:r>
    </w:p>
    <w:p w14:paraId="4A87A14D" w14:textId="77777777" w:rsidR="00856406" w:rsidRDefault="00856406" w:rsidP="00F45F3A">
      <w:pPr>
        <w:pStyle w:val="ListBullet"/>
      </w:pPr>
      <w:r w:rsidRPr="009C0EF7">
        <w:t>Spencer</w:t>
      </w:r>
      <w:r>
        <w:t xml:space="preserve"> </w:t>
      </w:r>
      <w:r w:rsidRPr="009C0EF7">
        <w:t>Porter,</w:t>
      </w:r>
      <w:r>
        <w:t xml:space="preserve"> </w:t>
      </w:r>
      <w:r w:rsidRPr="009C0EF7">
        <w:t>director</w:t>
      </w:r>
      <w:r>
        <w:t xml:space="preserve"> </w:t>
      </w:r>
      <w:r w:rsidRPr="009C0EF7">
        <w:t>of</w:t>
      </w:r>
      <w:r>
        <w:t xml:space="preserve"> </w:t>
      </w:r>
      <w:r w:rsidRPr="009C0EF7">
        <w:t>MyTinyHomeKit</w:t>
      </w:r>
      <w:r>
        <w:t xml:space="preserve"> </w:t>
      </w:r>
      <w:r w:rsidRPr="009C0EF7">
        <w:t>Pty</w:t>
      </w:r>
      <w:r>
        <w:t xml:space="preserve"> </w:t>
      </w:r>
      <w:r w:rsidRPr="009C0EF7">
        <w:t>Ltd,</w:t>
      </w:r>
      <w:r>
        <w:t xml:space="preserve"> who </w:t>
      </w:r>
      <w:r w:rsidRPr="009C0EF7">
        <w:t>is</w:t>
      </w:r>
      <w:r>
        <w:t xml:space="preserve"> </w:t>
      </w:r>
      <w:r w:rsidRPr="009C0EF7">
        <w:t>facing</w:t>
      </w:r>
      <w:r>
        <w:t xml:space="preserve"> </w:t>
      </w:r>
      <w:r w:rsidRPr="009C0EF7">
        <w:t>criminal</w:t>
      </w:r>
      <w:r>
        <w:t xml:space="preserve"> </w:t>
      </w:r>
      <w:r w:rsidRPr="009C0EF7">
        <w:t>charges</w:t>
      </w:r>
      <w:r>
        <w:t xml:space="preserve"> </w:t>
      </w:r>
      <w:r w:rsidRPr="009C0EF7">
        <w:t>for</w:t>
      </w:r>
      <w:r>
        <w:t xml:space="preserve"> </w:t>
      </w:r>
      <w:r w:rsidRPr="009C0EF7">
        <w:t>accepting</w:t>
      </w:r>
      <w:r>
        <w:t xml:space="preserve"> $1.3 million in </w:t>
      </w:r>
      <w:r w:rsidRPr="009C0EF7">
        <w:t>payments</w:t>
      </w:r>
      <w:r>
        <w:t xml:space="preserve"> from 43 customers </w:t>
      </w:r>
      <w:r w:rsidRPr="009C0EF7">
        <w:t>but</w:t>
      </w:r>
      <w:r>
        <w:t xml:space="preserve"> </w:t>
      </w:r>
      <w:r w:rsidRPr="009C0EF7">
        <w:t>failing</w:t>
      </w:r>
      <w:r>
        <w:t xml:space="preserve"> </w:t>
      </w:r>
      <w:r w:rsidRPr="009C0EF7">
        <w:t>to</w:t>
      </w:r>
      <w:r>
        <w:t xml:space="preserve"> </w:t>
      </w:r>
      <w:r w:rsidRPr="009C0EF7">
        <w:t>deliver</w:t>
      </w:r>
      <w:r>
        <w:t xml:space="preserve"> t</w:t>
      </w:r>
      <w:r w:rsidRPr="009C0EF7">
        <w:t>iny</w:t>
      </w:r>
      <w:r>
        <w:t xml:space="preserve"> h</w:t>
      </w:r>
      <w:r w:rsidRPr="009C0EF7">
        <w:t>ome</w:t>
      </w:r>
      <w:r>
        <w:t xml:space="preserve"> k</w:t>
      </w:r>
      <w:r w:rsidRPr="009C0EF7">
        <w:t>its</w:t>
      </w:r>
      <w:r>
        <w:t xml:space="preserve"> to them</w:t>
      </w:r>
      <w:r w:rsidRPr="009C0EF7">
        <w:t>.</w:t>
      </w:r>
    </w:p>
    <w:p w14:paraId="5043F305" w14:textId="77777777" w:rsidR="00856406" w:rsidRDefault="00856406" w:rsidP="00F45F3A">
      <w:pPr>
        <w:pStyle w:val="ListBullet"/>
      </w:pPr>
      <w:r w:rsidRPr="00717004">
        <w:t>Shannakian</w:t>
      </w:r>
      <w:r>
        <w:t xml:space="preserve"> </w:t>
      </w:r>
      <w:r w:rsidRPr="00717004">
        <w:t>Fine</w:t>
      </w:r>
      <w:r>
        <w:t xml:space="preserve"> </w:t>
      </w:r>
      <w:r w:rsidRPr="00717004">
        <w:t>Jewellery</w:t>
      </w:r>
      <w:r>
        <w:t xml:space="preserve"> </w:t>
      </w:r>
      <w:r w:rsidRPr="00717004">
        <w:t>for</w:t>
      </w:r>
      <w:r>
        <w:t xml:space="preserve"> </w:t>
      </w:r>
      <w:r w:rsidRPr="00717004">
        <w:t>allegedly</w:t>
      </w:r>
      <w:r>
        <w:t xml:space="preserve"> </w:t>
      </w:r>
      <w:r w:rsidRPr="00717004">
        <w:t>accepting</w:t>
      </w:r>
      <w:r>
        <w:t xml:space="preserve"> </w:t>
      </w:r>
      <w:r w:rsidRPr="00717004">
        <w:t>more</w:t>
      </w:r>
      <w:r>
        <w:t xml:space="preserve"> </w:t>
      </w:r>
      <w:r w:rsidRPr="00717004">
        <w:t>than</w:t>
      </w:r>
      <w:r>
        <w:t xml:space="preserve"> </w:t>
      </w:r>
      <w:r w:rsidRPr="00717004">
        <w:t>$40,000</w:t>
      </w:r>
      <w:r>
        <w:t xml:space="preserve"> </w:t>
      </w:r>
      <w:r w:rsidRPr="00717004">
        <w:t>in</w:t>
      </w:r>
      <w:r>
        <w:t xml:space="preserve"> </w:t>
      </w:r>
      <w:r w:rsidRPr="00717004">
        <w:t>payment</w:t>
      </w:r>
      <w:r>
        <w:t xml:space="preserve"> </w:t>
      </w:r>
      <w:r w:rsidRPr="00717004">
        <w:t>for</w:t>
      </w:r>
      <w:r>
        <w:t xml:space="preserve"> </w:t>
      </w:r>
      <w:r w:rsidRPr="00717004">
        <w:t>items</w:t>
      </w:r>
      <w:r>
        <w:t xml:space="preserve"> such as bracelets, necklaces and rings </w:t>
      </w:r>
      <w:r w:rsidRPr="00300DF7">
        <w:t>it</w:t>
      </w:r>
      <w:r>
        <w:t xml:space="preserve"> </w:t>
      </w:r>
      <w:r w:rsidRPr="00717004">
        <w:t>failed</w:t>
      </w:r>
      <w:r>
        <w:t xml:space="preserve"> </w:t>
      </w:r>
      <w:r w:rsidRPr="00717004">
        <w:t>to</w:t>
      </w:r>
      <w:r>
        <w:t xml:space="preserve"> </w:t>
      </w:r>
      <w:r w:rsidRPr="00717004">
        <w:t>deliver</w:t>
      </w:r>
      <w:r>
        <w:t xml:space="preserve"> </w:t>
      </w:r>
      <w:r w:rsidRPr="00717004">
        <w:t>to</w:t>
      </w:r>
      <w:r>
        <w:t xml:space="preserve"> </w:t>
      </w:r>
      <w:r w:rsidRPr="00717004">
        <w:t>customers</w:t>
      </w:r>
      <w:r>
        <w:t xml:space="preserve"> </w:t>
      </w:r>
      <w:r w:rsidRPr="00717004">
        <w:t>within</w:t>
      </w:r>
      <w:r>
        <w:t xml:space="preserve"> </w:t>
      </w:r>
      <w:r w:rsidRPr="00717004">
        <w:t>a</w:t>
      </w:r>
      <w:r>
        <w:t xml:space="preserve"> </w:t>
      </w:r>
      <w:r w:rsidRPr="00717004">
        <w:t>reasonable</w:t>
      </w:r>
      <w:r>
        <w:t xml:space="preserve"> </w:t>
      </w:r>
      <w:r w:rsidRPr="00717004">
        <w:t>time,</w:t>
      </w:r>
      <w:r>
        <w:t xml:space="preserve"> </w:t>
      </w:r>
      <w:r w:rsidRPr="00717004">
        <w:t>or</w:t>
      </w:r>
      <w:r>
        <w:t xml:space="preserve"> </w:t>
      </w:r>
      <w:r w:rsidRPr="00717004">
        <w:t>at</w:t>
      </w:r>
      <w:r>
        <w:t xml:space="preserve"> </w:t>
      </w:r>
      <w:r w:rsidRPr="00717004">
        <w:t>all.</w:t>
      </w:r>
      <w:r>
        <w:t xml:space="preserve"> </w:t>
      </w:r>
      <w:r w:rsidRPr="00717004">
        <w:t>CAV</w:t>
      </w:r>
      <w:r>
        <w:t xml:space="preserve"> </w:t>
      </w:r>
      <w:r w:rsidRPr="00717004">
        <w:t>also</w:t>
      </w:r>
      <w:r>
        <w:t xml:space="preserve"> </w:t>
      </w:r>
      <w:r w:rsidRPr="00717004">
        <w:t>published</w:t>
      </w:r>
      <w:r>
        <w:t xml:space="preserve"> </w:t>
      </w:r>
      <w:r w:rsidRPr="00717004">
        <w:t>a</w:t>
      </w:r>
      <w:r>
        <w:t xml:space="preserve"> p</w:t>
      </w:r>
      <w:r w:rsidRPr="00717004">
        <w:t>ublic</w:t>
      </w:r>
      <w:r>
        <w:t xml:space="preserve"> w</w:t>
      </w:r>
      <w:r w:rsidRPr="00717004">
        <w:t>arning</w:t>
      </w:r>
      <w:r>
        <w:t xml:space="preserve"> n</w:t>
      </w:r>
      <w:r w:rsidRPr="00717004">
        <w:t>otice</w:t>
      </w:r>
      <w:r>
        <w:t xml:space="preserve"> </w:t>
      </w:r>
      <w:r w:rsidRPr="00717004">
        <w:t>about</w:t>
      </w:r>
      <w:r>
        <w:t xml:space="preserve"> </w:t>
      </w:r>
      <w:r w:rsidRPr="00717004">
        <w:t>th</w:t>
      </w:r>
      <w:r>
        <w:t xml:space="preserve">is </w:t>
      </w:r>
      <w:r w:rsidRPr="00717004">
        <w:t>company</w:t>
      </w:r>
      <w:r>
        <w:t xml:space="preserve"> </w:t>
      </w:r>
      <w:r w:rsidRPr="00717004">
        <w:t>in</w:t>
      </w:r>
      <w:r>
        <w:t xml:space="preserve"> </w:t>
      </w:r>
      <w:r w:rsidRPr="00717004">
        <w:t>May</w:t>
      </w:r>
      <w:r>
        <w:t xml:space="preserve"> 2025.</w:t>
      </w:r>
    </w:p>
    <w:p w14:paraId="59CEDDCF" w14:textId="77777777" w:rsidR="00856406" w:rsidRDefault="00856406" w:rsidP="00F45F3A">
      <w:pPr>
        <w:pStyle w:val="BodyText"/>
      </w:pPr>
      <w:r>
        <w:t xml:space="preserve">CAV also initiated </w:t>
      </w:r>
      <w:r w:rsidRPr="009C0EF7">
        <w:t>prosecution</w:t>
      </w:r>
      <w:r>
        <w:t xml:space="preserve"> </w:t>
      </w:r>
      <w:r w:rsidRPr="009C0EF7">
        <w:t>against</w:t>
      </w:r>
      <w:r>
        <w:t xml:space="preserve"> </w:t>
      </w:r>
      <w:r w:rsidRPr="009C0EF7">
        <w:t>Panthera</w:t>
      </w:r>
      <w:r>
        <w:t xml:space="preserve"> </w:t>
      </w:r>
      <w:r w:rsidRPr="009C0EF7">
        <w:t>Finance</w:t>
      </w:r>
      <w:r>
        <w:t xml:space="preserve"> </w:t>
      </w:r>
      <w:r w:rsidRPr="009C0EF7">
        <w:t>Pty</w:t>
      </w:r>
      <w:r>
        <w:t xml:space="preserve"> </w:t>
      </w:r>
      <w:r w:rsidRPr="009C0EF7">
        <w:t>Ltd</w:t>
      </w:r>
      <w:r>
        <w:t xml:space="preserve"> </w:t>
      </w:r>
      <w:r w:rsidRPr="009C0EF7">
        <w:t>for</w:t>
      </w:r>
      <w:r>
        <w:t xml:space="preserve"> </w:t>
      </w:r>
      <w:r w:rsidRPr="009C0EF7">
        <w:t>allegedly</w:t>
      </w:r>
      <w:r>
        <w:t xml:space="preserve"> </w:t>
      </w:r>
      <w:r w:rsidRPr="009C0EF7">
        <w:t>operating</w:t>
      </w:r>
      <w:r>
        <w:t xml:space="preserve"> a debt collection business </w:t>
      </w:r>
      <w:r w:rsidRPr="009C0EF7">
        <w:t>while</w:t>
      </w:r>
      <w:r>
        <w:t xml:space="preserve"> </w:t>
      </w:r>
      <w:r w:rsidRPr="009C0EF7">
        <w:t>prohibited</w:t>
      </w:r>
      <w:r>
        <w:t xml:space="preserve"> under Victoria’s consumer laws</w:t>
      </w:r>
      <w:r w:rsidRPr="009C0EF7">
        <w:t>.</w:t>
      </w:r>
    </w:p>
    <w:p w14:paraId="7020239D" w14:textId="77777777" w:rsidR="00856406" w:rsidRDefault="00856406" w:rsidP="00F45F3A">
      <w:pPr>
        <w:pStyle w:val="BodyText"/>
      </w:pPr>
      <w:r>
        <w:t>L</w:t>
      </w:r>
      <w:r w:rsidRPr="009C0EF7">
        <w:t>icensed</w:t>
      </w:r>
      <w:r>
        <w:t xml:space="preserve"> </w:t>
      </w:r>
      <w:r w:rsidRPr="009C0EF7">
        <w:t>estate</w:t>
      </w:r>
      <w:r>
        <w:t xml:space="preserve"> </w:t>
      </w:r>
      <w:r w:rsidRPr="009C0EF7">
        <w:t>agent</w:t>
      </w:r>
      <w:r>
        <w:t xml:space="preserve"> </w:t>
      </w:r>
      <w:r w:rsidRPr="009C0EF7">
        <w:t>Daniela</w:t>
      </w:r>
      <w:r>
        <w:t xml:space="preserve"> </w:t>
      </w:r>
      <w:r w:rsidRPr="009C0EF7">
        <w:t>Vella</w:t>
      </w:r>
      <w:r>
        <w:t xml:space="preserve"> </w:t>
      </w:r>
      <w:r w:rsidRPr="009C0EF7">
        <w:t>of</w:t>
      </w:r>
      <w:r>
        <w:t xml:space="preserve"> </w:t>
      </w:r>
      <w:r w:rsidRPr="009C0EF7">
        <w:t>Harrison</w:t>
      </w:r>
      <w:r>
        <w:t xml:space="preserve"> </w:t>
      </w:r>
      <w:r w:rsidRPr="009C0EF7">
        <w:t>Parker</w:t>
      </w:r>
      <w:r>
        <w:t xml:space="preserve"> </w:t>
      </w:r>
      <w:r w:rsidRPr="009C0EF7">
        <w:t>Real</w:t>
      </w:r>
      <w:r>
        <w:t xml:space="preserve"> </w:t>
      </w:r>
      <w:r w:rsidRPr="009C0EF7">
        <w:t>Estate</w:t>
      </w:r>
      <w:r>
        <w:t xml:space="preserve"> </w:t>
      </w:r>
      <w:r w:rsidRPr="009C0EF7">
        <w:t>has</w:t>
      </w:r>
      <w:r>
        <w:t xml:space="preserve"> </w:t>
      </w:r>
      <w:r w:rsidRPr="009C0EF7">
        <w:t>been</w:t>
      </w:r>
      <w:r>
        <w:t xml:space="preserve"> </w:t>
      </w:r>
      <w:r w:rsidRPr="009C0EF7">
        <w:t>charged</w:t>
      </w:r>
      <w:r>
        <w:t xml:space="preserve"> </w:t>
      </w:r>
      <w:r w:rsidRPr="009C0EF7">
        <w:t>with</w:t>
      </w:r>
      <w:r>
        <w:t xml:space="preserve"> </w:t>
      </w:r>
      <w:r w:rsidRPr="009C0EF7">
        <w:t>allegedly</w:t>
      </w:r>
      <w:r>
        <w:t xml:space="preserve"> </w:t>
      </w:r>
      <w:r w:rsidRPr="009C0EF7">
        <w:t>misusing</w:t>
      </w:r>
      <w:r>
        <w:t xml:space="preserve"> </w:t>
      </w:r>
      <w:r w:rsidRPr="009C0EF7">
        <w:t>$230,000</w:t>
      </w:r>
      <w:r>
        <w:t xml:space="preserve"> </w:t>
      </w:r>
      <w:r w:rsidRPr="009C0EF7">
        <w:t>in</w:t>
      </w:r>
      <w:r>
        <w:t xml:space="preserve"> </w:t>
      </w:r>
      <w:r w:rsidRPr="009C0EF7">
        <w:t>client</w:t>
      </w:r>
      <w:r>
        <w:t xml:space="preserve"> </w:t>
      </w:r>
      <w:r w:rsidRPr="009C0EF7">
        <w:t>trust</w:t>
      </w:r>
      <w:r>
        <w:t xml:space="preserve"> </w:t>
      </w:r>
      <w:r w:rsidRPr="009C0EF7">
        <w:t>funds.</w:t>
      </w:r>
      <w:r>
        <w:t xml:space="preserve"> </w:t>
      </w:r>
      <w:r w:rsidRPr="009C0EF7">
        <w:t>CAV</w:t>
      </w:r>
      <w:r>
        <w:t xml:space="preserve"> </w:t>
      </w:r>
      <w:r w:rsidRPr="009C0EF7">
        <w:t>has</w:t>
      </w:r>
      <w:r>
        <w:t xml:space="preserve"> </w:t>
      </w:r>
      <w:r w:rsidRPr="009C0EF7">
        <w:t>also</w:t>
      </w:r>
      <w:r>
        <w:t xml:space="preserve"> </w:t>
      </w:r>
      <w:r w:rsidRPr="009C0EF7">
        <w:t>taken</w:t>
      </w:r>
      <w:r>
        <w:t xml:space="preserve"> disciplinary proceedings at VCAT against several agents.</w:t>
      </w:r>
    </w:p>
    <w:p w14:paraId="1C0340F0" w14:textId="77777777" w:rsidR="00856406" w:rsidRDefault="00856406" w:rsidP="00F45F3A">
      <w:pPr>
        <w:pStyle w:val="BodyText"/>
      </w:pPr>
      <w:r>
        <w:t>The underquoting taskforce commenced proceedings in several new matters, including F</w:t>
      </w:r>
      <w:r w:rsidRPr="009C0EF7">
        <w:t>ederal</w:t>
      </w:r>
      <w:r>
        <w:t xml:space="preserve"> C</w:t>
      </w:r>
      <w:r w:rsidRPr="009C0EF7">
        <w:t>ourt</w:t>
      </w:r>
      <w:r>
        <w:t xml:space="preserve"> </w:t>
      </w:r>
      <w:r w:rsidRPr="009C0EF7">
        <w:t>action</w:t>
      </w:r>
      <w:r>
        <w:t xml:space="preserve"> </w:t>
      </w:r>
      <w:r w:rsidRPr="009C0EF7">
        <w:t>against</w:t>
      </w:r>
      <w:r>
        <w:t xml:space="preserve"> </w:t>
      </w:r>
      <w:r w:rsidRPr="009C0EF7">
        <w:t>Ray</w:t>
      </w:r>
      <w:r>
        <w:t xml:space="preserve"> </w:t>
      </w:r>
      <w:r w:rsidRPr="009C0EF7">
        <w:t>White</w:t>
      </w:r>
      <w:r>
        <w:t xml:space="preserve"> </w:t>
      </w:r>
      <w:r w:rsidRPr="009C0EF7">
        <w:t>Oakleigh</w:t>
      </w:r>
      <w:r>
        <w:t xml:space="preserve"> </w:t>
      </w:r>
      <w:r w:rsidRPr="009C0EF7">
        <w:t>for</w:t>
      </w:r>
      <w:r>
        <w:t xml:space="preserve"> </w:t>
      </w:r>
      <w:r w:rsidRPr="009C0EF7">
        <w:t>alleged</w:t>
      </w:r>
      <w:r>
        <w:t xml:space="preserve"> </w:t>
      </w:r>
      <w:r w:rsidRPr="009C0EF7">
        <w:t>misleading</w:t>
      </w:r>
      <w:r>
        <w:t xml:space="preserve"> </w:t>
      </w:r>
      <w:r w:rsidRPr="009C0EF7">
        <w:t>and</w:t>
      </w:r>
      <w:r>
        <w:t xml:space="preserve"> </w:t>
      </w:r>
      <w:r w:rsidRPr="009C0EF7">
        <w:t>deceptive</w:t>
      </w:r>
      <w:r>
        <w:t xml:space="preserve"> </w:t>
      </w:r>
      <w:r w:rsidRPr="009C0EF7">
        <w:t>conduct</w:t>
      </w:r>
      <w:r>
        <w:t xml:space="preserve">; and </w:t>
      </w:r>
      <w:r w:rsidRPr="009C0EF7">
        <w:t>disciplinary</w:t>
      </w:r>
      <w:r>
        <w:t xml:space="preserve"> </w:t>
      </w:r>
      <w:r w:rsidRPr="009C0EF7">
        <w:t>proceedings</w:t>
      </w:r>
      <w:r>
        <w:t xml:space="preserve"> </w:t>
      </w:r>
      <w:r w:rsidRPr="009C0EF7">
        <w:t>against</w:t>
      </w:r>
      <w:r>
        <w:t xml:space="preserve"> </w:t>
      </w:r>
      <w:r w:rsidRPr="009C0EF7">
        <w:t>Nicholas</w:t>
      </w:r>
      <w:r>
        <w:t xml:space="preserve"> </w:t>
      </w:r>
      <w:r w:rsidRPr="009C0EF7">
        <w:t>Scott</w:t>
      </w:r>
      <w:r>
        <w:t xml:space="preserve"> </w:t>
      </w:r>
      <w:r w:rsidRPr="009C0EF7">
        <w:t>Real</w:t>
      </w:r>
      <w:r>
        <w:t xml:space="preserve"> </w:t>
      </w:r>
      <w:r w:rsidRPr="009C0EF7">
        <w:t>Estate</w:t>
      </w:r>
      <w:r>
        <w:t xml:space="preserve"> </w:t>
      </w:r>
      <w:r w:rsidRPr="009C0EF7">
        <w:t>and</w:t>
      </w:r>
      <w:r>
        <w:t xml:space="preserve"> </w:t>
      </w:r>
      <w:r w:rsidRPr="009C0EF7">
        <w:t>its</w:t>
      </w:r>
      <w:r>
        <w:t xml:space="preserve"> </w:t>
      </w:r>
      <w:r w:rsidRPr="009C0EF7">
        <w:t>director</w:t>
      </w:r>
      <w:r>
        <w:t xml:space="preserve">, </w:t>
      </w:r>
      <w:r w:rsidRPr="009C0EF7">
        <w:t>Nicholas</w:t>
      </w:r>
      <w:r>
        <w:t xml:space="preserve"> </w:t>
      </w:r>
      <w:r w:rsidRPr="009C0EF7">
        <w:t>Skapoulas</w:t>
      </w:r>
      <w:r>
        <w:t xml:space="preserve">, </w:t>
      </w:r>
      <w:r w:rsidRPr="009C0EF7">
        <w:t>at</w:t>
      </w:r>
      <w:r>
        <w:t xml:space="preserve"> </w:t>
      </w:r>
      <w:r w:rsidRPr="009C0EF7">
        <w:t>VCAT,</w:t>
      </w:r>
      <w:r>
        <w:t xml:space="preserve"> </w:t>
      </w:r>
      <w:r w:rsidRPr="009C0EF7">
        <w:t>for</w:t>
      </w:r>
      <w:r>
        <w:t xml:space="preserve"> alleged </w:t>
      </w:r>
      <w:r w:rsidRPr="009C0EF7">
        <w:t>repeated</w:t>
      </w:r>
      <w:r>
        <w:t xml:space="preserve"> </w:t>
      </w:r>
      <w:r w:rsidRPr="009C0EF7">
        <w:t>breaches</w:t>
      </w:r>
      <w:r>
        <w:t xml:space="preserve"> </w:t>
      </w:r>
      <w:r w:rsidRPr="009C0EF7">
        <w:t>involving</w:t>
      </w:r>
      <w:r>
        <w:t xml:space="preserve"> </w:t>
      </w:r>
      <w:r w:rsidRPr="009C0EF7">
        <w:t>non-compliant</w:t>
      </w:r>
      <w:r>
        <w:t xml:space="preserve"> </w:t>
      </w:r>
      <w:r w:rsidRPr="009C0EF7">
        <w:t>property</w:t>
      </w:r>
      <w:r>
        <w:t xml:space="preserve"> </w:t>
      </w:r>
      <w:r w:rsidRPr="009C0EF7">
        <w:t>pric</w:t>
      </w:r>
      <w:r>
        <w:t xml:space="preserve">ing </w:t>
      </w:r>
      <w:r w:rsidRPr="009C0EF7">
        <w:t>and</w:t>
      </w:r>
      <w:r>
        <w:t xml:space="preserve"> </w:t>
      </w:r>
      <w:r w:rsidRPr="009C0EF7">
        <w:t>failing</w:t>
      </w:r>
      <w:r>
        <w:t xml:space="preserve"> </w:t>
      </w:r>
      <w:r w:rsidRPr="009C0EF7">
        <w:t>to</w:t>
      </w:r>
      <w:r>
        <w:t xml:space="preserve"> </w:t>
      </w:r>
      <w:r w:rsidRPr="009C0EF7">
        <w:t>respond</w:t>
      </w:r>
      <w:r>
        <w:t xml:space="preserve"> </w:t>
      </w:r>
      <w:r w:rsidRPr="009C0EF7">
        <w:t>to</w:t>
      </w:r>
      <w:r>
        <w:t xml:space="preserve"> </w:t>
      </w:r>
      <w:r w:rsidRPr="009C0EF7">
        <w:t>statutory</w:t>
      </w:r>
      <w:r>
        <w:t xml:space="preserve"> </w:t>
      </w:r>
      <w:r w:rsidRPr="009C0EF7">
        <w:t>notices</w:t>
      </w:r>
      <w:r>
        <w:t>.</w:t>
      </w:r>
    </w:p>
    <w:p w14:paraId="43DEF740" w14:textId="0EA0FC9D" w:rsidR="00856406" w:rsidRPr="00AC6461" w:rsidRDefault="00856406" w:rsidP="00F45F3A">
      <w:pPr>
        <w:pStyle w:val="BodyText"/>
      </w:pPr>
      <w:r>
        <w:t xml:space="preserve">The first five criminal cases brought by the renting taskforce were initiated in </w:t>
      </w:r>
      <w:r w:rsidR="00EE79C3">
        <w:t>2024–25</w:t>
      </w:r>
      <w:r>
        <w:t xml:space="preserve"> under the </w:t>
      </w:r>
      <w:r>
        <w:rPr>
          <w:i/>
          <w:iCs/>
        </w:rPr>
        <w:t>Residential Tenancies Act 1997</w:t>
      </w:r>
      <w:r>
        <w:t xml:space="preserve">. A further prosecution was also commenced against Susan Trinh and her company, Impactz Pty Ltd, for alleged rooming house breaches under this Act as well as the </w:t>
      </w:r>
      <w:r>
        <w:rPr>
          <w:i/>
          <w:iCs/>
        </w:rPr>
        <w:t>Rooming House Operators Act 2016</w:t>
      </w:r>
      <w:r>
        <w:t>.</w:t>
      </w:r>
    </w:p>
    <w:p w14:paraId="5BC037B4" w14:textId="77777777" w:rsidR="00856406" w:rsidRDefault="00856406" w:rsidP="00F45F3A">
      <w:pPr>
        <w:pStyle w:val="BodyText"/>
      </w:pPr>
      <w:r>
        <w:t>E</w:t>
      </w:r>
      <w:r w:rsidRPr="009C0EF7">
        <w:t>nforcement</w:t>
      </w:r>
      <w:r>
        <w:t xml:space="preserve"> </w:t>
      </w:r>
      <w:r w:rsidRPr="009C0EF7" w:rsidDel="004C45A3">
        <w:t>actions</w:t>
      </w:r>
      <w:r>
        <w:t xml:space="preserve"> are a critical means that CAV uses to ensure the public is protected, and traders and rental providers are held accountable for unlawful conduct that harms consumers and renters</w:t>
      </w:r>
      <w:r w:rsidRPr="009C0EF7">
        <w:t>.</w:t>
      </w:r>
      <w:r>
        <w:t xml:space="preserve"> They will continue to be used where necessary to stamp out poor practices.</w:t>
      </w:r>
    </w:p>
    <w:p w14:paraId="7825CBFB" w14:textId="630D611B" w:rsidR="00856406" w:rsidRPr="00A4404F" w:rsidRDefault="00856406" w:rsidP="00EC1589">
      <w:pPr>
        <w:pStyle w:val="Heading5"/>
        <w:rPr>
          <w:i/>
        </w:rPr>
      </w:pPr>
      <w:r w:rsidRPr="00A4404F">
        <w:t>Court</w:t>
      </w:r>
      <w:r>
        <w:t xml:space="preserve"> </w:t>
      </w:r>
      <w:r w:rsidRPr="00A4404F">
        <w:t>and</w:t>
      </w:r>
      <w:r>
        <w:t xml:space="preserve"> </w:t>
      </w:r>
      <w:r w:rsidRPr="00A4404F">
        <w:t>tribunal</w:t>
      </w:r>
      <w:r>
        <w:t xml:space="preserve"> </w:t>
      </w:r>
      <w:r w:rsidRPr="00A4404F">
        <w:t>matters</w:t>
      </w:r>
      <w:r>
        <w:t xml:space="preserve"> </w:t>
      </w:r>
      <w:r w:rsidRPr="00A4404F">
        <w:t>finalised</w:t>
      </w:r>
      <w:r>
        <w:t xml:space="preserve"> </w:t>
      </w:r>
      <w:r w:rsidRPr="00A4404F">
        <w:t>in</w:t>
      </w:r>
      <w:r>
        <w:t xml:space="preserve"> </w:t>
      </w:r>
      <w:r w:rsidR="00EE79C3">
        <w:t>2024–25</w:t>
      </w:r>
    </w:p>
    <w:p w14:paraId="5D0F42FC" w14:textId="620928F4" w:rsidR="00856406" w:rsidRPr="00FF14A3" w:rsidRDefault="00EC1589" w:rsidP="00EC1589">
      <w:pPr>
        <w:pStyle w:val="Caption"/>
      </w:pPr>
      <w:bookmarkStart w:id="56" w:name="_Toc212562078"/>
      <w:r>
        <w:t xml:space="preserve">Table 11: </w:t>
      </w:r>
      <w:r w:rsidR="00856406" w:rsidRPr="00FF14A3">
        <w:t>Criminal prosecutions finalised</w:t>
      </w:r>
      <w:bookmarkEnd w:id="56"/>
    </w:p>
    <w:tbl>
      <w:tblPr>
        <w:tblStyle w:val="TableGrid"/>
        <w:tblW w:w="9072" w:type="dxa"/>
        <w:tblLayout w:type="fixed"/>
        <w:tblLook w:val="06A0" w:firstRow="1" w:lastRow="0" w:firstColumn="1" w:lastColumn="0" w:noHBand="1" w:noVBand="1"/>
      </w:tblPr>
      <w:tblGrid>
        <w:gridCol w:w="3969"/>
        <w:gridCol w:w="5103"/>
      </w:tblGrid>
      <w:tr w:rsidR="00856406" w14:paraId="13322CCD" w14:textId="77777777" w:rsidTr="005B7969">
        <w:trPr>
          <w:cnfStyle w:val="100000000000" w:firstRow="1" w:lastRow="0" w:firstColumn="0" w:lastColumn="0" w:oddVBand="0" w:evenVBand="0" w:oddHBand="0" w:evenHBand="0" w:firstRowFirstColumn="0" w:firstRowLastColumn="0" w:lastRowFirstColumn="0" w:lastRowLastColumn="0"/>
          <w:trHeight w:val="450"/>
          <w:tblHeader/>
        </w:trPr>
        <w:tc>
          <w:tcPr>
            <w:tcW w:w="3969" w:type="dxa"/>
          </w:tcPr>
          <w:p w14:paraId="2D899F7B" w14:textId="77777777" w:rsidR="00856406" w:rsidRDefault="00856406" w:rsidP="00FF14A3">
            <w:pPr>
              <w:pStyle w:val="TableColHead"/>
            </w:pPr>
            <w:r w:rsidRPr="632DB719">
              <w:t>Legislation</w:t>
            </w:r>
            <w:r>
              <w:t xml:space="preserve"> </w:t>
            </w:r>
          </w:p>
        </w:tc>
        <w:tc>
          <w:tcPr>
            <w:tcW w:w="5103" w:type="dxa"/>
          </w:tcPr>
          <w:p w14:paraId="13B7F4AC" w14:textId="77777777" w:rsidR="00856406" w:rsidRDefault="00856406" w:rsidP="00FF14A3">
            <w:pPr>
              <w:pStyle w:val="TableColHead"/>
            </w:pPr>
            <w:r w:rsidRPr="632DB719">
              <w:t>Parties</w:t>
            </w:r>
            <w:r>
              <w:t xml:space="preserve"> </w:t>
            </w:r>
          </w:p>
        </w:tc>
      </w:tr>
      <w:tr w:rsidR="00856406" w14:paraId="2458098E" w14:textId="77777777" w:rsidTr="005B7969">
        <w:trPr>
          <w:trHeight w:val="300"/>
        </w:trPr>
        <w:tc>
          <w:tcPr>
            <w:tcW w:w="3969" w:type="dxa"/>
          </w:tcPr>
          <w:p w14:paraId="06ED5E70" w14:textId="77777777" w:rsidR="00856406" w:rsidRPr="00FF14A3" w:rsidRDefault="00856406" w:rsidP="00FF14A3">
            <w:pPr>
              <w:pStyle w:val="TableText"/>
              <w:rPr>
                <w:i/>
                <w:iCs/>
              </w:rPr>
            </w:pPr>
            <w:r w:rsidRPr="00FF14A3">
              <w:rPr>
                <w:i/>
                <w:iCs/>
              </w:rPr>
              <w:t>Estate Agents Act 1980</w:t>
            </w:r>
          </w:p>
        </w:tc>
        <w:tc>
          <w:tcPr>
            <w:tcW w:w="5103" w:type="dxa"/>
          </w:tcPr>
          <w:p w14:paraId="5B4C975F" w14:textId="77777777" w:rsidR="00856406" w:rsidRDefault="00856406" w:rsidP="00FF14A3">
            <w:pPr>
              <w:pStyle w:val="TableText"/>
            </w:pPr>
            <w:r w:rsidRPr="632DB719">
              <w:t>DCAV</w:t>
            </w:r>
            <w:r>
              <w:t xml:space="preserve"> </w:t>
            </w:r>
            <w:r w:rsidRPr="632DB719">
              <w:t>v</w:t>
            </w:r>
            <w:r>
              <w:t xml:space="preserve"> </w:t>
            </w:r>
            <w:r w:rsidRPr="632DB719">
              <w:t>Justin</w:t>
            </w:r>
            <w:r>
              <w:t xml:space="preserve"> </w:t>
            </w:r>
            <w:r w:rsidRPr="632DB719">
              <w:t>Scavo</w:t>
            </w:r>
          </w:p>
        </w:tc>
      </w:tr>
      <w:tr w:rsidR="00856406" w14:paraId="0EEA73DB" w14:textId="77777777" w:rsidTr="005B7969">
        <w:trPr>
          <w:trHeight w:val="300"/>
        </w:trPr>
        <w:tc>
          <w:tcPr>
            <w:tcW w:w="3969" w:type="dxa"/>
          </w:tcPr>
          <w:p w14:paraId="60735198"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430E1939"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Ben</w:t>
            </w:r>
            <w:r>
              <w:rPr>
                <w:color w:val="000000" w:themeColor="text1"/>
              </w:rPr>
              <w:t xml:space="preserve"> </w:t>
            </w:r>
            <w:r w:rsidRPr="632DB719">
              <w:rPr>
                <w:color w:val="000000" w:themeColor="text1"/>
              </w:rPr>
              <w:t>Purchase</w:t>
            </w:r>
          </w:p>
        </w:tc>
      </w:tr>
      <w:tr w:rsidR="00856406" w14:paraId="13732BED" w14:textId="77777777" w:rsidTr="005B7969">
        <w:trPr>
          <w:trHeight w:val="300"/>
        </w:trPr>
        <w:tc>
          <w:tcPr>
            <w:tcW w:w="3969" w:type="dxa"/>
          </w:tcPr>
          <w:p w14:paraId="536B4B5C"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5636E81B" w14:textId="77777777" w:rsidR="00856406" w:rsidRDefault="00856406" w:rsidP="00FF14A3">
            <w:pPr>
              <w:pStyle w:val="TableText"/>
            </w:pPr>
            <w:r w:rsidRPr="632DB719">
              <w:t>DCAV</w:t>
            </w:r>
            <w:r>
              <w:t xml:space="preserve"> </w:t>
            </w:r>
            <w:r w:rsidRPr="632DB719">
              <w:t>v</w:t>
            </w:r>
            <w:r>
              <w:t xml:space="preserve"> </w:t>
            </w:r>
            <w:r w:rsidRPr="632DB719">
              <w:t>Andrew</w:t>
            </w:r>
            <w:r>
              <w:t xml:space="preserve"> </w:t>
            </w:r>
            <w:r w:rsidRPr="632DB719">
              <w:t>Valk</w:t>
            </w:r>
            <w:r>
              <w:t xml:space="preserve"> &amp; </w:t>
            </w:r>
            <w:r w:rsidRPr="632DB719">
              <w:t>Shade</w:t>
            </w:r>
            <w:r>
              <w:t xml:space="preserve"> </w:t>
            </w:r>
            <w:r w:rsidRPr="632DB719">
              <w:t>Solutions</w:t>
            </w:r>
            <w:r>
              <w:t xml:space="preserve"> </w:t>
            </w:r>
            <w:r w:rsidRPr="632DB719">
              <w:t>Australia</w:t>
            </w:r>
            <w:r>
              <w:t xml:space="preserve"> </w:t>
            </w:r>
            <w:r w:rsidRPr="632DB719">
              <w:t>(Vic)</w:t>
            </w:r>
            <w:r>
              <w:t xml:space="preserve"> </w:t>
            </w:r>
            <w:r w:rsidRPr="632DB719">
              <w:t>Pty</w:t>
            </w:r>
            <w:r>
              <w:t xml:space="preserve"> </w:t>
            </w:r>
            <w:r w:rsidRPr="632DB719">
              <w:t>Ltd</w:t>
            </w:r>
            <w:r>
              <w:t xml:space="preserve"> </w:t>
            </w:r>
            <w:r w:rsidRPr="632DB719">
              <w:t>(now</w:t>
            </w:r>
            <w:r>
              <w:t xml:space="preserve"> </w:t>
            </w:r>
            <w:r w:rsidRPr="632DB719">
              <w:t>SSA</w:t>
            </w:r>
            <w:r>
              <w:t xml:space="preserve"> </w:t>
            </w:r>
            <w:r w:rsidRPr="632DB719">
              <w:t>(Vic)</w:t>
            </w:r>
            <w:r>
              <w:t xml:space="preserve"> </w:t>
            </w:r>
            <w:r w:rsidRPr="632DB719">
              <w:t>Pty</w:t>
            </w:r>
            <w:r>
              <w:t xml:space="preserve"> </w:t>
            </w:r>
            <w:r w:rsidRPr="632DB719">
              <w:t>Ltd)</w:t>
            </w:r>
          </w:p>
        </w:tc>
      </w:tr>
      <w:tr w:rsidR="00856406" w14:paraId="4F0D9B2E" w14:textId="77777777" w:rsidTr="005B7969">
        <w:trPr>
          <w:trHeight w:val="30"/>
        </w:trPr>
        <w:tc>
          <w:tcPr>
            <w:tcW w:w="3969" w:type="dxa"/>
          </w:tcPr>
          <w:p w14:paraId="4468EDF3"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087D6EBA" w14:textId="77777777" w:rsidR="00856406" w:rsidRDefault="00856406" w:rsidP="00FF14A3">
            <w:pPr>
              <w:pStyle w:val="TableText"/>
              <w:rPr>
                <w:rFonts w:cs="Calibri"/>
              </w:rPr>
            </w:pPr>
            <w:r w:rsidRPr="632DB719">
              <w:t>DCAV</w:t>
            </w:r>
            <w:r>
              <w:t xml:space="preserve"> </w:t>
            </w:r>
            <w:r w:rsidRPr="632DB719">
              <w:t>v</w:t>
            </w:r>
            <w:r>
              <w:t xml:space="preserve"> </w:t>
            </w:r>
            <w:r w:rsidRPr="632DB719">
              <w:t>Christopher</w:t>
            </w:r>
            <w:r>
              <w:t xml:space="preserve"> </w:t>
            </w:r>
            <w:r w:rsidRPr="632DB719">
              <w:t>Michael</w:t>
            </w:r>
            <w:r>
              <w:rPr>
                <w:color w:val="000000" w:themeColor="text1"/>
              </w:rPr>
              <w:t xml:space="preserve"> &amp; </w:t>
            </w:r>
            <w:r w:rsidRPr="006D6239">
              <w:rPr>
                <w:rFonts w:cs="Calibri"/>
              </w:rPr>
              <w:t>Australian</w:t>
            </w:r>
            <w:r>
              <w:rPr>
                <w:rFonts w:cs="Calibri"/>
              </w:rPr>
              <w:t xml:space="preserve"> </w:t>
            </w:r>
            <w:r w:rsidRPr="006D6239">
              <w:rPr>
                <w:rFonts w:cs="Calibri"/>
              </w:rPr>
              <w:t>Property</w:t>
            </w:r>
            <w:r>
              <w:rPr>
                <w:rFonts w:cs="Calibri"/>
              </w:rPr>
              <w:t xml:space="preserve"> </w:t>
            </w:r>
            <w:r w:rsidRPr="006D6239">
              <w:rPr>
                <w:rFonts w:cs="Calibri"/>
              </w:rPr>
              <w:t>Management</w:t>
            </w:r>
            <w:r>
              <w:rPr>
                <w:rFonts w:cs="Calibri"/>
              </w:rPr>
              <w:t xml:space="preserve"> </w:t>
            </w:r>
            <w:r w:rsidRPr="006D6239">
              <w:rPr>
                <w:rFonts w:cs="Calibri"/>
              </w:rPr>
              <w:t>Solutions</w:t>
            </w:r>
            <w:r>
              <w:rPr>
                <w:rFonts w:cs="Calibri"/>
              </w:rPr>
              <w:t xml:space="preserve"> </w:t>
            </w:r>
            <w:r w:rsidRPr="006D6239">
              <w:rPr>
                <w:rFonts w:cs="Calibri"/>
              </w:rPr>
              <w:t>Pty</w:t>
            </w:r>
            <w:r>
              <w:rPr>
                <w:rFonts w:cs="Calibri"/>
              </w:rPr>
              <w:t xml:space="preserve"> </w:t>
            </w:r>
            <w:r w:rsidRPr="006D6239">
              <w:rPr>
                <w:rFonts w:cs="Calibri"/>
              </w:rPr>
              <w:t>Ltd</w:t>
            </w:r>
            <w:r>
              <w:rPr>
                <w:color w:val="000000" w:themeColor="text1"/>
              </w:rPr>
              <w:t xml:space="preserve"> </w:t>
            </w:r>
          </w:p>
        </w:tc>
      </w:tr>
      <w:tr w:rsidR="00856406" w14:paraId="178A19E8" w14:textId="77777777" w:rsidTr="005B7969">
        <w:trPr>
          <w:trHeight w:val="30"/>
        </w:trPr>
        <w:tc>
          <w:tcPr>
            <w:tcW w:w="3969" w:type="dxa"/>
          </w:tcPr>
          <w:p w14:paraId="580703BC" w14:textId="77777777" w:rsidR="00856406" w:rsidRPr="00FF14A3" w:rsidRDefault="00856406" w:rsidP="00FF14A3">
            <w:pPr>
              <w:pStyle w:val="TableText"/>
              <w:rPr>
                <w:i/>
                <w:iCs/>
              </w:rPr>
            </w:pPr>
            <w:r w:rsidRPr="00FF14A3">
              <w:rPr>
                <w:i/>
                <w:iCs/>
              </w:rPr>
              <w:t>Estate Agents Act 1980</w:t>
            </w:r>
          </w:p>
        </w:tc>
        <w:tc>
          <w:tcPr>
            <w:tcW w:w="5103" w:type="dxa"/>
          </w:tcPr>
          <w:p w14:paraId="20271CD7"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Metaprop</w:t>
            </w:r>
            <w:r>
              <w:rPr>
                <w:color w:val="000000" w:themeColor="text1"/>
              </w:rPr>
              <w:t xml:space="preserve"> </w:t>
            </w:r>
            <w:r w:rsidRPr="632DB719">
              <w:rPr>
                <w:color w:val="000000" w:themeColor="text1"/>
              </w:rPr>
              <w:t>Pty</w:t>
            </w:r>
            <w:r>
              <w:rPr>
                <w:color w:val="000000" w:themeColor="text1"/>
              </w:rPr>
              <w:t xml:space="preserve"> </w:t>
            </w:r>
            <w:r w:rsidRPr="632DB719">
              <w:rPr>
                <w:color w:val="000000" w:themeColor="text1"/>
              </w:rPr>
              <w:t>Ltd</w:t>
            </w:r>
          </w:p>
        </w:tc>
      </w:tr>
      <w:tr w:rsidR="00856406" w14:paraId="0058CFCD" w14:textId="77777777" w:rsidTr="005B7969">
        <w:trPr>
          <w:trHeight w:val="30"/>
        </w:trPr>
        <w:tc>
          <w:tcPr>
            <w:tcW w:w="3969" w:type="dxa"/>
          </w:tcPr>
          <w:p w14:paraId="28109CCB" w14:textId="77777777" w:rsidR="00856406" w:rsidRPr="00FF14A3" w:rsidRDefault="00856406" w:rsidP="00FF14A3">
            <w:pPr>
              <w:pStyle w:val="TableText"/>
              <w:rPr>
                <w:i/>
                <w:iCs/>
              </w:rPr>
            </w:pPr>
            <w:r w:rsidRPr="00FF14A3">
              <w:rPr>
                <w:i/>
                <w:iCs/>
              </w:rPr>
              <w:t>Australian Consumer Law and Fair Trading Act 2012 &amp; Domestic Building Contracts Act 1995</w:t>
            </w:r>
          </w:p>
        </w:tc>
        <w:tc>
          <w:tcPr>
            <w:tcW w:w="5103" w:type="dxa"/>
          </w:tcPr>
          <w:p w14:paraId="205BE47A"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Mark</w:t>
            </w:r>
            <w:r>
              <w:rPr>
                <w:color w:val="000000" w:themeColor="text1"/>
              </w:rPr>
              <w:t xml:space="preserve"> </w:t>
            </w:r>
            <w:r w:rsidRPr="632DB719">
              <w:rPr>
                <w:color w:val="000000" w:themeColor="text1"/>
              </w:rPr>
              <w:t>Rayes</w:t>
            </w:r>
          </w:p>
        </w:tc>
      </w:tr>
      <w:tr w:rsidR="00856406" w14:paraId="0F64B8F9" w14:textId="77777777" w:rsidTr="005B7969">
        <w:trPr>
          <w:trHeight w:val="30"/>
        </w:trPr>
        <w:tc>
          <w:tcPr>
            <w:tcW w:w="3969" w:type="dxa"/>
          </w:tcPr>
          <w:p w14:paraId="6A2896C7" w14:textId="77777777" w:rsidR="00856406" w:rsidRPr="00FF14A3" w:rsidRDefault="00856406" w:rsidP="00FF14A3">
            <w:pPr>
              <w:pStyle w:val="TableText"/>
              <w:rPr>
                <w:i/>
                <w:iCs/>
              </w:rPr>
            </w:pPr>
            <w:r w:rsidRPr="00FF14A3">
              <w:rPr>
                <w:i/>
                <w:iCs/>
              </w:rPr>
              <w:t>Estate Agents Act 1980</w:t>
            </w:r>
          </w:p>
        </w:tc>
        <w:tc>
          <w:tcPr>
            <w:tcW w:w="5103" w:type="dxa"/>
          </w:tcPr>
          <w:p w14:paraId="322D500C" w14:textId="77777777" w:rsidR="00856406" w:rsidRDefault="00856406" w:rsidP="00FF14A3">
            <w:pPr>
              <w:pStyle w:val="TableText"/>
            </w:pPr>
            <w:r w:rsidRPr="632DB719">
              <w:t>DCAV</w:t>
            </w:r>
            <w:r>
              <w:t xml:space="preserve"> </w:t>
            </w:r>
            <w:r w:rsidRPr="632DB719">
              <w:t>v</w:t>
            </w:r>
            <w:r>
              <w:t xml:space="preserve"> </w:t>
            </w:r>
            <w:r w:rsidRPr="632DB719">
              <w:t>Cardamone</w:t>
            </w:r>
          </w:p>
        </w:tc>
      </w:tr>
      <w:tr w:rsidR="00856406" w14:paraId="5B8D3A19" w14:textId="77777777" w:rsidTr="005B7969">
        <w:trPr>
          <w:trHeight w:val="30"/>
        </w:trPr>
        <w:tc>
          <w:tcPr>
            <w:tcW w:w="3969" w:type="dxa"/>
          </w:tcPr>
          <w:p w14:paraId="2618EF6B" w14:textId="77777777" w:rsidR="00856406" w:rsidRPr="00FF14A3" w:rsidRDefault="00856406" w:rsidP="00FF14A3">
            <w:pPr>
              <w:pStyle w:val="TableText"/>
              <w:rPr>
                <w:i/>
                <w:iCs/>
              </w:rPr>
            </w:pPr>
            <w:r w:rsidRPr="00FF14A3">
              <w:rPr>
                <w:i/>
                <w:iCs/>
              </w:rPr>
              <w:t>Motor Car Traders Act 1986</w:t>
            </w:r>
          </w:p>
        </w:tc>
        <w:tc>
          <w:tcPr>
            <w:tcW w:w="5103" w:type="dxa"/>
          </w:tcPr>
          <w:p w14:paraId="25A58FE0" w14:textId="77777777" w:rsidR="00856406" w:rsidRDefault="00856406" w:rsidP="00FF14A3">
            <w:pPr>
              <w:pStyle w:val="TableText"/>
            </w:pPr>
            <w:r w:rsidRPr="632DB719">
              <w:t>DCAV</w:t>
            </w:r>
            <w:r>
              <w:t xml:space="preserve"> </w:t>
            </w:r>
            <w:r w:rsidRPr="632DB719">
              <w:t>v</w:t>
            </w:r>
            <w:r>
              <w:t xml:space="preserve"> </w:t>
            </w:r>
            <w:r w:rsidRPr="632DB719">
              <w:t>Zequn</w:t>
            </w:r>
            <w:r>
              <w:t xml:space="preserve"> </w:t>
            </w:r>
            <w:r w:rsidRPr="632DB719">
              <w:t>Wang</w:t>
            </w:r>
            <w:r>
              <w:t xml:space="preserve"> </w:t>
            </w:r>
          </w:p>
        </w:tc>
      </w:tr>
    </w:tbl>
    <w:p w14:paraId="2DDE4769" w14:textId="77777777" w:rsidR="00A02E61" w:rsidRPr="00A02E61" w:rsidRDefault="00A02E61" w:rsidP="00A02E61">
      <w:pPr>
        <w:pStyle w:val="BodyText"/>
      </w:pPr>
      <w:r w:rsidRPr="00A02E61">
        <w:br w:type="page"/>
      </w:r>
    </w:p>
    <w:p w14:paraId="173108F2" w14:textId="514865C6" w:rsidR="00856406" w:rsidRPr="00FF14A3" w:rsidRDefault="00EC1589" w:rsidP="00EC1589">
      <w:pPr>
        <w:pStyle w:val="Caption"/>
      </w:pPr>
      <w:bookmarkStart w:id="57" w:name="_Toc212562079"/>
      <w:r>
        <w:t xml:space="preserve">Table 12: </w:t>
      </w:r>
      <w:r w:rsidR="00856406" w:rsidRPr="00FF14A3">
        <w:t>Civil proceedings finalised (including disciplinary inquir</w:t>
      </w:r>
      <w:r w:rsidR="00C21B29">
        <w:t>ies</w:t>
      </w:r>
      <w:r w:rsidR="00856406" w:rsidRPr="00FF14A3">
        <w:t>)</w:t>
      </w:r>
      <w:bookmarkEnd w:id="57"/>
    </w:p>
    <w:tbl>
      <w:tblPr>
        <w:tblStyle w:val="TableGrid"/>
        <w:tblW w:w="9072" w:type="dxa"/>
        <w:tblLayout w:type="fixed"/>
        <w:tblLook w:val="06A0" w:firstRow="1" w:lastRow="0" w:firstColumn="1" w:lastColumn="0" w:noHBand="1" w:noVBand="1"/>
      </w:tblPr>
      <w:tblGrid>
        <w:gridCol w:w="3969"/>
        <w:gridCol w:w="5103"/>
      </w:tblGrid>
      <w:tr w:rsidR="00856406" w14:paraId="02AF212C" w14:textId="77777777" w:rsidTr="005B7969">
        <w:trPr>
          <w:cnfStyle w:val="100000000000" w:firstRow="1" w:lastRow="0" w:firstColumn="0" w:lastColumn="0" w:oddVBand="0" w:evenVBand="0" w:oddHBand="0" w:evenHBand="0" w:firstRowFirstColumn="0" w:firstRowLastColumn="0" w:lastRowFirstColumn="0" w:lastRowLastColumn="0"/>
          <w:trHeight w:val="300"/>
          <w:tblHeader/>
        </w:trPr>
        <w:tc>
          <w:tcPr>
            <w:tcW w:w="3969" w:type="dxa"/>
          </w:tcPr>
          <w:p w14:paraId="4F30DABE" w14:textId="77777777" w:rsidR="00856406" w:rsidRDefault="00856406" w:rsidP="00FF14A3">
            <w:pPr>
              <w:pStyle w:val="TableColHead"/>
            </w:pPr>
            <w:r w:rsidRPr="632DB719">
              <w:t>Legislation</w:t>
            </w:r>
            <w:r>
              <w:t xml:space="preserve"> </w:t>
            </w:r>
          </w:p>
        </w:tc>
        <w:tc>
          <w:tcPr>
            <w:tcW w:w="5103" w:type="dxa"/>
          </w:tcPr>
          <w:p w14:paraId="20449905" w14:textId="77777777" w:rsidR="00856406" w:rsidRDefault="00856406" w:rsidP="00FF14A3">
            <w:pPr>
              <w:pStyle w:val="TableColHead"/>
            </w:pPr>
            <w:r w:rsidRPr="632DB719">
              <w:t>Parties</w:t>
            </w:r>
            <w:r>
              <w:t xml:space="preserve"> </w:t>
            </w:r>
          </w:p>
        </w:tc>
      </w:tr>
      <w:tr w:rsidR="00856406" w14:paraId="42DC1763" w14:textId="77777777" w:rsidTr="005B7969">
        <w:trPr>
          <w:trHeight w:val="300"/>
        </w:trPr>
        <w:tc>
          <w:tcPr>
            <w:tcW w:w="3969" w:type="dxa"/>
          </w:tcPr>
          <w:p w14:paraId="13984BFC" w14:textId="77777777" w:rsidR="00856406" w:rsidRPr="00FF14A3" w:rsidRDefault="00856406" w:rsidP="00FF14A3">
            <w:pPr>
              <w:pStyle w:val="TableText"/>
              <w:rPr>
                <w:i/>
                <w:iCs/>
              </w:rPr>
            </w:pPr>
            <w:r w:rsidRPr="00FF14A3">
              <w:rPr>
                <w:i/>
                <w:iCs/>
              </w:rPr>
              <w:t>Estate Agents Act 1980</w:t>
            </w:r>
          </w:p>
        </w:tc>
        <w:tc>
          <w:tcPr>
            <w:tcW w:w="5103" w:type="dxa"/>
          </w:tcPr>
          <w:p w14:paraId="54A7C276" w14:textId="4F98E5C5"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t>Hakan</w:t>
            </w:r>
            <w:r>
              <w:t xml:space="preserve"> </w:t>
            </w:r>
            <w:r w:rsidRPr="632DB719">
              <w:t>Ali</w:t>
            </w:r>
            <w:r>
              <w:t xml:space="preserve"> </w:t>
            </w:r>
            <w:r w:rsidRPr="632DB719">
              <w:t>&amp;</w:t>
            </w:r>
            <w:r>
              <w:rPr>
                <w:color w:val="000000" w:themeColor="text1"/>
              </w:rPr>
              <w:t xml:space="preserve"> </w:t>
            </w:r>
            <w:r w:rsidRPr="632DB719">
              <w:rPr>
                <w:color w:val="000000" w:themeColor="text1"/>
              </w:rPr>
              <w:t>Charter</w:t>
            </w:r>
            <w:r>
              <w:rPr>
                <w:color w:val="000000" w:themeColor="text1"/>
              </w:rPr>
              <w:t xml:space="preserve"> </w:t>
            </w:r>
            <w:r w:rsidRPr="632DB719">
              <w:rPr>
                <w:color w:val="000000" w:themeColor="text1"/>
              </w:rPr>
              <w:t>Lane</w:t>
            </w:r>
            <w:r>
              <w:rPr>
                <w:color w:val="000000" w:themeColor="text1"/>
              </w:rPr>
              <w:t xml:space="preserve"> </w:t>
            </w:r>
            <w:r w:rsidRPr="632DB719">
              <w:rPr>
                <w:color w:val="000000" w:themeColor="text1"/>
              </w:rPr>
              <w:t>Pty</w:t>
            </w:r>
            <w:r>
              <w:rPr>
                <w:color w:val="000000" w:themeColor="text1"/>
              </w:rPr>
              <w:t xml:space="preserve"> </w:t>
            </w:r>
            <w:r w:rsidRPr="632DB719">
              <w:rPr>
                <w:color w:val="000000" w:themeColor="text1"/>
              </w:rPr>
              <w:t>Ltd</w:t>
            </w:r>
          </w:p>
        </w:tc>
      </w:tr>
      <w:tr w:rsidR="00856406" w14:paraId="4C0C2919" w14:textId="77777777" w:rsidTr="005B7969">
        <w:trPr>
          <w:trHeight w:val="300"/>
        </w:trPr>
        <w:tc>
          <w:tcPr>
            <w:tcW w:w="3969" w:type="dxa"/>
          </w:tcPr>
          <w:p w14:paraId="107A07BC" w14:textId="77777777" w:rsidR="00856406" w:rsidRPr="00FF14A3" w:rsidRDefault="00856406" w:rsidP="00FF14A3">
            <w:pPr>
              <w:pStyle w:val="TableText"/>
              <w:rPr>
                <w:i/>
                <w:iCs/>
              </w:rPr>
            </w:pPr>
            <w:r w:rsidRPr="00FF14A3">
              <w:rPr>
                <w:i/>
                <w:iCs/>
              </w:rPr>
              <w:t>Estate Agents Act 1980</w:t>
            </w:r>
          </w:p>
        </w:tc>
        <w:tc>
          <w:tcPr>
            <w:tcW w:w="5103" w:type="dxa"/>
          </w:tcPr>
          <w:p w14:paraId="348777D0" w14:textId="37B38D8F"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Christopher</w:t>
            </w:r>
            <w:r>
              <w:rPr>
                <w:color w:val="000000" w:themeColor="text1"/>
              </w:rPr>
              <w:t xml:space="preserve"> </w:t>
            </w:r>
            <w:r w:rsidRPr="632DB719">
              <w:rPr>
                <w:color w:val="000000" w:themeColor="text1"/>
              </w:rPr>
              <w:t>Paul</w:t>
            </w:r>
            <w:r>
              <w:rPr>
                <w:color w:val="000000" w:themeColor="text1"/>
              </w:rPr>
              <w:t xml:space="preserve"> </w:t>
            </w:r>
            <w:r w:rsidRPr="632DB719">
              <w:rPr>
                <w:color w:val="000000" w:themeColor="text1"/>
              </w:rPr>
              <w:t>Kontossis</w:t>
            </w:r>
          </w:p>
        </w:tc>
      </w:tr>
      <w:tr w:rsidR="00856406" w14:paraId="4BEA868D" w14:textId="77777777" w:rsidTr="005B7969">
        <w:trPr>
          <w:trHeight w:val="30"/>
        </w:trPr>
        <w:tc>
          <w:tcPr>
            <w:tcW w:w="3969" w:type="dxa"/>
          </w:tcPr>
          <w:p w14:paraId="09918950" w14:textId="77777777" w:rsidR="00856406" w:rsidRPr="00FF14A3" w:rsidRDefault="00856406" w:rsidP="00FF14A3">
            <w:pPr>
              <w:pStyle w:val="TableText"/>
              <w:rPr>
                <w:i/>
                <w:iCs/>
              </w:rPr>
            </w:pPr>
            <w:r w:rsidRPr="00FF14A3">
              <w:rPr>
                <w:i/>
                <w:iCs/>
              </w:rPr>
              <w:t>Residential Tenancies Act 1997</w:t>
            </w:r>
          </w:p>
        </w:tc>
        <w:tc>
          <w:tcPr>
            <w:tcW w:w="5103" w:type="dxa"/>
          </w:tcPr>
          <w:p w14:paraId="2F4D84C0" w14:textId="7E4A7C5D" w:rsidR="00856406" w:rsidRDefault="00856406" w:rsidP="00FF14A3">
            <w:pPr>
              <w:pStyle w:val="TableText"/>
              <w:rPr>
                <w:lang w:val="es-ES"/>
              </w:rPr>
            </w:pPr>
            <w:r w:rsidRPr="632DB719">
              <w:rPr>
                <w:lang w:val="es-ES"/>
              </w:rPr>
              <w:t>DCAV</w:t>
            </w:r>
            <w:r>
              <w:rPr>
                <w:lang w:val="es-ES"/>
              </w:rPr>
              <w:t xml:space="preserve"> </w:t>
            </w:r>
            <w:r w:rsidRPr="632DB719">
              <w:rPr>
                <w:lang w:val="es-ES"/>
              </w:rPr>
              <w:t>v</w:t>
            </w:r>
            <w:r>
              <w:rPr>
                <w:lang w:val="es-ES"/>
              </w:rPr>
              <w:t xml:space="preserve"> </w:t>
            </w:r>
            <w:r w:rsidRPr="632DB719">
              <w:rPr>
                <w:lang w:val="es-ES"/>
              </w:rPr>
              <w:t>Xuan</w:t>
            </w:r>
            <w:r>
              <w:rPr>
                <w:lang w:val="es-ES"/>
              </w:rPr>
              <w:t xml:space="preserve"> </w:t>
            </w:r>
            <w:r w:rsidRPr="632DB719">
              <w:rPr>
                <w:lang w:val="es-ES"/>
              </w:rPr>
              <w:t>Sang</w:t>
            </w:r>
            <w:r>
              <w:rPr>
                <w:lang w:val="es-ES"/>
              </w:rPr>
              <w:t xml:space="preserve"> </w:t>
            </w:r>
            <w:r w:rsidRPr="632DB719">
              <w:rPr>
                <w:lang w:val="es-ES"/>
              </w:rPr>
              <w:t>Nguyen</w:t>
            </w:r>
          </w:p>
        </w:tc>
      </w:tr>
      <w:tr w:rsidR="00856406" w14:paraId="10A69259" w14:textId="77777777" w:rsidTr="005B7969">
        <w:trPr>
          <w:trHeight w:val="30"/>
        </w:trPr>
        <w:tc>
          <w:tcPr>
            <w:tcW w:w="3969" w:type="dxa"/>
          </w:tcPr>
          <w:p w14:paraId="7F38B007" w14:textId="77777777" w:rsidR="00856406" w:rsidRPr="00FF14A3" w:rsidRDefault="00856406" w:rsidP="00FF14A3">
            <w:pPr>
              <w:pStyle w:val="TableText"/>
              <w:rPr>
                <w:i/>
                <w:iCs/>
              </w:rPr>
            </w:pPr>
            <w:r w:rsidRPr="00FF14A3">
              <w:rPr>
                <w:i/>
                <w:iCs/>
              </w:rPr>
              <w:t>Residential Tenancies Act 1997</w:t>
            </w:r>
          </w:p>
        </w:tc>
        <w:tc>
          <w:tcPr>
            <w:tcW w:w="5103" w:type="dxa"/>
          </w:tcPr>
          <w:p w14:paraId="3CC5F075"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SN</w:t>
            </w:r>
            <w:r>
              <w:rPr>
                <w:color w:val="000000" w:themeColor="text1"/>
              </w:rPr>
              <w:t xml:space="preserve"> </w:t>
            </w:r>
            <w:r w:rsidRPr="632DB719">
              <w:rPr>
                <w:color w:val="000000" w:themeColor="text1"/>
              </w:rPr>
              <w:t>Newton</w:t>
            </w:r>
            <w:r>
              <w:rPr>
                <w:color w:val="000000" w:themeColor="text1"/>
              </w:rPr>
              <w:t xml:space="preserve"> </w:t>
            </w:r>
            <w:r w:rsidRPr="632DB719">
              <w:rPr>
                <w:color w:val="000000" w:themeColor="text1"/>
              </w:rPr>
              <w:t>Real</w:t>
            </w:r>
            <w:r>
              <w:rPr>
                <w:color w:val="000000" w:themeColor="text1"/>
              </w:rPr>
              <w:t xml:space="preserve"> </w:t>
            </w:r>
            <w:r w:rsidRPr="632DB719">
              <w:rPr>
                <w:color w:val="000000" w:themeColor="text1"/>
              </w:rPr>
              <w:t>Estate</w:t>
            </w:r>
            <w:r>
              <w:rPr>
                <w:color w:val="000000" w:themeColor="text1"/>
              </w:rPr>
              <w:t xml:space="preserve"> </w:t>
            </w:r>
            <w:r w:rsidRPr="632DB719">
              <w:rPr>
                <w:color w:val="000000" w:themeColor="text1"/>
              </w:rPr>
              <w:t>Pty</w:t>
            </w:r>
            <w:r>
              <w:rPr>
                <w:color w:val="000000" w:themeColor="text1"/>
              </w:rPr>
              <w:t xml:space="preserve"> </w:t>
            </w:r>
            <w:r w:rsidRPr="632DB719">
              <w:rPr>
                <w:color w:val="000000" w:themeColor="text1"/>
              </w:rPr>
              <w:t>Ltd</w:t>
            </w:r>
          </w:p>
        </w:tc>
      </w:tr>
      <w:tr w:rsidR="00856406" w14:paraId="0A4AD753" w14:textId="77777777" w:rsidTr="005B7969">
        <w:trPr>
          <w:trHeight w:val="30"/>
        </w:trPr>
        <w:tc>
          <w:tcPr>
            <w:tcW w:w="3969" w:type="dxa"/>
          </w:tcPr>
          <w:p w14:paraId="61490BA4"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4A506BF8" w14:textId="77777777" w:rsidR="00856406" w:rsidRDefault="00856406" w:rsidP="00FF14A3">
            <w:pPr>
              <w:pStyle w:val="TableText"/>
            </w:pPr>
            <w:r w:rsidRPr="632DB719">
              <w:t>DCAV</w:t>
            </w:r>
            <w:r>
              <w:t xml:space="preserve"> </w:t>
            </w:r>
            <w:r w:rsidRPr="632DB719">
              <w:t>v</w:t>
            </w:r>
            <w:r>
              <w:t xml:space="preserve"> </w:t>
            </w:r>
            <w:r w:rsidRPr="632DB719">
              <w:t>Long</w:t>
            </w:r>
            <w:r>
              <w:t xml:space="preserve"> </w:t>
            </w:r>
            <w:r w:rsidRPr="632DB719">
              <w:t>Ying</w:t>
            </w:r>
            <w:r>
              <w:t xml:space="preserve"> </w:t>
            </w:r>
            <w:r w:rsidRPr="632DB719">
              <w:t>Pty</w:t>
            </w:r>
            <w:r>
              <w:t xml:space="preserve"> </w:t>
            </w:r>
            <w:r w:rsidRPr="632DB719">
              <w:t>Ltd</w:t>
            </w:r>
          </w:p>
        </w:tc>
      </w:tr>
      <w:tr w:rsidR="00856406" w14:paraId="4AB6D2FD" w14:textId="77777777" w:rsidTr="005B7969">
        <w:trPr>
          <w:trHeight w:val="30"/>
        </w:trPr>
        <w:tc>
          <w:tcPr>
            <w:tcW w:w="3969" w:type="dxa"/>
          </w:tcPr>
          <w:p w14:paraId="7433308A" w14:textId="77777777" w:rsidR="00856406" w:rsidRPr="00FF14A3" w:rsidRDefault="00856406" w:rsidP="00FF14A3">
            <w:pPr>
              <w:pStyle w:val="TableText"/>
              <w:rPr>
                <w:i/>
                <w:iCs/>
              </w:rPr>
            </w:pPr>
            <w:r w:rsidRPr="00FF14A3">
              <w:rPr>
                <w:i/>
                <w:iCs/>
              </w:rPr>
              <w:t xml:space="preserve">Associations Incorporation Reform Act 2012 </w:t>
            </w:r>
          </w:p>
        </w:tc>
        <w:tc>
          <w:tcPr>
            <w:tcW w:w="5103" w:type="dxa"/>
          </w:tcPr>
          <w:p w14:paraId="6ADA1079" w14:textId="47CEBA83" w:rsidR="00856406" w:rsidRDefault="00856406" w:rsidP="00FF14A3">
            <w:pPr>
              <w:pStyle w:val="TableText"/>
            </w:pPr>
            <w:r w:rsidRPr="632DB719">
              <w:t>DCAV</w:t>
            </w:r>
            <w:r>
              <w:t xml:space="preserve"> </w:t>
            </w:r>
            <w:r w:rsidRPr="632DB719">
              <w:t>trading</w:t>
            </w:r>
            <w:r>
              <w:t xml:space="preserve"> </w:t>
            </w:r>
            <w:r w:rsidRPr="632DB719">
              <w:t>as</w:t>
            </w:r>
            <w:r>
              <w:t xml:space="preserve"> </w:t>
            </w:r>
            <w:r w:rsidRPr="632DB719">
              <w:t>Registrar</w:t>
            </w:r>
            <w:r>
              <w:t xml:space="preserve"> </w:t>
            </w:r>
            <w:r w:rsidRPr="632DB719">
              <w:t>of</w:t>
            </w:r>
            <w:r>
              <w:t xml:space="preserve"> </w:t>
            </w:r>
            <w:r w:rsidRPr="632DB719">
              <w:t>Incorporated</w:t>
            </w:r>
            <w:r>
              <w:t xml:space="preserve"> </w:t>
            </w:r>
            <w:r w:rsidRPr="632DB719">
              <w:t>Associations</w:t>
            </w:r>
            <w:r>
              <w:t xml:space="preserve"> </w:t>
            </w:r>
            <w:r w:rsidRPr="632DB719">
              <w:t>v</w:t>
            </w:r>
            <w:r>
              <w:t xml:space="preserve"> </w:t>
            </w:r>
            <w:r w:rsidRPr="632DB719">
              <w:t>Kirrae</w:t>
            </w:r>
            <w:r>
              <w:t xml:space="preserve"> </w:t>
            </w:r>
            <w:r w:rsidRPr="632DB719">
              <w:t>Whurrong</w:t>
            </w:r>
            <w:r>
              <w:t xml:space="preserve"> </w:t>
            </w:r>
            <w:r w:rsidRPr="632DB719">
              <w:t>Community</w:t>
            </w:r>
            <w:r>
              <w:t xml:space="preserve"> </w:t>
            </w:r>
            <w:r w:rsidRPr="632DB719">
              <w:t>Incorporated</w:t>
            </w:r>
          </w:p>
        </w:tc>
      </w:tr>
      <w:tr w:rsidR="00856406" w14:paraId="4EFF13F1" w14:textId="77777777" w:rsidTr="005B7969">
        <w:trPr>
          <w:trHeight w:val="30"/>
        </w:trPr>
        <w:tc>
          <w:tcPr>
            <w:tcW w:w="3969" w:type="dxa"/>
          </w:tcPr>
          <w:p w14:paraId="62C91670" w14:textId="77777777" w:rsidR="00856406" w:rsidRPr="00FF14A3" w:rsidRDefault="00856406" w:rsidP="00FF14A3">
            <w:pPr>
              <w:pStyle w:val="TableText"/>
              <w:rPr>
                <w:i/>
                <w:iCs/>
              </w:rPr>
            </w:pPr>
            <w:r w:rsidRPr="00FF14A3">
              <w:rPr>
                <w:i/>
                <w:iCs/>
              </w:rPr>
              <w:t>Estate Agents Act 1980</w:t>
            </w:r>
          </w:p>
        </w:tc>
        <w:tc>
          <w:tcPr>
            <w:tcW w:w="5103" w:type="dxa"/>
          </w:tcPr>
          <w:p w14:paraId="576EC16B"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Gaurav</w:t>
            </w:r>
            <w:r>
              <w:rPr>
                <w:color w:val="000000" w:themeColor="text1"/>
              </w:rPr>
              <w:t xml:space="preserve"> </w:t>
            </w:r>
            <w:r w:rsidRPr="632DB719">
              <w:rPr>
                <w:color w:val="000000" w:themeColor="text1"/>
              </w:rPr>
              <w:t>Kapoor</w:t>
            </w:r>
          </w:p>
        </w:tc>
      </w:tr>
    </w:tbl>
    <w:p w14:paraId="43E25F40" w14:textId="1AF4395D" w:rsidR="00856406" w:rsidRPr="00A4404F" w:rsidRDefault="00856406" w:rsidP="00EC1589">
      <w:pPr>
        <w:pStyle w:val="Heading5"/>
      </w:pPr>
      <w:r w:rsidRPr="00A4404F">
        <w:t>Ongoing</w:t>
      </w:r>
      <w:r>
        <w:t xml:space="preserve"> </w:t>
      </w:r>
      <w:r w:rsidRPr="00A4404F">
        <w:t>court</w:t>
      </w:r>
      <w:r>
        <w:t xml:space="preserve"> </w:t>
      </w:r>
      <w:r w:rsidRPr="00A4404F">
        <w:t>matters</w:t>
      </w:r>
      <w:r>
        <w:t xml:space="preserve"> </w:t>
      </w:r>
      <w:r w:rsidRPr="00A4404F">
        <w:t>as</w:t>
      </w:r>
      <w:r>
        <w:t xml:space="preserve"> </w:t>
      </w:r>
      <w:r w:rsidRPr="00A4404F">
        <w:t>at</w:t>
      </w:r>
      <w:r>
        <w:t xml:space="preserve"> </w:t>
      </w:r>
      <w:r w:rsidRPr="00A4404F">
        <w:t>30</w:t>
      </w:r>
      <w:r>
        <w:t xml:space="preserve"> </w:t>
      </w:r>
      <w:r w:rsidRPr="00A4404F">
        <w:t>June</w:t>
      </w:r>
      <w:r>
        <w:t xml:space="preserve"> </w:t>
      </w:r>
      <w:r w:rsidRPr="00A4404F">
        <w:t>2025</w:t>
      </w:r>
    </w:p>
    <w:p w14:paraId="5E6D00E6" w14:textId="11B3DFEB" w:rsidR="00856406" w:rsidRPr="00FF14A3" w:rsidRDefault="00EC1589" w:rsidP="00EC1589">
      <w:pPr>
        <w:pStyle w:val="Caption"/>
      </w:pPr>
      <w:bookmarkStart w:id="58" w:name="_Toc212562080"/>
      <w:r>
        <w:t xml:space="preserve">Table 13: </w:t>
      </w:r>
      <w:r w:rsidR="00856406" w:rsidRPr="00FF14A3">
        <w:t>Criminal prosecution</w:t>
      </w:r>
      <w:r w:rsidR="00C21B29">
        <w:t>s ongoing</w:t>
      </w:r>
      <w:bookmarkEnd w:id="58"/>
    </w:p>
    <w:tbl>
      <w:tblPr>
        <w:tblStyle w:val="TableGrid"/>
        <w:tblW w:w="9072" w:type="dxa"/>
        <w:tblLayout w:type="fixed"/>
        <w:tblLook w:val="06A0" w:firstRow="1" w:lastRow="0" w:firstColumn="1" w:lastColumn="0" w:noHBand="1" w:noVBand="1"/>
      </w:tblPr>
      <w:tblGrid>
        <w:gridCol w:w="3969"/>
        <w:gridCol w:w="5103"/>
      </w:tblGrid>
      <w:tr w:rsidR="00856406" w14:paraId="43EE8AB9" w14:textId="77777777" w:rsidTr="005B7969">
        <w:trPr>
          <w:cnfStyle w:val="100000000000" w:firstRow="1" w:lastRow="0" w:firstColumn="0" w:lastColumn="0" w:oddVBand="0" w:evenVBand="0" w:oddHBand="0" w:evenHBand="0" w:firstRowFirstColumn="0" w:firstRowLastColumn="0" w:lastRowFirstColumn="0" w:lastRowLastColumn="0"/>
          <w:trHeight w:val="300"/>
          <w:tblHeader/>
        </w:trPr>
        <w:tc>
          <w:tcPr>
            <w:tcW w:w="3969" w:type="dxa"/>
          </w:tcPr>
          <w:p w14:paraId="16C871EA" w14:textId="77777777" w:rsidR="00856406" w:rsidRDefault="00856406" w:rsidP="00FF14A3">
            <w:pPr>
              <w:pStyle w:val="TableColHead"/>
            </w:pPr>
            <w:r w:rsidRPr="632DB719">
              <w:t>Legislation</w:t>
            </w:r>
            <w:r>
              <w:t xml:space="preserve"> </w:t>
            </w:r>
          </w:p>
        </w:tc>
        <w:tc>
          <w:tcPr>
            <w:tcW w:w="5103" w:type="dxa"/>
          </w:tcPr>
          <w:p w14:paraId="22C6E93D" w14:textId="77777777" w:rsidR="00856406" w:rsidRDefault="00856406" w:rsidP="00FF14A3">
            <w:pPr>
              <w:pStyle w:val="TableColHead"/>
            </w:pPr>
            <w:r w:rsidRPr="632DB719">
              <w:t>Parties</w:t>
            </w:r>
            <w:r>
              <w:t xml:space="preserve"> </w:t>
            </w:r>
          </w:p>
        </w:tc>
      </w:tr>
      <w:tr w:rsidR="00856406" w14:paraId="4598E8E7" w14:textId="77777777" w:rsidTr="005B7969">
        <w:trPr>
          <w:trHeight w:val="300"/>
        </w:trPr>
        <w:tc>
          <w:tcPr>
            <w:tcW w:w="3969" w:type="dxa"/>
          </w:tcPr>
          <w:p w14:paraId="314CB293" w14:textId="77777777" w:rsidR="00856406" w:rsidRPr="00FF14A3" w:rsidRDefault="00856406" w:rsidP="00FF14A3">
            <w:pPr>
              <w:pStyle w:val="TableText"/>
              <w:rPr>
                <w:i/>
                <w:iCs/>
              </w:rPr>
            </w:pPr>
            <w:r w:rsidRPr="00FF14A3">
              <w:rPr>
                <w:i/>
                <w:iCs/>
              </w:rPr>
              <w:t>Estate Agents Act 1980</w:t>
            </w:r>
          </w:p>
        </w:tc>
        <w:tc>
          <w:tcPr>
            <w:tcW w:w="5103" w:type="dxa"/>
          </w:tcPr>
          <w:p w14:paraId="666B834C" w14:textId="77777777" w:rsidR="00856406" w:rsidRDefault="00856406" w:rsidP="00FF14A3">
            <w:pPr>
              <w:pStyle w:val="TableText"/>
            </w:pPr>
            <w:r w:rsidRPr="632DB719">
              <w:t>DCAV</w:t>
            </w:r>
            <w:r>
              <w:t xml:space="preserve"> </w:t>
            </w:r>
            <w:r w:rsidRPr="632DB719">
              <w:t>v</w:t>
            </w:r>
            <w:r>
              <w:t xml:space="preserve"> </w:t>
            </w:r>
            <w:r w:rsidRPr="632DB719">
              <w:t>Mark</w:t>
            </w:r>
            <w:r>
              <w:t xml:space="preserve"> </w:t>
            </w:r>
            <w:r w:rsidRPr="632DB719">
              <w:t>Reuben</w:t>
            </w:r>
            <w:r>
              <w:t xml:space="preserve"> </w:t>
            </w:r>
            <w:r w:rsidRPr="632DB719">
              <w:t>&amp;</w:t>
            </w:r>
            <w:r>
              <w:t xml:space="preserve"> </w:t>
            </w:r>
            <w:r w:rsidRPr="632DB719">
              <w:t>Reuben</w:t>
            </w:r>
            <w:r>
              <w:t xml:space="preserve"> </w:t>
            </w:r>
            <w:r w:rsidRPr="632DB719">
              <w:t>Family</w:t>
            </w:r>
            <w:r>
              <w:t xml:space="preserve"> </w:t>
            </w:r>
            <w:r w:rsidRPr="632DB719">
              <w:t>Pty</w:t>
            </w:r>
            <w:r>
              <w:t xml:space="preserve"> </w:t>
            </w:r>
            <w:r w:rsidRPr="632DB719">
              <w:t>Ltd</w:t>
            </w:r>
            <w:r>
              <w:t xml:space="preserve"> </w:t>
            </w:r>
          </w:p>
        </w:tc>
      </w:tr>
      <w:tr w:rsidR="00856406" w14:paraId="1B4DC134" w14:textId="77777777" w:rsidTr="005B7969">
        <w:trPr>
          <w:trHeight w:val="300"/>
        </w:trPr>
        <w:tc>
          <w:tcPr>
            <w:tcW w:w="3969" w:type="dxa"/>
          </w:tcPr>
          <w:p w14:paraId="162BCE25" w14:textId="77777777" w:rsidR="00856406" w:rsidRPr="00FF14A3" w:rsidRDefault="00856406" w:rsidP="00FF14A3">
            <w:pPr>
              <w:pStyle w:val="TableText"/>
              <w:rPr>
                <w:i/>
                <w:iCs/>
              </w:rPr>
            </w:pPr>
            <w:r w:rsidRPr="00FF14A3">
              <w:rPr>
                <w:i/>
                <w:iCs/>
              </w:rPr>
              <w:t>Estate Agents Act 1980</w:t>
            </w:r>
          </w:p>
        </w:tc>
        <w:tc>
          <w:tcPr>
            <w:tcW w:w="5103" w:type="dxa"/>
          </w:tcPr>
          <w:p w14:paraId="29902E52" w14:textId="77777777" w:rsidR="00856406" w:rsidRDefault="00856406" w:rsidP="00FF14A3">
            <w:pPr>
              <w:pStyle w:val="TableText"/>
            </w:pPr>
            <w:r w:rsidRPr="632DB719">
              <w:t>DCAV</w:t>
            </w:r>
            <w:r>
              <w:t xml:space="preserve"> </w:t>
            </w:r>
            <w:r w:rsidRPr="632DB719">
              <w:t>v</w:t>
            </w:r>
            <w:r>
              <w:t xml:space="preserve"> </w:t>
            </w:r>
            <w:r w:rsidRPr="632DB719">
              <w:t>Daniela</w:t>
            </w:r>
            <w:r>
              <w:t xml:space="preserve"> </w:t>
            </w:r>
            <w:r w:rsidRPr="632DB719">
              <w:t>Vella</w:t>
            </w:r>
            <w:r>
              <w:t xml:space="preserve"> </w:t>
            </w:r>
            <w:r w:rsidRPr="632DB719">
              <w:t>&amp;</w:t>
            </w:r>
            <w:r>
              <w:t xml:space="preserve"> </w:t>
            </w:r>
            <w:r w:rsidRPr="632DB719">
              <w:t>Harrison</w:t>
            </w:r>
            <w:r>
              <w:t xml:space="preserve"> </w:t>
            </w:r>
            <w:r w:rsidRPr="632DB719">
              <w:t>Parker</w:t>
            </w:r>
            <w:r>
              <w:t xml:space="preserve"> </w:t>
            </w:r>
            <w:r w:rsidRPr="632DB719">
              <w:t>Real</w:t>
            </w:r>
            <w:r>
              <w:t xml:space="preserve"> </w:t>
            </w:r>
            <w:r w:rsidRPr="632DB719">
              <w:t>Estate</w:t>
            </w:r>
            <w:r>
              <w:t xml:space="preserve"> </w:t>
            </w:r>
          </w:p>
        </w:tc>
      </w:tr>
      <w:tr w:rsidR="00856406" w14:paraId="693D21A4" w14:textId="77777777" w:rsidTr="005B7969">
        <w:trPr>
          <w:trHeight w:val="300"/>
        </w:trPr>
        <w:tc>
          <w:tcPr>
            <w:tcW w:w="3969" w:type="dxa"/>
          </w:tcPr>
          <w:p w14:paraId="10F9B153" w14:textId="77777777" w:rsidR="00856406" w:rsidRPr="00FF14A3" w:rsidRDefault="00856406" w:rsidP="00FF14A3">
            <w:pPr>
              <w:pStyle w:val="TableText"/>
              <w:rPr>
                <w:i/>
                <w:iCs/>
              </w:rPr>
            </w:pPr>
            <w:r w:rsidRPr="00FF14A3">
              <w:rPr>
                <w:i/>
                <w:iCs/>
              </w:rPr>
              <w:t>Estate Agents Act 1980</w:t>
            </w:r>
          </w:p>
        </w:tc>
        <w:tc>
          <w:tcPr>
            <w:tcW w:w="5103" w:type="dxa"/>
          </w:tcPr>
          <w:p w14:paraId="561470ED" w14:textId="77777777" w:rsidR="00856406" w:rsidRDefault="00856406" w:rsidP="00FF14A3">
            <w:pPr>
              <w:pStyle w:val="TableText"/>
            </w:pPr>
            <w:r w:rsidRPr="632DB719">
              <w:t>DCAV</w:t>
            </w:r>
            <w:r>
              <w:t xml:space="preserve"> </w:t>
            </w:r>
            <w:r w:rsidRPr="632DB719">
              <w:t>v</w:t>
            </w:r>
            <w:r>
              <w:t xml:space="preserve"> </w:t>
            </w:r>
            <w:r w:rsidRPr="632DB719">
              <w:t>Syed</w:t>
            </w:r>
            <w:r>
              <w:t xml:space="preserve"> </w:t>
            </w:r>
            <w:r w:rsidRPr="632DB719">
              <w:t>Zafar</w:t>
            </w:r>
          </w:p>
        </w:tc>
      </w:tr>
      <w:tr w:rsidR="00856406" w14:paraId="3778669E" w14:textId="77777777" w:rsidTr="005B7969">
        <w:trPr>
          <w:trHeight w:val="300"/>
        </w:trPr>
        <w:tc>
          <w:tcPr>
            <w:tcW w:w="3969" w:type="dxa"/>
          </w:tcPr>
          <w:p w14:paraId="69407FD8" w14:textId="77777777" w:rsidR="00856406" w:rsidRPr="00FF14A3" w:rsidRDefault="00856406" w:rsidP="00FF14A3">
            <w:pPr>
              <w:pStyle w:val="TableText"/>
              <w:rPr>
                <w:i/>
                <w:iCs/>
              </w:rPr>
            </w:pPr>
            <w:r w:rsidRPr="00FF14A3">
              <w:rPr>
                <w:i/>
                <w:iCs/>
              </w:rPr>
              <w:t>Retirement Villages Act 1986</w:t>
            </w:r>
          </w:p>
        </w:tc>
        <w:tc>
          <w:tcPr>
            <w:tcW w:w="5103" w:type="dxa"/>
          </w:tcPr>
          <w:p w14:paraId="6A75778E" w14:textId="77777777" w:rsidR="00856406" w:rsidRDefault="00856406" w:rsidP="00FF14A3">
            <w:pPr>
              <w:pStyle w:val="TableText"/>
            </w:pPr>
            <w:r w:rsidRPr="632DB719">
              <w:t>DCAV</w:t>
            </w:r>
            <w:r>
              <w:t xml:space="preserve"> </w:t>
            </w:r>
            <w:r w:rsidRPr="632DB719">
              <w:t>v</w:t>
            </w:r>
            <w:r>
              <w:t xml:space="preserve"> </w:t>
            </w:r>
            <w:r w:rsidRPr="632DB719">
              <w:t>Paparone</w:t>
            </w:r>
            <w:r>
              <w:t xml:space="preserve"> </w:t>
            </w:r>
            <w:r w:rsidRPr="632DB719">
              <w:t>Nominees</w:t>
            </w:r>
            <w:r>
              <w:t xml:space="preserve"> </w:t>
            </w:r>
            <w:r w:rsidRPr="632DB719">
              <w:t>&amp;</w:t>
            </w:r>
            <w:r>
              <w:t xml:space="preserve"> </w:t>
            </w:r>
            <w:r w:rsidRPr="632DB719">
              <w:t>Ors</w:t>
            </w:r>
          </w:p>
        </w:tc>
      </w:tr>
      <w:tr w:rsidR="00856406" w14:paraId="7E1DCD4D" w14:textId="77777777" w:rsidTr="005B7969">
        <w:trPr>
          <w:trHeight w:val="300"/>
        </w:trPr>
        <w:tc>
          <w:tcPr>
            <w:tcW w:w="3969" w:type="dxa"/>
          </w:tcPr>
          <w:p w14:paraId="210581AF" w14:textId="77777777" w:rsidR="00856406" w:rsidRPr="00FF14A3" w:rsidRDefault="00856406" w:rsidP="00FF14A3">
            <w:pPr>
              <w:pStyle w:val="TableText"/>
              <w:rPr>
                <w:i/>
                <w:iCs/>
              </w:rPr>
            </w:pPr>
            <w:r w:rsidRPr="00FF14A3">
              <w:rPr>
                <w:i/>
                <w:iCs/>
              </w:rPr>
              <w:t>Motor Car Traders Act 1986</w:t>
            </w:r>
          </w:p>
        </w:tc>
        <w:tc>
          <w:tcPr>
            <w:tcW w:w="5103" w:type="dxa"/>
          </w:tcPr>
          <w:p w14:paraId="6B4CD895" w14:textId="77777777" w:rsidR="00856406" w:rsidRDefault="00856406" w:rsidP="00FF14A3">
            <w:pPr>
              <w:pStyle w:val="TableText"/>
            </w:pPr>
            <w:r w:rsidRPr="632DB719">
              <w:t>DCAV</w:t>
            </w:r>
            <w:r>
              <w:t xml:space="preserve"> </w:t>
            </w:r>
            <w:r w:rsidRPr="632DB719">
              <w:t>v</w:t>
            </w:r>
            <w:r>
              <w:t xml:space="preserve"> </w:t>
            </w:r>
            <w:r w:rsidRPr="632DB719">
              <w:t>Zequn</w:t>
            </w:r>
            <w:r>
              <w:t xml:space="preserve"> </w:t>
            </w:r>
            <w:r w:rsidRPr="632DB719">
              <w:t>Wang</w:t>
            </w:r>
            <w:r>
              <w:t xml:space="preserve"> </w:t>
            </w:r>
          </w:p>
        </w:tc>
      </w:tr>
      <w:tr w:rsidR="00856406" w14:paraId="255693C5" w14:textId="77777777" w:rsidTr="005B7969">
        <w:trPr>
          <w:trHeight w:val="30"/>
        </w:trPr>
        <w:tc>
          <w:tcPr>
            <w:tcW w:w="3969" w:type="dxa"/>
          </w:tcPr>
          <w:p w14:paraId="585A08DE" w14:textId="77777777" w:rsidR="00856406" w:rsidRPr="00FF14A3" w:rsidRDefault="00856406" w:rsidP="00FF14A3">
            <w:pPr>
              <w:pStyle w:val="TableText"/>
              <w:rPr>
                <w:i/>
                <w:iCs/>
              </w:rPr>
            </w:pPr>
            <w:r w:rsidRPr="00FF14A3">
              <w:rPr>
                <w:i/>
                <w:iCs/>
              </w:rPr>
              <w:t>Residential Tenancies Act 1997</w:t>
            </w:r>
          </w:p>
        </w:tc>
        <w:tc>
          <w:tcPr>
            <w:tcW w:w="5103" w:type="dxa"/>
          </w:tcPr>
          <w:p w14:paraId="11131D45" w14:textId="77777777" w:rsidR="00856406" w:rsidRDefault="00856406" w:rsidP="00FF14A3">
            <w:pPr>
              <w:pStyle w:val="TableText"/>
            </w:pPr>
            <w:r w:rsidRPr="632DB719">
              <w:t>DCAV</w:t>
            </w:r>
            <w:r>
              <w:t xml:space="preserve"> </w:t>
            </w:r>
            <w:r w:rsidRPr="632DB719">
              <w:t>v</w:t>
            </w:r>
            <w:r>
              <w:t xml:space="preserve"> </w:t>
            </w:r>
            <w:r w:rsidRPr="632DB719">
              <w:t>AAM</w:t>
            </w:r>
            <w:r>
              <w:t xml:space="preserve"> </w:t>
            </w:r>
            <w:r w:rsidRPr="632DB719">
              <w:t>Realtor</w:t>
            </w:r>
            <w:r>
              <w:t xml:space="preserve"> </w:t>
            </w:r>
            <w:r w:rsidRPr="632DB719">
              <w:t>Pty</w:t>
            </w:r>
            <w:r>
              <w:t xml:space="preserve"> </w:t>
            </w:r>
            <w:r w:rsidRPr="632DB719">
              <w:t>Ltd</w:t>
            </w:r>
          </w:p>
        </w:tc>
      </w:tr>
      <w:tr w:rsidR="00856406" w14:paraId="5D98A5EC" w14:textId="77777777" w:rsidTr="005B7969">
        <w:trPr>
          <w:trHeight w:val="30"/>
        </w:trPr>
        <w:tc>
          <w:tcPr>
            <w:tcW w:w="3969" w:type="dxa"/>
          </w:tcPr>
          <w:p w14:paraId="056FACC9" w14:textId="77777777" w:rsidR="00856406" w:rsidRPr="00FF14A3" w:rsidRDefault="00856406" w:rsidP="00FF14A3">
            <w:pPr>
              <w:pStyle w:val="TableText"/>
              <w:rPr>
                <w:i/>
                <w:iCs/>
              </w:rPr>
            </w:pPr>
            <w:r w:rsidRPr="00FF14A3">
              <w:rPr>
                <w:i/>
                <w:iCs/>
              </w:rPr>
              <w:t>Residential Tenancies Act 1997</w:t>
            </w:r>
          </w:p>
        </w:tc>
        <w:tc>
          <w:tcPr>
            <w:tcW w:w="5103" w:type="dxa"/>
          </w:tcPr>
          <w:p w14:paraId="284441AF" w14:textId="77777777" w:rsidR="00856406" w:rsidRDefault="00856406" w:rsidP="00FF14A3">
            <w:pPr>
              <w:pStyle w:val="TableText"/>
            </w:pPr>
            <w:r w:rsidRPr="632DB719">
              <w:t>DCAV</w:t>
            </w:r>
            <w:r>
              <w:t xml:space="preserve"> </w:t>
            </w:r>
            <w:r w:rsidRPr="632DB719">
              <w:t>v</w:t>
            </w:r>
            <w:r>
              <w:t xml:space="preserve"> </w:t>
            </w:r>
            <w:r w:rsidRPr="632DB719">
              <w:t>Wyndham</w:t>
            </w:r>
            <w:r>
              <w:t xml:space="preserve"> </w:t>
            </w:r>
            <w:r w:rsidRPr="632DB719">
              <w:t>Realty</w:t>
            </w:r>
            <w:r>
              <w:t xml:space="preserve"> </w:t>
            </w:r>
            <w:r w:rsidRPr="632DB719">
              <w:t>Pty</w:t>
            </w:r>
            <w:r>
              <w:t xml:space="preserve"> </w:t>
            </w:r>
            <w:r w:rsidRPr="632DB719">
              <w:t>Ltd</w:t>
            </w:r>
          </w:p>
        </w:tc>
      </w:tr>
      <w:tr w:rsidR="00856406" w14:paraId="059DA149" w14:textId="77777777" w:rsidTr="005B7969">
        <w:trPr>
          <w:trHeight w:val="30"/>
        </w:trPr>
        <w:tc>
          <w:tcPr>
            <w:tcW w:w="3969" w:type="dxa"/>
          </w:tcPr>
          <w:p w14:paraId="44223649" w14:textId="77777777" w:rsidR="00856406" w:rsidRPr="00FF14A3" w:rsidRDefault="00856406" w:rsidP="00FF14A3">
            <w:pPr>
              <w:pStyle w:val="TableText"/>
              <w:rPr>
                <w:i/>
                <w:iCs/>
              </w:rPr>
            </w:pPr>
            <w:r w:rsidRPr="00FF14A3">
              <w:rPr>
                <w:i/>
                <w:iCs/>
              </w:rPr>
              <w:t>Residential Tenancies Act 1997</w:t>
            </w:r>
          </w:p>
        </w:tc>
        <w:tc>
          <w:tcPr>
            <w:tcW w:w="5103" w:type="dxa"/>
          </w:tcPr>
          <w:p w14:paraId="6F896968" w14:textId="77777777" w:rsidR="00856406" w:rsidRDefault="00856406" w:rsidP="00FF14A3">
            <w:pPr>
              <w:pStyle w:val="TableText"/>
            </w:pPr>
            <w:r w:rsidRPr="632DB719">
              <w:t>DCAV</w:t>
            </w:r>
            <w:r>
              <w:t xml:space="preserve"> </w:t>
            </w:r>
            <w:r w:rsidRPr="632DB719">
              <w:t>v</w:t>
            </w:r>
            <w:r>
              <w:t xml:space="preserve"> </w:t>
            </w:r>
            <w:r w:rsidRPr="632DB719">
              <w:t>White</w:t>
            </w:r>
            <w:r>
              <w:t xml:space="preserve"> </w:t>
            </w:r>
            <w:r w:rsidRPr="632DB719">
              <w:t>Lotus</w:t>
            </w:r>
            <w:r>
              <w:t xml:space="preserve"> </w:t>
            </w:r>
            <w:r w:rsidRPr="632DB719">
              <w:t>Group</w:t>
            </w:r>
            <w:r>
              <w:t xml:space="preserve"> </w:t>
            </w:r>
            <w:r w:rsidRPr="632DB719">
              <w:t>Pty</w:t>
            </w:r>
            <w:r>
              <w:t xml:space="preserve"> </w:t>
            </w:r>
            <w:r w:rsidRPr="632DB719">
              <w:t>Ltd</w:t>
            </w:r>
          </w:p>
        </w:tc>
      </w:tr>
      <w:tr w:rsidR="00856406" w14:paraId="2ECB4CF9" w14:textId="77777777" w:rsidTr="005B7969">
        <w:trPr>
          <w:trHeight w:val="30"/>
        </w:trPr>
        <w:tc>
          <w:tcPr>
            <w:tcW w:w="3969" w:type="dxa"/>
          </w:tcPr>
          <w:p w14:paraId="0B413395" w14:textId="77777777" w:rsidR="00856406" w:rsidRPr="00FF14A3" w:rsidRDefault="00856406" w:rsidP="00FF14A3">
            <w:pPr>
              <w:pStyle w:val="TableText"/>
              <w:rPr>
                <w:i/>
                <w:iCs/>
              </w:rPr>
            </w:pPr>
            <w:r w:rsidRPr="00FF14A3">
              <w:rPr>
                <w:i/>
                <w:iCs/>
              </w:rPr>
              <w:t>Residential Tenancies Act 1997</w:t>
            </w:r>
          </w:p>
        </w:tc>
        <w:tc>
          <w:tcPr>
            <w:tcW w:w="5103" w:type="dxa"/>
          </w:tcPr>
          <w:p w14:paraId="5F64883C" w14:textId="77777777" w:rsidR="00856406" w:rsidRDefault="00856406" w:rsidP="00FF14A3">
            <w:pPr>
              <w:pStyle w:val="TableText"/>
            </w:pPr>
            <w:r w:rsidRPr="632DB719">
              <w:t>DCAV</w:t>
            </w:r>
            <w:r>
              <w:t xml:space="preserve"> </w:t>
            </w:r>
            <w:r w:rsidRPr="632DB719">
              <w:t>v</w:t>
            </w:r>
            <w:r>
              <w:t xml:space="preserve"> </w:t>
            </w:r>
            <w:r w:rsidRPr="632DB719">
              <w:t>YouSales</w:t>
            </w:r>
            <w:r>
              <w:t xml:space="preserve"> </w:t>
            </w:r>
            <w:r w:rsidRPr="632DB719">
              <w:t>Pty</w:t>
            </w:r>
            <w:r>
              <w:t xml:space="preserve"> </w:t>
            </w:r>
            <w:r w:rsidRPr="632DB719">
              <w:t>Ltd</w:t>
            </w:r>
          </w:p>
        </w:tc>
      </w:tr>
      <w:tr w:rsidR="00856406" w14:paraId="6C4595E0" w14:textId="77777777" w:rsidTr="005B7969">
        <w:trPr>
          <w:trHeight w:val="30"/>
        </w:trPr>
        <w:tc>
          <w:tcPr>
            <w:tcW w:w="3969" w:type="dxa"/>
          </w:tcPr>
          <w:p w14:paraId="4854CADE" w14:textId="77777777" w:rsidR="00856406" w:rsidRPr="00FF14A3" w:rsidRDefault="00856406" w:rsidP="00FF14A3">
            <w:pPr>
              <w:pStyle w:val="TableText"/>
              <w:rPr>
                <w:i/>
                <w:iCs/>
              </w:rPr>
            </w:pPr>
            <w:r w:rsidRPr="00FF14A3">
              <w:rPr>
                <w:i/>
                <w:iCs/>
              </w:rPr>
              <w:t>Residential Tenancies Act 1997</w:t>
            </w:r>
          </w:p>
        </w:tc>
        <w:tc>
          <w:tcPr>
            <w:tcW w:w="5103" w:type="dxa"/>
          </w:tcPr>
          <w:p w14:paraId="77F77B64" w14:textId="77777777" w:rsidR="00856406" w:rsidRDefault="00856406" w:rsidP="00FF14A3">
            <w:pPr>
              <w:pStyle w:val="TableText"/>
            </w:pPr>
            <w:r w:rsidRPr="632DB719">
              <w:t>Smart</w:t>
            </w:r>
            <w:r>
              <w:t xml:space="preserve"> </w:t>
            </w:r>
            <w:r w:rsidRPr="632DB719">
              <w:t>Six</w:t>
            </w:r>
            <w:r>
              <w:t xml:space="preserve"> </w:t>
            </w:r>
            <w:r w:rsidRPr="632DB719">
              <w:t>Corporation</w:t>
            </w:r>
            <w:r>
              <w:t xml:space="preserve"> </w:t>
            </w:r>
            <w:r w:rsidRPr="632DB719">
              <w:t>Pty</w:t>
            </w:r>
            <w:r>
              <w:t xml:space="preserve"> </w:t>
            </w:r>
            <w:r w:rsidRPr="632DB719">
              <w:t>Ltd</w:t>
            </w:r>
          </w:p>
        </w:tc>
      </w:tr>
      <w:tr w:rsidR="00856406" w14:paraId="460CFE4F" w14:textId="77777777" w:rsidTr="005B7969">
        <w:trPr>
          <w:trHeight w:val="30"/>
        </w:trPr>
        <w:tc>
          <w:tcPr>
            <w:tcW w:w="3969" w:type="dxa"/>
          </w:tcPr>
          <w:p w14:paraId="4493979A" w14:textId="77777777" w:rsidR="00856406" w:rsidRPr="00FF14A3" w:rsidRDefault="00856406" w:rsidP="00FF14A3">
            <w:pPr>
              <w:pStyle w:val="TableText"/>
              <w:rPr>
                <w:i/>
                <w:iCs/>
              </w:rPr>
            </w:pPr>
            <w:r w:rsidRPr="00FF14A3">
              <w:rPr>
                <w:i/>
                <w:iCs/>
              </w:rPr>
              <w:t>Domestic Building Contracts Act 1995, Australian Consumer Law and Fair Trading Act 2012</w:t>
            </w:r>
          </w:p>
        </w:tc>
        <w:tc>
          <w:tcPr>
            <w:tcW w:w="5103" w:type="dxa"/>
          </w:tcPr>
          <w:p w14:paraId="6D2BD811" w14:textId="77777777" w:rsidR="00856406" w:rsidRDefault="00856406" w:rsidP="00FF14A3">
            <w:pPr>
              <w:pStyle w:val="TableText"/>
            </w:pPr>
            <w:r w:rsidRPr="632DB719">
              <w:t>DCAV</w:t>
            </w:r>
            <w:r>
              <w:t xml:space="preserve"> </w:t>
            </w:r>
            <w:r w:rsidRPr="632DB719">
              <w:t>v</w:t>
            </w:r>
            <w:r>
              <w:t xml:space="preserve"> </w:t>
            </w:r>
            <w:r w:rsidRPr="632DB719">
              <w:t>Austin</w:t>
            </w:r>
            <w:r>
              <w:t xml:space="preserve"> </w:t>
            </w:r>
            <w:r w:rsidRPr="632DB719">
              <w:t>Bongart</w:t>
            </w:r>
          </w:p>
        </w:tc>
      </w:tr>
      <w:tr w:rsidR="00856406" w14:paraId="59348D00" w14:textId="77777777" w:rsidTr="005B7969">
        <w:trPr>
          <w:trHeight w:val="30"/>
        </w:trPr>
        <w:tc>
          <w:tcPr>
            <w:tcW w:w="3969" w:type="dxa"/>
          </w:tcPr>
          <w:p w14:paraId="7B84F988"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3765D8A2" w14:textId="77777777" w:rsidR="00856406" w:rsidRDefault="00856406" w:rsidP="00FF14A3">
            <w:pPr>
              <w:pStyle w:val="TableText"/>
            </w:pPr>
            <w:r w:rsidRPr="632DB719">
              <w:t>DCAV</w:t>
            </w:r>
            <w:r>
              <w:t xml:space="preserve"> </w:t>
            </w:r>
            <w:r w:rsidRPr="632DB719">
              <w:t>v</w:t>
            </w:r>
            <w:r>
              <w:t xml:space="preserve"> </w:t>
            </w:r>
            <w:r w:rsidRPr="632DB719">
              <w:t>Daniel</w:t>
            </w:r>
            <w:r>
              <w:t xml:space="preserve"> </w:t>
            </w:r>
            <w:r w:rsidRPr="632DB719">
              <w:t>Wilde</w:t>
            </w:r>
            <w:r>
              <w:t xml:space="preserve"> </w:t>
            </w:r>
            <w:r w:rsidRPr="632DB719">
              <w:t>&amp;</w:t>
            </w:r>
            <w:r>
              <w:t xml:space="preserve"> </w:t>
            </w:r>
            <w:r w:rsidRPr="632DB719">
              <w:t>Torqueline</w:t>
            </w:r>
            <w:r>
              <w:t xml:space="preserve"> </w:t>
            </w:r>
            <w:r w:rsidRPr="632DB719">
              <w:t>Garage</w:t>
            </w:r>
            <w:r>
              <w:t xml:space="preserve"> </w:t>
            </w:r>
            <w:r w:rsidRPr="632DB719">
              <w:t>Pty</w:t>
            </w:r>
            <w:r>
              <w:t xml:space="preserve"> </w:t>
            </w:r>
            <w:r w:rsidRPr="632DB719">
              <w:t>Ltd</w:t>
            </w:r>
          </w:p>
        </w:tc>
      </w:tr>
      <w:tr w:rsidR="00856406" w14:paraId="4EE09F6D" w14:textId="77777777" w:rsidTr="005B7969">
        <w:trPr>
          <w:trHeight w:val="30"/>
        </w:trPr>
        <w:tc>
          <w:tcPr>
            <w:tcW w:w="3969" w:type="dxa"/>
          </w:tcPr>
          <w:p w14:paraId="50122426"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630195E7" w14:textId="77777777" w:rsidR="00856406" w:rsidRDefault="00856406" w:rsidP="00FF14A3">
            <w:pPr>
              <w:pStyle w:val="TableText"/>
            </w:pPr>
            <w:r w:rsidRPr="632DB719">
              <w:t>DCAV</w:t>
            </w:r>
            <w:r>
              <w:t xml:space="preserve"> </w:t>
            </w:r>
            <w:r w:rsidRPr="632DB719">
              <w:t>v</w:t>
            </w:r>
            <w:r>
              <w:t xml:space="preserve"> </w:t>
            </w:r>
            <w:r w:rsidRPr="632DB719">
              <w:t>Spencer</w:t>
            </w:r>
            <w:r>
              <w:t xml:space="preserve"> </w:t>
            </w:r>
            <w:r w:rsidRPr="632DB719">
              <w:t>Porter</w:t>
            </w:r>
          </w:p>
        </w:tc>
      </w:tr>
      <w:tr w:rsidR="00856406" w14:paraId="7D55A96F" w14:textId="77777777" w:rsidTr="005B7969">
        <w:trPr>
          <w:trHeight w:val="30"/>
        </w:trPr>
        <w:tc>
          <w:tcPr>
            <w:tcW w:w="3969" w:type="dxa"/>
          </w:tcPr>
          <w:p w14:paraId="1A50F0A4"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2E2C8777" w14:textId="78C88427" w:rsidR="00856406" w:rsidRDefault="00856406" w:rsidP="00FF14A3">
            <w:pPr>
              <w:pStyle w:val="TableText"/>
            </w:pPr>
            <w:r w:rsidRPr="632DB719">
              <w:t>DCAV</w:t>
            </w:r>
            <w:r>
              <w:t xml:space="preserve"> </w:t>
            </w:r>
            <w:r w:rsidRPr="632DB719">
              <w:t>v</w:t>
            </w:r>
            <w:r>
              <w:t xml:space="preserve"> </w:t>
            </w:r>
            <w:r w:rsidRPr="632DB719">
              <w:t>Panthera</w:t>
            </w:r>
            <w:r>
              <w:t xml:space="preserve"> </w:t>
            </w:r>
            <w:r w:rsidRPr="632DB719">
              <w:t>Finance</w:t>
            </w:r>
            <w:r w:rsidR="005D7412">
              <w:t xml:space="preserve"> </w:t>
            </w:r>
            <w:r w:rsidRPr="632DB719">
              <w:t>&amp;</w:t>
            </w:r>
            <w:r>
              <w:t xml:space="preserve"> </w:t>
            </w:r>
            <w:r w:rsidRPr="632DB719">
              <w:t>DCAV</w:t>
            </w:r>
            <w:r>
              <w:t xml:space="preserve"> </w:t>
            </w:r>
            <w:r w:rsidRPr="632DB719">
              <w:t>v</w:t>
            </w:r>
            <w:r>
              <w:t xml:space="preserve"> </w:t>
            </w:r>
            <w:r w:rsidRPr="632DB719">
              <w:t>Panthera</w:t>
            </w:r>
            <w:r>
              <w:t xml:space="preserve"> </w:t>
            </w:r>
            <w:r w:rsidRPr="632DB719">
              <w:t>Finance</w:t>
            </w:r>
            <w:r>
              <w:t xml:space="preserve"> </w:t>
            </w:r>
            <w:r w:rsidRPr="632DB719">
              <w:t>(Directors)</w:t>
            </w:r>
          </w:p>
        </w:tc>
      </w:tr>
      <w:tr w:rsidR="00856406" w14:paraId="1AE060F1" w14:textId="77777777" w:rsidTr="005B7969">
        <w:trPr>
          <w:trHeight w:val="30"/>
        </w:trPr>
        <w:tc>
          <w:tcPr>
            <w:tcW w:w="3969" w:type="dxa"/>
          </w:tcPr>
          <w:p w14:paraId="5A51F2EC" w14:textId="77777777" w:rsidR="00856406" w:rsidRPr="00FF14A3" w:rsidRDefault="00856406" w:rsidP="00FF14A3">
            <w:pPr>
              <w:pStyle w:val="TableText"/>
              <w:rPr>
                <w:i/>
                <w:iCs/>
              </w:rPr>
            </w:pPr>
            <w:r w:rsidRPr="00FF14A3">
              <w:rPr>
                <w:i/>
                <w:iCs/>
              </w:rPr>
              <w:t>Australian Consumer Law and Fair Trading Act 2012</w:t>
            </w:r>
          </w:p>
        </w:tc>
        <w:tc>
          <w:tcPr>
            <w:tcW w:w="5103" w:type="dxa"/>
          </w:tcPr>
          <w:p w14:paraId="14E11B48" w14:textId="77777777" w:rsidR="00856406" w:rsidRDefault="00856406" w:rsidP="00FF14A3">
            <w:pPr>
              <w:pStyle w:val="TableText"/>
            </w:pPr>
            <w:r w:rsidRPr="632DB719">
              <w:t>DCAV</w:t>
            </w:r>
            <w:r>
              <w:t xml:space="preserve"> </w:t>
            </w:r>
            <w:r w:rsidRPr="632DB719">
              <w:t>v</w:t>
            </w:r>
            <w:r>
              <w:t xml:space="preserve"> </w:t>
            </w:r>
            <w:r w:rsidRPr="632DB719">
              <w:t>Ben</w:t>
            </w:r>
            <w:r>
              <w:t xml:space="preserve"> </w:t>
            </w:r>
            <w:r w:rsidRPr="632DB719">
              <w:t>Purchase</w:t>
            </w:r>
          </w:p>
        </w:tc>
      </w:tr>
      <w:tr w:rsidR="00856406" w14:paraId="57BC31B6" w14:textId="77777777" w:rsidTr="005B7969">
        <w:trPr>
          <w:trHeight w:val="30"/>
        </w:trPr>
        <w:tc>
          <w:tcPr>
            <w:tcW w:w="3969" w:type="dxa"/>
          </w:tcPr>
          <w:p w14:paraId="2CF3B17A" w14:textId="77777777" w:rsidR="00856406" w:rsidRPr="00FF14A3" w:rsidRDefault="00856406" w:rsidP="00FF14A3">
            <w:pPr>
              <w:pStyle w:val="TableText"/>
              <w:rPr>
                <w:i/>
                <w:iCs/>
              </w:rPr>
            </w:pPr>
            <w:r w:rsidRPr="00FF14A3">
              <w:rPr>
                <w:i/>
                <w:iCs/>
              </w:rPr>
              <w:t>Residential Tenancies Act 1997, Rooming House Operators Act 2016</w:t>
            </w:r>
          </w:p>
        </w:tc>
        <w:tc>
          <w:tcPr>
            <w:tcW w:w="5103" w:type="dxa"/>
          </w:tcPr>
          <w:p w14:paraId="1BEC6A71" w14:textId="77777777" w:rsidR="00856406" w:rsidRDefault="00856406" w:rsidP="00FF14A3">
            <w:pPr>
              <w:pStyle w:val="TableText"/>
            </w:pPr>
            <w:r w:rsidRPr="632DB719">
              <w:t>DCAV</w:t>
            </w:r>
            <w:r>
              <w:t xml:space="preserve"> </w:t>
            </w:r>
            <w:r w:rsidRPr="632DB719">
              <w:t>v</w:t>
            </w:r>
            <w:r>
              <w:t xml:space="preserve"> </w:t>
            </w:r>
            <w:r w:rsidRPr="632DB719">
              <w:t>Susan</w:t>
            </w:r>
            <w:r>
              <w:t xml:space="preserve"> </w:t>
            </w:r>
            <w:r w:rsidRPr="632DB719">
              <w:t>Trinh</w:t>
            </w:r>
            <w:r>
              <w:t xml:space="preserve"> </w:t>
            </w:r>
            <w:r w:rsidRPr="632DB719">
              <w:t>and</w:t>
            </w:r>
            <w:r>
              <w:t xml:space="preserve"> </w:t>
            </w:r>
            <w:r w:rsidRPr="632DB719">
              <w:t>Impactz</w:t>
            </w:r>
            <w:r>
              <w:t xml:space="preserve"> </w:t>
            </w:r>
            <w:r w:rsidRPr="632DB719">
              <w:t>Pty</w:t>
            </w:r>
            <w:r>
              <w:t xml:space="preserve"> </w:t>
            </w:r>
            <w:r w:rsidRPr="632DB719">
              <w:t>Ltd</w:t>
            </w:r>
          </w:p>
        </w:tc>
      </w:tr>
    </w:tbl>
    <w:p w14:paraId="21373885" w14:textId="77777777" w:rsidR="00A02E61" w:rsidRPr="00A02E61" w:rsidRDefault="00A02E61" w:rsidP="00A02E61">
      <w:pPr>
        <w:pStyle w:val="BodyText"/>
      </w:pPr>
      <w:r w:rsidRPr="00A02E61">
        <w:br w:type="page"/>
      </w:r>
    </w:p>
    <w:p w14:paraId="69CC09F4" w14:textId="3F6164B8" w:rsidR="00856406" w:rsidRPr="00FF14A3" w:rsidRDefault="00D148FC" w:rsidP="00D148FC">
      <w:pPr>
        <w:pStyle w:val="Caption"/>
      </w:pPr>
      <w:bookmarkStart w:id="59" w:name="_Toc212562081"/>
      <w:r>
        <w:t xml:space="preserve">Table 14: </w:t>
      </w:r>
      <w:r w:rsidR="00856406" w:rsidRPr="00FF14A3">
        <w:t>Civil proceedings</w:t>
      </w:r>
      <w:r w:rsidR="00DC3B96">
        <w:t xml:space="preserve"> ongoing</w:t>
      </w:r>
      <w:r w:rsidR="00856406" w:rsidRPr="00FF14A3">
        <w:t xml:space="preserve"> (including disciplinary inquir</w:t>
      </w:r>
      <w:r w:rsidR="00DC3B96">
        <w:t>ies</w:t>
      </w:r>
      <w:r w:rsidR="00856406" w:rsidRPr="00FF14A3">
        <w:t>)</w:t>
      </w:r>
      <w:bookmarkEnd w:id="59"/>
    </w:p>
    <w:tbl>
      <w:tblPr>
        <w:tblStyle w:val="TableGrid"/>
        <w:tblW w:w="9072" w:type="dxa"/>
        <w:tblLayout w:type="fixed"/>
        <w:tblLook w:val="06A0" w:firstRow="1" w:lastRow="0" w:firstColumn="1" w:lastColumn="0" w:noHBand="1" w:noVBand="1"/>
      </w:tblPr>
      <w:tblGrid>
        <w:gridCol w:w="3969"/>
        <w:gridCol w:w="5103"/>
      </w:tblGrid>
      <w:tr w:rsidR="00856406" w14:paraId="7E9482DA" w14:textId="77777777" w:rsidTr="005B7969">
        <w:trPr>
          <w:cnfStyle w:val="100000000000" w:firstRow="1" w:lastRow="0" w:firstColumn="0" w:lastColumn="0" w:oddVBand="0" w:evenVBand="0" w:oddHBand="0" w:evenHBand="0" w:firstRowFirstColumn="0" w:firstRowLastColumn="0" w:lastRowFirstColumn="0" w:lastRowLastColumn="0"/>
          <w:trHeight w:val="300"/>
          <w:tblHeader/>
        </w:trPr>
        <w:tc>
          <w:tcPr>
            <w:tcW w:w="3969" w:type="dxa"/>
          </w:tcPr>
          <w:p w14:paraId="53A6B2A0" w14:textId="77777777" w:rsidR="00856406" w:rsidRDefault="00856406" w:rsidP="00FF14A3">
            <w:pPr>
              <w:pStyle w:val="TableColHead"/>
            </w:pPr>
            <w:r w:rsidRPr="632DB719">
              <w:t>Legislation</w:t>
            </w:r>
            <w:r>
              <w:t xml:space="preserve"> </w:t>
            </w:r>
          </w:p>
        </w:tc>
        <w:tc>
          <w:tcPr>
            <w:tcW w:w="5103" w:type="dxa"/>
          </w:tcPr>
          <w:p w14:paraId="3D1F8DED" w14:textId="77777777" w:rsidR="00856406" w:rsidRDefault="00856406" w:rsidP="00FF14A3">
            <w:pPr>
              <w:pStyle w:val="TableColHead"/>
            </w:pPr>
            <w:r w:rsidRPr="632DB719">
              <w:t>Parties</w:t>
            </w:r>
            <w:r>
              <w:t xml:space="preserve"> </w:t>
            </w:r>
          </w:p>
        </w:tc>
      </w:tr>
      <w:tr w:rsidR="00856406" w14:paraId="18F177B1" w14:textId="77777777" w:rsidTr="005B7969">
        <w:trPr>
          <w:trHeight w:val="300"/>
        </w:trPr>
        <w:tc>
          <w:tcPr>
            <w:tcW w:w="3969" w:type="dxa"/>
          </w:tcPr>
          <w:p w14:paraId="226CE985" w14:textId="77777777" w:rsidR="00856406" w:rsidRPr="00FF14A3" w:rsidRDefault="00856406" w:rsidP="00FF14A3">
            <w:pPr>
              <w:pStyle w:val="TableText"/>
              <w:rPr>
                <w:i/>
                <w:iCs/>
              </w:rPr>
            </w:pPr>
            <w:r w:rsidRPr="00FF14A3">
              <w:rPr>
                <w:i/>
                <w:iCs/>
              </w:rPr>
              <w:t>Estate Agents Act 1980</w:t>
            </w:r>
          </w:p>
        </w:tc>
        <w:tc>
          <w:tcPr>
            <w:tcW w:w="5103" w:type="dxa"/>
          </w:tcPr>
          <w:p w14:paraId="474764C3"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D</w:t>
            </w:r>
            <w:r>
              <w:rPr>
                <w:color w:val="000000" w:themeColor="text1"/>
              </w:rPr>
              <w:t xml:space="preserve"> </w:t>
            </w:r>
            <w:r w:rsidRPr="632DB719">
              <w:rPr>
                <w:color w:val="000000" w:themeColor="text1"/>
              </w:rPr>
              <w:t>Lawry</w:t>
            </w:r>
            <w:r>
              <w:rPr>
                <w:color w:val="000000" w:themeColor="text1"/>
              </w:rPr>
              <w:t xml:space="preserve"> </w:t>
            </w:r>
            <w:r w:rsidRPr="632DB719">
              <w:rPr>
                <w:color w:val="000000" w:themeColor="text1"/>
              </w:rPr>
              <w:t>&amp;</w:t>
            </w:r>
            <w:r>
              <w:rPr>
                <w:color w:val="000000" w:themeColor="text1"/>
              </w:rPr>
              <w:t xml:space="preserve"> </w:t>
            </w:r>
            <w:r w:rsidRPr="632DB719">
              <w:rPr>
                <w:color w:val="000000" w:themeColor="text1"/>
              </w:rPr>
              <w:t>Bovicelli</w:t>
            </w:r>
            <w:r>
              <w:rPr>
                <w:color w:val="000000" w:themeColor="text1"/>
              </w:rPr>
              <w:t xml:space="preserve"> </w:t>
            </w:r>
            <w:r w:rsidRPr="632DB719">
              <w:rPr>
                <w:color w:val="000000" w:themeColor="text1"/>
              </w:rPr>
              <w:t>Investments</w:t>
            </w:r>
            <w:r>
              <w:rPr>
                <w:color w:val="000000" w:themeColor="text1"/>
              </w:rPr>
              <w:t xml:space="preserve"> </w:t>
            </w:r>
            <w:r w:rsidRPr="632DB719">
              <w:rPr>
                <w:color w:val="000000" w:themeColor="text1"/>
              </w:rPr>
              <w:t>Pty</w:t>
            </w:r>
            <w:r>
              <w:rPr>
                <w:color w:val="000000" w:themeColor="text1"/>
              </w:rPr>
              <w:t xml:space="preserve"> </w:t>
            </w:r>
            <w:r w:rsidRPr="632DB719">
              <w:rPr>
                <w:color w:val="000000" w:themeColor="text1"/>
              </w:rPr>
              <w:t>Ltd</w:t>
            </w:r>
            <w:r>
              <w:rPr>
                <w:color w:val="000000" w:themeColor="text1"/>
              </w:rPr>
              <w:t xml:space="preserve"> </w:t>
            </w:r>
          </w:p>
        </w:tc>
      </w:tr>
      <w:tr w:rsidR="00856406" w14:paraId="21314B08" w14:textId="77777777" w:rsidTr="005B7969">
        <w:trPr>
          <w:trHeight w:val="300"/>
        </w:trPr>
        <w:tc>
          <w:tcPr>
            <w:tcW w:w="3969" w:type="dxa"/>
          </w:tcPr>
          <w:p w14:paraId="02897588" w14:textId="77777777" w:rsidR="00856406" w:rsidRPr="00FF14A3" w:rsidRDefault="00856406" w:rsidP="00FF14A3">
            <w:pPr>
              <w:pStyle w:val="TableText"/>
              <w:rPr>
                <w:i/>
                <w:iCs/>
              </w:rPr>
            </w:pPr>
            <w:r w:rsidRPr="00FF14A3">
              <w:rPr>
                <w:i/>
                <w:iCs/>
              </w:rPr>
              <w:t>Estate Agents Act 1980</w:t>
            </w:r>
          </w:p>
        </w:tc>
        <w:tc>
          <w:tcPr>
            <w:tcW w:w="5103" w:type="dxa"/>
          </w:tcPr>
          <w:p w14:paraId="6E6E86AB" w14:textId="77777777" w:rsidR="00856406" w:rsidRDefault="00856406" w:rsidP="00FF14A3">
            <w:pPr>
              <w:pStyle w:val="TableText"/>
              <w:rPr>
                <w:highlight w:val="yellow"/>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Nicholas</w:t>
            </w:r>
            <w:r>
              <w:rPr>
                <w:color w:val="000000" w:themeColor="text1"/>
              </w:rPr>
              <w:t xml:space="preserve"> </w:t>
            </w:r>
            <w:r w:rsidRPr="632DB719">
              <w:rPr>
                <w:color w:val="000000" w:themeColor="text1"/>
              </w:rPr>
              <w:t>Scott</w:t>
            </w:r>
            <w:r>
              <w:rPr>
                <w:color w:val="000000" w:themeColor="text1"/>
              </w:rPr>
              <w:t xml:space="preserve"> </w:t>
            </w:r>
            <w:r w:rsidRPr="632DB719">
              <w:rPr>
                <w:color w:val="000000" w:themeColor="text1"/>
              </w:rPr>
              <w:t>and</w:t>
            </w:r>
            <w:r>
              <w:rPr>
                <w:color w:val="000000" w:themeColor="text1"/>
              </w:rPr>
              <w:t xml:space="preserve"> </w:t>
            </w:r>
            <w:r w:rsidRPr="632DB719">
              <w:rPr>
                <w:color w:val="000000" w:themeColor="text1"/>
              </w:rPr>
              <w:t>Nicholas</w:t>
            </w:r>
            <w:r>
              <w:rPr>
                <w:color w:val="000000" w:themeColor="text1"/>
              </w:rPr>
              <w:t xml:space="preserve"> </w:t>
            </w:r>
            <w:r w:rsidRPr="632DB719">
              <w:rPr>
                <w:color w:val="000000" w:themeColor="text1"/>
              </w:rPr>
              <w:t>Skapoulas</w:t>
            </w:r>
            <w:r>
              <w:rPr>
                <w:highlight w:val="yellow"/>
              </w:rPr>
              <w:t xml:space="preserve"> </w:t>
            </w:r>
          </w:p>
        </w:tc>
      </w:tr>
      <w:tr w:rsidR="00856406" w14:paraId="2110CEBC" w14:textId="77777777" w:rsidTr="005B7969">
        <w:trPr>
          <w:trHeight w:val="30"/>
        </w:trPr>
        <w:tc>
          <w:tcPr>
            <w:tcW w:w="3969" w:type="dxa"/>
          </w:tcPr>
          <w:p w14:paraId="7B183484" w14:textId="77777777" w:rsidR="00856406" w:rsidRPr="00FF14A3" w:rsidRDefault="00856406" w:rsidP="00FF14A3">
            <w:pPr>
              <w:pStyle w:val="TableText"/>
              <w:rPr>
                <w:i/>
                <w:iCs/>
              </w:rPr>
            </w:pPr>
            <w:r w:rsidRPr="00FF14A3">
              <w:rPr>
                <w:i/>
                <w:iCs/>
              </w:rPr>
              <w:t xml:space="preserve">Australian Consumer Law </w:t>
            </w:r>
          </w:p>
        </w:tc>
        <w:tc>
          <w:tcPr>
            <w:tcW w:w="5103" w:type="dxa"/>
          </w:tcPr>
          <w:p w14:paraId="6AA39826"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Ray</w:t>
            </w:r>
            <w:r>
              <w:rPr>
                <w:color w:val="000000" w:themeColor="text1"/>
              </w:rPr>
              <w:t xml:space="preserve"> </w:t>
            </w:r>
            <w:r w:rsidRPr="632DB719">
              <w:rPr>
                <w:color w:val="000000" w:themeColor="text1"/>
              </w:rPr>
              <w:t>White</w:t>
            </w:r>
            <w:r>
              <w:rPr>
                <w:color w:val="000000" w:themeColor="text1"/>
              </w:rPr>
              <w:t xml:space="preserve"> </w:t>
            </w:r>
            <w:r w:rsidRPr="632DB719">
              <w:rPr>
                <w:color w:val="000000" w:themeColor="text1"/>
              </w:rPr>
              <w:t>Oakleigh</w:t>
            </w:r>
            <w:r>
              <w:rPr>
                <w:color w:val="000000" w:themeColor="text1"/>
              </w:rPr>
              <w:t xml:space="preserve"> </w:t>
            </w:r>
            <w:r w:rsidRPr="632DB719">
              <w:rPr>
                <w:color w:val="000000" w:themeColor="text1"/>
              </w:rPr>
              <w:t>Pty</w:t>
            </w:r>
            <w:r>
              <w:rPr>
                <w:color w:val="000000" w:themeColor="text1"/>
              </w:rPr>
              <w:t xml:space="preserve"> </w:t>
            </w:r>
            <w:r w:rsidRPr="632DB719">
              <w:rPr>
                <w:color w:val="000000" w:themeColor="text1"/>
              </w:rPr>
              <w:t>Ltd</w:t>
            </w:r>
          </w:p>
        </w:tc>
      </w:tr>
      <w:tr w:rsidR="00856406" w14:paraId="797753D4" w14:textId="77777777" w:rsidTr="005B7969">
        <w:trPr>
          <w:trHeight w:val="30"/>
        </w:trPr>
        <w:tc>
          <w:tcPr>
            <w:tcW w:w="3969" w:type="dxa"/>
          </w:tcPr>
          <w:p w14:paraId="1CD7CF7A" w14:textId="77777777" w:rsidR="00856406" w:rsidRPr="00FF14A3" w:rsidRDefault="00856406" w:rsidP="00FF14A3">
            <w:pPr>
              <w:pStyle w:val="TableText"/>
              <w:rPr>
                <w:i/>
                <w:iCs/>
              </w:rPr>
            </w:pPr>
            <w:r w:rsidRPr="00FF14A3">
              <w:rPr>
                <w:i/>
                <w:iCs/>
              </w:rPr>
              <w:t>Estate Agents Act 1980</w:t>
            </w:r>
          </w:p>
        </w:tc>
        <w:tc>
          <w:tcPr>
            <w:tcW w:w="5103" w:type="dxa"/>
          </w:tcPr>
          <w:p w14:paraId="1E3F323F" w14:textId="2552E6C1"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Mathew</w:t>
            </w:r>
            <w:r>
              <w:rPr>
                <w:color w:val="000000" w:themeColor="text1"/>
              </w:rPr>
              <w:t xml:space="preserve"> </w:t>
            </w:r>
            <w:r w:rsidRPr="632DB719">
              <w:rPr>
                <w:color w:val="000000" w:themeColor="text1"/>
              </w:rPr>
              <w:t>O</w:t>
            </w:r>
            <w:r w:rsidR="009421C7">
              <w:rPr>
                <w:color w:val="000000" w:themeColor="text1"/>
              </w:rPr>
              <w:t>’</w:t>
            </w:r>
            <w:r w:rsidRPr="632DB719">
              <w:rPr>
                <w:color w:val="000000" w:themeColor="text1"/>
              </w:rPr>
              <w:t>Brien</w:t>
            </w:r>
            <w:r>
              <w:rPr>
                <w:color w:val="000000" w:themeColor="text1"/>
              </w:rPr>
              <w:t xml:space="preserve"> </w:t>
            </w:r>
            <w:r w:rsidRPr="632DB719">
              <w:rPr>
                <w:color w:val="000000" w:themeColor="text1"/>
              </w:rPr>
              <w:t>&amp;</w:t>
            </w:r>
            <w:r>
              <w:rPr>
                <w:color w:val="000000" w:themeColor="text1"/>
              </w:rPr>
              <w:t xml:space="preserve"> </w:t>
            </w:r>
            <w:r w:rsidRPr="632DB719">
              <w:rPr>
                <w:color w:val="000000" w:themeColor="text1"/>
              </w:rPr>
              <w:t>Neirbo</w:t>
            </w:r>
            <w:r>
              <w:rPr>
                <w:color w:val="000000" w:themeColor="text1"/>
              </w:rPr>
              <w:t xml:space="preserve"> </w:t>
            </w:r>
            <w:r w:rsidRPr="632DB719">
              <w:rPr>
                <w:color w:val="000000" w:themeColor="text1"/>
              </w:rPr>
              <w:t>Real</w:t>
            </w:r>
            <w:r>
              <w:rPr>
                <w:color w:val="000000" w:themeColor="text1"/>
              </w:rPr>
              <w:t xml:space="preserve"> </w:t>
            </w:r>
            <w:r w:rsidRPr="632DB719">
              <w:rPr>
                <w:color w:val="000000" w:themeColor="text1"/>
              </w:rPr>
              <w:t>Estate</w:t>
            </w:r>
            <w:r>
              <w:rPr>
                <w:color w:val="000000" w:themeColor="text1"/>
              </w:rPr>
              <w:t xml:space="preserve"> </w:t>
            </w:r>
            <w:r w:rsidRPr="632DB719">
              <w:rPr>
                <w:color w:val="000000" w:themeColor="text1"/>
              </w:rPr>
              <w:t>Agents</w:t>
            </w:r>
            <w:r>
              <w:rPr>
                <w:color w:val="000000" w:themeColor="text1"/>
              </w:rPr>
              <w:t xml:space="preserve"> </w:t>
            </w:r>
          </w:p>
        </w:tc>
      </w:tr>
      <w:tr w:rsidR="00856406" w14:paraId="4E272A2A" w14:textId="77777777" w:rsidTr="005B7969">
        <w:trPr>
          <w:trHeight w:val="30"/>
        </w:trPr>
        <w:tc>
          <w:tcPr>
            <w:tcW w:w="3969" w:type="dxa"/>
          </w:tcPr>
          <w:p w14:paraId="71D7EE03" w14:textId="77777777" w:rsidR="00856406" w:rsidRPr="00FF14A3" w:rsidRDefault="00856406" w:rsidP="00FF14A3">
            <w:pPr>
              <w:pStyle w:val="TableText"/>
              <w:rPr>
                <w:i/>
                <w:iCs/>
              </w:rPr>
            </w:pPr>
            <w:r w:rsidRPr="00FF14A3">
              <w:rPr>
                <w:i/>
                <w:iCs/>
              </w:rPr>
              <w:t>Estate Agents Act 1980</w:t>
            </w:r>
          </w:p>
        </w:tc>
        <w:tc>
          <w:tcPr>
            <w:tcW w:w="5103" w:type="dxa"/>
          </w:tcPr>
          <w:p w14:paraId="03D2EEFE" w14:textId="77777777" w:rsidR="00856406" w:rsidRDefault="00856406" w:rsidP="00FF14A3">
            <w:pPr>
              <w:pStyle w:val="TableText"/>
            </w:pPr>
            <w:r w:rsidRPr="632DB719">
              <w:t>DCAV</w:t>
            </w:r>
            <w:r>
              <w:t xml:space="preserve"> </w:t>
            </w:r>
            <w:r w:rsidRPr="632DB719">
              <w:t>v</w:t>
            </w:r>
            <w:r>
              <w:t xml:space="preserve"> </w:t>
            </w:r>
            <w:r w:rsidRPr="632DB719">
              <w:t>Amit</w:t>
            </w:r>
            <w:r>
              <w:t xml:space="preserve"> </w:t>
            </w:r>
            <w:r w:rsidRPr="632DB719">
              <w:t>Miglani</w:t>
            </w:r>
          </w:p>
        </w:tc>
      </w:tr>
      <w:tr w:rsidR="00856406" w14:paraId="6D4E322C" w14:textId="77777777" w:rsidTr="005B7969">
        <w:trPr>
          <w:trHeight w:val="30"/>
        </w:trPr>
        <w:tc>
          <w:tcPr>
            <w:tcW w:w="3969" w:type="dxa"/>
          </w:tcPr>
          <w:p w14:paraId="4F896752" w14:textId="77777777" w:rsidR="00856406" w:rsidRPr="00FF14A3" w:rsidRDefault="00856406" w:rsidP="00FF14A3">
            <w:pPr>
              <w:pStyle w:val="TableText"/>
              <w:rPr>
                <w:i/>
                <w:iCs/>
              </w:rPr>
            </w:pPr>
            <w:r w:rsidRPr="00FF14A3">
              <w:rPr>
                <w:i/>
                <w:iCs/>
              </w:rPr>
              <w:t>Estate Agents Act 1980</w:t>
            </w:r>
          </w:p>
        </w:tc>
        <w:tc>
          <w:tcPr>
            <w:tcW w:w="5103" w:type="dxa"/>
          </w:tcPr>
          <w:p w14:paraId="654D9B5D" w14:textId="1FBE3446" w:rsidR="00856406" w:rsidRDefault="00856406" w:rsidP="00FF14A3">
            <w:pPr>
              <w:pStyle w:val="TableText"/>
            </w:pPr>
            <w:r w:rsidRPr="632DB719">
              <w:t>DCAV</w:t>
            </w:r>
            <w:r>
              <w:t xml:space="preserve"> </w:t>
            </w:r>
            <w:r w:rsidRPr="632DB719">
              <w:t>Joshua</w:t>
            </w:r>
            <w:r>
              <w:t xml:space="preserve"> </w:t>
            </w:r>
            <w:r w:rsidRPr="632DB719">
              <w:t>Allison</w:t>
            </w:r>
          </w:p>
        </w:tc>
      </w:tr>
      <w:tr w:rsidR="00856406" w14:paraId="2C7A6BD1" w14:textId="77777777" w:rsidTr="005B7969">
        <w:trPr>
          <w:trHeight w:val="30"/>
        </w:trPr>
        <w:tc>
          <w:tcPr>
            <w:tcW w:w="3969" w:type="dxa"/>
          </w:tcPr>
          <w:p w14:paraId="6BE7B7B2" w14:textId="77777777" w:rsidR="00856406" w:rsidRPr="00FF14A3" w:rsidRDefault="00856406" w:rsidP="00FF14A3">
            <w:pPr>
              <w:pStyle w:val="TableText"/>
              <w:rPr>
                <w:i/>
                <w:iCs/>
              </w:rPr>
            </w:pPr>
            <w:r w:rsidRPr="00FF14A3">
              <w:rPr>
                <w:i/>
                <w:iCs/>
              </w:rPr>
              <w:t>Estate Agents Act 1980</w:t>
            </w:r>
          </w:p>
        </w:tc>
        <w:tc>
          <w:tcPr>
            <w:tcW w:w="5103" w:type="dxa"/>
          </w:tcPr>
          <w:p w14:paraId="337F0F4A" w14:textId="77777777" w:rsidR="00856406" w:rsidRDefault="00856406" w:rsidP="00FF14A3">
            <w:pPr>
              <w:pStyle w:val="TableText"/>
            </w:pPr>
            <w:r w:rsidRPr="632DB719">
              <w:t>DCAV</w:t>
            </w:r>
            <w:r>
              <w:t xml:space="preserve"> </w:t>
            </w:r>
            <w:r w:rsidRPr="632DB719">
              <w:t>v</w:t>
            </w:r>
            <w:r>
              <w:t xml:space="preserve"> </w:t>
            </w:r>
            <w:r w:rsidRPr="632DB719">
              <w:t>Akash</w:t>
            </w:r>
            <w:r>
              <w:t xml:space="preserve"> </w:t>
            </w:r>
            <w:r w:rsidRPr="632DB719">
              <w:t>Deep</w:t>
            </w:r>
            <w:r>
              <w:t xml:space="preserve"> </w:t>
            </w:r>
            <w:r w:rsidRPr="632DB719">
              <w:t>Purba</w:t>
            </w:r>
          </w:p>
        </w:tc>
      </w:tr>
      <w:tr w:rsidR="00856406" w14:paraId="14268C31" w14:textId="77777777" w:rsidTr="005B7969">
        <w:trPr>
          <w:trHeight w:val="30"/>
        </w:trPr>
        <w:tc>
          <w:tcPr>
            <w:tcW w:w="3969" w:type="dxa"/>
          </w:tcPr>
          <w:p w14:paraId="6F86F3E9" w14:textId="77777777" w:rsidR="00856406" w:rsidRPr="00FF14A3" w:rsidRDefault="00856406" w:rsidP="00FF14A3">
            <w:pPr>
              <w:pStyle w:val="TableText"/>
              <w:rPr>
                <w:i/>
                <w:iCs/>
              </w:rPr>
            </w:pPr>
            <w:r w:rsidRPr="00FF14A3">
              <w:rPr>
                <w:i/>
                <w:iCs/>
              </w:rPr>
              <w:t>Motor Car Traders Act 1986</w:t>
            </w:r>
          </w:p>
        </w:tc>
        <w:tc>
          <w:tcPr>
            <w:tcW w:w="5103" w:type="dxa"/>
          </w:tcPr>
          <w:p w14:paraId="27481A52" w14:textId="77777777" w:rsidR="00856406" w:rsidRDefault="00856406" w:rsidP="00FF14A3">
            <w:pPr>
              <w:pStyle w:val="TableText"/>
              <w:rPr>
                <w:color w:val="000000" w:themeColor="text1"/>
              </w:rPr>
            </w:pPr>
            <w:r w:rsidRPr="632DB719">
              <w:rPr>
                <w:color w:val="000000" w:themeColor="text1"/>
              </w:rPr>
              <w:t>DCAV</w:t>
            </w:r>
            <w:r>
              <w:rPr>
                <w:color w:val="000000" w:themeColor="text1"/>
              </w:rPr>
              <w:t xml:space="preserve"> </w:t>
            </w:r>
            <w:r w:rsidRPr="632DB719">
              <w:rPr>
                <w:color w:val="000000" w:themeColor="text1"/>
              </w:rPr>
              <w:t>v</w:t>
            </w:r>
            <w:r>
              <w:rPr>
                <w:color w:val="000000" w:themeColor="text1"/>
              </w:rPr>
              <w:t xml:space="preserve"> </w:t>
            </w:r>
            <w:r w:rsidRPr="632DB719">
              <w:rPr>
                <w:color w:val="000000" w:themeColor="text1"/>
              </w:rPr>
              <w:t>CMG</w:t>
            </w:r>
            <w:r>
              <w:rPr>
                <w:color w:val="000000" w:themeColor="text1"/>
              </w:rPr>
              <w:t xml:space="preserve"> </w:t>
            </w:r>
            <w:r w:rsidRPr="632DB719">
              <w:rPr>
                <w:color w:val="000000" w:themeColor="text1"/>
              </w:rPr>
              <w:t>Automotive</w:t>
            </w:r>
            <w:r>
              <w:rPr>
                <w:color w:val="000000" w:themeColor="text1"/>
              </w:rPr>
              <w:t xml:space="preserve"> </w:t>
            </w:r>
            <w:r w:rsidRPr="632DB719">
              <w:rPr>
                <w:color w:val="000000" w:themeColor="text1"/>
              </w:rPr>
              <w:t>Pty</w:t>
            </w:r>
            <w:r>
              <w:rPr>
                <w:color w:val="000000" w:themeColor="text1"/>
              </w:rPr>
              <w:t xml:space="preserve"> </w:t>
            </w:r>
            <w:r w:rsidRPr="632DB719">
              <w:rPr>
                <w:color w:val="000000" w:themeColor="text1"/>
              </w:rPr>
              <w:t>Ltd</w:t>
            </w:r>
          </w:p>
        </w:tc>
      </w:tr>
    </w:tbl>
    <w:p w14:paraId="613EED69" w14:textId="4626B56D" w:rsidR="00D148FC" w:rsidRDefault="00D148FC" w:rsidP="00D148FC">
      <w:pPr>
        <w:pStyle w:val="Heading3"/>
      </w:pPr>
      <w:bookmarkStart w:id="60" w:name="_Toc204243164"/>
      <w:r w:rsidRPr="00A4404F">
        <w:t>Compliance,</w:t>
      </w:r>
      <w:r>
        <w:t xml:space="preserve"> </w:t>
      </w:r>
      <w:r w:rsidRPr="00A4404F">
        <w:t>licensing</w:t>
      </w:r>
      <w:r>
        <w:t xml:space="preserve"> </w:t>
      </w:r>
      <w:r w:rsidRPr="00A4404F">
        <w:t>and</w:t>
      </w:r>
      <w:r>
        <w:t xml:space="preserve"> </w:t>
      </w:r>
      <w:r w:rsidRPr="00A4404F">
        <w:t>registration</w:t>
      </w:r>
      <w:r>
        <w:t xml:space="preserve"> </w:t>
      </w:r>
      <w:r w:rsidRPr="00A4404F">
        <w:t>activity</w:t>
      </w:r>
    </w:p>
    <w:p w14:paraId="260EC710" w14:textId="3B164AC3" w:rsidR="00856406" w:rsidRPr="00A4404F" w:rsidRDefault="00856406" w:rsidP="00FF14A3">
      <w:pPr>
        <w:pStyle w:val="Caption"/>
      </w:pPr>
      <w:bookmarkStart w:id="61" w:name="_Toc212562082"/>
      <w:r w:rsidRPr="00A4404F">
        <w:t>Table</w:t>
      </w:r>
      <w:r>
        <w:t xml:space="preserve"> 1</w:t>
      </w:r>
      <w:r w:rsidR="00D148FC">
        <w:t>5</w:t>
      </w:r>
      <w:r w:rsidRPr="00A4404F">
        <w:t>:</w:t>
      </w:r>
      <w:r>
        <w:t xml:space="preserve"> </w:t>
      </w:r>
      <w:r w:rsidRPr="00A4404F">
        <w:t>Compliance,</w:t>
      </w:r>
      <w:r>
        <w:t xml:space="preserve"> </w:t>
      </w:r>
      <w:r w:rsidRPr="00A4404F">
        <w:t>licensing</w:t>
      </w:r>
      <w:r>
        <w:t xml:space="preserve"> </w:t>
      </w:r>
      <w:r w:rsidRPr="00A4404F">
        <w:t>and</w:t>
      </w:r>
      <w:r>
        <w:t xml:space="preserve"> </w:t>
      </w:r>
      <w:r w:rsidRPr="00A4404F">
        <w:t>registration</w:t>
      </w:r>
      <w:r>
        <w:t xml:space="preserve"> </w:t>
      </w:r>
      <w:r w:rsidRPr="00A4404F">
        <w:t>activity</w:t>
      </w:r>
      <w:r>
        <w:t xml:space="preserve"> </w:t>
      </w:r>
      <w:r w:rsidRPr="00A4404F">
        <w:t>undertaken</w:t>
      </w:r>
      <w:bookmarkEnd w:id="60"/>
      <w:bookmarkEnd w:id="61"/>
    </w:p>
    <w:tbl>
      <w:tblPr>
        <w:tblStyle w:val="TableGrid"/>
        <w:tblW w:w="9072" w:type="dxa"/>
        <w:tblLayout w:type="fixed"/>
        <w:tblLook w:val="06A0" w:firstRow="1" w:lastRow="0" w:firstColumn="1" w:lastColumn="0" w:noHBand="1" w:noVBand="1"/>
      </w:tblPr>
      <w:tblGrid>
        <w:gridCol w:w="4989"/>
        <w:gridCol w:w="1361"/>
        <w:gridCol w:w="1361"/>
        <w:gridCol w:w="1361"/>
      </w:tblGrid>
      <w:tr w:rsidR="00856406" w:rsidRPr="009C1F7F" w14:paraId="1110064E" w14:textId="77777777" w:rsidTr="00720DB8">
        <w:trPr>
          <w:cnfStyle w:val="100000000000" w:firstRow="1" w:lastRow="0" w:firstColumn="0" w:lastColumn="0" w:oddVBand="0" w:evenVBand="0" w:oddHBand="0" w:evenHBand="0" w:firstRowFirstColumn="0" w:firstRowLastColumn="0" w:lastRowFirstColumn="0" w:lastRowLastColumn="0"/>
          <w:trHeight w:val="285"/>
          <w:tblHeader/>
        </w:trPr>
        <w:tc>
          <w:tcPr>
            <w:tcW w:w="4990" w:type="dxa"/>
            <w:hideMark/>
          </w:tcPr>
          <w:p w14:paraId="1FF77633" w14:textId="05794A32" w:rsidR="00856406" w:rsidRPr="00717004" w:rsidRDefault="00856406" w:rsidP="00720DB8">
            <w:pPr>
              <w:pStyle w:val="TableColHead"/>
            </w:pPr>
          </w:p>
        </w:tc>
        <w:tc>
          <w:tcPr>
            <w:tcW w:w="1361" w:type="dxa"/>
            <w:hideMark/>
          </w:tcPr>
          <w:p w14:paraId="737E3DA5" w14:textId="4FE3A0EA" w:rsidR="00856406" w:rsidRPr="00717004" w:rsidRDefault="00EE79C3" w:rsidP="00720DB8">
            <w:pPr>
              <w:pStyle w:val="TableColHeadRight"/>
            </w:pPr>
            <w:r>
              <w:t>2022–23</w:t>
            </w:r>
            <w:r w:rsidR="00856406">
              <w:t xml:space="preserve"> </w:t>
            </w:r>
          </w:p>
        </w:tc>
        <w:tc>
          <w:tcPr>
            <w:tcW w:w="1361" w:type="dxa"/>
            <w:hideMark/>
          </w:tcPr>
          <w:p w14:paraId="4D0FC8D8" w14:textId="3EBC8FF6" w:rsidR="00856406" w:rsidRPr="00717004" w:rsidRDefault="00EE79C3" w:rsidP="00720DB8">
            <w:pPr>
              <w:pStyle w:val="TableColHeadRight"/>
            </w:pPr>
            <w:r>
              <w:t>2023–24</w:t>
            </w:r>
          </w:p>
        </w:tc>
        <w:tc>
          <w:tcPr>
            <w:tcW w:w="1361" w:type="dxa"/>
            <w:hideMark/>
          </w:tcPr>
          <w:p w14:paraId="7198E181" w14:textId="35B312FB" w:rsidR="00856406" w:rsidRPr="00717004" w:rsidRDefault="00EE79C3" w:rsidP="00720DB8">
            <w:pPr>
              <w:pStyle w:val="TableColHeadRight"/>
            </w:pPr>
            <w:r>
              <w:t>2024–25</w:t>
            </w:r>
          </w:p>
        </w:tc>
      </w:tr>
      <w:tr w:rsidR="00856406" w:rsidRPr="009C1F7F" w14:paraId="474F1821" w14:textId="77777777" w:rsidTr="00720DB8">
        <w:trPr>
          <w:trHeight w:val="270"/>
        </w:trPr>
        <w:tc>
          <w:tcPr>
            <w:tcW w:w="4990" w:type="dxa"/>
            <w:gridSpan w:val="4"/>
            <w:shd w:val="clear" w:color="auto" w:fill="BCCAE5"/>
            <w:hideMark/>
          </w:tcPr>
          <w:p w14:paraId="2ECE9C4E" w14:textId="77777777" w:rsidR="00856406" w:rsidRPr="00717004" w:rsidRDefault="00856406" w:rsidP="00720DB8">
            <w:pPr>
              <w:pStyle w:val="TableTextBold"/>
            </w:pPr>
            <w:r w:rsidRPr="00717004">
              <w:t>Compliance</w:t>
            </w:r>
            <w:r>
              <w:t xml:space="preserve"> </w:t>
            </w:r>
          </w:p>
        </w:tc>
      </w:tr>
      <w:tr w:rsidR="00856406" w:rsidRPr="009C1F7F" w14:paraId="64E15B2E" w14:textId="77777777" w:rsidTr="00720DB8">
        <w:trPr>
          <w:trHeight w:val="270"/>
        </w:trPr>
        <w:tc>
          <w:tcPr>
            <w:tcW w:w="4990" w:type="dxa"/>
            <w:hideMark/>
          </w:tcPr>
          <w:p w14:paraId="405D81E1" w14:textId="77777777" w:rsidR="00856406" w:rsidRPr="00717004" w:rsidRDefault="00856406" w:rsidP="00720DB8">
            <w:pPr>
              <w:pStyle w:val="TableText"/>
            </w:pPr>
            <w:r w:rsidRPr="00717004">
              <w:t>Inspections</w:t>
            </w:r>
            <w:r>
              <w:t xml:space="preserve"> </w:t>
            </w:r>
          </w:p>
        </w:tc>
        <w:tc>
          <w:tcPr>
            <w:tcW w:w="1361" w:type="dxa"/>
          </w:tcPr>
          <w:p w14:paraId="5E4C710C" w14:textId="77777777" w:rsidR="00856406" w:rsidRPr="00717004" w:rsidRDefault="00856406" w:rsidP="00720DB8">
            <w:pPr>
              <w:pStyle w:val="TableTextRight"/>
            </w:pPr>
            <w:r w:rsidRPr="00717004">
              <w:t>897</w:t>
            </w:r>
          </w:p>
        </w:tc>
        <w:tc>
          <w:tcPr>
            <w:tcW w:w="1361" w:type="dxa"/>
          </w:tcPr>
          <w:p w14:paraId="3599D12C" w14:textId="77777777" w:rsidR="00856406" w:rsidRPr="00717004" w:rsidRDefault="00856406" w:rsidP="00720DB8">
            <w:pPr>
              <w:pStyle w:val="TableTextRight"/>
            </w:pPr>
            <w:r w:rsidRPr="00717004">
              <w:t>1,434</w:t>
            </w:r>
          </w:p>
        </w:tc>
        <w:tc>
          <w:tcPr>
            <w:tcW w:w="1361" w:type="dxa"/>
          </w:tcPr>
          <w:p w14:paraId="68FA4977" w14:textId="305796A5" w:rsidR="00856406" w:rsidRPr="00717004" w:rsidRDefault="00856406" w:rsidP="00720DB8">
            <w:pPr>
              <w:pStyle w:val="TableTextRight"/>
            </w:pPr>
            <w:r w:rsidRPr="00717004">
              <w:t>2403</w:t>
            </w:r>
          </w:p>
        </w:tc>
      </w:tr>
      <w:tr w:rsidR="00856406" w:rsidRPr="009C1F7F" w14:paraId="3AD6CED5" w14:textId="77777777" w:rsidTr="00720DB8">
        <w:trPr>
          <w:trHeight w:val="270"/>
        </w:trPr>
        <w:tc>
          <w:tcPr>
            <w:tcW w:w="4990" w:type="dxa"/>
            <w:hideMark/>
          </w:tcPr>
          <w:p w14:paraId="3473E4B4" w14:textId="77777777" w:rsidR="00856406" w:rsidRPr="00717004" w:rsidRDefault="00856406" w:rsidP="00720DB8">
            <w:pPr>
              <w:pStyle w:val="TableText"/>
            </w:pPr>
            <w:r w:rsidRPr="00717004">
              <w:t>Investigations</w:t>
            </w:r>
            <w:r>
              <w:t xml:space="preserve"> </w:t>
            </w:r>
          </w:p>
        </w:tc>
        <w:tc>
          <w:tcPr>
            <w:tcW w:w="1361" w:type="dxa"/>
          </w:tcPr>
          <w:p w14:paraId="5D19A3EE" w14:textId="77777777" w:rsidR="00856406" w:rsidRPr="00717004" w:rsidRDefault="00856406" w:rsidP="00720DB8">
            <w:pPr>
              <w:pStyle w:val="TableTextRight"/>
            </w:pPr>
            <w:r w:rsidRPr="00717004">
              <w:t>29</w:t>
            </w:r>
          </w:p>
        </w:tc>
        <w:tc>
          <w:tcPr>
            <w:tcW w:w="1361" w:type="dxa"/>
          </w:tcPr>
          <w:p w14:paraId="3BB2D9CC" w14:textId="77777777" w:rsidR="00856406" w:rsidRPr="00717004" w:rsidRDefault="00856406" w:rsidP="00720DB8">
            <w:pPr>
              <w:pStyle w:val="TableTextRight"/>
            </w:pPr>
            <w:r w:rsidRPr="00717004">
              <w:t>74</w:t>
            </w:r>
          </w:p>
        </w:tc>
        <w:tc>
          <w:tcPr>
            <w:tcW w:w="1361" w:type="dxa"/>
          </w:tcPr>
          <w:p w14:paraId="575A3602" w14:textId="77777777" w:rsidR="00856406" w:rsidRPr="00717004" w:rsidRDefault="00856406" w:rsidP="00720DB8">
            <w:pPr>
              <w:pStyle w:val="TableTextRight"/>
            </w:pPr>
            <w:r w:rsidRPr="00717004">
              <w:t>51</w:t>
            </w:r>
          </w:p>
        </w:tc>
      </w:tr>
      <w:tr w:rsidR="00856406" w:rsidRPr="009C1F7F" w14:paraId="38D2396D" w14:textId="77777777" w:rsidTr="00720DB8">
        <w:trPr>
          <w:trHeight w:val="270"/>
        </w:trPr>
        <w:tc>
          <w:tcPr>
            <w:tcW w:w="4990" w:type="dxa"/>
            <w:hideMark/>
          </w:tcPr>
          <w:p w14:paraId="5DC98EA1" w14:textId="77777777" w:rsidR="00856406" w:rsidRPr="00717004" w:rsidRDefault="00856406" w:rsidP="00720DB8">
            <w:pPr>
              <w:pStyle w:val="TableText"/>
            </w:pPr>
            <w:r w:rsidRPr="00717004">
              <w:t>Parties</w:t>
            </w:r>
            <w:r>
              <w:t xml:space="preserve"> </w:t>
            </w:r>
            <w:r w:rsidRPr="00717004">
              <w:t>to</w:t>
            </w:r>
            <w:r>
              <w:t xml:space="preserve"> </w:t>
            </w:r>
            <w:r w:rsidRPr="00717004">
              <w:t>criminal</w:t>
            </w:r>
            <w:r>
              <w:t xml:space="preserve"> </w:t>
            </w:r>
            <w:r w:rsidRPr="00717004">
              <w:t>proceedings,</w:t>
            </w:r>
            <w:r>
              <w:t xml:space="preserve"> </w:t>
            </w:r>
            <w:r w:rsidRPr="00717004">
              <w:t>appeals</w:t>
            </w:r>
            <w:r>
              <w:t xml:space="preserve"> </w:t>
            </w:r>
            <w:r w:rsidRPr="00717004">
              <w:t>and</w:t>
            </w:r>
            <w:r>
              <w:t xml:space="preserve"> </w:t>
            </w:r>
            <w:r w:rsidRPr="00717004">
              <w:t>re-hearings</w:t>
            </w:r>
            <w:r>
              <w:t xml:space="preserve"> </w:t>
            </w:r>
          </w:p>
        </w:tc>
        <w:tc>
          <w:tcPr>
            <w:tcW w:w="1361" w:type="dxa"/>
          </w:tcPr>
          <w:p w14:paraId="18719ABF" w14:textId="77777777" w:rsidR="00856406" w:rsidRPr="00717004" w:rsidRDefault="00856406" w:rsidP="00720DB8">
            <w:pPr>
              <w:pStyle w:val="TableTextRight"/>
            </w:pPr>
            <w:r w:rsidRPr="00717004">
              <w:t>4</w:t>
            </w:r>
          </w:p>
        </w:tc>
        <w:tc>
          <w:tcPr>
            <w:tcW w:w="1361" w:type="dxa"/>
          </w:tcPr>
          <w:p w14:paraId="594A4636" w14:textId="77777777" w:rsidR="00856406" w:rsidRPr="00717004" w:rsidRDefault="00856406" w:rsidP="00720DB8">
            <w:pPr>
              <w:pStyle w:val="TableTextRight"/>
            </w:pPr>
            <w:r w:rsidRPr="00717004">
              <w:t>5</w:t>
            </w:r>
          </w:p>
        </w:tc>
        <w:tc>
          <w:tcPr>
            <w:tcW w:w="1361" w:type="dxa"/>
          </w:tcPr>
          <w:p w14:paraId="117461A2" w14:textId="77777777" w:rsidR="00856406" w:rsidRPr="00717004" w:rsidRDefault="00856406" w:rsidP="00720DB8">
            <w:pPr>
              <w:pStyle w:val="TableTextRight"/>
            </w:pPr>
            <w:r w:rsidRPr="00717004">
              <w:t>10</w:t>
            </w:r>
          </w:p>
        </w:tc>
      </w:tr>
      <w:tr w:rsidR="00856406" w:rsidRPr="009C1F7F" w14:paraId="2128990B" w14:textId="77777777" w:rsidTr="00720DB8">
        <w:trPr>
          <w:trHeight w:val="270"/>
        </w:trPr>
        <w:tc>
          <w:tcPr>
            <w:tcW w:w="4990" w:type="dxa"/>
            <w:hideMark/>
          </w:tcPr>
          <w:p w14:paraId="73F1DF90" w14:textId="77777777" w:rsidR="00856406" w:rsidRPr="00717004" w:rsidRDefault="00856406" w:rsidP="00720DB8">
            <w:pPr>
              <w:pStyle w:val="TableText"/>
            </w:pPr>
            <w:r w:rsidRPr="00717004">
              <w:t>Parties</w:t>
            </w:r>
            <w:r>
              <w:t xml:space="preserve"> </w:t>
            </w:r>
            <w:r w:rsidRPr="00717004">
              <w:t>to</w:t>
            </w:r>
            <w:r>
              <w:t xml:space="preserve"> </w:t>
            </w:r>
            <w:r w:rsidRPr="00717004">
              <w:t>civil</w:t>
            </w:r>
            <w:r>
              <w:t xml:space="preserve"> </w:t>
            </w:r>
            <w:r w:rsidRPr="00717004">
              <w:t>proceedings</w:t>
            </w:r>
            <w:r>
              <w:t xml:space="preserve"> </w:t>
            </w:r>
          </w:p>
        </w:tc>
        <w:tc>
          <w:tcPr>
            <w:tcW w:w="1361" w:type="dxa"/>
          </w:tcPr>
          <w:p w14:paraId="211A96C5" w14:textId="77777777" w:rsidR="00856406" w:rsidRPr="00717004" w:rsidRDefault="00856406" w:rsidP="00720DB8">
            <w:pPr>
              <w:pStyle w:val="TableTextRight"/>
            </w:pPr>
            <w:r w:rsidRPr="00717004">
              <w:t>5</w:t>
            </w:r>
          </w:p>
        </w:tc>
        <w:tc>
          <w:tcPr>
            <w:tcW w:w="1361" w:type="dxa"/>
          </w:tcPr>
          <w:p w14:paraId="1416B5FF" w14:textId="77777777" w:rsidR="00856406" w:rsidRPr="00717004" w:rsidRDefault="00856406" w:rsidP="00720DB8">
            <w:pPr>
              <w:pStyle w:val="TableTextRight"/>
            </w:pPr>
            <w:r w:rsidRPr="00717004">
              <w:t>6</w:t>
            </w:r>
          </w:p>
        </w:tc>
        <w:tc>
          <w:tcPr>
            <w:tcW w:w="1361" w:type="dxa"/>
          </w:tcPr>
          <w:p w14:paraId="4650B47A" w14:textId="77777777" w:rsidR="00856406" w:rsidRPr="00717004" w:rsidRDefault="00856406" w:rsidP="00720DB8">
            <w:pPr>
              <w:pStyle w:val="TableTextRight"/>
            </w:pPr>
            <w:r>
              <w:t>8</w:t>
            </w:r>
          </w:p>
        </w:tc>
      </w:tr>
      <w:tr w:rsidR="00856406" w:rsidRPr="009C1F7F" w14:paraId="2FEE2163" w14:textId="77777777" w:rsidTr="00720DB8">
        <w:trPr>
          <w:trHeight w:val="270"/>
        </w:trPr>
        <w:tc>
          <w:tcPr>
            <w:tcW w:w="4990" w:type="dxa"/>
            <w:hideMark/>
          </w:tcPr>
          <w:p w14:paraId="2D8403FA" w14:textId="77777777" w:rsidR="00856406" w:rsidRPr="00717004" w:rsidRDefault="00856406" w:rsidP="00720DB8">
            <w:pPr>
              <w:pStyle w:val="TableText"/>
            </w:pPr>
            <w:r w:rsidRPr="00717004">
              <w:t>Parties</w:t>
            </w:r>
            <w:r>
              <w:t xml:space="preserve"> </w:t>
            </w:r>
            <w:r w:rsidRPr="00717004">
              <w:t>signed</w:t>
            </w:r>
            <w:r>
              <w:t xml:space="preserve"> </w:t>
            </w:r>
            <w:r w:rsidRPr="00717004">
              <w:t>to</w:t>
            </w:r>
            <w:r>
              <w:t xml:space="preserve"> </w:t>
            </w:r>
            <w:r w:rsidRPr="00717004">
              <w:t>enforceable</w:t>
            </w:r>
            <w:r>
              <w:t xml:space="preserve"> </w:t>
            </w:r>
            <w:r w:rsidRPr="00717004">
              <w:t>undertakings</w:t>
            </w:r>
            <w:r>
              <w:t xml:space="preserve"> </w:t>
            </w:r>
          </w:p>
        </w:tc>
        <w:tc>
          <w:tcPr>
            <w:tcW w:w="1361" w:type="dxa"/>
          </w:tcPr>
          <w:p w14:paraId="3C996483" w14:textId="77777777" w:rsidR="00856406" w:rsidRPr="00717004" w:rsidRDefault="00856406" w:rsidP="00720DB8">
            <w:pPr>
              <w:pStyle w:val="TableTextRight"/>
            </w:pPr>
            <w:r w:rsidRPr="00717004">
              <w:t>0</w:t>
            </w:r>
          </w:p>
        </w:tc>
        <w:tc>
          <w:tcPr>
            <w:tcW w:w="1361" w:type="dxa"/>
          </w:tcPr>
          <w:p w14:paraId="63B1D57F" w14:textId="77777777" w:rsidR="00856406" w:rsidRPr="00717004" w:rsidRDefault="00856406" w:rsidP="00720DB8">
            <w:pPr>
              <w:pStyle w:val="TableTextRight"/>
            </w:pPr>
            <w:r w:rsidRPr="00717004">
              <w:t>1</w:t>
            </w:r>
          </w:p>
        </w:tc>
        <w:tc>
          <w:tcPr>
            <w:tcW w:w="1361" w:type="dxa"/>
          </w:tcPr>
          <w:p w14:paraId="38585628" w14:textId="77777777" w:rsidR="00856406" w:rsidRPr="00717004" w:rsidRDefault="00856406" w:rsidP="00720DB8">
            <w:pPr>
              <w:pStyle w:val="TableTextRight"/>
            </w:pPr>
            <w:r w:rsidRPr="00717004">
              <w:t>0</w:t>
            </w:r>
          </w:p>
        </w:tc>
      </w:tr>
      <w:tr w:rsidR="00856406" w:rsidRPr="009C1F7F" w14:paraId="7B7EDA33" w14:textId="77777777" w:rsidTr="00720DB8">
        <w:trPr>
          <w:trHeight w:val="15"/>
        </w:trPr>
        <w:tc>
          <w:tcPr>
            <w:tcW w:w="4990" w:type="dxa"/>
            <w:hideMark/>
          </w:tcPr>
          <w:p w14:paraId="5D83992C" w14:textId="77777777" w:rsidR="00856406" w:rsidRPr="00717004" w:rsidRDefault="00856406" w:rsidP="00720DB8">
            <w:pPr>
              <w:pStyle w:val="TableText"/>
            </w:pPr>
            <w:r w:rsidRPr="00717004">
              <w:t>Official</w:t>
            </w:r>
            <w:r>
              <w:t xml:space="preserve"> </w:t>
            </w:r>
            <w:r w:rsidRPr="00717004">
              <w:t>warnings</w:t>
            </w:r>
            <w:r>
              <w:t xml:space="preserve"> </w:t>
            </w:r>
            <w:r w:rsidRPr="00717004">
              <w:t>and</w:t>
            </w:r>
            <w:r>
              <w:t xml:space="preserve"> </w:t>
            </w:r>
            <w:r w:rsidRPr="00717004">
              <w:t>infringement</w:t>
            </w:r>
            <w:r>
              <w:t xml:space="preserve"> </w:t>
            </w:r>
            <w:r w:rsidRPr="00717004">
              <w:t>notices</w:t>
            </w:r>
            <w:r>
              <w:t xml:space="preserve"> </w:t>
            </w:r>
            <w:r w:rsidRPr="00717004">
              <w:t>issues</w:t>
            </w:r>
            <w:r>
              <w:t xml:space="preserve"> </w:t>
            </w:r>
          </w:p>
        </w:tc>
        <w:tc>
          <w:tcPr>
            <w:tcW w:w="1361" w:type="dxa"/>
          </w:tcPr>
          <w:p w14:paraId="1C980E65" w14:textId="77777777" w:rsidR="00856406" w:rsidRPr="00717004" w:rsidRDefault="00856406" w:rsidP="00720DB8">
            <w:pPr>
              <w:pStyle w:val="TableTextRight"/>
            </w:pPr>
            <w:r w:rsidRPr="00717004">
              <w:t>434</w:t>
            </w:r>
          </w:p>
        </w:tc>
        <w:tc>
          <w:tcPr>
            <w:tcW w:w="1361" w:type="dxa"/>
          </w:tcPr>
          <w:p w14:paraId="106CF144" w14:textId="77777777" w:rsidR="00856406" w:rsidRPr="00717004" w:rsidRDefault="00856406" w:rsidP="00720DB8">
            <w:pPr>
              <w:pStyle w:val="TableTextRight"/>
            </w:pPr>
            <w:r w:rsidRPr="00717004">
              <w:t>876</w:t>
            </w:r>
          </w:p>
        </w:tc>
        <w:tc>
          <w:tcPr>
            <w:tcW w:w="1361" w:type="dxa"/>
          </w:tcPr>
          <w:p w14:paraId="3E707680" w14:textId="2B3B0066" w:rsidR="00856406" w:rsidRPr="00717004" w:rsidRDefault="00856406" w:rsidP="00720DB8">
            <w:pPr>
              <w:pStyle w:val="TableTextRight"/>
            </w:pPr>
            <w:r w:rsidRPr="00717004">
              <w:t>1095</w:t>
            </w:r>
          </w:p>
        </w:tc>
      </w:tr>
      <w:tr w:rsidR="00856406" w:rsidRPr="009C1F7F" w14:paraId="386AC0B4" w14:textId="77777777" w:rsidTr="00720DB8">
        <w:trPr>
          <w:trHeight w:val="15"/>
        </w:trPr>
        <w:tc>
          <w:tcPr>
            <w:tcW w:w="4990" w:type="dxa"/>
          </w:tcPr>
          <w:p w14:paraId="4C85BE3A" w14:textId="77777777" w:rsidR="00856406" w:rsidRPr="00717004" w:rsidRDefault="00856406" w:rsidP="00720DB8">
            <w:pPr>
              <w:pStyle w:val="TableText"/>
            </w:pPr>
            <w:r w:rsidRPr="00717004">
              <w:t>Public</w:t>
            </w:r>
            <w:r>
              <w:t xml:space="preserve"> </w:t>
            </w:r>
            <w:r w:rsidRPr="00717004">
              <w:t>warnings</w:t>
            </w:r>
            <w:r>
              <w:t xml:space="preserve"> </w:t>
            </w:r>
            <w:r w:rsidRPr="00717004">
              <w:t>and</w:t>
            </w:r>
            <w:r>
              <w:t xml:space="preserve"> </w:t>
            </w:r>
            <w:r w:rsidRPr="00717004">
              <w:t>public</w:t>
            </w:r>
            <w:r>
              <w:t xml:space="preserve"> </w:t>
            </w:r>
            <w:r w:rsidRPr="00717004">
              <w:t>statements</w:t>
            </w:r>
            <w:r>
              <w:t xml:space="preserve"> </w:t>
            </w:r>
            <w:r w:rsidRPr="00717004">
              <w:t>issued</w:t>
            </w:r>
          </w:p>
        </w:tc>
        <w:tc>
          <w:tcPr>
            <w:tcW w:w="1361" w:type="dxa"/>
          </w:tcPr>
          <w:p w14:paraId="41DF9FE5" w14:textId="77777777" w:rsidR="00856406" w:rsidRPr="00717004" w:rsidRDefault="00856406" w:rsidP="00720DB8">
            <w:pPr>
              <w:pStyle w:val="TableTextRight"/>
            </w:pPr>
            <w:r w:rsidRPr="00717004">
              <w:t>2</w:t>
            </w:r>
          </w:p>
        </w:tc>
        <w:tc>
          <w:tcPr>
            <w:tcW w:w="1361" w:type="dxa"/>
          </w:tcPr>
          <w:p w14:paraId="3B05F274" w14:textId="77777777" w:rsidR="00856406" w:rsidRPr="00717004" w:rsidRDefault="00856406" w:rsidP="00720DB8">
            <w:pPr>
              <w:pStyle w:val="TableTextRight"/>
            </w:pPr>
            <w:r w:rsidRPr="00717004">
              <w:t>9</w:t>
            </w:r>
          </w:p>
        </w:tc>
        <w:tc>
          <w:tcPr>
            <w:tcW w:w="1361" w:type="dxa"/>
          </w:tcPr>
          <w:p w14:paraId="6E3312F2" w14:textId="77777777" w:rsidR="00856406" w:rsidRPr="00717004" w:rsidRDefault="00856406" w:rsidP="00720DB8">
            <w:pPr>
              <w:pStyle w:val="TableTextRight"/>
            </w:pPr>
            <w:r w:rsidRPr="00717004">
              <w:t>5</w:t>
            </w:r>
          </w:p>
        </w:tc>
      </w:tr>
      <w:tr w:rsidR="00856406" w:rsidRPr="009C1F7F" w14:paraId="7B0ADA4E" w14:textId="77777777" w:rsidTr="00720DB8">
        <w:trPr>
          <w:trHeight w:val="15"/>
        </w:trPr>
        <w:tc>
          <w:tcPr>
            <w:tcW w:w="4990" w:type="dxa"/>
          </w:tcPr>
          <w:p w14:paraId="726F9DB8" w14:textId="77777777" w:rsidR="00856406" w:rsidRPr="00717004" w:rsidRDefault="00856406" w:rsidP="00720DB8">
            <w:pPr>
              <w:pStyle w:val="TableText"/>
            </w:pPr>
            <w:r w:rsidRPr="00717004">
              <w:rPr>
                <w:szCs w:val="20"/>
              </w:rPr>
              <w:t>Rooming</w:t>
            </w:r>
            <w:r>
              <w:rPr>
                <w:szCs w:val="20"/>
              </w:rPr>
              <w:t xml:space="preserve"> </w:t>
            </w:r>
            <w:r w:rsidRPr="00717004">
              <w:rPr>
                <w:szCs w:val="20"/>
              </w:rPr>
              <w:t>house</w:t>
            </w:r>
            <w:r>
              <w:rPr>
                <w:szCs w:val="20"/>
              </w:rPr>
              <w:t xml:space="preserve"> </w:t>
            </w:r>
            <w:r w:rsidRPr="00717004">
              <w:rPr>
                <w:szCs w:val="20"/>
              </w:rPr>
              <w:t>inspections</w:t>
            </w:r>
            <w:r>
              <w:rPr>
                <w:szCs w:val="20"/>
              </w:rPr>
              <w:t xml:space="preserve"> </w:t>
            </w:r>
            <w:r w:rsidRPr="00717004">
              <w:rPr>
                <w:szCs w:val="20"/>
              </w:rPr>
              <w:t>(including</w:t>
            </w:r>
            <w:r>
              <w:rPr>
                <w:szCs w:val="20"/>
              </w:rPr>
              <w:t xml:space="preserve"> </w:t>
            </w:r>
            <w:r w:rsidRPr="00717004">
              <w:rPr>
                <w:szCs w:val="20"/>
              </w:rPr>
              <w:t>repeat</w:t>
            </w:r>
            <w:r>
              <w:rPr>
                <w:szCs w:val="20"/>
              </w:rPr>
              <w:t xml:space="preserve"> </w:t>
            </w:r>
            <w:r w:rsidRPr="00717004">
              <w:rPr>
                <w:szCs w:val="20"/>
              </w:rPr>
              <w:t>visits)</w:t>
            </w:r>
          </w:p>
        </w:tc>
        <w:tc>
          <w:tcPr>
            <w:tcW w:w="1361" w:type="dxa"/>
          </w:tcPr>
          <w:p w14:paraId="3F027E00" w14:textId="77777777" w:rsidR="00856406" w:rsidRPr="00717004" w:rsidRDefault="00856406" w:rsidP="00720DB8">
            <w:pPr>
              <w:pStyle w:val="TableTextRight"/>
            </w:pPr>
            <w:r w:rsidRPr="00717004">
              <w:t>157</w:t>
            </w:r>
          </w:p>
        </w:tc>
        <w:tc>
          <w:tcPr>
            <w:tcW w:w="1361" w:type="dxa"/>
          </w:tcPr>
          <w:p w14:paraId="5DA89E0A" w14:textId="77777777" w:rsidR="00856406" w:rsidRPr="00717004" w:rsidRDefault="00856406" w:rsidP="00720DB8">
            <w:pPr>
              <w:pStyle w:val="TableTextRight"/>
            </w:pPr>
            <w:r w:rsidRPr="00717004">
              <w:t>296</w:t>
            </w:r>
          </w:p>
        </w:tc>
        <w:tc>
          <w:tcPr>
            <w:tcW w:w="1361" w:type="dxa"/>
          </w:tcPr>
          <w:p w14:paraId="28C3CFE2" w14:textId="77777777" w:rsidR="00856406" w:rsidRPr="00717004" w:rsidRDefault="00856406" w:rsidP="00720DB8">
            <w:pPr>
              <w:pStyle w:val="TableTextRight"/>
            </w:pPr>
            <w:r w:rsidRPr="00717004">
              <w:t>293</w:t>
            </w:r>
          </w:p>
        </w:tc>
      </w:tr>
      <w:tr w:rsidR="00856406" w:rsidRPr="009C1F7F" w14:paraId="63206CE3" w14:textId="77777777" w:rsidTr="00720DB8">
        <w:trPr>
          <w:trHeight w:val="15"/>
        </w:trPr>
        <w:tc>
          <w:tcPr>
            <w:tcW w:w="4990" w:type="dxa"/>
          </w:tcPr>
          <w:p w14:paraId="6A65CDEE" w14:textId="77777777" w:rsidR="00856406" w:rsidRPr="00717004" w:rsidRDefault="00856406" w:rsidP="00720DB8">
            <w:pPr>
              <w:pStyle w:val="TableText"/>
              <w:rPr>
                <w:szCs w:val="20"/>
              </w:rPr>
            </w:pPr>
            <w:r>
              <w:rPr>
                <w:szCs w:val="20"/>
              </w:rPr>
              <w:t>Rooming houses registered</w:t>
            </w:r>
          </w:p>
        </w:tc>
        <w:tc>
          <w:tcPr>
            <w:tcW w:w="1361" w:type="dxa"/>
          </w:tcPr>
          <w:p w14:paraId="5E9A1D5E" w14:textId="77777777" w:rsidR="00856406" w:rsidRPr="00717004" w:rsidRDefault="00856406" w:rsidP="00720DB8">
            <w:pPr>
              <w:pStyle w:val="TableTextRight"/>
            </w:pPr>
            <w:r>
              <w:t>1,451</w:t>
            </w:r>
          </w:p>
        </w:tc>
        <w:tc>
          <w:tcPr>
            <w:tcW w:w="1361" w:type="dxa"/>
          </w:tcPr>
          <w:p w14:paraId="59658D4B" w14:textId="77777777" w:rsidR="00856406" w:rsidRPr="00717004" w:rsidRDefault="00856406" w:rsidP="00720DB8">
            <w:pPr>
              <w:pStyle w:val="TableTextRight"/>
            </w:pPr>
            <w:r>
              <w:t>1,541</w:t>
            </w:r>
          </w:p>
        </w:tc>
        <w:tc>
          <w:tcPr>
            <w:tcW w:w="1361" w:type="dxa"/>
          </w:tcPr>
          <w:p w14:paraId="27EA5089" w14:textId="77777777" w:rsidR="00856406" w:rsidRPr="00717004" w:rsidRDefault="00856406" w:rsidP="00720DB8">
            <w:pPr>
              <w:pStyle w:val="TableTextRight"/>
            </w:pPr>
            <w:r>
              <w:t>1,701</w:t>
            </w:r>
          </w:p>
        </w:tc>
      </w:tr>
      <w:tr w:rsidR="00856406" w:rsidRPr="009C1F7F" w14:paraId="4A3DDD3F" w14:textId="77777777" w:rsidTr="00720DB8">
        <w:trPr>
          <w:trHeight w:val="15"/>
        </w:trPr>
        <w:tc>
          <w:tcPr>
            <w:tcW w:w="4990" w:type="dxa"/>
            <w:gridSpan w:val="4"/>
            <w:shd w:val="clear" w:color="auto" w:fill="BCCAE5"/>
          </w:tcPr>
          <w:p w14:paraId="6DFE277D" w14:textId="77777777" w:rsidR="00856406" w:rsidRPr="00717004" w:rsidRDefault="00856406" w:rsidP="00720DB8">
            <w:pPr>
              <w:pStyle w:val="TableTextBold"/>
            </w:pPr>
            <w:r w:rsidRPr="00717004">
              <w:t>Transactions</w:t>
            </w:r>
          </w:p>
        </w:tc>
      </w:tr>
      <w:tr w:rsidR="00856406" w:rsidRPr="009C1F7F" w14:paraId="5D0EC3C9" w14:textId="77777777" w:rsidTr="00720DB8">
        <w:trPr>
          <w:trHeight w:val="15"/>
        </w:trPr>
        <w:tc>
          <w:tcPr>
            <w:tcW w:w="4990" w:type="dxa"/>
          </w:tcPr>
          <w:p w14:paraId="425D9706" w14:textId="77777777" w:rsidR="00856406" w:rsidRPr="00717004" w:rsidRDefault="00856406" w:rsidP="00720DB8">
            <w:pPr>
              <w:pStyle w:val="TableText"/>
            </w:pPr>
            <w:r w:rsidRPr="00717004">
              <w:rPr>
                <w:szCs w:val="20"/>
              </w:rPr>
              <w:t>Bonds</w:t>
            </w:r>
            <w:r>
              <w:rPr>
                <w:szCs w:val="20"/>
              </w:rPr>
              <w:t xml:space="preserve"> </w:t>
            </w:r>
            <w:r w:rsidRPr="00717004">
              <w:rPr>
                <w:szCs w:val="20"/>
              </w:rPr>
              <w:t>lodged</w:t>
            </w:r>
          </w:p>
        </w:tc>
        <w:tc>
          <w:tcPr>
            <w:tcW w:w="1361" w:type="dxa"/>
          </w:tcPr>
          <w:p w14:paraId="1B77928E" w14:textId="77777777" w:rsidR="00856406" w:rsidRPr="00717004" w:rsidRDefault="00856406" w:rsidP="00720DB8">
            <w:pPr>
              <w:pStyle w:val="TableTextRight"/>
            </w:pPr>
            <w:r w:rsidRPr="00717004">
              <w:t>255,722</w:t>
            </w:r>
          </w:p>
        </w:tc>
        <w:tc>
          <w:tcPr>
            <w:tcW w:w="1361" w:type="dxa"/>
          </w:tcPr>
          <w:p w14:paraId="553E0F1A" w14:textId="77777777" w:rsidR="00856406" w:rsidRPr="00717004" w:rsidRDefault="00856406" w:rsidP="00720DB8">
            <w:pPr>
              <w:pStyle w:val="TableTextRight"/>
            </w:pPr>
            <w:r w:rsidRPr="00717004">
              <w:t>245,744</w:t>
            </w:r>
          </w:p>
        </w:tc>
        <w:tc>
          <w:tcPr>
            <w:tcW w:w="1361" w:type="dxa"/>
          </w:tcPr>
          <w:p w14:paraId="48D63728" w14:textId="77777777" w:rsidR="00856406" w:rsidRPr="00717004" w:rsidRDefault="00856406" w:rsidP="00720DB8">
            <w:pPr>
              <w:pStyle w:val="TableTextRight"/>
            </w:pPr>
            <w:r w:rsidRPr="00717004">
              <w:t>254,125</w:t>
            </w:r>
          </w:p>
        </w:tc>
      </w:tr>
      <w:tr w:rsidR="00856406" w:rsidRPr="009C1F7F" w14:paraId="5DCB0B6A" w14:textId="77777777" w:rsidTr="00720DB8">
        <w:trPr>
          <w:trHeight w:val="15"/>
        </w:trPr>
        <w:tc>
          <w:tcPr>
            <w:tcW w:w="4990" w:type="dxa"/>
          </w:tcPr>
          <w:p w14:paraId="1A79D016" w14:textId="77777777" w:rsidR="00856406" w:rsidRPr="00717004" w:rsidRDefault="00856406" w:rsidP="00720DB8">
            <w:pPr>
              <w:pStyle w:val="TableText"/>
            </w:pPr>
            <w:r w:rsidRPr="00717004">
              <w:rPr>
                <w:szCs w:val="20"/>
              </w:rPr>
              <w:t>Bond</w:t>
            </w:r>
            <w:r>
              <w:rPr>
                <w:szCs w:val="20"/>
              </w:rPr>
              <w:t xml:space="preserve"> </w:t>
            </w:r>
            <w:r w:rsidRPr="00717004">
              <w:rPr>
                <w:szCs w:val="20"/>
              </w:rPr>
              <w:t>repayments</w:t>
            </w:r>
          </w:p>
        </w:tc>
        <w:tc>
          <w:tcPr>
            <w:tcW w:w="1361" w:type="dxa"/>
          </w:tcPr>
          <w:p w14:paraId="4E309C35" w14:textId="77777777" w:rsidR="00856406" w:rsidRPr="00717004" w:rsidRDefault="00856406" w:rsidP="00720DB8">
            <w:pPr>
              <w:pStyle w:val="TableTextRight"/>
            </w:pPr>
            <w:r w:rsidRPr="00717004">
              <w:t>224,127</w:t>
            </w:r>
          </w:p>
        </w:tc>
        <w:tc>
          <w:tcPr>
            <w:tcW w:w="1361" w:type="dxa"/>
          </w:tcPr>
          <w:p w14:paraId="39E56A48" w14:textId="77777777" w:rsidR="00856406" w:rsidRPr="00717004" w:rsidRDefault="00856406" w:rsidP="00720DB8">
            <w:pPr>
              <w:pStyle w:val="TableTextRight"/>
            </w:pPr>
            <w:r w:rsidRPr="00717004">
              <w:t>252,036</w:t>
            </w:r>
          </w:p>
        </w:tc>
        <w:tc>
          <w:tcPr>
            <w:tcW w:w="1361" w:type="dxa"/>
          </w:tcPr>
          <w:p w14:paraId="312B1B82" w14:textId="77777777" w:rsidR="00856406" w:rsidRPr="00717004" w:rsidRDefault="00856406" w:rsidP="00720DB8">
            <w:pPr>
              <w:pStyle w:val="TableTextRight"/>
            </w:pPr>
            <w:r w:rsidRPr="00717004">
              <w:t>249,891</w:t>
            </w:r>
          </w:p>
        </w:tc>
      </w:tr>
      <w:tr w:rsidR="00856406" w:rsidRPr="009C1F7F" w14:paraId="2A0DB865" w14:textId="77777777" w:rsidTr="00720DB8">
        <w:trPr>
          <w:trHeight w:val="15"/>
        </w:trPr>
        <w:tc>
          <w:tcPr>
            <w:tcW w:w="4990" w:type="dxa"/>
          </w:tcPr>
          <w:p w14:paraId="5181BC65" w14:textId="77777777" w:rsidR="00856406" w:rsidRPr="00717004" w:rsidRDefault="00856406" w:rsidP="00720DB8">
            <w:pPr>
              <w:pStyle w:val="TableText"/>
            </w:pPr>
            <w:r w:rsidRPr="00717004">
              <w:t>Bonds</w:t>
            </w:r>
            <w:r>
              <w:rPr>
                <w:szCs w:val="20"/>
              </w:rPr>
              <w:t xml:space="preserve"> </w:t>
            </w:r>
            <w:r w:rsidRPr="00717004">
              <w:rPr>
                <w:szCs w:val="20"/>
              </w:rPr>
              <w:t>transferred</w:t>
            </w:r>
          </w:p>
        </w:tc>
        <w:tc>
          <w:tcPr>
            <w:tcW w:w="1361" w:type="dxa"/>
          </w:tcPr>
          <w:p w14:paraId="79255531" w14:textId="77777777" w:rsidR="00856406" w:rsidRPr="00717004" w:rsidRDefault="00856406" w:rsidP="00720DB8">
            <w:pPr>
              <w:pStyle w:val="TableTextRight"/>
            </w:pPr>
            <w:r w:rsidRPr="00717004">
              <w:t>100,445</w:t>
            </w:r>
          </w:p>
        </w:tc>
        <w:tc>
          <w:tcPr>
            <w:tcW w:w="1361" w:type="dxa"/>
          </w:tcPr>
          <w:p w14:paraId="28422539" w14:textId="77777777" w:rsidR="00856406" w:rsidRPr="00717004" w:rsidRDefault="00856406" w:rsidP="00720DB8">
            <w:pPr>
              <w:pStyle w:val="TableTextRight"/>
            </w:pPr>
            <w:r w:rsidRPr="00717004">
              <w:t>120,006</w:t>
            </w:r>
          </w:p>
        </w:tc>
        <w:tc>
          <w:tcPr>
            <w:tcW w:w="1361" w:type="dxa"/>
          </w:tcPr>
          <w:p w14:paraId="0C9ACF41" w14:textId="77777777" w:rsidR="00856406" w:rsidRPr="00717004" w:rsidRDefault="00856406" w:rsidP="00720DB8">
            <w:pPr>
              <w:pStyle w:val="TableTextRight"/>
            </w:pPr>
            <w:r w:rsidRPr="00717004">
              <w:t>109,835</w:t>
            </w:r>
          </w:p>
        </w:tc>
      </w:tr>
      <w:tr w:rsidR="00856406" w:rsidRPr="009C1F7F" w14:paraId="536095F1" w14:textId="77777777" w:rsidTr="00720DB8">
        <w:trPr>
          <w:trHeight w:val="15"/>
        </w:trPr>
        <w:tc>
          <w:tcPr>
            <w:tcW w:w="4990" w:type="dxa"/>
          </w:tcPr>
          <w:p w14:paraId="6B67D4FA" w14:textId="77777777" w:rsidR="00856406" w:rsidRPr="00717004" w:rsidRDefault="00856406" w:rsidP="00720DB8">
            <w:pPr>
              <w:pStyle w:val="TableText"/>
            </w:pPr>
            <w:r w:rsidRPr="00717004">
              <w:rPr>
                <w:szCs w:val="20"/>
              </w:rPr>
              <w:t>Bonds</w:t>
            </w:r>
            <w:r>
              <w:rPr>
                <w:szCs w:val="20"/>
              </w:rPr>
              <w:t xml:space="preserve"> </w:t>
            </w:r>
            <w:r w:rsidRPr="00717004">
              <w:rPr>
                <w:szCs w:val="20"/>
              </w:rPr>
              <w:t>held</w:t>
            </w:r>
          </w:p>
        </w:tc>
        <w:tc>
          <w:tcPr>
            <w:tcW w:w="1361" w:type="dxa"/>
          </w:tcPr>
          <w:p w14:paraId="0962764E" w14:textId="77777777" w:rsidR="00856406" w:rsidRPr="00717004" w:rsidRDefault="00856406" w:rsidP="00720DB8">
            <w:pPr>
              <w:pStyle w:val="TableTextRight"/>
            </w:pPr>
            <w:r w:rsidRPr="00717004">
              <w:t>738,414</w:t>
            </w:r>
          </w:p>
        </w:tc>
        <w:tc>
          <w:tcPr>
            <w:tcW w:w="1361" w:type="dxa"/>
          </w:tcPr>
          <w:p w14:paraId="21614F00" w14:textId="77777777" w:rsidR="00856406" w:rsidRPr="00717004" w:rsidRDefault="00856406" w:rsidP="00720DB8">
            <w:pPr>
              <w:pStyle w:val="TableTextRight"/>
            </w:pPr>
            <w:r w:rsidRPr="00717004">
              <w:t>732,125</w:t>
            </w:r>
          </w:p>
        </w:tc>
        <w:tc>
          <w:tcPr>
            <w:tcW w:w="1361" w:type="dxa"/>
          </w:tcPr>
          <w:p w14:paraId="2D208379" w14:textId="77777777" w:rsidR="00856406" w:rsidRPr="00717004" w:rsidRDefault="00856406" w:rsidP="00720DB8">
            <w:pPr>
              <w:pStyle w:val="TableTextRight"/>
            </w:pPr>
            <w:r w:rsidRPr="00717004">
              <w:t>736,352</w:t>
            </w:r>
          </w:p>
        </w:tc>
      </w:tr>
      <w:tr w:rsidR="00856406" w:rsidRPr="009C1F7F" w14:paraId="6D00A5EF" w14:textId="77777777" w:rsidTr="00720DB8">
        <w:trPr>
          <w:trHeight w:val="15"/>
        </w:trPr>
        <w:tc>
          <w:tcPr>
            <w:tcW w:w="4990" w:type="dxa"/>
          </w:tcPr>
          <w:p w14:paraId="3B65285A" w14:textId="77777777" w:rsidR="00856406" w:rsidRPr="00717004" w:rsidRDefault="00856406" w:rsidP="00720DB8">
            <w:pPr>
              <w:pStyle w:val="TableText"/>
            </w:pPr>
            <w:r w:rsidRPr="00717004">
              <w:rPr>
                <w:szCs w:val="20"/>
              </w:rPr>
              <w:t>Value</w:t>
            </w:r>
            <w:r>
              <w:rPr>
                <w:szCs w:val="20"/>
              </w:rPr>
              <w:t xml:space="preserve"> </w:t>
            </w:r>
            <w:r w:rsidRPr="00717004">
              <w:rPr>
                <w:szCs w:val="20"/>
              </w:rPr>
              <w:t>held</w:t>
            </w:r>
          </w:p>
        </w:tc>
        <w:tc>
          <w:tcPr>
            <w:tcW w:w="1361" w:type="dxa"/>
          </w:tcPr>
          <w:p w14:paraId="32C9CA74" w14:textId="77777777" w:rsidR="00856406" w:rsidRPr="00717004" w:rsidRDefault="00856406" w:rsidP="00720DB8">
            <w:pPr>
              <w:pStyle w:val="TableTextRight"/>
            </w:pPr>
            <w:r w:rsidRPr="00717004">
              <w:t>$1</w:t>
            </w:r>
            <w:r>
              <w:t>.</w:t>
            </w:r>
            <w:r w:rsidRPr="00717004">
              <w:t>38</w:t>
            </w:r>
            <w:r>
              <w:t xml:space="preserve"> </w:t>
            </w:r>
            <w:r w:rsidRPr="00717004">
              <w:t>billion</w:t>
            </w:r>
          </w:p>
        </w:tc>
        <w:tc>
          <w:tcPr>
            <w:tcW w:w="1361" w:type="dxa"/>
          </w:tcPr>
          <w:p w14:paraId="0268A21B" w14:textId="77777777" w:rsidR="00856406" w:rsidRPr="00717004" w:rsidRDefault="00856406" w:rsidP="00720DB8">
            <w:pPr>
              <w:pStyle w:val="TableTextRight"/>
            </w:pPr>
            <w:r w:rsidRPr="00717004">
              <w:t>$1.46</w:t>
            </w:r>
            <w:r>
              <w:t xml:space="preserve"> </w:t>
            </w:r>
            <w:r w:rsidRPr="00717004">
              <w:t>billion</w:t>
            </w:r>
          </w:p>
        </w:tc>
        <w:tc>
          <w:tcPr>
            <w:tcW w:w="1361" w:type="dxa"/>
          </w:tcPr>
          <w:p w14:paraId="031F90BF" w14:textId="77777777" w:rsidR="00856406" w:rsidRPr="00717004" w:rsidRDefault="00856406" w:rsidP="00720DB8">
            <w:pPr>
              <w:pStyle w:val="TableTextRight"/>
            </w:pPr>
            <w:r w:rsidRPr="00717004">
              <w:t>$1.54</w:t>
            </w:r>
            <w:r>
              <w:t xml:space="preserve"> </w:t>
            </w:r>
            <w:r w:rsidRPr="00717004">
              <w:t>billion</w:t>
            </w:r>
          </w:p>
        </w:tc>
      </w:tr>
      <w:tr w:rsidR="00856406" w:rsidRPr="009C1F7F" w14:paraId="642DD559" w14:textId="77777777" w:rsidTr="00720DB8">
        <w:trPr>
          <w:trHeight w:val="15"/>
        </w:trPr>
        <w:tc>
          <w:tcPr>
            <w:tcW w:w="4990" w:type="dxa"/>
            <w:gridSpan w:val="4"/>
            <w:shd w:val="clear" w:color="auto" w:fill="BCCAE5"/>
            <w:hideMark/>
          </w:tcPr>
          <w:p w14:paraId="4CEABBA7" w14:textId="77777777" w:rsidR="00856406" w:rsidRPr="00717004" w:rsidRDefault="00856406" w:rsidP="00720DB8">
            <w:pPr>
              <w:pStyle w:val="TableTextBold"/>
            </w:pPr>
            <w:r w:rsidRPr="00717004">
              <w:t>Registration</w:t>
            </w:r>
            <w:r>
              <w:t xml:space="preserve"> </w:t>
            </w:r>
            <w:r w:rsidRPr="00717004">
              <w:t>and</w:t>
            </w:r>
            <w:r>
              <w:t xml:space="preserve"> </w:t>
            </w:r>
            <w:r w:rsidRPr="00717004">
              <w:t>licensing</w:t>
            </w:r>
            <w:r>
              <w:t xml:space="preserve"> </w:t>
            </w:r>
          </w:p>
        </w:tc>
      </w:tr>
      <w:tr w:rsidR="00856406" w:rsidRPr="009C1F7F" w14:paraId="5BACEB0F" w14:textId="77777777" w:rsidTr="00720DB8">
        <w:trPr>
          <w:trHeight w:val="15"/>
        </w:trPr>
        <w:tc>
          <w:tcPr>
            <w:tcW w:w="4990" w:type="dxa"/>
            <w:hideMark/>
          </w:tcPr>
          <w:p w14:paraId="4D5EB5CF" w14:textId="77777777" w:rsidR="00856406" w:rsidRPr="00717004" w:rsidRDefault="00856406" w:rsidP="00720DB8">
            <w:pPr>
              <w:pStyle w:val="TableText"/>
            </w:pPr>
            <w:r w:rsidRPr="00717004">
              <w:t>Annual</w:t>
            </w:r>
            <w:r>
              <w:t xml:space="preserve"> </w:t>
            </w:r>
            <w:r w:rsidRPr="00717004">
              <w:t>returns,</w:t>
            </w:r>
            <w:r>
              <w:t xml:space="preserve"> </w:t>
            </w:r>
            <w:r w:rsidRPr="00717004">
              <w:t>updates</w:t>
            </w:r>
            <w:r>
              <w:t xml:space="preserve"> </w:t>
            </w:r>
            <w:r w:rsidRPr="00717004">
              <w:t>or</w:t>
            </w:r>
            <w:r>
              <w:t xml:space="preserve"> </w:t>
            </w:r>
            <w:r w:rsidRPr="00717004">
              <w:t>cancellations</w:t>
            </w:r>
            <w:r>
              <w:t xml:space="preserve"> </w:t>
            </w:r>
            <w:r w:rsidRPr="00717004">
              <w:t>processed</w:t>
            </w:r>
            <w:r>
              <w:t xml:space="preserve"> </w:t>
            </w:r>
            <w:r w:rsidRPr="00717004">
              <w:t>for</w:t>
            </w:r>
            <w:r>
              <w:t xml:space="preserve"> </w:t>
            </w:r>
            <w:r w:rsidRPr="00717004">
              <w:t>incorporated</w:t>
            </w:r>
            <w:r>
              <w:t xml:space="preserve"> </w:t>
            </w:r>
            <w:r w:rsidRPr="00717004">
              <w:t>associations,</w:t>
            </w:r>
            <w:r>
              <w:t xml:space="preserve"> </w:t>
            </w:r>
            <w:r w:rsidRPr="00717004">
              <w:t>fundraisers,</w:t>
            </w:r>
            <w:r>
              <w:t xml:space="preserve"> </w:t>
            </w:r>
            <w:r w:rsidRPr="00717004">
              <w:t>and</w:t>
            </w:r>
            <w:r>
              <w:t xml:space="preserve"> </w:t>
            </w:r>
            <w:r w:rsidRPr="00717004">
              <w:t>co-operatives</w:t>
            </w:r>
            <w:r>
              <w:t xml:space="preserve"> </w:t>
            </w:r>
          </w:p>
        </w:tc>
        <w:tc>
          <w:tcPr>
            <w:tcW w:w="1361" w:type="dxa"/>
          </w:tcPr>
          <w:p w14:paraId="4571B76A" w14:textId="77777777" w:rsidR="00856406" w:rsidRPr="00717004" w:rsidRDefault="00856406" w:rsidP="00720DB8">
            <w:pPr>
              <w:pStyle w:val="TableTextRight"/>
            </w:pPr>
            <w:r w:rsidRPr="00717004">
              <w:t>50,532</w:t>
            </w:r>
          </w:p>
        </w:tc>
        <w:tc>
          <w:tcPr>
            <w:tcW w:w="1361" w:type="dxa"/>
          </w:tcPr>
          <w:p w14:paraId="369648F5" w14:textId="77777777" w:rsidR="00856406" w:rsidRPr="00717004" w:rsidRDefault="00856406" w:rsidP="00720DB8">
            <w:pPr>
              <w:pStyle w:val="TableTextRight"/>
            </w:pPr>
            <w:r w:rsidRPr="00717004">
              <w:t>50,793</w:t>
            </w:r>
          </w:p>
        </w:tc>
        <w:tc>
          <w:tcPr>
            <w:tcW w:w="1361" w:type="dxa"/>
          </w:tcPr>
          <w:p w14:paraId="3E79A49D" w14:textId="77777777" w:rsidR="00856406" w:rsidRPr="00717004" w:rsidRDefault="00856406" w:rsidP="00720DB8">
            <w:pPr>
              <w:pStyle w:val="TableTextRight"/>
            </w:pPr>
            <w:r w:rsidRPr="00717004">
              <w:t>51,769</w:t>
            </w:r>
          </w:p>
        </w:tc>
      </w:tr>
      <w:tr w:rsidR="00856406" w:rsidRPr="009C1F7F" w14:paraId="043AEBA4" w14:textId="77777777" w:rsidTr="00720DB8">
        <w:trPr>
          <w:trHeight w:val="15"/>
        </w:trPr>
        <w:tc>
          <w:tcPr>
            <w:tcW w:w="4990" w:type="dxa"/>
            <w:hideMark/>
          </w:tcPr>
          <w:p w14:paraId="13C277FE" w14:textId="77777777" w:rsidR="00856406" w:rsidRPr="00717004" w:rsidRDefault="00856406" w:rsidP="00720DB8">
            <w:pPr>
              <w:pStyle w:val="TableText"/>
            </w:pPr>
            <w:r w:rsidRPr="00717004">
              <w:t>Total</w:t>
            </w:r>
            <w:r>
              <w:t xml:space="preserve"> </w:t>
            </w:r>
            <w:r w:rsidRPr="00717004">
              <w:t>registration</w:t>
            </w:r>
            <w:r>
              <w:t xml:space="preserve"> </w:t>
            </w:r>
            <w:r w:rsidRPr="00717004">
              <w:t>and</w:t>
            </w:r>
            <w:r>
              <w:t xml:space="preserve"> </w:t>
            </w:r>
            <w:r w:rsidRPr="00717004">
              <w:t>licensing</w:t>
            </w:r>
            <w:r>
              <w:t xml:space="preserve"> </w:t>
            </w:r>
            <w:r w:rsidRPr="00717004">
              <w:t>transactions</w:t>
            </w:r>
            <w:r>
              <w:t xml:space="preserve"> </w:t>
            </w:r>
          </w:p>
        </w:tc>
        <w:tc>
          <w:tcPr>
            <w:tcW w:w="1361" w:type="dxa"/>
          </w:tcPr>
          <w:p w14:paraId="26820113" w14:textId="77777777" w:rsidR="00856406" w:rsidRPr="00717004" w:rsidRDefault="00856406" w:rsidP="00720DB8">
            <w:pPr>
              <w:pStyle w:val="TableTextRight"/>
            </w:pPr>
            <w:r w:rsidRPr="00717004">
              <w:t>106,065</w:t>
            </w:r>
          </w:p>
        </w:tc>
        <w:tc>
          <w:tcPr>
            <w:tcW w:w="1361" w:type="dxa"/>
          </w:tcPr>
          <w:p w14:paraId="646FF969" w14:textId="77777777" w:rsidR="00856406" w:rsidRPr="00717004" w:rsidRDefault="00856406" w:rsidP="00720DB8">
            <w:pPr>
              <w:pStyle w:val="TableTextRight"/>
            </w:pPr>
            <w:r w:rsidRPr="00717004">
              <w:t>107,943</w:t>
            </w:r>
          </w:p>
        </w:tc>
        <w:tc>
          <w:tcPr>
            <w:tcW w:w="1361" w:type="dxa"/>
          </w:tcPr>
          <w:p w14:paraId="36C0243C" w14:textId="77777777" w:rsidR="00856406" w:rsidRPr="00717004" w:rsidRDefault="00856406" w:rsidP="00720DB8">
            <w:pPr>
              <w:pStyle w:val="TableTextRight"/>
            </w:pPr>
            <w:r w:rsidRPr="00717004">
              <w:t>108,238</w:t>
            </w:r>
          </w:p>
        </w:tc>
      </w:tr>
    </w:tbl>
    <w:p w14:paraId="63673303" w14:textId="77777777" w:rsidR="00A02E61" w:rsidRPr="00A02E61" w:rsidRDefault="00A02E61" w:rsidP="00A02E61">
      <w:pPr>
        <w:pStyle w:val="BodyText"/>
      </w:pPr>
      <w:bookmarkStart w:id="62" w:name="_Toc204243166"/>
      <w:bookmarkStart w:id="63" w:name="_Toc211518578"/>
      <w:r w:rsidRPr="00A02E61">
        <w:br w:type="page"/>
      </w:r>
    </w:p>
    <w:p w14:paraId="636E9DE3" w14:textId="2C982243" w:rsidR="00856406" w:rsidRPr="00EB0C9A" w:rsidRDefault="00856406" w:rsidP="00447322">
      <w:pPr>
        <w:pStyle w:val="Heading2"/>
      </w:pPr>
      <w:bookmarkStart w:id="64" w:name="_Toc212562064"/>
      <w:r w:rsidRPr="00EB0C9A">
        <w:t>CAV</w:t>
      </w:r>
      <w:r>
        <w:t xml:space="preserve"> </w:t>
      </w:r>
      <w:r w:rsidRPr="00EB0C9A">
        <w:t>is</w:t>
      </w:r>
      <w:r>
        <w:t xml:space="preserve"> </w:t>
      </w:r>
      <w:r w:rsidRPr="00EB0C9A">
        <w:t>a</w:t>
      </w:r>
      <w:r>
        <w:t xml:space="preserve"> </w:t>
      </w:r>
      <w:r w:rsidRPr="00EB0C9A">
        <w:t>trusted</w:t>
      </w:r>
      <w:r>
        <w:t xml:space="preserve"> </w:t>
      </w:r>
      <w:r w:rsidRPr="00EB0C9A">
        <w:t>regulator</w:t>
      </w:r>
      <w:bookmarkEnd w:id="62"/>
      <w:bookmarkEnd w:id="63"/>
      <w:bookmarkEnd w:id="64"/>
    </w:p>
    <w:p w14:paraId="25ABE6DB" w14:textId="77777777" w:rsidR="00856406" w:rsidRPr="00EB0C9A" w:rsidRDefault="00856406" w:rsidP="00447322">
      <w:pPr>
        <w:pStyle w:val="Heading3"/>
      </w:pPr>
      <w:r w:rsidRPr="00EB0C9A">
        <w:t>Public</w:t>
      </w:r>
      <w:r>
        <w:t xml:space="preserve"> </w:t>
      </w:r>
      <w:r w:rsidRPr="00EB0C9A">
        <w:t>communication</w:t>
      </w:r>
      <w:r>
        <w:t xml:space="preserve"> </w:t>
      </w:r>
      <w:r w:rsidRPr="00EB0C9A">
        <w:t>and</w:t>
      </w:r>
      <w:r>
        <w:t xml:space="preserve"> </w:t>
      </w:r>
      <w:r w:rsidRPr="00EB0C9A">
        <w:t>education</w:t>
      </w:r>
    </w:p>
    <w:p w14:paraId="4EC42DC8" w14:textId="77777777" w:rsidR="00856406" w:rsidRDefault="00856406" w:rsidP="00F45F3A">
      <w:pPr>
        <w:pStyle w:val="BodyText"/>
      </w:pPr>
      <w:r w:rsidRPr="00717004">
        <w:t>CAV</w:t>
      </w:r>
      <w:r>
        <w:t xml:space="preserve"> uses a range of communication and media channels to raise awareness about consumer and renting rights, as well as how people can seek our help and support</w:t>
      </w:r>
      <w:r w:rsidRPr="00717004">
        <w:t>.</w:t>
      </w:r>
    </w:p>
    <w:p w14:paraId="571D43C5" w14:textId="4418AA10" w:rsidR="00856406" w:rsidRDefault="00856406" w:rsidP="00F45F3A">
      <w:pPr>
        <w:pStyle w:val="BodyText"/>
      </w:pPr>
      <w:r>
        <w:t xml:space="preserve">In </w:t>
      </w:r>
      <w:r w:rsidR="00EE79C3">
        <w:t>2024–25</w:t>
      </w:r>
      <w:r w:rsidRPr="00717004">
        <w:t>,</w:t>
      </w:r>
      <w:r>
        <w:t xml:space="preserve"> </w:t>
      </w:r>
      <w:r w:rsidRPr="00717004">
        <w:t>CAV</w:t>
      </w:r>
      <w:r>
        <w:t xml:space="preserve">’s communications focused on </w:t>
      </w:r>
      <w:r w:rsidRPr="00717004">
        <w:t>important</w:t>
      </w:r>
      <w:r>
        <w:t xml:space="preserve"> </w:t>
      </w:r>
      <w:r w:rsidRPr="00717004">
        <w:t>issues</w:t>
      </w:r>
      <w:r>
        <w:t xml:space="preserve"> such as rental rights, underquoting, unsafe products, </w:t>
      </w:r>
      <w:r w:rsidRPr="00717004">
        <w:t>and</w:t>
      </w:r>
      <w:r>
        <w:t xml:space="preserve"> </w:t>
      </w:r>
      <w:r w:rsidRPr="00717004">
        <w:t>scams.</w:t>
      </w:r>
    </w:p>
    <w:p w14:paraId="18BDCEE9" w14:textId="77777777" w:rsidR="00856406" w:rsidRDefault="00856406" w:rsidP="00F45F3A">
      <w:pPr>
        <w:pStyle w:val="BodyText"/>
      </w:pPr>
      <w:r>
        <w:t>Our most n</w:t>
      </w:r>
      <w:r w:rsidRPr="00717004">
        <w:t>otable</w:t>
      </w:r>
      <w:r>
        <w:t xml:space="preserve"> communications activity promoted the understanding of renting rights and responsibilities in Victoria. CAV supported </w:t>
      </w:r>
      <w:r w:rsidRPr="00717004">
        <w:t>the</w:t>
      </w:r>
      <w:r>
        <w:t xml:space="preserve"> </w:t>
      </w:r>
      <w:r w:rsidRPr="00717004">
        <w:t>launch</w:t>
      </w:r>
      <w:r>
        <w:t xml:space="preserve"> </w:t>
      </w:r>
      <w:r w:rsidRPr="00717004">
        <w:t>of</w:t>
      </w:r>
      <w:r>
        <w:t xml:space="preserve"> RDRV with </w:t>
      </w:r>
      <w:r w:rsidRPr="00717004">
        <w:t>a</w:t>
      </w:r>
      <w:r>
        <w:t xml:space="preserve">n updated </w:t>
      </w:r>
      <w:r w:rsidRPr="008338DC">
        <w:t>renters</w:t>
      </w:r>
      <w:r>
        <w:t xml:space="preserve">’ </w:t>
      </w:r>
      <w:r w:rsidRPr="00717004">
        <w:t>guide</w:t>
      </w:r>
      <w:r>
        <w:t xml:space="preserve"> </w:t>
      </w:r>
      <w:r w:rsidRPr="00717004">
        <w:t>and</w:t>
      </w:r>
      <w:r>
        <w:t xml:space="preserve"> materials</w:t>
      </w:r>
      <w:r w:rsidRPr="00717004">
        <w:t>.</w:t>
      </w:r>
      <w:r>
        <w:t xml:space="preserve"> We also </w:t>
      </w:r>
      <w:r w:rsidRPr="00543D26">
        <w:t>launched</w:t>
      </w:r>
      <w:r>
        <w:t xml:space="preserve"> </w:t>
      </w:r>
      <w:r w:rsidRPr="00543D26">
        <w:t>Funda-rentals,</w:t>
      </w:r>
      <w:r>
        <w:t xml:space="preserve"> </w:t>
      </w:r>
      <w:r w:rsidRPr="00543D26">
        <w:t>a</w:t>
      </w:r>
      <w:r>
        <w:t xml:space="preserve"> </w:t>
      </w:r>
      <w:r w:rsidRPr="00543D26">
        <w:t>multi-channel</w:t>
      </w:r>
      <w:r>
        <w:t xml:space="preserve"> </w:t>
      </w:r>
      <w:r w:rsidRPr="00543D26">
        <w:t>campaign</w:t>
      </w:r>
      <w:r>
        <w:t xml:space="preserve"> that ran </w:t>
      </w:r>
      <w:r w:rsidRPr="00543D26">
        <w:t>from</w:t>
      </w:r>
      <w:r>
        <w:t xml:space="preserve"> </w:t>
      </w:r>
      <w:r w:rsidRPr="00543D26">
        <w:t>1</w:t>
      </w:r>
      <w:r>
        <w:t xml:space="preserve"> </w:t>
      </w:r>
      <w:r w:rsidRPr="00543D26">
        <w:t>May</w:t>
      </w:r>
      <w:r>
        <w:t xml:space="preserve"> </w:t>
      </w:r>
      <w:r w:rsidRPr="00543D26">
        <w:t>to</w:t>
      </w:r>
      <w:r>
        <w:t xml:space="preserve"> </w:t>
      </w:r>
      <w:r w:rsidRPr="00543D26">
        <w:t>30</w:t>
      </w:r>
      <w:r>
        <w:t xml:space="preserve"> </w:t>
      </w:r>
      <w:r w:rsidRPr="00543D26">
        <w:t>June</w:t>
      </w:r>
      <w:r>
        <w:t xml:space="preserve"> </w:t>
      </w:r>
      <w:r w:rsidRPr="00543D26">
        <w:t>2025</w:t>
      </w:r>
      <w:r>
        <w:t xml:space="preserve"> </w:t>
      </w:r>
      <w:r w:rsidRPr="00543D26">
        <w:t>targeted</w:t>
      </w:r>
      <w:r>
        <w:t xml:space="preserve"> to </w:t>
      </w:r>
      <w:r w:rsidRPr="00543D26">
        <w:t>renters</w:t>
      </w:r>
      <w:r>
        <w:t xml:space="preserve"> </w:t>
      </w:r>
      <w:r w:rsidRPr="00543D26">
        <w:t>and</w:t>
      </w:r>
      <w:r>
        <w:t xml:space="preserve"> </w:t>
      </w:r>
      <w:r w:rsidRPr="00543D26">
        <w:t>rent</w:t>
      </w:r>
      <w:r>
        <w:t xml:space="preserve">al </w:t>
      </w:r>
      <w:r w:rsidRPr="00543D26">
        <w:t>providers,</w:t>
      </w:r>
      <w:r>
        <w:t xml:space="preserve"> </w:t>
      </w:r>
      <w:r w:rsidRPr="00543D26">
        <w:t>including</w:t>
      </w:r>
      <w:r>
        <w:t xml:space="preserve"> </w:t>
      </w:r>
      <w:r w:rsidRPr="00543D26">
        <w:t>real</w:t>
      </w:r>
      <w:r>
        <w:t xml:space="preserve"> </w:t>
      </w:r>
      <w:r w:rsidRPr="00543D26">
        <w:t>estate</w:t>
      </w:r>
      <w:r>
        <w:t xml:space="preserve"> </w:t>
      </w:r>
      <w:r w:rsidRPr="00543D26">
        <w:t>agents,</w:t>
      </w:r>
      <w:r>
        <w:t xml:space="preserve"> </w:t>
      </w:r>
      <w:r w:rsidRPr="00543D26">
        <w:t>multicultural</w:t>
      </w:r>
      <w:r>
        <w:t xml:space="preserve"> </w:t>
      </w:r>
      <w:r w:rsidRPr="00543D26">
        <w:t>audiences</w:t>
      </w:r>
      <w:r>
        <w:t xml:space="preserve"> </w:t>
      </w:r>
      <w:r w:rsidRPr="00543D26">
        <w:t>and</w:t>
      </w:r>
      <w:r>
        <w:t xml:space="preserve"> </w:t>
      </w:r>
      <w:r w:rsidRPr="00543D26">
        <w:t>regional</w:t>
      </w:r>
      <w:r>
        <w:t xml:space="preserve"> </w:t>
      </w:r>
      <w:r w:rsidRPr="00543D26">
        <w:t>audiences.</w:t>
      </w:r>
    </w:p>
    <w:p w14:paraId="44B77B2A" w14:textId="77777777" w:rsidR="00856406" w:rsidRDefault="00856406" w:rsidP="00F45F3A">
      <w:pPr>
        <w:pStyle w:val="BodyText"/>
      </w:pPr>
      <w:r w:rsidRPr="00543D26">
        <w:t>The</w:t>
      </w:r>
      <w:r>
        <w:t xml:space="preserve"> </w:t>
      </w:r>
      <w:r w:rsidRPr="00543D26">
        <w:t>Funda-rentals</w:t>
      </w:r>
      <w:r>
        <w:t xml:space="preserve"> </w:t>
      </w:r>
      <w:r w:rsidRPr="00543D26">
        <w:t>campaign</w:t>
      </w:r>
      <w:r>
        <w:t xml:space="preserve"> </w:t>
      </w:r>
      <w:r w:rsidRPr="00543D26">
        <w:t>aimed</w:t>
      </w:r>
      <w:r>
        <w:t xml:space="preserve"> </w:t>
      </w:r>
      <w:r w:rsidRPr="00543D26">
        <w:t>to</w:t>
      </w:r>
      <w:r>
        <w:t xml:space="preserve"> </w:t>
      </w:r>
      <w:r w:rsidRPr="00543D26">
        <w:t>build</w:t>
      </w:r>
      <w:r>
        <w:t xml:space="preserve"> </w:t>
      </w:r>
      <w:r w:rsidRPr="00543D26">
        <w:t>public</w:t>
      </w:r>
      <w:r>
        <w:t xml:space="preserve"> awareness and </w:t>
      </w:r>
      <w:r w:rsidRPr="00543D26">
        <w:t>confidence</w:t>
      </w:r>
      <w:r>
        <w:t xml:space="preserve"> </w:t>
      </w:r>
      <w:r w:rsidRPr="00543D26">
        <w:t>in</w:t>
      </w:r>
      <w:r>
        <w:t xml:space="preserve"> rights and responsibilities </w:t>
      </w:r>
      <w:r w:rsidRPr="00543D26">
        <w:t>in</w:t>
      </w:r>
      <w:r>
        <w:t xml:space="preserve"> </w:t>
      </w:r>
      <w:r w:rsidRPr="00543D26">
        <w:t>the</w:t>
      </w:r>
      <w:r>
        <w:t xml:space="preserve"> </w:t>
      </w:r>
      <w:r w:rsidRPr="00543D26">
        <w:t>rental</w:t>
      </w:r>
      <w:r>
        <w:t xml:space="preserve"> </w:t>
      </w:r>
      <w:r w:rsidRPr="00543D26">
        <w:t>market</w:t>
      </w:r>
      <w:r>
        <w:t xml:space="preserve">. It </w:t>
      </w:r>
      <w:r w:rsidRPr="00F34578">
        <w:t>delivered</w:t>
      </w:r>
      <w:r>
        <w:t xml:space="preserve"> </w:t>
      </w:r>
      <w:r w:rsidRPr="00F34578">
        <w:t>memorable,</w:t>
      </w:r>
      <w:r>
        <w:t xml:space="preserve"> </w:t>
      </w:r>
      <w:r w:rsidRPr="00F34578">
        <w:t>eye-catching</w:t>
      </w:r>
      <w:r>
        <w:t xml:space="preserve"> advertisements </w:t>
      </w:r>
      <w:r w:rsidRPr="00F34578">
        <w:t>across</w:t>
      </w:r>
      <w:r>
        <w:t xml:space="preserve"> </w:t>
      </w:r>
      <w:r w:rsidRPr="00F34578">
        <w:t>digital,</w:t>
      </w:r>
      <w:r>
        <w:t xml:space="preserve"> </w:t>
      </w:r>
      <w:r w:rsidRPr="00F34578">
        <w:t>social</w:t>
      </w:r>
      <w:r>
        <w:t xml:space="preserve"> media</w:t>
      </w:r>
      <w:r w:rsidRPr="00F34578">
        <w:t>,</w:t>
      </w:r>
      <w:r>
        <w:t xml:space="preserve"> </w:t>
      </w:r>
      <w:r w:rsidRPr="00F34578">
        <w:t>outdoor</w:t>
      </w:r>
      <w:r>
        <w:t xml:space="preserve"> </w:t>
      </w:r>
      <w:r w:rsidRPr="00F34578">
        <w:t>and</w:t>
      </w:r>
      <w:r>
        <w:t xml:space="preserve"> </w:t>
      </w:r>
      <w:r w:rsidRPr="00F34578">
        <w:t>video</w:t>
      </w:r>
      <w:r>
        <w:t xml:space="preserve"> </w:t>
      </w:r>
      <w:r w:rsidRPr="00F34578">
        <w:t>channels</w:t>
      </w:r>
      <w:r>
        <w:t xml:space="preserve">, always </w:t>
      </w:r>
      <w:r w:rsidRPr="00F34578">
        <w:t>direct</w:t>
      </w:r>
      <w:r>
        <w:t xml:space="preserve">ing Victorians back </w:t>
      </w:r>
      <w:r w:rsidRPr="00F34578">
        <w:t>to</w:t>
      </w:r>
      <w:r>
        <w:t xml:space="preserve"> </w:t>
      </w:r>
      <w:r w:rsidRPr="00F34578">
        <w:t>the</w:t>
      </w:r>
      <w:r>
        <w:t xml:space="preserve"> </w:t>
      </w:r>
      <w:r w:rsidRPr="00F34578">
        <w:t>dedicated</w:t>
      </w:r>
      <w:r>
        <w:t xml:space="preserve"> </w:t>
      </w:r>
      <w:r w:rsidRPr="00F34578">
        <w:t>Funda-rentals</w:t>
      </w:r>
      <w:r>
        <w:t xml:space="preserve"> </w:t>
      </w:r>
      <w:r w:rsidRPr="00F34578">
        <w:t>webpage,</w:t>
      </w:r>
      <w:r>
        <w:t xml:space="preserve"> </w:t>
      </w:r>
      <w:r w:rsidRPr="00F34578">
        <w:t>which</w:t>
      </w:r>
      <w:r>
        <w:t xml:space="preserve"> </w:t>
      </w:r>
      <w:r w:rsidRPr="00F34578">
        <w:t>provides</w:t>
      </w:r>
      <w:r>
        <w:t xml:space="preserve"> </w:t>
      </w:r>
      <w:r w:rsidRPr="00F34578">
        <w:t>comprehensive</w:t>
      </w:r>
      <w:r>
        <w:t xml:space="preserve"> </w:t>
      </w:r>
      <w:r w:rsidRPr="00F34578">
        <w:t>and</w:t>
      </w:r>
      <w:r>
        <w:t xml:space="preserve"> </w:t>
      </w:r>
      <w:r w:rsidRPr="00F34578">
        <w:t>accessible</w:t>
      </w:r>
      <w:r>
        <w:t xml:space="preserve"> </w:t>
      </w:r>
      <w:r w:rsidRPr="00F34578">
        <w:t>information</w:t>
      </w:r>
      <w:r>
        <w:t xml:space="preserve"> </w:t>
      </w:r>
      <w:r w:rsidRPr="00F34578">
        <w:t>for</w:t>
      </w:r>
      <w:r>
        <w:t xml:space="preserve"> </w:t>
      </w:r>
      <w:r w:rsidRPr="00F34578">
        <w:t>both</w:t>
      </w:r>
      <w:r>
        <w:t xml:space="preserve"> </w:t>
      </w:r>
      <w:r w:rsidRPr="00F34578">
        <w:t>renters</w:t>
      </w:r>
      <w:r>
        <w:t xml:space="preserve"> </w:t>
      </w:r>
      <w:r w:rsidRPr="00F34578">
        <w:t>and</w:t>
      </w:r>
      <w:r>
        <w:t xml:space="preserve"> </w:t>
      </w:r>
      <w:r w:rsidRPr="00F34578">
        <w:t>rental</w:t>
      </w:r>
      <w:r>
        <w:t xml:space="preserve"> </w:t>
      </w:r>
      <w:r w:rsidRPr="00F34578">
        <w:t>providers</w:t>
      </w:r>
      <w:r>
        <w:t xml:space="preserve">. </w:t>
      </w:r>
      <w:r w:rsidRPr="00511A5D">
        <w:t>The</w:t>
      </w:r>
      <w:r>
        <w:t xml:space="preserve"> </w:t>
      </w:r>
      <w:r w:rsidRPr="00511A5D">
        <w:t>campaign</w:t>
      </w:r>
      <w:r>
        <w:t xml:space="preserve"> </w:t>
      </w:r>
      <w:r w:rsidRPr="00511A5D">
        <w:t>delivered</w:t>
      </w:r>
      <w:r>
        <w:t xml:space="preserve"> </w:t>
      </w:r>
      <w:r w:rsidRPr="00511A5D">
        <w:t>strong</w:t>
      </w:r>
      <w:r>
        <w:t xml:space="preserve"> </w:t>
      </w:r>
      <w:r w:rsidRPr="00511A5D">
        <w:t>results</w:t>
      </w:r>
      <w:r>
        <w:t xml:space="preserve"> </w:t>
      </w:r>
      <w:r w:rsidRPr="00511A5D">
        <w:t>across</w:t>
      </w:r>
      <w:r>
        <w:t xml:space="preserve"> </w:t>
      </w:r>
      <w:r w:rsidRPr="00511A5D">
        <w:t>all</w:t>
      </w:r>
      <w:r>
        <w:t xml:space="preserve"> </w:t>
      </w:r>
      <w:r w:rsidRPr="00511A5D">
        <w:t>channels</w:t>
      </w:r>
      <w:r>
        <w:t xml:space="preserve">, </w:t>
      </w:r>
      <w:r w:rsidRPr="00511A5D">
        <w:t>reaching</w:t>
      </w:r>
      <w:r>
        <w:t xml:space="preserve"> </w:t>
      </w:r>
      <w:r w:rsidRPr="00511A5D">
        <w:t>people</w:t>
      </w:r>
      <w:r>
        <w:t xml:space="preserve"> </w:t>
      </w:r>
      <w:r w:rsidRPr="00511A5D">
        <w:t>more</w:t>
      </w:r>
      <w:r>
        <w:t xml:space="preserve"> </w:t>
      </w:r>
      <w:r w:rsidRPr="00511A5D">
        <w:t>than</w:t>
      </w:r>
      <w:r>
        <w:t xml:space="preserve"> </w:t>
      </w:r>
      <w:r w:rsidRPr="00511A5D">
        <w:t>39.2</w:t>
      </w:r>
      <w:r>
        <w:t xml:space="preserve"> </w:t>
      </w:r>
      <w:r w:rsidRPr="00511A5D">
        <w:t>million</w:t>
      </w:r>
      <w:r>
        <w:t xml:space="preserve"> </w:t>
      </w:r>
      <w:r w:rsidRPr="00511A5D">
        <w:t>times</w:t>
      </w:r>
      <w:r>
        <w:t xml:space="preserve"> </w:t>
      </w:r>
      <w:r w:rsidRPr="00511A5D">
        <w:t>through</w:t>
      </w:r>
      <w:r>
        <w:t xml:space="preserve"> </w:t>
      </w:r>
      <w:r w:rsidRPr="00511A5D">
        <w:t>digital,</w:t>
      </w:r>
      <w:r>
        <w:t xml:space="preserve"> </w:t>
      </w:r>
      <w:r w:rsidRPr="00511A5D">
        <w:t>outdoor</w:t>
      </w:r>
      <w:r>
        <w:t xml:space="preserve"> </w:t>
      </w:r>
      <w:r w:rsidRPr="00511A5D">
        <w:t>and</w:t>
      </w:r>
      <w:r>
        <w:t xml:space="preserve"> </w:t>
      </w:r>
      <w:r w:rsidRPr="00511A5D">
        <w:t>radio</w:t>
      </w:r>
      <w:r>
        <w:t xml:space="preserve"> </w:t>
      </w:r>
      <w:r w:rsidRPr="00511A5D">
        <w:t>advertising.</w:t>
      </w:r>
    </w:p>
    <w:p w14:paraId="4DFCCEC7" w14:textId="33A48F77" w:rsidR="00856406" w:rsidRPr="00717004" w:rsidRDefault="00856406" w:rsidP="00F45F3A">
      <w:pPr>
        <w:pStyle w:val="BodyText"/>
      </w:pPr>
      <w:r w:rsidRPr="00717004">
        <w:t>Throughout</w:t>
      </w:r>
      <w:r>
        <w:t xml:space="preserve"> </w:t>
      </w:r>
      <w:r w:rsidR="00EE79C3">
        <w:t>2024–25</w:t>
      </w:r>
      <w:r w:rsidRPr="00717004">
        <w:t>,</w:t>
      </w:r>
      <w:r>
        <w:t xml:space="preserve"> </w:t>
      </w:r>
      <w:r w:rsidRPr="00717004">
        <w:t>CAV</w:t>
      </w:r>
      <w:r>
        <w:t xml:space="preserve"> </w:t>
      </w:r>
      <w:r w:rsidRPr="00717004">
        <w:t>Director</w:t>
      </w:r>
      <w:r>
        <w:t xml:space="preserve"> </w:t>
      </w:r>
      <w:r w:rsidRPr="00717004">
        <w:t>Nicole</w:t>
      </w:r>
      <w:r>
        <w:t xml:space="preserve"> </w:t>
      </w:r>
      <w:r w:rsidRPr="00717004">
        <w:t>Rich</w:t>
      </w:r>
      <w:r>
        <w:t xml:space="preserve"> regularly appeared </w:t>
      </w:r>
      <w:r w:rsidRPr="00717004">
        <w:t>on</w:t>
      </w:r>
      <w:r>
        <w:t xml:space="preserve"> </w:t>
      </w:r>
      <w:r w:rsidRPr="00717004">
        <w:t>radio</w:t>
      </w:r>
      <w:r>
        <w:t xml:space="preserve"> </w:t>
      </w:r>
      <w:r w:rsidRPr="00717004">
        <w:t>(including</w:t>
      </w:r>
      <w:r>
        <w:t xml:space="preserve"> regular </w:t>
      </w:r>
      <w:r w:rsidRPr="00717004">
        <w:t>slot</w:t>
      </w:r>
      <w:r>
        <w:t xml:space="preserve">s </w:t>
      </w:r>
      <w:r w:rsidRPr="00717004">
        <w:t>on</w:t>
      </w:r>
      <w:r>
        <w:t xml:space="preserve"> </w:t>
      </w:r>
      <w:r w:rsidRPr="00717004">
        <w:t>Joy</w:t>
      </w:r>
      <w:r>
        <w:t xml:space="preserve"> </w:t>
      </w:r>
      <w:r w:rsidRPr="00717004">
        <w:t>FM</w:t>
      </w:r>
      <w:r>
        <w:t xml:space="preserve"> and ABC Radio Melbourne</w:t>
      </w:r>
      <w:r w:rsidRPr="00717004">
        <w:t>),</w:t>
      </w:r>
      <w:r>
        <w:t xml:space="preserve"> </w:t>
      </w:r>
      <w:r w:rsidRPr="00717004">
        <w:t>television</w:t>
      </w:r>
      <w:r>
        <w:t xml:space="preserve"> </w:t>
      </w:r>
      <w:r w:rsidRPr="00717004">
        <w:t>and</w:t>
      </w:r>
      <w:r>
        <w:t xml:space="preserve"> in </w:t>
      </w:r>
      <w:r w:rsidRPr="00717004">
        <w:t>newspapers</w:t>
      </w:r>
      <w:r>
        <w:t xml:space="preserve">, to educate </w:t>
      </w:r>
      <w:r w:rsidRPr="00717004">
        <w:t>consumers</w:t>
      </w:r>
      <w:r>
        <w:t xml:space="preserve"> on </w:t>
      </w:r>
      <w:r w:rsidRPr="00717004">
        <w:t>unfair</w:t>
      </w:r>
      <w:r>
        <w:t xml:space="preserve"> </w:t>
      </w:r>
      <w:r w:rsidRPr="00717004">
        <w:t>and</w:t>
      </w:r>
      <w:r>
        <w:t xml:space="preserve"> </w:t>
      </w:r>
      <w:r w:rsidRPr="00717004">
        <w:t>unsafe</w:t>
      </w:r>
      <w:r>
        <w:t xml:space="preserve"> </w:t>
      </w:r>
      <w:r w:rsidRPr="00717004">
        <w:t>practi</w:t>
      </w:r>
      <w:r>
        <w:t>c</w:t>
      </w:r>
      <w:r w:rsidRPr="00717004">
        <w:t>es</w:t>
      </w:r>
      <w:r>
        <w:t xml:space="preserve"> </w:t>
      </w:r>
      <w:r w:rsidRPr="00717004">
        <w:t>in</w:t>
      </w:r>
      <w:r>
        <w:t xml:space="preserve"> </w:t>
      </w:r>
      <w:r w:rsidRPr="00717004">
        <w:t>the</w:t>
      </w:r>
      <w:r>
        <w:t xml:space="preserve"> </w:t>
      </w:r>
      <w:r w:rsidRPr="00717004">
        <w:t>market,</w:t>
      </w:r>
      <w:r>
        <w:t xml:space="preserve"> including how to </w:t>
      </w:r>
      <w:r w:rsidRPr="00717004">
        <w:t>exercise</w:t>
      </w:r>
      <w:r>
        <w:t xml:space="preserve"> their </w:t>
      </w:r>
      <w:r w:rsidRPr="00717004">
        <w:t>rights.</w:t>
      </w:r>
      <w:r>
        <w:t xml:space="preserve"> </w:t>
      </w:r>
      <w:r w:rsidRPr="00717004">
        <w:t>By</w:t>
      </w:r>
      <w:r>
        <w:t xml:space="preserve"> </w:t>
      </w:r>
      <w:r w:rsidRPr="00717004">
        <w:t>addressing</w:t>
      </w:r>
      <w:r>
        <w:t xml:space="preserve"> </w:t>
      </w:r>
      <w:r w:rsidRPr="00717004">
        <w:t>critical</w:t>
      </w:r>
      <w:r>
        <w:t xml:space="preserve"> </w:t>
      </w:r>
      <w:r w:rsidRPr="00717004">
        <w:t>issues</w:t>
      </w:r>
      <w:r>
        <w:t xml:space="preserve"> </w:t>
      </w:r>
      <w:r w:rsidRPr="00717004">
        <w:t>and</w:t>
      </w:r>
      <w:r>
        <w:t xml:space="preserve"> </w:t>
      </w:r>
      <w:r w:rsidRPr="00717004">
        <w:t>maintaining</w:t>
      </w:r>
      <w:r>
        <w:t xml:space="preserve"> </w:t>
      </w:r>
      <w:r w:rsidRPr="00717004">
        <w:t>an</w:t>
      </w:r>
      <w:r>
        <w:t xml:space="preserve"> </w:t>
      </w:r>
      <w:r w:rsidRPr="00717004">
        <w:t>active</w:t>
      </w:r>
      <w:r>
        <w:t xml:space="preserve"> </w:t>
      </w:r>
      <w:r w:rsidRPr="00717004">
        <w:t>public</w:t>
      </w:r>
      <w:r>
        <w:t xml:space="preserve"> </w:t>
      </w:r>
      <w:r w:rsidRPr="00717004">
        <w:t>presence,</w:t>
      </w:r>
      <w:r>
        <w:t xml:space="preserve"> </w:t>
      </w:r>
      <w:r w:rsidRPr="00717004">
        <w:t>CAV</w:t>
      </w:r>
      <w:r>
        <w:t xml:space="preserve"> </w:t>
      </w:r>
      <w:r w:rsidRPr="00717004">
        <w:t>maximises</w:t>
      </w:r>
      <w:r>
        <w:t xml:space="preserve"> </w:t>
      </w:r>
      <w:r w:rsidRPr="00717004">
        <w:t>its</w:t>
      </w:r>
      <w:r>
        <w:t xml:space="preserve"> </w:t>
      </w:r>
      <w:r w:rsidRPr="00717004">
        <w:t>impact</w:t>
      </w:r>
      <w:r>
        <w:t xml:space="preserve"> </w:t>
      </w:r>
      <w:r w:rsidRPr="00717004">
        <w:t>as</w:t>
      </w:r>
      <w:r>
        <w:t xml:space="preserve"> a </w:t>
      </w:r>
      <w:r w:rsidRPr="00717004">
        <w:t>regulator</w:t>
      </w:r>
      <w:r>
        <w:t xml:space="preserve"> </w:t>
      </w:r>
      <w:r w:rsidRPr="00717004">
        <w:t>committed</w:t>
      </w:r>
      <w:r>
        <w:t xml:space="preserve"> </w:t>
      </w:r>
      <w:r w:rsidRPr="00717004">
        <w:t>to</w:t>
      </w:r>
      <w:r>
        <w:t xml:space="preserve"> </w:t>
      </w:r>
      <w:r w:rsidRPr="00717004">
        <w:t>protecting</w:t>
      </w:r>
      <w:r>
        <w:t xml:space="preserve"> </w:t>
      </w:r>
      <w:r w:rsidRPr="00717004">
        <w:t>Victorian</w:t>
      </w:r>
      <w:r>
        <w:t xml:space="preserve"> </w:t>
      </w:r>
      <w:r w:rsidRPr="00717004">
        <w:t>consumers</w:t>
      </w:r>
      <w:r>
        <w:t xml:space="preserve"> </w:t>
      </w:r>
      <w:r w:rsidRPr="00717004">
        <w:t>and</w:t>
      </w:r>
      <w:r>
        <w:t xml:space="preserve"> </w:t>
      </w:r>
      <w:r w:rsidRPr="00717004">
        <w:t>renters.</w:t>
      </w:r>
    </w:p>
    <w:p w14:paraId="76957DEF" w14:textId="77777777" w:rsidR="00856406" w:rsidRDefault="00856406" w:rsidP="00447322">
      <w:pPr>
        <w:pStyle w:val="Heading3"/>
      </w:pPr>
      <w:r w:rsidRPr="00EB0C9A">
        <w:t>Interim</w:t>
      </w:r>
      <w:r>
        <w:t xml:space="preserve"> </w:t>
      </w:r>
      <w:r w:rsidRPr="00EB0C9A">
        <w:t>machete</w:t>
      </w:r>
      <w:r>
        <w:t xml:space="preserve"> supply </w:t>
      </w:r>
      <w:r w:rsidRPr="00EB0C9A">
        <w:t>ban</w:t>
      </w:r>
      <w:r>
        <w:t xml:space="preserve"> </w:t>
      </w:r>
      <w:r w:rsidRPr="00EB0C9A">
        <w:t>and</w:t>
      </w:r>
      <w:r>
        <w:t xml:space="preserve"> </w:t>
      </w:r>
      <w:r>
        <w:rPr>
          <w:rFonts w:hint="eastAsia"/>
        </w:rPr>
        <w:t>taskforce</w:t>
      </w:r>
    </w:p>
    <w:p w14:paraId="600D2B44" w14:textId="77777777" w:rsidR="00856406" w:rsidRDefault="00856406" w:rsidP="00F45F3A">
      <w:pPr>
        <w:pStyle w:val="BodyText"/>
      </w:pPr>
      <w:r>
        <w:t xml:space="preserve">The Minister for Consumer Affairs imposed an </w:t>
      </w:r>
      <w:r w:rsidRPr="007663AD">
        <w:t>urgent</w:t>
      </w:r>
      <w:r>
        <w:t xml:space="preserve"> </w:t>
      </w:r>
      <w:r w:rsidRPr="007663AD">
        <w:t>interim</w:t>
      </w:r>
      <w:r>
        <w:t xml:space="preserve"> </w:t>
      </w:r>
      <w:r w:rsidRPr="007663AD">
        <w:t>ban</w:t>
      </w:r>
      <w:r>
        <w:t xml:space="preserve"> under the Australian Consumer Law </w:t>
      </w:r>
      <w:r w:rsidRPr="007663AD">
        <w:t>on</w:t>
      </w:r>
      <w:r>
        <w:t xml:space="preserve"> </w:t>
      </w:r>
      <w:r w:rsidRPr="007663AD">
        <w:t>the</w:t>
      </w:r>
      <w:r>
        <w:t xml:space="preserve"> supply </w:t>
      </w:r>
      <w:r w:rsidRPr="007663AD">
        <w:t>of</w:t>
      </w:r>
      <w:r>
        <w:t xml:space="preserve"> </w:t>
      </w:r>
      <w:r w:rsidRPr="007663AD">
        <w:t>machetes</w:t>
      </w:r>
      <w:r>
        <w:t xml:space="preserve"> </w:t>
      </w:r>
      <w:r w:rsidRPr="007663AD">
        <w:t>in</w:t>
      </w:r>
      <w:r>
        <w:t xml:space="preserve"> </w:t>
      </w:r>
      <w:r w:rsidRPr="007663AD">
        <w:t>Victoria</w:t>
      </w:r>
      <w:r>
        <w:t xml:space="preserve"> </w:t>
      </w:r>
      <w:r w:rsidRPr="007663AD">
        <w:t>on</w:t>
      </w:r>
      <w:r>
        <w:t xml:space="preserve"> </w:t>
      </w:r>
      <w:r w:rsidRPr="007663AD">
        <w:t>28</w:t>
      </w:r>
      <w:r>
        <w:t xml:space="preserve"> </w:t>
      </w:r>
      <w:r w:rsidRPr="007663AD">
        <w:t>May</w:t>
      </w:r>
      <w:r>
        <w:t xml:space="preserve"> </w:t>
      </w:r>
      <w:r w:rsidRPr="007663AD">
        <w:t>2025</w:t>
      </w:r>
      <w:r>
        <w:t xml:space="preserve">, </w:t>
      </w:r>
      <w:r w:rsidRPr="006651E8">
        <w:t>to</w:t>
      </w:r>
      <w:r>
        <w:t xml:space="preserve"> </w:t>
      </w:r>
      <w:r w:rsidRPr="006651E8">
        <w:t>protect</w:t>
      </w:r>
      <w:r>
        <w:t xml:space="preserve"> </w:t>
      </w:r>
      <w:r w:rsidRPr="006651E8">
        <w:t>the</w:t>
      </w:r>
      <w:r>
        <w:t xml:space="preserve"> </w:t>
      </w:r>
      <w:r w:rsidRPr="006651E8">
        <w:t>community</w:t>
      </w:r>
      <w:r>
        <w:t xml:space="preserve"> </w:t>
      </w:r>
      <w:r w:rsidRPr="006651E8">
        <w:t>from</w:t>
      </w:r>
      <w:r>
        <w:t xml:space="preserve"> </w:t>
      </w:r>
      <w:r w:rsidRPr="006651E8">
        <w:t>the</w:t>
      </w:r>
      <w:r>
        <w:t xml:space="preserve"> </w:t>
      </w:r>
      <w:r w:rsidRPr="006651E8">
        <w:t>risk</w:t>
      </w:r>
      <w:r>
        <w:t xml:space="preserve"> </w:t>
      </w:r>
      <w:r w:rsidRPr="006651E8">
        <w:t>of</w:t>
      </w:r>
      <w:r>
        <w:t xml:space="preserve"> </w:t>
      </w:r>
      <w:r w:rsidRPr="006651E8">
        <w:t>injury</w:t>
      </w:r>
      <w:r>
        <w:t xml:space="preserve"> </w:t>
      </w:r>
      <w:r w:rsidRPr="006651E8">
        <w:t>or</w:t>
      </w:r>
      <w:r>
        <w:t xml:space="preserve"> </w:t>
      </w:r>
      <w:r w:rsidRPr="006651E8">
        <w:t>death</w:t>
      </w:r>
      <w:r>
        <w:t xml:space="preserve"> </w:t>
      </w:r>
      <w:r w:rsidRPr="006651E8">
        <w:t>from</w:t>
      </w:r>
      <w:r>
        <w:t xml:space="preserve"> </w:t>
      </w:r>
      <w:r w:rsidRPr="006651E8">
        <w:t>use</w:t>
      </w:r>
      <w:r>
        <w:t xml:space="preserve"> </w:t>
      </w:r>
      <w:r w:rsidRPr="006651E8">
        <w:t>or</w:t>
      </w:r>
      <w:r>
        <w:t xml:space="preserve"> </w:t>
      </w:r>
      <w:r w:rsidRPr="006651E8">
        <w:t>misuse</w:t>
      </w:r>
      <w:r>
        <w:t xml:space="preserve"> </w:t>
      </w:r>
      <w:r w:rsidRPr="006651E8">
        <w:t>of</w:t>
      </w:r>
      <w:r>
        <w:t xml:space="preserve"> </w:t>
      </w:r>
      <w:r w:rsidRPr="006651E8">
        <w:t>these</w:t>
      </w:r>
      <w:r>
        <w:t xml:space="preserve"> </w:t>
      </w:r>
      <w:r w:rsidRPr="006651E8">
        <w:t>goods</w:t>
      </w:r>
      <w:r>
        <w:t xml:space="preserve">. The ban was in place until 1 September 2025 and </w:t>
      </w:r>
      <w:r w:rsidRPr="007663AD" w:rsidDel="00DD76B4">
        <w:t>applie</w:t>
      </w:r>
      <w:r w:rsidDel="00DD76B4">
        <w:t>d</w:t>
      </w:r>
      <w:r>
        <w:t xml:space="preserve"> </w:t>
      </w:r>
      <w:r w:rsidRPr="007663AD" w:rsidDel="00DD76B4">
        <w:t>to</w:t>
      </w:r>
      <w:r>
        <w:t xml:space="preserve"> </w:t>
      </w:r>
      <w:r w:rsidRPr="007663AD" w:rsidDel="00DD76B4">
        <w:t>all</w:t>
      </w:r>
      <w:r>
        <w:t xml:space="preserve"> </w:t>
      </w:r>
      <w:r w:rsidRPr="007663AD" w:rsidDel="00DD76B4">
        <w:t>machetes,</w:t>
      </w:r>
      <w:r>
        <w:t xml:space="preserve"> defined as large broad-bladed cutting knives.</w:t>
      </w:r>
    </w:p>
    <w:p w14:paraId="7441A9D7" w14:textId="77777777" w:rsidR="00856406" w:rsidRDefault="00856406" w:rsidP="00F45F3A">
      <w:pPr>
        <w:pStyle w:val="BodyText"/>
      </w:pPr>
      <w:r>
        <w:t>Product safety bans under the Australian Consumer Law apply to all supply or offers to supply in Victoria, whether sold in person or online. This means it was unlawful for online retailers to sell machetes into Victoria during the interim ban, and it was also unlawful to export machetes from Victoria.</w:t>
      </w:r>
    </w:p>
    <w:p w14:paraId="161D8AA7" w14:textId="77777777" w:rsidR="00856406" w:rsidRDefault="00856406" w:rsidP="00F45F3A">
      <w:pPr>
        <w:pStyle w:val="BodyText"/>
      </w:pPr>
      <w:r>
        <w:t xml:space="preserve">CAV </w:t>
      </w:r>
      <w:r w:rsidRPr="007663AD">
        <w:t>played</w:t>
      </w:r>
      <w:r>
        <w:t xml:space="preserve"> </w:t>
      </w:r>
      <w:r w:rsidRPr="007663AD">
        <w:t>a</w:t>
      </w:r>
      <w:r>
        <w:t xml:space="preserve"> </w:t>
      </w:r>
      <w:r w:rsidRPr="007663AD">
        <w:t>pivotal</w:t>
      </w:r>
      <w:r>
        <w:t xml:space="preserve"> </w:t>
      </w:r>
      <w:r w:rsidRPr="007663AD">
        <w:t>role</w:t>
      </w:r>
      <w:r>
        <w:t xml:space="preserve"> </w:t>
      </w:r>
      <w:r w:rsidRPr="007663AD">
        <w:t>in</w:t>
      </w:r>
      <w:r>
        <w:t xml:space="preserve"> </w:t>
      </w:r>
      <w:r w:rsidRPr="007663AD">
        <w:t>enforcing</w:t>
      </w:r>
      <w:r>
        <w:t xml:space="preserve"> </w:t>
      </w:r>
      <w:r w:rsidRPr="007663AD">
        <w:t>the</w:t>
      </w:r>
      <w:r>
        <w:t xml:space="preserve"> </w:t>
      </w:r>
      <w:r w:rsidRPr="007663AD">
        <w:t>ban,</w:t>
      </w:r>
      <w:r>
        <w:t xml:space="preserve"> </w:t>
      </w:r>
      <w:r w:rsidRPr="007663AD">
        <w:t>forming</w:t>
      </w:r>
      <w:r>
        <w:t xml:space="preserve"> </w:t>
      </w:r>
      <w:r w:rsidRPr="007663AD">
        <w:t>a</w:t>
      </w:r>
      <w:r>
        <w:t xml:space="preserve"> </w:t>
      </w:r>
      <w:r w:rsidRPr="007663AD">
        <w:t>dedicated</w:t>
      </w:r>
      <w:r>
        <w:t xml:space="preserve"> taskforce </w:t>
      </w:r>
      <w:r w:rsidRPr="007663AD">
        <w:t>of</w:t>
      </w:r>
      <w:r>
        <w:t xml:space="preserve"> </w:t>
      </w:r>
      <w:r w:rsidRPr="007663AD">
        <w:t>experienced</w:t>
      </w:r>
      <w:r>
        <w:t xml:space="preserve"> </w:t>
      </w:r>
      <w:r w:rsidRPr="007663AD">
        <w:t>officers</w:t>
      </w:r>
      <w:r>
        <w:t xml:space="preserve"> </w:t>
      </w:r>
      <w:r w:rsidRPr="007663AD">
        <w:t>to</w:t>
      </w:r>
      <w:r>
        <w:t xml:space="preserve"> </w:t>
      </w:r>
      <w:r w:rsidRPr="007663AD">
        <w:t>ensure</w:t>
      </w:r>
      <w:r>
        <w:t xml:space="preserve"> </w:t>
      </w:r>
      <w:r w:rsidRPr="007663AD">
        <w:t>compliance.</w:t>
      </w:r>
      <w:r>
        <w:t xml:space="preserve"> The taskforce inspected physical retail stores, engaged with online retailers, informed businesses of their obligations, and directed the removal of machetes from sale.</w:t>
      </w:r>
    </w:p>
    <w:p w14:paraId="065CF1BA" w14:textId="77777777" w:rsidR="00856406" w:rsidRDefault="00856406" w:rsidP="00F45F3A">
      <w:pPr>
        <w:pStyle w:val="BodyText"/>
      </w:pPr>
      <w:r>
        <w:t>The taskforce inspected more than 480 retailers across the state. Inspectors identified 7 non-compliant retailers in the first week of the ban’s operation and ensured immediate removal of machetes from sale. All stores inspected after that time were compliant. The taskforce also inspected 8 markets as part of weekend operations, with more than 2,400 stalls covered. Strong compliance was observed, with only one stall non-compliant and a machete immediately removed from sale.</w:t>
      </w:r>
    </w:p>
    <w:p w14:paraId="36B223DE" w14:textId="77777777" w:rsidR="00856406" w:rsidRDefault="00856406" w:rsidP="00F45F3A">
      <w:pPr>
        <w:pStyle w:val="BodyText"/>
      </w:pPr>
      <w:r>
        <w:t>The taskforce also engaged directly with more than 80 online platforms and retailers, and secured commitments to various measures to prevent the sale of machetes in Victoria. Online platforms and retailers were overwhelmingly cooperative and compliant with the ban. The taskforce issued 5 infringements and 8 official warnings to online retailers identified as non-compliant.</w:t>
      </w:r>
    </w:p>
    <w:p w14:paraId="6B16D76F" w14:textId="77777777" w:rsidR="00856406" w:rsidRDefault="00856406" w:rsidP="00F45F3A">
      <w:pPr>
        <w:pStyle w:val="BodyText"/>
        <w:rPr>
          <w:lang w:eastAsia="ja-JP"/>
        </w:rPr>
      </w:pPr>
      <w:r>
        <w:rPr>
          <w:lang w:eastAsia="ja-JP"/>
        </w:rPr>
        <w:t>Since 1 September 2025, machetes have been classified as a prohibited weapon under Victoria’s Control of Weapons laws</w:t>
      </w:r>
      <w:r w:rsidRPr="007663AD" w:rsidDel="001F67F6">
        <w:rPr>
          <w:lang w:eastAsia="ja-JP"/>
        </w:rPr>
        <w:t>.</w:t>
      </w:r>
    </w:p>
    <w:p w14:paraId="6653AAB8" w14:textId="77777777" w:rsidR="00856406" w:rsidRPr="00EB0C9A" w:rsidRDefault="00856406" w:rsidP="00447322">
      <w:pPr>
        <w:pStyle w:val="Heading3"/>
      </w:pPr>
      <w:r w:rsidRPr="00EB0C9A">
        <w:t>First</w:t>
      </w:r>
      <w:r>
        <w:t xml:space="preserve"> </w:t>
      </w:r>
      <w:r w:rsidRPr="00EB0C9A">
        <w:t>Nations</w:t>
      </w:r>
      <w:r>
        <w:t xml:space="preserve"> </w:t>
      </w:r>
      <w:r w:rsidRPr="00EB0C9A">
        <w:t>services</w:t>
      </w:r>
      <w:r>
        <w:t xml:space="preserve"> </w:t>
      </w:r>
      <w:r w:rsidRPr="00EB0C9A">
        <w:t>and</w:t>
      </w:r>
      <w:r>
        <w:t xml:space="preserve"> </w:t>
      </w:r>
      <w:r w:rsidRPr="00EB0C9A">
        <w:t>support</w:t>
      </w:r>
    </w:p>
    <w:p w14:paraId="32C9362D" w14:textId="3C2A7E68" w:rsidR="00856406" w:rsidRPr="00273C23" w:rsidRDefault="00856406" w:rsidP="00F45F3A">
      <w:pPr>
        <w:pStyle w:val="BodyText"/>
      </w:pPr>
      <w:r w:rsidRPr="00273C23">
        <w:t>In</w:t>
      </w:r>
      <w:r>
        <w:t xml:space="preserve"> </w:t>
      </w:r>
      <w:r w:rsidR="00EE79C3">
        <w:t>2024–25</w:t>
      </w:r>
      <w:r w:rsidRPr="00273C23">
        <w:t>,</w:t>
      </w:r>
      <w:r>
        <w:t xml:space="preserve"> CAV </w:t>
      </w:r>
      <w:r w:rsidRPr="00273C23">
        <w:t>worked</w:t>
      </w:r>
      <w:r>
        <w:t xml:space="preserve"> </w:t>
      </w:r>
      <w:r w:rsidRPr="00273C23">
        <w:t>on</w:t>
      </w:r>
      <w:r>
        <w:t xml:space="preserve"> </w:t>
      </w:r>
      <w:r w:rsidRPr="00273C23">
        <w:t>improving</w:t>
      </w:r>
      <w:r>
        <w:t xml:space="preserve"> </w:t>
      </w:r>
      <w:r w:rsidRPr="00273C23">
        <w:t>its</w:t>
      </w:r>
      <w:r>
        <w:t xml:space="preserve"> </w:t>
      </w:r>
      <w:r w:rsidRPr="00273C23">
        <w:t>services</w:t>
      </w:r>
      <w:r>
        <w:t xml:space="preserve"> </w:t>
      </w:r>
      <w:r w:rsidRPr="00273C23">
        <w:t>and</w:t>
      </w:r>
      <w:r>
        <w:t xml:space="preserve"> </w:t>
      </w:r>
      <w:r w:rsidRPr="00273C23">
        <w:t>support</w:t>
      </w:r>
      <w:r>
        <w:t xml:space="preserve"> </w:t>
      </w:r>
      <w:r w:rsidRPr="00273C23">
        <w:t>for</w:t>
      </w:r>
      <w:r>
        <w:t xml:space="preserve"> </w:t>
      </w:r>
      <w:r w:rsidRPr="00273C23">
        <w:t>First</w:t>
      </w:r>
      <w:r>
        <w:t xml:space="preserve"> </w:t>
      </w:r>
      <w:r w:rsidRPr="00273C23">
        <w:t>Nations</w:t>
      </w:r>
      <w:r>
        <w:t xml:space="preserve"> </w:t>
      </w:r>
      <w:r w:rsidRPr="00273C23">
        <w:t>communities.</w:t>
      </w:r>
      <w:r>
        <w:t xml:space="preserve"> We </w:t>
      </w:r>
      <w:r w:rsidRPr="00273C23">
        <w:t>launch</w:t>
      </w:r>
      <w:r>
        <w:t xml:space="preserve">ed </w:t>
      </w:r>
      <w:r w:rsidRPr="00273C23">
        <w:t>the</w:t>
      </w:r>
      <w:r>
        <w:t xml:space="preserve"> </w:t>
      </w:r>
      <w:r w:rsidRPr="00717004">
        <w:t>Yarrka</w:t>
      </w:r>
      <w:r>
        <w:t xml:space="preserve"> </w:t>
      </w:r>
      <w:r w:rsidRPr="00717004">
        <w:t>Barring</w:t>
      </w:r>
      <w:r>
        <w:t xml:space="preserve"> </w:t>
      </w:r>
      <w:r w:rsidRPr="00717004">
        <w:t>Helpline</w:t>
      </w:r>
      <w:r w:rsidRPr="00273C23">
        <w:t>,</w:t>
      </w:r>
      <w:r>
        <w:t xml:space="preserve"> </w:t>
      </w:r>
      <w:r w:rsidRPr="00273C23">
        <w:t>a</w:t>
      </w:r>
      <w:r>
        <w:t xml:space="preserve"> </w:t>
      </w:r>
      <w:r w:rsidRPr="00273C23">
        <w:t>dedicated</w:t>
      </w:r>
      <w:r>
        <w:t xml:space="preserve"> </w:t>
      </w:r>
      <w:r w:rsidRPr="00273C23">
        <w:t>phone</w:t>
      </w:r>
      <w:r>
        <w:t xml:space="preserve"> </w:t>
      </w:r>
      <w:r w:rsidRPr="00273C23">
        <w:t>service</w:t>
      </w:r>
      <w:r>
        <w:t xml:space="preserve"> </w:t>
      </w:r>
      <w:r w:rsidRPr="00273C23">
        <w:t>to</w:t>
      </w:r>
      <w:r>
        <w:t xml:space="preserve"> </w:t>
      </w:r>
      <w:r w:rsidRPr="00273C23">
        <w:t>assist</w:t>
      </w:r>
      <w:r>
        <w:t xml:space="preserve"> </w:t>
      </w:r>
      <w:r w:rsidRPr="00273C23">
        <w:t>First</w:t>
      </w:r>
      <w:r>
        <w:t xml:space="preserve"> </w:t>
      </w:r>
      <w:r w:rsidRPr="00273C23">
        <w:t>Nations</w:t>
      </w:r>
      <w:r>
        <w:t xml:space="preserve"> consumers and renters</w:t>
      </w:r>
      <w:r w:rsidRPr="00273C23">
        <w:t>.</w:t>
      </w:r>
      <w:r>
        <w:t xml:space="preserve"> </w:t>
      </w:r>
      <w:r w:rsidRPr="00273C23">
        <w:t>CAV</w:t>
      </w:r>
      <w:r>
        <w:t xml:space="preserve"> </w:t>
      </w:r>
      <w:r w:rsidRPr="00273C23">
        <w:t>also</w:t>
      </w:r>
      <w:r>
        <w:t xml:space="preserve"> </w:t>
      </w:r>
      <w:r w:rsidRPr="00273C23">
        <w:t>updated</w:t>
      </w:r>
      <w:r>
        <w:t xml:space="preserve"> </w:t>
      </w:r>
      <w:r w:rsidRPr="00273C23">
        <w:t>its</w:t>
      </w:r>
      <w:r>
        <w:t xml:space="preserve"> website resources </w:t>
      </w:r>
      <w:r w:rsidRPr="00273C23">
        <w:t>to</w:t>
      </w:r>
      <w:r>
        <w:t xml:space="preserve"> </w:t>
      </w:r>
      <w:r w:rsidRPr="00273C23">
        <w:t>include</w:t>
      </w:r>
      <w:r>
        <w:t xml:space="preserve"> </w:t>
      </w:r>
      <w:r w:rsidRPr="00273C23">
        <w:t>more</w:t>
      </w:r>
      <w:r>
        <w:t xml:space="preserve"> </w:t>
      </w:r>
      <w:r w:rsidRPr="00273C23">
        <w:t>culturally</w:t>
      </w:r>
      <w:r>
        <w:t xml:space="preserve"> </w:t>
      </w:r>
      <w:r w:rsidRPr="00273C23">
        <w:t>relevant</w:t>
      </w:r>
      <w:r>
        <w:t xml:space="preserve"> </w:t>
      </w:r>
      <w:r w:rsidRPr="00273C23">
        <w:t>and</w:t>
      </w:r>
      <w:r>
        <w:t xml:space="preserve"> </w:t>
      </w:r>
      <w:r w:rsidRPr="00273C23">
        <w:t>accessible</w:t>
      </w:r>
      <w:r>
        <w:t xml:space="preserve"> </w:t>
      </w:r>
      <w:r w:rsidRPr="00273C23">
        <w:t>content,</w:t>
      </w:r>
      <w:r>
        <w:t xml:space="preserve"> </w:t>
      </w:r>
      <w:r w:rsidRPr="00273C23">
        <w:t>making</w:t>
      </w:r>
      <w:r>
        <w:t xml:space="preserve"> </w:t>
      </w:r>
      <w:r w:rsidRPr="00273C23">
        <w:t>it</w:t>
      </w:r>
      <w:r>
        <w:t xml:space="preserve"> </w:t>
      </w:r>
      <w:r w:rsidRPr="00273C23">
        <w:t>easier</w:t>
      </w:r>
      <w:r>
        <w:t xml:space="preserve"> </w:t>
      </w:r>
      <w:r w:rsidRPr="00E72DBC">
        <w:t>to</w:t>
      </w:r>
      <w:r>
        <w:t xml:space="preserve"> </w:t>
      </w:r>
      <w:r w:rsidRPr="00E72DBC">
        <w:t>find</w:t>
      </w:r>
      <w:r>
        <w:t xml:space="preserve"> relevant </w:t>
      </w:r>
      <w:r w:rsidRPr="00273C23">
        <w:t>information</w:t>
      </w:r>
      <w:r w:rsidRPr="00E72DBC">
        <w:t>.</w:t>
      </w:r>
      <w:r>
        <w:t xml:space="preserve"> </w:t>
      </w:r>
      <w:r w:rsidRPr="00273C23">
        <w:t>These</w:t>
      </w:r>
      <w:r>
        <w:t xml:space="preserve"> </w:t>
      </w:r>
      <w:r w:rsidRPr="00273C23">
        <w:t>changes</w:t>
      </w:r>
      <w:r>
        <w:t xml:space="preserve"> </w:t>
      </w:r>
      <w:r w:rsidRPr="00273C23">
        <w:t>aim</w:t>
      </w:r>
      <w:r>
        <w:t xml:space="preserve"> </w:t>
      </w:r>
      <w:r w:rsidRPr="00273C23">
        <w:t>to</w:t>
      </w:r>
      <w:r>
        <w:t xml:space="preserve"> </w:t>
      </w:r>
      <w:r w:rsidRPr="00273C23">
        <w:t>provide</w:t>
      </w:r>
      <w:r>
        <w:t xml:space="preserve"> </w:t>
      </w:r>
      <w:r w:rsidRPr="00273C23">
        <w:t>safe</w:t>
      </w:r>
      <w:r>
        <w:t xml:space="preserve"> </w:t>
      </w:r>
      <w:r w:rsidRPr="00273C23">
        <w:t>and</w:t>
      </w:r>
      <w:r>
        <w:t xml:space="preserve"> </w:t>
      </w:r>
      <w:r w:rsidRPr="00273C23">
        <w:t>supportive</w:t>
      </w:r>
      <w:r>
        <w:t xml:space="preserve"> </w:t>
      </w:r>
      <w:r w:rsidRPr="00273C23">
        <w:t>ways</w:t>
      </w:r>
      <w:r>
        <w:t xml:space="preserve"> </w:t>
      </w:r>
      <w:r w:rsidRPr="00273C23">
        <w:t>for</w:t>
      </w:r>
      <w:r>
        <w:t xml:space="preserve"> </w:t>
      </w:r>
      <w:r w:rsidRPr="00273C23">
        <w:t>First</w:t>
      </w:r>
      <w:r>
        <w:t xml:space="preserve"> </w:t>
      </w:r>
      <w:r w:rsidRPr="00273C23">
        <w:t>Nations</w:t>
      </w:r>
      <w:r>
        <w:t xml:space="preserve"> </w:t>
      </w:r>
      <w:r w:rsidRPr="00273C23">
        <w:t>communities</w:t>
      </w:r>
      <w:r>
        <w:t xml:space="preserve"> </w:t>
      </w:r>
      <w:r w:rsidRPr="00273C23">
        <w:t>to</w:t>
      </w:r>
      <w:r>
        <w:t xml:space="preserve"> </w:t>
      </w:r>
      <w:r w:rsidRPr="00273C23">
        <w:t>access</w:t>
      </w:r>
      <w:r>
        <w:t xml:space="preserve"> </w:t>
      </w:r>
      <w:r w:rsidRPr="00273C23">
        <w:t>CAV’s</w:t>
      </w:r>
      <w:r>
        <w:t xml:space="preserve"> services and support</w:t>
      </w:r>
      <w:r w:rsidRPr="00273C23">
        <w:t>.</w:t>
      </w:r>
    </w:p>
    <w:p w14:paraId="6C303450" w14:textId="6F85A490" w:rsidR="00856406" w:rsidRPr="00F64FD4" w:rsidRDefault="00856406" w:rsidP="00F45F3A">
      <w:pPr>
        <w:pStyle w:val="BodyText"/>
      </w:pPr>
      <w:r w:rsidRPr="00590E76">
        <w:t>Over</w:t>
      </w:r>
      <w:r>
        <w:t xml:space="preserve"> </w:t>
      </w:r>
      <w:r w:rsidRPr="00590E76">
        <w:t>the</w:t>
      </w:r>
      <w:r>
        <w:t xml:space="preserve"> </w:t>
      </w:r>
      <w:r w:rsidRPr="00590E76">
        <w:t>past</w:t>
      </w:r>
      <w:r>
        <w:t xml:space="preserve"> </w:t>
      </w:r>
      <w:r w:rsidRPr="00590E76">
        <w:t>year,</w:t>
      </w:r>
      <w:r>
        <w:t xml:space="preserve"> the </w:t>
      </w:r>
      <w:r w:rsidRPr="00590E76">
        <w:t>Aboriginal</w:t>
      </w:r>
      <w:r>
        <w:t xml:space="preserve"> </w:t>
      </w:r>
      <w:r w:rsidRPr="00590E76">
        <w:t>Community</w:t>
      </w:r>
      <w:r>
        <w:t xml:space="preserve"> </w:t>
      </w:r>
      <w:r w:rsidRPr="00590E76">
        <w:t>Engagement</w:t>
      </w:r>
      <w:r>
        <w:t xml:space="preserve"> </w:t>
      </w:r>
      <w:r w:rsidRPr="00590E76">
        <w:t>Lead</w:t>
      </w:r>
      <w:r>
        <w:t xml:space="preserve"> </w:t>
      </w:r>
      <w:r w:rsidRPr="00590E76">
        <w:t>has</w:t>
      </w:r>
      <w:r>
        <w:t xml:space="preserve"> </w:t>
      </w:r>
      <w:r w:rsidRPr="00590E76">
        <w:t>made</w:t>
      </w:r>
      <w:r>
        <w:t xml:space="preserve"> </w:t>
      </w:r>
      <w:r w:rsidRPr="00590E76">
        <w:t>a</w:t>
      </w:r>
      <w:r>
        <w:t xml:space="preserve"> </w:t>
      </w:r>
      <w:r w:rsidRPr="00590E76">
        <w:t>significant</w:t>
      </w:r>
      <w:r>
        <w:t xml:space="preserve"> </w:t>
      </w:r>
      <w:r w:rsidRPr="00590E76">
        <w:t>contribution</w:t>
      </w:r>
      <w:r>
        <w:t xml:space="preserve"> </w:t>
      </w:r>
      <w:r w:rsidRPr="00590E76">
        <w:t>by</w:t>
      </w:r>
      <w:r>
        <w:t xml:space="preserve"> </w:t>
      </w:r>
      <w:r w:rsidRPr="00590E76">
        <w:t>building</w:t>
      </w:r>
      <w:r>
        <w:t xml:space="preserve"> </w:t>
      </w:r>
      <w:r w:rsidRPr="00590E76">
        <w:t>stronger</w:t>
      </w:r>
      <w:r>
        <w:t xml:space="preserve"> </w:t>
      </w:r>
      <w:r w:rsidRPr="00590E76">
        <w:t>relationships</w:t>
      </w:r>
      <w:r>
        <w:t xml:space="preserve"> </w:t>
      </w:r>
      <w:r w:rsidRPr="00590E76">
        <w:t>and</w:t>
      </w:r>
      <w:r>
        <w:t xml:space="preserve"> </w:t>
      </w:r>
      <w:r w:rsidRPr="00590E76">
        <w:t>improving</w:t>
      </w:r>
      <w:r>
        <w:t xml:space="preserve"> </w:t>
      </w:r>
      <w:r w:rsidRPr="00590E76">
        <w:t>engagement</w:t>
      </w:r>
      <w:r>
        <w:t xml:space="preserve"> </w:t>
      </w:r>
      <w:r w:rsidRPr="00590E76">
        <w:t>with</w:t>
      </w:r>
      <w:r>
        <w:t xml:space="preserve"> </w:t>
      </w:r>
      <w:r w:rsidRPr="00590E76">
        <w:t>First</w:t>
      </w:r>
      <w:r>
        <w:t xml:space="preserve"> </w:t>
      </w:r>
      <w:r w:rsidRPr="00590E76">
        <w:t>Nations</w:t>
      </w:r>
      <w:r>
        <w:t xml:space="preserve"> </w:t>
      </w:r>
      <w:r w:rsidRPr="00E72DBC">
        <w:t>stakeholders.</w:t>
      </w:r>
      <w:r>
        <w:t xml:space="preserve"> </w:t>
      </w:r>
      <w:r w:rsidRPr="00E72DBC">
        <w:t>The</w:t>
      </w:r>
      <w:r>
        <w:t xml:space="preserve"> </w:t>
      </w:r>
      <w:r w:rsidRPr="00E72DBC">
        <w:t>role</w:t>
      </w:r>
      <w:r>
        <w:t xml:space="preserve"> </w:t>
      </w:r>
      <w:r w:rsidRPr="00E72DBC">
        <w:t>has</w:t>
      </w:r>
      <w:r>
        <w:t xml:space="preserve"> </w:t>
      </w:r>
      <w:r w:rsidRPr="00590E76">
        <w:t>helped</w:t>
      </w:r>
      <w:r>
        <w:t xml:space="preserve"> </w:t>
      </w:r>
      <w:r w:rsidRPr="00590E76">
        <w:t>to</w:t>
      </w:r>
      <w:r>
        <w:t xml:space="preserve"> </w:t>
      </w:r>
      <w:r w:rsidRPr="00590E76">
        <w:t>develop</w:t>
      </w:r>
      <w:r>
        <w:t xml:space="preserve"> </w:t>
      </w:r>
      <w:r w:rsidRPr="00590E76">
        <w:t>genuine</w:t>
      </w:r>
      <w:r>
        <w:t xml:space="preserve"> </w:t>
      </w:r>
      <w:r w:rsidRPr="00590E76">
        <w:t>partnerships</w:t>
      </w:r>
      <w:r>
        <w:t xml:space="preserve"> </w:t>
      </w:r>
      <w:r w:rsidRPr="00590E76">
        <w:t>based</w:t>
      </w:r>
      <w:r>
        <w:t xml:space="preserve"> </w:t>
      </w:r>
      <w:r w:rsidRPr="00590E76">
        <w:t>on</w:t>
      </w:r>
      <w:r>
        <w:t xml:space="preserve"> </w:t>
      </w:r>
      <w:r w:rsidRPr="00590E76">
        <w:t>trust</w:t>
      </w:r>
      <w:r>
        <w:t xml:space="preserve"> </w:t>
      </w:r>
      <w:r w:rsidRPr="00590E76">
        <w:t>and</w:t>
      </w:r>
      <w:r>
        <w:t xml:space="preserve"> </w:t>
      </w:r>
      <w:r w:rsidRPr="00590E76">
        <w:t>mutual</w:t>
      </w:r>
      <w:r>
        <w:t xml:space="preserve"> </w:t>
      </w:r>
      <w:r w:rsidRPr="00590E76">
        <w:t>respect,</w:t>
      </w:r>
      <w:r>
        <w:t xml:space="preserve"> </w:t>
      </w:r>
      <w:r w:rsidRPr="00590E76">
        <w:t>improving</w:t>
      </w:r>
      <w:r>
        <w:t xml:space="preserve"> </w:t>
      </w:r>
      <w:r w:rsidRPr="00590E76">
        <w:t>CAV</w:t>
      </w:r>
      <w:r w:rsidR="009421C7">
        <w:t>’</w:t>
      </w:r>
      <w:r w:rsidRPr="00590E76">
        <w:t>s</w:t>
      </w:r>
      <w:r>
        <w:t xml:space="preserve"> </w:t>
      </w:r>
      <w:r w:rsidRPr="00590E76">
        <w:t>ability</w:t>
      </w:r>
      <w:r>
        <w:t xml:space="preserve"> </w:t>
      </w:r>
      <w:r w:rsidRPr="00590E76">
        <w:t>to</w:t>
      </w:r>
      <w:r>
        <w:t xml:space="preserve"> </w:t>
      </w:r>
      <w:r w:rsidRPr="00590E76">
        <w:t>work</w:t>
      </w:r>
      <w:r>
        <w:t xml:space="preserve"> </w:t>
      </w:r>
      <w:r w:rsidRPr="00590E76">
        <w:t>collaboratively</w:t>
      </w:r>
      <w:r>
        <w:t xml:space="preserve"> </w:t>
      </w:r>
      <w:r w:rsidRPr="00590E76">
        <w:t>with</w:t>
      </w:r>
      <w:r>
        <w:t xml:space="preserve"> </w:t>
      </w:r>
      <w:r w:rsidRPr="00590E76">
        <w:t>First</w:t>
      </w:r>
      <w:r>
        <w:t xml:space="preserve"> </w:t>
      </w:r>
      <w:r w:rsidRPr="00590E76">
        <w:t>Nations</w:t>
      </w:r>
      <w:r>
        <w:t xml:space="preserve"> stakeholders and </w:t>
      </w:r>
      <w:r w:rsidRPr="00590E76">
        <w:t>communities</w:t>
      </w:r>
      <w:r>
        <w:t>.</w:t>
      </w:r>
    </w:p>
    <w:p w14:paraId="1053C459" w14:textId="77777777" w:rsidR="00856406" w:rsidRPr="008A609B" w:rsidRDefault="00856406" w:rsidP="00F45F3A">
      <w:pPr>
        <w:pStyle w:val="BodyText"/>
      </w:pPr>
      <w:r>
        <w:t xml:space="preserve">A </w:t>
      </w:r>
      <w:r w:rsidRPr="00E72DBC">
        <w:t>dedicated</w:t>
      </w:r>
      <w:r>
        <w:t xml:space="preserve"> </w:t>
      </w:r>
      <w:r w:rsidRPr="00E72DBC">
        <w:t>Aboriginal</w:t>
      </w:r>
      <w:r>
        <w:t xml:space="preserve"> </w:t>
      </w:r>
      <w:r w:rsidRPr="00E72DBC">
        <w:t>Liaison</w:t>
      </w:r>
      <w:r>
        <w:t xml:space="preserve"> </w:t>
      </w:r>
      <w:r w:rsidRPr="00E72DBC">
        <w:t>Officer</w:t>
      </w:r>
      <w:r>
        <w:t xml:space="preserve"> also </w:t>
      </w:r>
      <w:r w:rsidRPr="00E72DBC">
        <w:t>provide</w:t>
      </w:r>
      <w:r>
        <w:t xml:space="preserve">s </w:t>
      </w:r>
      <w:r w:rsidRPr="00E72DBC">
        <w:t>support</w:t>
      </w:r>
      <w:r>
        <w:t xml:space="preserve"> </w:t>
      </w:r>
      <w:r w:rsidRPr="00E72DBC">
        <w:t>to</w:t>
      </w:r>
      <w:r>
        <w:t xml:space="preserve"> Aboriginal i</w:t>
      </w:r>
      <w:r w:rsidRPr="00E72DBC">
        <w:t>ncorporated</w:t>
      </w:r>
      <w:r>
        <w:t xml:space="preserve"> a</w:t>
      </w:r>
      <w:r w:rsidRPr="00E72DBC">
        <w:t>ssociations</w:t>
      </w:r>
      <w:r>
        <w:t xml:space="preserve"> </w:t>
      </w:r>
      <w:r w:rsidRPr="00E72DBC">
        <w:t>and</w:t>
      </w:r>
      <w:r>
        <w:t xml:space="preserve"> c</w:t>
      </w:r>
      <w:r w:rsidRPr="00E72DBC">
        <w:t>o-operatives</w:t>
      </w:r>
      <w:r>
        <w:t xml:space="preserve">, which </w:t>
      </w:r>
      <w:r w:rsidRPr="00E72DBC">
        <w:t>play</w:t>
      </w:r>
      <w:r>
        <w:t xml:space="preserve"> </w:t>
      </w:r>
      <w:r w:rsidRPr="00E72DBC">
        <w:t>a</w:t>
      </w:r>
      <w:r>
        <w:t xml:space="preserve"> crucial role in delivering services and support to First Nations communities. </w:t>
      </w:r>
      <w:r w:rsidRPr="00E72DBC">
        <w:t>The</w:t>
      </w:r>
      <w:r>
        <w:t xml:space="preserve"> </w:t>
      </w:r>
      <w:r w:rsidRPr="00E72DBC">
        <w:t>Aboriginal</w:t>
      </w:r>
      <w:r>
        <w:t xml:space="preserve"> </w:t>
      </w:r>
      <w:r w:rsidRPr="00E72DBC">
        <w:t>Liaison</w:t>
      </w:r>
      <w:r>
        <w:t xml:space="preserve"> </w:t>
      </w:r>
      <w:r w:rsidRPr="00E72DBC">
        <w:t>Officer</w:t>
      </w:r>
      <w:r>
        <w:t xml:space="preserve"> </w:t>
      </w:r>
      <w:r w:rsidRPr="00E72DBC">
        <w:t>provides</w:t>
      </w:r>
      <w:r>
        <w:t xml:space="preserve"> </w:t>
      </w:r>
      <w:r w:rsidRPr="00E72DBC">
        <w:t>an</w:t>
      </w:r>
      <w:r>
        <w:t xml:space="preserve"> </w:t>
      </w:r>
      <w:r w:rsidRPr="00E72DBC">
        <w:t>outreach</w:t>
      </w:r>
      <w:r>
        <w:t xml:space="preserve"> </w:t>
      </w:r>
      <w:r w:rsidRPr="00E72DBC">
        <w:t>service</w:t>
      </w:r>
      <w:r>
        <w:t xml:space="preserve"> </w:t>
      </w:r>
      <w:r w:rsidRPr="00E72DBC">
        <w:t>to</w:t>
      </w:r>
      <w:r>
        <w:t xml:space="preserve"> </w:t>
      </w:r>
      <w:r w:rsidRPr="00E72DBC">
        <w:t>these</w:t>
      </w:r>
      <w:r>
        <w:t xml:space="preserve"> </w:t>
      </w:r>
      <w:r w:rsidRPr="00E72DBC">
        <w:t>organisations</w:t>
      </w:r>
      <w:r>
        <w:t xml:space="preserve">, assisting with their governance and administration to ensure they function effectively </w:t>
      </w:r>
      <w:r w:rsidRPr="00E72DBC">
        <w:t>and</w:t>
      </w:r>
      <w:r>
        <w:t xml:space="preserve"> </w:t>
      </w:r>
      <w:r w:rsidRPr="00E72DBC">
        <w:t>remain</w:t>
      </w:r>
      <w:r>
        <w:t xml:space="preserve"> </w:t>
      </w:r>
      <w:r w:rsidRPr="00E72DBC">
        <w:t>compliant.</w:t>
      </w:r>
    </w:p>
    <w:p w14:paraId="78A0315E" w14:textId="77777777" w:rsidR="00856406" w:rsidRPr="00FC0E1A" w:rsidRDefault="00856406" w:rsidP="00F45F3A">
      <w:pPr>
        <w:pStyle w:val="BodyText"/>
      </w:pPr>
      <w:bookmarkStart w:id="65" w:name="_Toc204243168"/>
      <w:r>
        <w:t xml:space="preserve">CAV is also committed to </w:t>
      </w:r>
      <w:r w:rsidRPr="00FC0E1A">
        <w:t>build</w:t>
      </w:r>
      <w:r>
        <w:t xml:space="preserve">ing </w:t>
      </w:r>
      <w:r w:rsidRPr="00FC0E1A">
        <w:t>staff</w:t>
      </w:r>
      <w:r>
        <w:t xml:space="preserve"> </w:t>
      </w:r>
      <w:r w:rsidRPr="00FC0E1A">
        <w:t>capability</w:t>
      </w:r>
      <w:r>
        <w:t xml:space="preserve"> to </w:t>
      </w:r>
      <w:r w:rsidRPr="00FC0E1A">
        <w:t>support</w:t>
      </w:r>
      <w:r>
        <w:t xml:space="preserve"> the delivery of </w:t>
      </w:r>
      <w:r w:rsidRPr="00FC0E1A">
        <w:t>inclusive,</w:t>
      </w:r>
      <w:r>
        <w:t xml:space="preserve"> </w:t>
      </w:r>
      <w:r w:rsidRPr="00FC0E1A">
        <w:t>accessible</w:t>
      </w:r>
      <w:r>
        <w:t xml:space="preserve"> </w:t>
      </w:r>
      <w:r w:rsidRPr="00FC0E1A">
        <w:t>and</w:t>
      </w:r>
      <w:r>
        <w:t xml:space="preserve"> </w:t>
      </w:r>
      <w:r w:rsidRPr="00FC0E1A">
        <w:t>culturally</w:t>
      </w:r>
      <w:r>
        <w:t xml:space="preserve"> </w:t>
      </w:r>
      <w:r w:rsidRPr="00FC0E1A">
        <w:t>safe</w:t>
      </w:r>
      <w:r>
        <w:t xml:space="preserve"> </w:t>
      </w:r>
      <w:r w:rsidRPr="00FC0E1A">
        <w:t>services</w:t>
      </w:r>
      <w:r>
        <w:t xml:space="preserve"> </w:t>
      </w:r>
      <w:r w:rsidRPr="00FC0E1A">
        <w:t>for</w:t>
      </w:r>
      <w:r>
        <w:t xml:space="preserve"> </w:t>
      </w:r>
      <w:r w:rsidRPr="00FC0E1A">
        <w:t>Victorian</w:t>
      </w:r>
      <w:r>
        <w:t xml:space="preserve"> </w:t>
      </w:r>
      <w:r w:rsidRPr="00FC0E1A">
        <w:t>consumers</w:t>
      </w:r>
      <w:r>
        <w:t xml:space="preserve"> and renters. CAV staff continued to undertake c</w:t>
      </w:r>
      <w:r w:rsidRPr="00FC0E1A">
        <w:t>ultural</w:t>
      </w:r>
      <w:r>
        <w:t xml:space="preserve"> a</w:t>
      </w:r>
      <w:r w:rsidRPr="00FC0E1A">
        <w:t>wareness</w:t>
      </w:r>
      <w:r>
        <w:t xml:space="preserve"> t</w:t>
      </w:r>
      <w:r w:rsidRPr="00FC0E1A">
        <w:t>raining</w:t>
      </w:r>
      <w:r>
        <w:t xml:space="preserve">. This helps </w:t>
      </w:r>
      <w:r w:rsidRPr="00FC0E1A">
        <w:t>staff</w:t>
      </w:r>
      <w:r>
        <w:t xml:space="preserve"> </w:t>
      </w:r>
      <w:r w:rsidRPr="00FC0E1A">
        <w:t>deepen</w:t>
      </w:r>
      <w:r>
        <w:t xml:space="preserve"> </w:t>
      </w:r>
      <w:r w:rsidRPr="00FC0E1A">
        <w:t>their</w:t>
      </w:r>
      <w:r>
        <w:t xml:space="preserve"> </w:t>
      </w:r>
      <w:r w:rsidRPr="00FC0E1A">
        <w:t>understanding</w:t>
      </w:r>
      <w:r>
        <w:t xml:space="preserve"> </w:t>
      </w:r>
      <w:r w:rsidRPr="00FC0E1A">
        <w:t>of</w:t>
      </w:r>
      <w:r>
        <w:t xml:space="preserve"> </w:t>
      </w:r>
      <w:r w:rsidRPr="00FC0E1A">
        <w:t>First</w:t>
      </w:r>
      <w:r>
        <w:t xml:space="preserve"> </w:t>
      </w:r>
      <w:r w:rsidRPr="00FC0E1A">
        <w:t>Nations</w:t>
      </w:r>
      <w:r>
        <w:t xml:space="preserve"> </w:t>
      </w:r>
      <w:r w:rsidRPr="00FC0E1A">
        <w:t>peoples,</w:t>
      </w:r>
      <w:r>
        <w:t xml:space="preserve"> </w:t>
      </w:r>
      <w:r w:rsidRPr="00FC0E1A">
        <w:t>cultures,</w:t>
      </w:r>
      <w:r>
        <w:t xml:space="preserve"> </w:t>
      </w:r>
      <w:r w:rsidRPr="00FC0E1A">
        <w:t>histories,</w:t>
      </w:r>
      <w:r>
        <w:t xml:space="preserve"> </w:t>
      </w:r>
      <w:r w:rsidRPr="00FC0E1A">
        <w:t>and</w:t>
      </w:r>
      <w:r>
        <w:t xml:space="preserve"> </w:t>
      </w:r>
      <w:r w:rsidRPr="00FC0E1A">
        <w:t>contributions,</w:t>
      </w:r>
      <w:r>
        <w:t xml:space="preserve"> </w:t>
      </w:r>
      <w:r w:rsidRPr="00FC0E1A">
        <w:t>fostering</w:t>
      </w:r>
      <w:r>
        <w:t xml:space="preserve"> </w:t>
      </w:r>
      <w:r w:rsidRPr="00FC0E1A">
        <w:t>an</w:t>
      </w:r>
      <w:r>
        <w:t xml:space="preserve"> </w:t>
      </w:r>
      <w:r w:rsidRPr="00FC0E1A">
        <w:t>environment</w:t>
      </w:r>
      <w:r>
        <w:t xml:space="preserve"> </w:t>
      </w:r>
      <w:r w:rsidRPr="00FC0E1A">
        <w:t>of</w:t>
      </w:r>
      <w:r>
        <w:t xml:space="preserve"> </w:t>
      </w:r>
      <w:r w:rsidRPr="00FC0E1A">
        <w:t>inclusivity,</w:t>
      </w:r>
      <w:r>
        <w:t xml:space="preserve"> </w:t>
      </w:r>
      <w:r w:rsidRPr="00FC0E1A">
        <w:t>diversity,</w:t>
      </w:r>
      <w:r>
        <w:t xml:space="preserve"> </w:t>
      </w:r>
      <w:r w:rsidRPr="00FC0E1A">
        <w:t>and</w:t>
      </w:r>
      <w:r>
        <w:t xml:space="preserve"> </w:t>
      </w:r>
      <w:r w:rsidRPr="00FC0E1A">
        <w:t>respect.</w:t>
      </w:r>
      <w:r>
        <w:t xml:space="preserve"> The training is d</w:t>
      </w:r>
      <w:r w:rsidRPr="00FC0E1A">
        <w:t>elivered</w:t>
      </w:r>
      <w:r>
        <w:t xml:space="preserve"> </w:t>
      </w:r>
      <w:r w:rsidRPr="00FC0E1A">
        <w:t>in</w:t>
      </w:r>
      <w:r>
        <w:t xml:space="preserve"> </w:t>
      </w:r>
      <w:r w:rsidRPr="00FC0E1A">
        <w:t>partnership</w:t>
      </w:r>
      <w:r>
        <w:t xml:space="preserve"> </w:t>
      </w:r>
      <w:r w:rsidRPr="00FC0E1A">
        <w:t>with</w:t>
      </w:r>
      <w:r>
        <w:t xml:space="preserve"> </w:t>
      </w:r>
      <w:r w:rsidRPr="00FC0E1A">
        <w:t>the</w:t>
      </w:r>
      <w:r>
        <w:t xml:space="preserve"> </w:t>
      </w:r>
      <w:r w:rsidRPr="00FC0E1A">
        <w:t>Koori</w:t>
      </w:r>
      <w:r>
        <w:t xml:space="preserve"> </w:t>
      </w:r>
      <w:r w:rsidRPr="00FC0E1A">
        <w:t>Heritage</w:t>
      </w:r>
      <w:r>
        <w:t xml:space="preserve"> </w:t>
      </w:r>
      <w:r w:rsidRPr="00FC0E1A">
        <w:t>Trust</w:t>
      </w:r>
      <w:r>
        <w:t xml:space="preserve"> </w:t>
      </w:r>
      <w:r w:rsidRPr="00FC0E1A">
        <w:t>and</w:t>
      </w:r>
      <w:r>
        <w:t xml:space="preserve"> </w:t>
      </w:r>
      <w:r w:rsidRPr="00FC0E1A">
        <w:t>Wadawurrung</w:t>
      </w:r>
      <w:r>
        <w:t xml:space="preserve"> </w:t>
      </w:r>
      <w:r w:rsidRPr="00FC0E1A">
        <w:t>Traditional</w:t>
      </w:r>
      <w:r>
        <w:t xml:space="preserve"> </w:t>
      </w:r>
      <w:r w:rsidRPr="00FC0E1A">
        <w:t>Owners</w:t>
      </w:r>
      <w:r>
        <w:t xml:space="preserve"> </w:t>
      </w:r>
      <w:r w:rsidRPr="00FC0E1A">
        <w:t>Aboriginal</w:t>
      </w:r>
      <w:r>
        <w:t xml:space="preserve"> </w:t>
      </w:r>
      <w:r w:rsidRPr="00FC0E1A">
        <w:t>Corporation</w:t>
      </w:r>
      <w:r>
        <w:t xml:space="preserve">. </w:t>
      </w:r>
      <w:r w:rsidRPr="00FC0E1A">
        <w:t>75</w:t>
      </w:r>
      <w:r>
        <w:t xml:space="preserve"> per cent </w:t>
      </w:r>
      <w:r w:rsidRPr="00FC0E1A">
        <w:t>of</w:t>
      </w:r>
      <w:r>
        <w:t xml:space="preserve"> </w:t>
      </w:r>
      <w:r w:rsidRPr="00FC0E1A">
        <w:t>CAV</w:t>
      </w:r>
      <w:r>
        <w:t xml:space="preserve"> </w:t>
      </w:r>
      <w:r w:rsidRPr="00FC0E1A">
        <w:t>staff</w:t>
      </w:r>
      <w:r>
        <w:t xml:space="preserve"> </w:t>
      </w:r>
      <w:r w:rsidRPr="00FC0E1A">
        <w:t>have</w:t>
      </w:r>
      <w:r>
        <w:t xml:space="preserve"> </w:t>
      </w:r>
      <w:r w:rsidRPr="00FC0E1A">
        <w:t>completed</w:t>
      </w:r>
      <w:r>
        <w:t xml:space="preserve"> </w:t>
      </w:r>
      <w:r w:rsidRPr="00FC0E1A">
        <w:t>the</w:t>
      </w:r>
      <w:r>
        <w:t xml:space="preserve"> </w:t>
      </w:r>
      <w:r w:rsidRPr="00FC0E1A">
        <w:t>training</w:t>
      </w:r>
      <w:r>
        <w:t xml:space="preserve"> </w:t>
      </w:r>
      <w:r w:rsidRPr="00FC0E1A">
        <w:t>to</w:t>
      </w:r>
      <w:r>
        <w:t xml:space="preserve"> </w:t>
      </w:r>
      <w:r w:rsidRPr="00FC0E1A">
        <w:t>date</w:t>
      </w:r>
      <w:r>
        <w:t>.</w:t>
      </w:r>
    </w:p>
    <w:p w14:paraId="3492D557" w14:textId="77777777" w:rsidR="00856406" w:rsidRPr="00E72DBC" w:rsidRDefault="00856406" w:rsidP="00447322">
      <w:pPr>
        <w:pStyle w:val="Heading3"/>
      </w:pPr>
      <w:r w:rsidRPr="00E72DBC">
        <w:t>Supporting</w:t>
      </w:r>
      <w:r>
        <w:t xml:space="preserve"> </w:t>
      </w:r>
      <w:r w:rsidRPr="00E72DBC">
        <w:t>the</w:t>
      </w:r>
      <w:r>
        <w:t xml:space="preserve"> g</w:t>
      </w:r>
      <w:r w:rsidRPr="00E72DBC">
        <w:t>overnment’s</w:t>
      </w:r>
      <w:r>
        <w:t xml:space="preserve"> </w:t>
      </w:r>
      <w:r w:rsidRPr="00E72DBC">
        <w:t>response</w:t>
      </w:r>
      <w:r>
        <w:t xml:space="preserve"> </w:t>
      </w:r>
      <w:r w:rsidRPr="00E72DBC">
        <w:t>to</w:t>
      </w:r>
      <w:r>
        <w:t xml:space="preserve"> </w:t>
      </w:r>
      <w:r w:rsidRPr="00E72DBC">
        <w:t>family</w:t>
      </w:r>
      <w:r>
        <w:t xml:space="preserve"> </w:t>
      </w:r>
      <w:r w:rsidRPr="00E72DBC">
        <w:t>violence</w:t>
      </w:r>
      <w:bookmarkStart w:id="66" w:name="_Toc204243169"/>
      <w:bookmarkEnd w:id="65"/>
    </w:p>
    <w:p w14:paraId="000F3D8E" w14:textId="1A594C6D" w:rsidR="00856406" w:rsidRDefault="00856406" w:rsidP="00F45F3A">
      <w:pPr>
        <w:pStyle w:val="BodyText"/>
      </w:pPr>
      <w:r w:rsidRPr="00794493">
        <w:t>Given</w:t>
      </w:r>
      <w:r>
        <w:t xml:space="preserve"> CAV</w:t>
      </w:r>
      <w:r w:rsidR="002478C8">
        <w:t>’</w:t>
      </w:r>
      <w:r>
        <w:t xml:space="preserve">s </w:t>
      </w:r>
      <w:r w:rsidRPr="00794493">
        <w:t>role</w:t>
      </w:r>
      <w:r>
        <w:t xml:space="preserve"> </w:t>
      </w:r>
      <w:r w:rsidRPr="00794493">
        <w:t>in</w:t>
      </w:r>
      <w:r>
        <w:t xml:space="preserve"> </w:t>
      </w:r>
      <w:r w:rsidRPr="00794493">
        <w:t>supporting</w:t>
      </w:r>
      <w:r>
        <w:t xml:space="preserve"> </w:t>
      </w:r>
      <w:r w:rsidRPr="00794493">
        <w:t>communities</w:t>
      </w:r>
      <w:r>
        <w:t xml:space="preserve"> </w:t>
      </w:r>
      <w:r w:rsidRPr="00794493">
        <w:t>and</w:t>
      </w:r>
      <w:r>
        <w:t xml:space="preserve"> </w:t>
      </w:r>
      <w:r w:rsidRPr="00794493">
        <w:t>individuals</w:t>
      </w:r>
      <w:r>
        <w:t xml:space="preserve"> who </w:t>
      </w:r>
      <w:r w:rsidRPr="00794493">
        <w:t>may</w:t>
      </w:r>
      <w:r>
        <w:t xml:space="preserve"> </w:t>
      </w:r>
      <w:r w:rsidRPr="00794493">
        <w:t>experience</w:t>
      </w:r>
      <w:r>
        <w:t xml:space="preserve"> </w:t>
      </w:r>
      <w:r w:rsidRPr="00794493">
        <w:t>vulnerability</w:t>
      </w:r>
      <w:r>
        <w:t xml:space="preserve"> in the marketplace</w:t>
      </w:r>
      <w:r w:rsidRPr="00794493">
        <w:t>,</w:t>
      </w:r>
      <w:r>
        <w:t xml:space="preserve"> </w:t>
      </w:r>
      <w:r w:rsidRPr="00794493">
        <w:t>we</w:t>
      </w:r>
      <w:r>
        <w:t xml:space="preserve"> </w:t>
      </w:r>
      <w:r w:rsidRPr="00794493">
        <w:t>recognise</w:t>
      </w:r>
      <w:r>
        <w:t xml:space="preserve"> </w:t>
      </w:r>
      <w:r w:rsidRPr="00794493">
        <w:t>the</w:t>
      </w:r>
      <w:r>
        <w:t xml:space="preserve"> </w:t>
      </w:r>
      <w:r w:rsidRPr="00794493">
        <w:t>importance</w:t>
      </w:r>
      <w:r>
        <w:t xml:space="preserve"> </w:t>
      </w:r>
      <w:r w:rsidRPr="00794493">
        <w:t>of</w:t>
      </w:r>
      <w:r>
        <w:t xml:space="preserve"> </w:t>
      </w:r>
      <w:r w:rsidRPr="00794493">
        <w:t>responding</w:t>
      </w:r>
      <w:r>
        <w:t xml:space="preserve"> </w:t>
      </w:r>
      <w:r w:rsidRPr="00794493">
        <w:t>to</w:t>
      </w:r>
      <w:r>
        <w:t xml:space="preserve"> </w:t>
      </w:r>
      <w:r w:rsidRPr="00794493">
        <w:t>the</w:t>
      </w:r>
      <w:r>
        <w:t xml:space="preserve"> </w:t>
      </w:r>
      <w:r w:rsidRPr="00794493">
        <w:t>risks</w:t>
      </w:r>
      <w:r>
        <w:t xml:space="preserve"> </w:t>
      </w:r>
      <w:r w:rsidRPr="00794493">
        <w:t>of</w:t>
      </w:r>
      <w:r>
        <w:t xml:space="preserve"> </w:t>
      </w:r>
      <w:r w:rsidRPr="00794493">
        <w:t>family</w:t>
      </w:r>
      <w:r>
        <w:t xml:space="preserve"> </w:t>
      </w:r>
      <w:r w:rsidRPr="00794493">
        <w:t>violence</w:t>
      </w:r>
      <w:r>
        <w:t xml:space="preserve"> </w:t>
      </w:r>
      <w:r w:rsidRPr="00794493">
        <w:t>in</w:t>
      </w:r>
      <w:r>
        <w:t xml:space="preserve"> </w:t>
      </w:r>
      <w:r w:rsidRPr="00794493">
        <w:t>a</w:t>
      </w:r>
      <w:r>
        <w:t xml:space="preserve"> </w:t>
      </w:r>
      <w:r w:rsidRPr="00794493">
        <w:t>coordinated</w:t>
      </w:r>
      <w:r>
        <w:t xml:space="preserve"> </w:t>
      </w:r>
      <w:r w:rsidRPr="00794493">
        <w:t>and</w:t>
      </w:r>
      <w:r>
        <w:t xml:space="preserve"> </w:t>
      </w:r>
      <w:r w:rsidRPr="00794493">
        <w:t>trauma-informed</w:t>
      </w:r>
      <w:r>
        <w:t xml:space="preserve"> </w:t>
      </w:r>
      <w:r w:rsidRPr="00794493">
        <w:t>way.</w:t>
      </w:r>
      <w:r>
        <w:t xml:space="preserve"> A </w:t>
      </w:r>
      <w:r w:rsidRPr="00794493">
        <w:t>dedicated</w:t>
      </w:r>
      <w:r>
        <w:t xml:space="preserve"> </w:t>
      </w:r>
      <w:r w:rsidRPr="00794493">
        <w:t>Sector</w:t>
      </w:r>
      <w:r>
        <w:t xml:space="preserve"> </w:t>
      </w:r>
      <w:r w:rsidRPr="00794493">
        <w:t>Lead</w:t>
      </w:r>
      <w:r>
        <w:t xml:space="preserve">, </w:t>
      </w:r>
      <w:r w:rsidRPr="00794493">
        <w:t>Family</w:t>
      </w:r>
      <w:r>
        <w:t xml:space="preserve"> </w:t>
      </w:r>
      <w:r w:rsidRPr="00794493">
        <w:t>Violence</w:t>
      </w:r>
      <w:r>
        <w:t xml:space="preserve"> </w:t>
      </w:r>
      <w:r w:rsidRPr="00794493">
        <w:t>resource</w:t>
      </w:r>
      <w:r>
        <w:t xml:space="preserve"> </w:t>
      </w:r>
      <w:r w:rsidRPr="00794493">
        <w:t>supports</w:t>
      </w:r>
      <w:r>
        <w:t xml:space="preserve"> our </w:t>
      </w:r>
      <w:r w:rsidRPr="00794493">
        <w:t>funded</w:t>
      </w:r>
      <w:r>
        <w:t xml:space="preserve"> </w:t>
      </w:r>
      <w:r w:rsidRPr="00794493">
        <w:t>Financial</w:t>
      </w:r>
      <w:r>
        <w:t xml:space="preserve"> </w:t>
      </w:r>
      <w:r w:rsidRPr="00794493">
        <w:t>Counselling</w:t>
      </w:r>
      <w:r>
        <w:t xml:space="preserve"> </w:t>
      </w:r>
      <w:r w:rsidRPr="00794493">
        <w:t>and</w:t>
      </w:r>
      <w:r>
        <w:t xml:space="preserve"> </w:t>
      </w:r>
      <w:r w:rsidRPr="00794493">
        <w:t>Tenancy</w:t>
      </w:r>
      <w:r>
        <w:t xml:space="preserve"> </w:t>
      </w:r>
      <w:r w:rsidRPr="00794493">
        <w:t>Assistance</w:t>
      </w:r>
      <w:r>
        <w:t xml:space="preserve"> </w:t>
      </w:r>
      <w:r w:rsidRPr="00794493">
        <w:t>and</w:t>
      </w:r>
      <w:r>
        <w:t xml:space="preserve"> </w:t>
      </w:r>
      <w:r w:rsidRPr="00794493">
        <w:t>Advocacy</w:t>
      </w:r>
      <w:r>
        <w:t xml:space="preserve"> </w:t>
      </w:r>
      <w:r w:rsidRPr="00794493">
        <w:t>Programs</w:t>
      </w:r>
      <w:r>
        <w:t xml:space="preserve"> </w:t>
      </w:r>
      <w:r w:rsidRPr="00794493">
        <w:t>to</w:t>
      </w:r>
      <w:r>
        <w:t xml:space="preserve"> </w:t>
      </w:r>
      <w:r w:rsidRPr="00794493">
        <w:t>align</w:t>
      </w:r>
      <w:r>
        <w:t xml:space="preserve"> </w:t>
      </w:r>
      <w:r w:rsidRPr="00794493">
        <w:t>their</w:t>
      </w:r>
      <w:r>
        <w:t xml:space="preserve"> </w:t>
      </w:r>
      <w:r w:rsidRPr="00794493">
        <w:t>services</w:t>
      </w:r>
      <w:r>
        <w:t xml:space="preserve"> </w:t>
      </w:r>
      <w:r w:rsidRPr="00794493">
        <w:t>with</w:t>
      </w:r>
      <w:r>
        <w:t xml:space="preserve"> </w:t>
      </w:r>
      <w:r w:rsidRPr="00794493">
        <w:t>the</w:t>
      </w:r>
      <w:r>
        <w:t xml:space="preserve"> </w:t>
      </w:r>
      <w:r w:rsidRPr="00794493">
        <w:t>Multi-Agency</w:t>
      </w:r>
      <w:r>
        <w:t xml:space="preserve"> </w:t>
      </w:r>
      <w:r w:rsidRPr="00794493">
        <w:t>Risk</w:t>
      </w:r>
      <w:r>
        <w:t xml:space="preserve"> </w:t>
      </w:r>
      <w:r w:rsidRPr="00794493">
        <w:t>Assessment</w:t>
      </w:r>
      <w:r>
        <w:t xml:space="preserve"> </w:t>
      </w:r>
      <w:r w:rsidRPr="00794493">
        <w:t>and</w:t>
      </w:r>
      <w:r>
        <w:t xml:space="preserve"> </w:t>
      </w:r>
      <w:r w:rsidRPr="00794493">
        <w:t>Management</w:t>
      </w:r>
      <w:r>
        <w:t xml:space="preserve"> </w:t>
      </w:r>
      <w:r w:rsidRPr="00794493">
        <w:t>(MARAM)</w:t>
      </w:r>
      <w:r>
        <w:t xml:space="preserve"> f</w:t>
      </w:r>
      <w:r w:rsidRPr="00794493">
        <w:t>ramework</w:t>
      </w:r>
      <w:r>
        <w:t>, as required by Victoria’s family violence prevention laws</w:t>
      </w:r>
      <w:r w:rsidRPr="00794493">
        <w:t>.</w:t>
      </w:r>
      <w:r>
        <w:t xml:space="preserve"> </w:t>
      </w:r>
      <w:r w:rsidRPr="00794493">
        <w:t>By</w:t>
      </w:r>
      <w:r>
        <w:t xml:space="preserve"> </w:t>
      </w:r>
      <w:r w:rsidRPr="00794493">
        <w:t>ensuring</w:t>
      </w:r>
      <w:r>
        <w:t xml:space="preserve"> </w:t>
      </w:r>
      <w:r w:rsidRPr="00794493">
        <w:t>alignment</w:t>
      </w:r>
      <w:r>
        <w:t xml:space="preserve"> </w:t>
      </w:r>
      <w:r w:rsidRPr="00794493">
        <w:t>with</w:t>
      </w:r>
      <w:r>
        <w:t xml:space="preserve"> </w:t>
      </w:r>
      <w:r w:rsidRPr="00794493">
        <w:t>these</w:t>
      </w:r>
      <w:r>
        <w:t xml:space="preserve"> </w:t>
      </w:r>
      <w:r w:rsidRPr="00794493">
        <w:t>legislative</w:t>
      </w:r>
      <w:r>
        <w:t xml:space="preserve"> </w:t>
      </w:r>
      <w:r w:rsidRPr="00794493">
        <w:t>requirements,</w:t>
      </w:r>
      <w:r>
        <w:t xml:space="preserve"> </w:t>
      </w:r>
      <w:r w:rsidRPr="00794493">
        <w:t>we</w:t>
      </w:r>
      <w:r>
        <w:t xml:space="preserve"> </w:t>
      </w:r>
      <w:r w:rsidRPr="00794493">
        <w:t>protect</w:t>
      </w:r>
      <w:r>
        <w:t xml:space="preserve"> </w:t>
      </w:r>
      <w:r w:rsidRPr="00794493">
        <w:t>lives</w:t>
      </w:r>
      <w:r>
        <w:t xml:space="preserve"> and </w:t>
      </w:r>
      <w:r w:rsidRPr="00794493">
        <w:t>contribute</w:t>
      </w:r>
      <w:r>
        <w:t xml:space="preserve"> </w:t>
      </w:r>
      <w:r w:rsidRPr="00794493">
        <w:t>to</w:t>
      </w:r>
      <w:r>
        <w:t xml:space="preserve"> </w:t>
      </w:r>
      <w:r w:rsidRPr="00794493">
        <w:t>the</w:t>
      </w:r>
      <w:r>
        <w:t xml:space="preserve"> </w:t>
      </w:r>
      <w:r w:rsidRPr="00794493">
        <w:t>broader</w:t>
      </w:r>
      <w:r>
        <w:t xml:space="preserve"> </w:t>
      </w:r>
      <w:r w:rsidRPr="00794493">
        <w:t>system</w:t>
      </w:r>
      <w:r>
        <w:t xml:space="preserve"> </w:t>
      </w:r>
      <w:r w:rsidRPr="00794493">
        <w:t>response</w:t>
      </w:r>
      <w:r>
        <w:t xml:space="preserve"> to </w:t>
      </w:r>
      <w:r w:rsidRPr="00794493">
        <w:t>family</w:t>
      </w:r>
      <w:r>
        <w:t xml:space="preserve"> </w:t>
      </w:r>
      <w:r w:rsidRPr="00794493">
        <w:t>violence.</w:t>
      </w:r>
    </w:p>
    <w:p w14:paraId="63B926FB" w14:textId="77777777" w:rsidR="00856406" w:rsidRPr="00B202D1" w:rsidRDefault="00856406" w:rsidP="00F45F3A">
      <w:pPr>
        <w:pStyle w:val="BodyText"/>
      </w:pPr>
      <w:r w:rsidRPr="00794493">
        <w:t>In</w:t>
      </w:r>
      <w:r>
        <w:t xml:space="preserve"> </w:t>
      </w:r>
      <w:r w:rsidRPr="00794493">
        <w:t>addition</w:t>
      </w:r>
      <w:r>
        <w:t xml:space="preserve">, this year CAV </w:t>
      </w:r>
      <w:r w:rsidRPr="00794493">
        <w:t>deliver</w:t>
      </w:r>
      <w:r>
        <w:t>ed f</w:t>
      </w:r>
      <w:r w:rsidRPr="00794493">
        <w:t>oundational</w:t>
      </w:r>
      <w:r>
        <w:t xml:space="preserve"> f</w:t>
      </w:r>
      <w:r w:rsidRPr="00794493">
        <w:t>amily</w:t>
      </w:r>
      <w:r>
        <w:t xml:space="preserve"> v</w:t>
      </w:r>
      <w:r w:rsidRPr="00794493">
        <w:t>iolence</w:t>
      </w:r>
      <w:r>
        <w:t xml:space="preserve"> t</w:t>
      </w:r>
      <w:r w:rsidRPr="00794493">
        <w:t>raining</w:t>
      </w:r>
      <w:r>
        <w:t xml:space="preserve"> </w:t>
      </w:r>
      <w:r w:rsidRPr="00794493">
        <w:t>across</w:t>
      </w:r>
      <w:r>
        <w:t xml:space="preserve"> </w:t>
      </w:r>
      <w:r w:rsidRPr="00794493">
        <w:t>the</w:t>
      </w:r>
      <w:r>
        <w:t xml:space="preserve"> </w:t>
      </w:r>
      <w:r w:rsidRPr="00794493">
        <w:t>organisation</w:t>
      </w:r>
      <w:r>
        <w:t>, to support all staff to understand and be able to identify family violence risks to community members in the services and supports they provide to the Victorian community. We will continue to support staff in this area in the coming year.</w:t>
      </w:r>
    </w:p>
    <w:p w14:paraId="51196671" w14:textId="77777777" w:rsidR="00856406" w:rsidRPr="00E72DBC" w:rsidRDefault="00856406" w:rsidP="00447322">
      <w:pPr>
        <w:pStyle w:val="Heading3"/>
      </w:pPr>
      <w:r w:rsidRPr="00E72DBC">
        <w:t>Stakeholder</w:t>
      </w:r>
      <w:r>
        <w:t xml:space="preserve"> </w:t>
      </w:r>
      <w:r w:rsidRPr="00E72DBC">
        <w:t>engagement</w:t>
      </w:r>
      <w:bookmarkEnd w:id="66"/>
    </w:p>
    <w:p w14:paraId="567BDCCF" w14:textId="77777777" w:rsidR="00856406" w:rsidRDefault="00856406" w:rsidP="00F45F3A">
      <w:pPr>
        <w:pStyle w:val="BodyText"/>
      </w:pPr>
      <w:r w:rsidRPr="00717004" w:rsidDel="008243E7">
        <w:t>CAV</w:t>
      </w:r>
      <w:r>
        <w:t xml:space="preserve"> has </w:t>
      </w:r>
      <w:r w:rsidRPr="00717004">
        <w:t>established</w:t>
      </w:r>
      <w:r>
        <w:t xml:space="preserve"> </w:t>
      </w:r>
      <w:r w:rsidRPr="00717004">
        <w:t>two</w:t>
      </w:r>
      <w:r>
        <w:t xml:space="preserve"> </w:t>
      </w:r>
      <w:r w:rsidRPr="00717004">
        <w:t>standing</w:t>
      </w:r>
      <w:r>
        <w:t xml:space="preserve"> </w:t>
      </w:r>
      <w:r w:rsidRPr="00717004">
        <w:t>forums</w:t>
      </w:r>
      <w:r>
        <w:t xml:space="preserve"> </w:t>
      </w:r>
      <w:r w:rsidRPr="00717004">
        <w:t>as</w:t>
      </w:r>
      <w:r>
        <w:t xml:space="preserve"> </w:t>
      </w:r>
      <w:r w:rsidRPr="00717004">
        <w:t>a</w:t>
      </w:r>
      <w:r>
        <w:t xml:space="preserve"> </w:t>
      </w:r>
      <w:r w:rsidRPr="00717004">
        <w:t>mechanism</w:t>
      </w:r>
      <w:r>
        <w:t xml:space="preserve"> </w:t>
      </w:r>
      <w:r w:rsidRPr="00717004">
        <w:t>to</w:t>
      </w:r>
      <w:r>
        <w:t xml:space="preserve"> </w:t>
      </w:r>
      <w:r w:rsidRPr="00717004">
        <w:t>engage</w:t>
      </w:r>
      <w:r>
        <w:t xml:space="preserve"> </w:t>
      </w:r>
      <w:r w:rsidRPr="00717004">
        <w:t>with</w:t>
      </w:r>
      <w:r>
        <w:t xml:space="preserve"> </w:t>
      </w:r>
      <w:r w:rsidRPr="00717004">
        <w:t>key</w:t>
      </w:r>
      <w:r>
        <w:t xml:space="preserve"> </w:t>
      </w:r>
      <w:r w:rsidRPr="00717004">
        <w:t>stakeholders</w:t>
      </w:r>
      <w:r>
        <w:t xml:space="preserve"> </w:t>
      </w:r>
      <w:r w:rsidRPr="00717004">
        <w:t>on</w:t>
      </w:r>
      <w:r>
        <w:t xml:space="preserve"> </w:t>
      </w:r>
      <w:r w:rsidRPr="00717004">
        <w:t>important</w:t>
      </w:r>
      <w:r>
        <w:t xml:space="preserve"> </w:t>
      </w:r>
      <w:r w:rsidRPr="00717004">
        <w:t>issues.</w:t>
      </w:r>
      <w:r>
        <w:t xml:space="preserve"> </w:t>
      </w:r>
      <w:r w:rsidRPr="00717004">
        <w:t>These</w:t>
      </w:r>
      <w:r>
        <w:t xml:space="preserve"> </w:t>
      </w:r>
      <w:r w:rsidRPr="00717004">
        <w:t>are</w:t>
      </w:r>
      <w:r>
        <w:t xml:space="preserve"> </w:t>
      </w:r>
      <w:r w:rsidRPr="00717004">
        <w:t>the</w:t>
      </w:r>
      <w:r>
        <w:t xml:space="preserve"> </w:t>
      </w:r>
      <w:r w:rsidRPr="00717004">
        <w:t>Consumer</w:t>
      </w:r>
      <w:r>
        <w:t xml:space="preserve"> </w:t>
      </w:r>
      <w:r w:rsidRPr="00717004">
        <w:t>and</w:t>
      </w:r>
      <w:r>
        <w:t xml:space="preserve"> </w:t>
      </w:r>
      <w:r w:rsidRPr="00717004">
        <w:t>Renter</w:t>
      </w:r>
      <w:r>
        <w:t xml:space="preserve"> </w:t>
      </w:r>
      <w:r w:rsidRPr="00717004">
        <w:t>Consultative</w:t>
      </w:r>
      <w:r>
        <w:t xml:space="preserve"> </w:t>
      </w:r>
      <w:r w:rsidRPr="00717004">
        <w:t>Forum</w:t>
      </w:r>
      <w:r>
        <w:t xml:space="preserve"> </w:t>
      </w:r>
      <w:r w:rsidRPr="00717004">
        <w:t>and</w:t>
      </w:r>
      <w:r>
        <w:t xml:space="preserve"> </w:t>
      </w:r>
      <w:r w:rsidRPr="00717004">
        <w:t>the</w:t>
      </w:r>
      <w:r>
        <w:t xml:space="preserve"> </w:t>
      </w:r>
      <w:r w:rsidRPr="00717004">
        <w:t>Housing</w:t>
      </w:r>
      <w:r>
        <w:t xml:space="preserve"> </w:t>
      </w:r>
      <w:r w:rsidRPr="00717004">
        <w:t>and</w:t>
      </w:r>
      <w:r>
        <w:t xml:space="preserve"> </w:t>
      </w:r>
      <w:r w:rsidRPr="00717004">
        <w:t>Property</w:t>
      </w:r>
      <w:r>
        <w:t xml:space="preserve"> </w:t>
      </w:r>
      <w:r w:rsidRPr="00717004">
        <w:t>Advisory</w:t>
      </w:r>
      <w:r>
        <w:t xml:space="preserve"> </w:t>
      </w:r>
      <w:r w:rsidRPr="00717004">
        <w:t>Forum.</w:t>
      </w:r>
      <w:r>
        <w:t xml:space="preserve"> Among other objectives, the f</w:t>
      </w:r>
      <w:r w:rsidRPr="00717004">
        <w:t>orums</w:t>
      </w:r>
      <w:r>
        <w:t xml:space="preserve"> </w:t>
      </w:r>
      <w:r w:rsidRPr="00717004">
        <w:t>aim</w:t>
      </w:r>
      <w:r>
        <w:t xml:space="preserve"> </w:t>
      </w:r>
      <w:r w:rsidRPr="00717004">
        <w:t>to</w:t>
      </w:r>
      <w:r>
        <w:t xml:space="preserve"> enhance information sharing and engagement, foster stronger relationships and build </w:t>
      </w:r>
      <w:r w:rsidRPr="00717004">
        <w:t>trust</w:t>
      </w:r>
      <w:r>
        <w:t xml:space="preserve"> </w:t>
      </w:r>
      <w:r w:rsidRPr="00717004">
        <w:t>with</w:t>
      </w:r>
      <w:r>
        <w:t xml:space="preserve"> </w:t>
      </w:r>
      <w:r w:rsidRPr="00717004">
        <w:t>key</w:t>
      </w:r>
      <w:r>
        <w:t xml:space="preserve"> </w:t>
      </w:r>
      <w:r w:rsidRPr="00717004">
        <w:t>stakeholders.</w:t>
      </w:r>
      <w:r>
        <w:t xml:space="preserve"> </w:t>
      </w:r>
      <w:r w:rsidRPr="00717004">
        <w:t>Members</w:t>
      </w:r>
      <w:r>
        <w:t xml:space="preserve"> </w:t>
      </w:r>
      <w:r w:rsidRPr="00717004">
        <w:t>include</w:t>
      </w:r>
      <w:r>
        <w:t xml:space="preserve"> </w:t>
      </w:r>
      <w:r w:rsidRPr="00717004">
        <w:t>a</w:t>
      </w:r>
      <w:r>
        <w:t xml:space="preserve"> </w:t>
      </w:r>
      <w:r w:rsidRPr="00717004">
        <w:t>diverse</w:t>
      </w:r>
      <w:r>
        <w:t xml:space="preserve"> </w:t>
      </w:r>
      <w:r w:rsidRPr="00717004">
        <w:t>range</w:t>
      </w:r>
      <w:r>
        <w:t xml:space="preserve"> </w:t>
      </w:r>
      <w:r w:rsidRPr="00717004">
        <w:t>of</w:t>
      </w:r>
      <w:r>
        <w:t xml:space="preserve"> </w:t>
      </w:r>
      <w:r w:rsidRPr="00717004">
        <w:t>consumer</w:t>
      </w:r>
      <w:r>
        <w:t xml:space="preserve"> </w:t>
      </w:r>
      <w:r w:rsidRPr="00717004">
        <w:t>groups,</w:t>
      </w:r>
      <w:r>
        <w:t xml:space="preserve"> </w:t>
      </w:r>
      <w:r w:rsidRPr="00717004">
        <w:t>community</w:t>
      </w:r>
      <w:r>
        <w:t xml:space="preserve"> </w:t>
      </w:r>
      <w:r w:rsidRPr="00717004">
        <w:t>groups</w:t>
      </w:r>
      <w:r>
        <w:t xml:space="preserve">, and industry organisations. All have experience and knowledge in dealing with consumer, renting, housing, and property issues, and representing </w:t>
      </w:r>
      <w:r w:rsidRPr="00717004">
        <w:t>the</w:t>
      </w:r>
      <w:r>
        <w:t xml:space="preserve"> </w:t>
      </w:r>
      <w:r w:rsidRPr="00717004">
        <w:t>interests</w:t>
      </w:r>
      <w:r>
        <w:t xml:space="preserve"> </w:t>
      </w:r>
      <w:r w:rsidRPr="00717004">
        <w:t>of</w:t>
      </w:r>
      <w:r>
        <w:t xml:space="preserve"> </w:t>
      </w:r>
      <w:r w:rsidRPr="00717004">
        <w:t>community</w:t>
      </w:r>
      <w:r>
        <w:t xml:space="preserve"> </w:t>
      </w:r>
      <w:r w:rsidRPr="00717004">
        <w:t>members.</w:t>
      </w:r>
    </w:p>
    <w:p w14:paraId="68D2D048" w14:textId="48C963CA" w:rsidR="00856406" w:rsidRDefault="00856406" w:rsidP="00F45F3A">
      <w:pPr>
        <w:pStyle w:val="BodyText"/>
      </w:pPr>
      <w:r>
        <w:t xml:space="preserve">During </w:t>
      </w:r>
      <w:r w:rsidR="00EE79C3">
        <w:t>2024–25</w:t>
      </w:r>
      <w:r>
        <w:t xml:space="preserve">, </w:t>
      </w:r>
      <w:r w:rsidRPr="00717004">
        <w:t>we</w:t>
      </w:r>
      <w:r>
        <w:t xml:space="preserve"> held several meetings of each forum. We were also pleased to welcome </w:t>
      </w:r>
      <w:r w:rsidDel="00420A34">
        <w:t>the</w:t>
      </w:r>
      <w:r>
        <w:t xml:space="preserve"> Minister for Consumer Affairs and the Parliamentary Secretary for Renters to separate forum meetings, and to hear more about their priorities</w:t>
      </w:r>
      <w:r w:rsidRPr="00717004">
        <w:t>.</w:t>
      </w:r>
    </w:p>
    <w:p w14:paraId="7A8D4740" w14:textId="35534B74" w:rsidR="00856406" w:rsidRPr="00717004" w:rsidRDefault="00856406" w:rsidP="00F45F3A">
      <w:pPr>
        <w:pStyle w:val="BodyText"/>
      </w:pPr>
      <w:r w:rsidRPr="00717004">
        <w:t>We</w:t>
      </w:r>
      <w:r>
        <w:t xml:space="preserve"> </w:t>
      </w:r>
      <w:r w:rsidRPr="00717004">
        <w:t>also</w:t>
      </w:r>
      <w:r>
        <w:t xml:space="preserve"> coordinated </w:t>
      </w:r>
      <w:r w:rsidRPr="00717004">
        <w:t>key</w:t>
      </w:r>
      <w:r>
        <w:t xml:space="preserve"> </w:t>
      </w:r>
      <w:r w:rsidRPr="00717004">
        <w:t>stakeholder</w:t>
      </w:r>
      <w:r>
        <w:t xml:space="preserve"> </w:t>
      </w:r>
      <w:r w:rsidRPr="00717004">
        <w:t>forums</w:t>
      </w:r>
      <w:r>
        <w:t xml:space="preserve"> </w:t>
      </w:r>
      <w:r w:rsidRPr="00717004">
        <w:t>in</w:t>
      </w:r>
      <w:r>
        <w:t xml:space="preserve"> </w:t>
      </w:r>
      <w:r w:rsidRPr="00717004">
        <w:t>response</w:t>
      </w:r>
      <w:r>
        <w:t xml:space="preserve"> </w:t>
      </w:r>
      <w:r w:rsidRPr="00717004">
        <w:t>to</w:t>
      </w:r>
      <w:r>
        <w:t xml:space="preserve"> </w:t>
      </w:r>
      <w:r w:rsidRPr="00717004">
        <w:t>the</w:t>
      </w:r>
      <w:r>
        <w:t xml:space="preserve"> announcement of the </w:t>
      </w:r>
      <w:r w:rsidRPr="00717004">
        <w:t>interim</w:t>
      </w:r>
      <w:r>
        <w:t xml:space="preserve"> ban on the supply of machetes in Victoria, to quickly engage with affected retailers, online platforms and community members</w:t>
      </w:r>
      <w:r w:rsidRPr="00717004">
        <w:t>.</w:t>
      </w:r>
      <w:r>
        <w:t xml:space="preserve"> More generally, throughout the year we continued to meet and engage with stakeholders regularly across the different sectors and industries we regulate. We are committed to continuing this open and regular engagement in </w:t>
      </w:r>
      <w:r w:rsidR="00EE79C3">
        <w:t>2025–26</w:t>
      </w:r>
      <w:r>
        <w:t>.</w:t>
      </w:r>
    </w:p>
    <w:p w14:paraId="18F34E13" w14:textId="77777777" w:rsidR="00856406" w:rsidRPr="00EB0C9A" w:rsidRDefault="00856406" w:rsidP="00447322">
      <w:pPr>
        <w:pStyle w:val="Heading4"/>
      </w:pPr>
      <w:r w:rsidRPr="00EB0C9A">
        <w:t>Stakeholder</w:t>
      </w:r>
      <w:r>
        <w:t xml:space="preserve"> </w:t>
      </w:r>
      <w:r w:rsidRPr="00EB0C9A">
        <w:t>survey</w:t>
      </w:r>
    </w:p>
    <w:p w14:paraId="4906F110" w14:textId="13B461AE" w:rsidR="00856406" w:rsidRDefault="00856406" w:rsidP="00F45F3A">
      <w:pPr>
        <w:pStyle w:val="BodyText"/>
      </w:pPr>
      <w:r>
        <w:t xml:space="preserve">In </w:t>
      </w:r>
      <w:r w:rsidR="00EE79C3">
        <w:t>2024–25</w:t>
      </w:r>
      <w:r>
        <w:t xml:space="preserve">, we ran the second iteration of our stakeholder survey, to gauge the level of trust stakeholders and partners have in CAV and understand where we should focus our regulatory efforts. The survey will enable us to assess changes in stakeholder perception over time. We measure these changes to inform our operations, and to gauge progress against our Strategic Plan outcome of ‘CAV is a trusted regulator’, and outcome indicator of ‘Increased </w:t>
      </w:r>
      <w:r w:rsidRPr="003F53BD">
        <w:t>stakeholder</w:t>
      </w:r>
      <w:r>
        <w:t xml:space="preserve"> </w:t>
      </w:r>
      <w:r w:rsidRPr="003F53BD">
        <w:t>confidence</w:t>
      </w:r>
      <w:r>
        <w:t xml:space="preserve"> </w:t>
      </w:r>
      <w:r w:rsidRPr="003F53BD">
        <w:t>in</w:t>
      </w:r>
      <w:r>
        <w:t xml:space="preserve"> </w:t>
      </w:r>
      <w:r w:rsidRPr="003F53BD">
        <w:t>CAV</w:t>
      </w:r>
      <w:r>
        <w:t xml:space="preserve"> </w:t>
      </w:r>
      <w:r w:rsidRPr="003F53BD">
        <w:t>as</w:t>
      </w:r>
      <w:r>
        <w:t xml:space="preserve"> </w:t>
      </w:r>
      <w:r w:rsidRPr="003F53BD">
        <w:t>a</w:t>
      </w:r>
      <w:r>
        <w:t xml:space="preserve"> </w:t>
      </w:r>
      <w:r w:rsidRPr="003F53BD">
        <w:t>regulator</w:t>
      </w:r>
      <w:r>
        <w:t>.’</w:t>
      </w:r>
    </w:p>
    <w:p w14:paraId="2A5ADB90" w14:textId="77777777" w:rsidR="00856406" w:rsidRDefault="00856406" w:rsidP="00F45F3A">
      <w:pPr>
        <w:pStyle w:val="BodyText"/>
      </w:pPr>
      <w:r>
        <w:t>50 per cent of respondents felt confident that CAV would listen to and understand any issues raised by stakeholders. This was an increase from 2022’s score of 48 per cent. 43 per cent of respondents believed that CAV is an effective regulator, similar to the 2022 results. Most respondents agreed or strongly agreed that they understood CAV’s priorities, a significant increase from 2022. These results reflect the emphasis we have placed on stakeholder engagement in recent years, and show that we must continue to strengthen communication and collaboration with stakeholders.</w:t>
      </w:r>
    </w:p>
    <w:p w14:paraId="7AA5FA9A" w14:textId="77777777" w:rsidR="00856406" w:rsidRPr="00F45F3A" w:rsidRDefault="00856406" w:rsidP="00447322">
      <w:pPr>
        <w:pStyle w:val="Heading3"/>
      </w:pPr>
      <w:r w:rsidRPr="00EB0C9A">
        <w:t>Emergency</w:t>
      </w:r>
      <w:r>
        <w:t xml:space="preserve"> </w:t>
      </w:r>
      <w:r w:rsidRPr="00EB0C9A">
        <w:t>preparedness</w:t>
      </w:r>
      <w:r>
        <w:t xml:space="preserve"> </w:t>
      </w:r>
      <w:r w:rsidRPr="00EB0C9A">
        <w:t>review</w:t>
      </w:r>
    </w:p>
    <w:p w14:paraId="4C8BD73D" w14:textId="77777777" w:rsidR="00856406" w:rsidRPr="00F45F3A" w:rsidRDefault="00856406" w:rsidP="00F45F3A">
      <w:pPr>
        <w:pStyle w:val="BodyText"/>
      </w:pPr>
      <w:r>
        <w:t xml:space="preserve">CAV is the lead agency for consumer affairs under the State Emergency Management Plan (SEMP). We initiated a review of </w:t>
      </w:r>
      <w:r w:rsidRPr="004E7303">
        <w:t>our</w:t>
      </w:r>
      <w:r>
        <w:t xml:space="preserve"> </w:t>
      </w:r>
      <w:r w:rsidRPr="004E7303">
        <w:t>emergency</w:t>
      </w:r>
      <w:r>
        <w:t xml:space="preserve"> </w:t>
      </w:r>
      <w:r w:rsidRPr="004E7303">
        <w:t>preparedness,</w:t>
      </w:r>
      <w:r>
        <w:t xml:space="preserve"> </w:t>
      </w:r>
      <w:r w:rsidRPr="004E7303">
        <w:t>to</w:t>
      </w:r>
      <w:r>
        <w:t xml:space="preserve"> </w:t>
      </w:r>
      <w:r w:rsidRPr="004E7303">
        <w:t>identify</w:t>
      </w:r>
      <w:r>
        <w:t xml:space="preserve"> </w:t>
      </w:r>
      <w:r w:rsidRPr="004E7303">
        <w:t>opportunities</w:t>
      </w:r>
      <w:r>
        <w:t xml:space="preserve"> </w:t>
      </w:r>
      <w:r w:rsidRPr="004E7303">
        <w:t>for</w:t>
      </w:r>
      <w:r>
        <w:t xml:space="preserve"> </w:t>
      </w:r>
      <w:r w:rsidRPr="004E7303">
        <w:t>improvement.</w:t>
      </w:r>
      <w:r>
        <w:t xml:space="preserve"> </w:t>
      </w:r>
      <w:r w:rsidRPr="004E7303">
        <w:t>This</w:t>
      </w:r>
      <w:r>
        <w:t xml:space="preserve"> will ensure we are well-equipped to </w:t>
      </w:r>
      <w:r w:rsidRPr="004E7303">
        <w:t>meet</w:t>
      </w:r>
      <w:r>
        <w:t xml:space="preserve"> </w:t>
      </w:r>
      <w:r w:rsidRPr="004E7303">
        <w:t>ou</w:t>
      </w:r>
      <w:r w:rsidRPr="00F45F3A">
        <w:t>r responsibilities under the SEMP and related frameworks, and to respond to new events. The review included desktop research and consultations with government and non-government stakeholders.</w:t>
      </w:r>
    </w:p>
    <w:p w14:paraId="2BCD0B37" w14:textId="77777777" w:rsidR="00856406" w:rsidRPr="00F45F3A" w:rsidRDefault="00856406" w:rsidP="00F45F3A">
      <w:pPr>
        <w:pStyle w:val="BodyText"/>
      </w:pPr>
      <w:r w:rsidRPr="00F45F3A">
        <w:t>Through this work, we identified opportunities to improve how we prepare and are placed to support Victorian renters and consumers in an emergency.</w:t>
      </w:r>
    </w:p>
    <w:p w14:paraId="7433FE77" w14:textId="77777777" w:rsidR="00856406" w:rsidRDefault="00856406" w:rsidP="00F45F3A">
      <w:pPr>
        <w:pStyle w:val="BodyText"/>
      </w:pPr>
      <w:r w:rsidRPr="00F45F3A">
        <w:t>While we always hope that one does not arise, this work provides confidence we can provide the timely support we know impacted people and commu</w:t>
      </w:r>
      <w:r>
        <w:t>nities need if an emergency occurs. This includes fast renting advice, support for response programs such as financial counselling and renter assistance, and compliance responses to poor trading or fundraising conduct that seeks to take advantage in times of vulnerability.</w:t>
      </w:r>
    </w:p>
    <w:p w14:paraId="09B611FF" w14:textId="77777777" w:rsidR="00856406" w:rsidRPr="00604FFD" w:rsidRDefault="00856406" w:rsidP="00447322">
      <w:pPr>
        <w:pStyle w:val="Heading3"/>
      </w:pPr>
      <w:r w:rsidRPr="00604FFD">
        <w:t>Implementing</w:t>
      </w:r>
      <w:r>
        <w:t xml:space="preserve"> r</w:t>
      </w:r>
      <w:r w:rsidRPr="00604FFD">
        <w:t>eforms</w:t>
      </w:r>
    </w:p>
    <w:p w14:paraId="28DD135E" w14:textId="3F95E950" w:rsidR="00856406" w:rsidRPr="001A07A7" w:rsidRDefault="00856406" w:rsidP="00F45F3A">
      <w:pPr>
        <w:pStyle w:val="BodyText"/>
      </w:pPr>
      <w:r>
        <w:t xml:space="preserve">In </w:t>
      </w:r>
      <w:r w:rsidR="00EE79C3">
        <w:t>2024–25</w:t>
      </w:r>
      <w:r>
        <w:t>, the government passed multiple pieces of legislation aimed at enhancing consumer and renter protections. CAV will play a crucial role in supporting these legislative reforms, with activities ranging from education to compliance and enforcement. We have begun preparing to implement several key legislative changes, described below.</w:t>
      </w:r>
    </w:p>
    <w:p w14:paraId="443CCBAC" w14:textId="77777777" w:rsidR="00856406" w:rsidRPr="00604FFD" w:rsidRDefault="00856406" w:rsidP="00447322">
      <w:pPr>
        <w:pStyle w:val="Heading4"/>
      </w:pPr>
      <w:r w:rsidRPr="00604FFD">
        <w:t>Amendments</w:t>
      </w:r>
      <w:r>
        <w:t xml:space="preserve"> </w:t>
      </w:r>
      <w:r w:rsidRPr="00604FFD">
        <w:t>to</w:t>
      </w:r>
      <w:r>
        <w:t xml:space="preserve"> </w:t>
      </w:r>
      <w:r w:rsidRPr="00604FFD">
        <w:t>the</w:t>
      </w:r>
      <w:r>
        <w:t xml:space="preserve"> </w:t>
      </w:r>
      <w:r w:rsidRPr="00A4404F">
        <w:t>Retirement</w:t>
      </w:r>
      <w:r>
        <w:t xml:space="preserve"> </w:t>
      </w:r>
      <w:r w:rsidRPr="00A4404F">
        <w:t>Villages</w:t>
      </w:r>
      <w:r>
        <w:t xml:space="preserve"> </w:t>
      </w:r>
      <w:r w:rsidRPr="00A4404F">
        <w:t>Act</w:t>
      </w:r>
    </w:p>
    <w:p w14:paraId="6B5E6D1C" w14:textId="77777777" w:rsidR="00856406" w:rsidRDefault="00856406" w:rsidP="00C0225A">
      <w:pPr>
        <w:pStyle w:val="BodyText"/>
      </w:pPr>
      <w:r w:rsidRPr="00256B36">
        <w:t>The</w:t>
      </w:r>
      <w:r>
        <w:t xml:space="preserve"> </w:t>
      </w:r>
      <w:r w:rsidRPr="00A4404F">
        <w:rPr>
          <w:i/>
        </w:rPr>
        <w:t>Retirement</w:t>
      </w:r>
      <w:r>
        <w:rPr>
          <w:i/>
        </w:rPr>
        <w:t xml:space="preserve"> </w:t>
      </w:r>
      <w:r w:rsidRPr="00A4404F">
        <w:rPr>
          <w:i/>
        </w:rPr>
        <w:t>Villages</w:t>
      </w:r>
      <w:r>
        <w:rPr>
          <w:i/>
        </w:rPr>
        <w:t xml:space="preserve"> </w:t>
      </w:r>
      <w:r w:rsidRPr="00A4404F">
        <w:rPr>
          <w:i/>
        </w:rPr>
        <w:t>Amendment</w:t>
      </w:r>
      <w:r>
        <w:rPr>
          <w:i/>
        </w:rPr>
        <w:t xml:space="preserve"> </w:t>
      </w:r>
      <w:r w:rsidRPr="00A4404F">
        <w:rPr>
          <w:i/>
        </w:rPr>
        <w:t>Act</w:t>
      </w:r>
      <w:r>
        <w:t xml:space="preserve"> 2025 was passed by the Victorian Parliament in May 2025. It will </w:t>
      </w:r>
      <w:r w:rsidRPr="00256B36">
        <w:t>modernise</w:t>
      </w:r>
      <w:r>
        <w:t xml:space="preserve"> the laws </w:t>
      </w:r>
      <w:r w:rsidRPr="00256B36">
        <w:t>to</w:t>
      </w:r>
      <w:r>
        <w:t xml:space="preserve"> </w:t>
      </w:r>
      <w:r w:rsidRPr="001D4607">
        <w:t>safeguard</w:t>
      </w:r>
      <w:r>
        <w:t xml:space="preserve"> </w:t>
      </w:r>
      <w:r w:rsidRPr="001D4607">
        <w:t>residents’</w:t>
      </w:r>
      <w:r>
        <w:t xml:space="preserve"> </w:t>
      </w:r>
      <w:r w:rsidRPr="001D4607">
        <w:t>rights</w:t>
      </w:r>
      <w:r>
        <w:t xml:space="preserve"> </w:t>
      </w:r>
      <w:r w:rsidRPr="001D4607">
        <w:t>and</w:t>
      </w:r>
      <w:r>
        <w:t xml:space="preserve"> </w:t>
      </w:r>
      <w:r w:rsidRPr="001D4607">
        <w:t>improve</w:t>
      </w:r>
      <w:r>
        <w:t xml:space="preserve"> </w:t>
      </w:r>
      <w:r w:rsidRPr="001D4607">
        <w:t>the</w:t>
      </w:r>
      <w:r>
        <w:t xml:space="preserve"> </w:t>
      </w:r>
      <w:r w:rsidRPr="001D4607">
        <w:t>management</w:t>
      </w:r>
      <w:r>
        <w:t xml:space="preserve"> </w:t>
      </w:r>
      <w:r w:rsidRPr="001D4607">
        <w:t>of</w:t>
      </w:r>
      <w:r>
        <w:t xml:space="preserve"> </w:t>
      </w:r>
      <w:r w:rsidRPr="001D4607">
        <w:t>retirement</w:t>
      </w:r>
      <w:r>
        <w:t xml:space="preserve"> </w:t>
      </w:r>
      <w:r w:rsidRPr="001D4607">
        <w:t>villages</w:t>
      </w:r>
      <w:r>
        <w:t>. Reforms include:</w:t>
      </w:r>
    </w:p>
    <w:p w14:paraId="208CAD08" w14:textId="77777777" w:rsidR="00856406" w:rsidRDefault="00856406" w:rsidP="00C0225A">
      <w:pPr>
        <w:pStyle w:val="ListBullet"/>
      </w:pPr>
      <w:r>
        <w:t>introducing standard form contracts</w:t>
      </w:r>
    </w:p>
    <w:p w14:paraId="4FD6C813" w14:textId="77777777" w:rsidR="00856406" w:rsidRDefault="00856406" w:rsidP="00C0225A">
      <w:pPr>
        <w:pStyle w:val="ListBullet"/>
      </w:pPr>
      <w:r>
        <w:t>regulating how exit entitlements are calculated</w:t>
      </w:r>
    </w:p>
    <w:p w14:paraId="7DC65545" w14:textId="77777777" w:rsidR="00856406" w:rsidRDefault="00856406" w:rsidP="00C0225A">
      <w:pPr>
        <w:pStyle w:val="ListBullet"/>
      </w:pPr>
      <w:r>
        <w:t>introducing principles to guide the operation of retirement villages and services, and</w:t>
      </w:r>
    </w:p>
    <w:p w14:paraId="3CC22623" w14:textId="77777777" w:rsidR="00856406" w:rsidRDefault="00856406" w:rsidP="00C0225A">
      <w:pPr>
        <w:pStyle w:val="ListBullet"/>
      </w:pPr>
      <w:r>
        <w:t>establishing a new complaints and conciliation scheme for disputes.</w:t>
      </w:r>
    </w:p>
    <w:p w14:paraId="7F3DE01B" w14:textId="77777777" w:rsidR="00856406" w:rsidRDefault="00856406" w:rsidP="00C0225A">
      <w:pPr>
        <w:pStyle w:val="BodyText"/>
      </w:pPr>
      <w:r w:rsidRPr="00C34248">
        <w:t>As</w:t>
      </w:r>
      <w:r>
        <w:t xml:space="preserve"> </w:t>
      </w:r>
      <w:r w:rsidRPr="00C34248">
        <w:t>the</w:t>
      </w:r>
      <w:r>
        <w:t xml:space="preserve"> </w:t>
      </w:r>
      <w:r w:rsidRPr="00C34248">
        <w:t>regulator,</w:t>
      </w:r>
      <w:r>
        <w:t xml:space="preserve"> </w:t>
      </w:r>
      <w:r w:rsidRPr="00C34248">
        <w:t>CAV</w:t>
      </w:r>
      <w:r>
        <w:t xml:space="preserve"> </w:t>
      </w:r>
      <w:r w:rsidRPr="00C34248">
        <w:t>will</w:t>
      </w:r>
      <w:r>
        <w:t xml:space="preserve"> </w:t>
      </w:r>
      <w:r w:rsidRPr="00C34248">
        <w:t>play</w:t>
      </w:r>
      <w:r>
        <w:t xml:space="preserve"> </w:t>
      </w:r>
      <w:r w:rsidRPr="00C34248">
        <w:t>a</w:t>
      </w:r>
      <w:r>
        <w:t xml:space="preserve"> </w:t>
      </w:r>
      <w:r w:rsidRPr="00C34248">
        <w:t>central</w:t>
      </w:r>
      <w:r>
        <w:t xml:space="preserve"> </w:t>
      </w:r>
      <w:r w:rsidRPr="00C34248">
        <w:t>role</w:t>
      </w:r>
      <w:r>
        <w:t xml:space="preserve"> </w:t>
      </w:r>
      <w:r w:rsidRPr="00C34248">
        <w:t>in</w:t>
      </w:r>
      <w:r>
        <w:t xml:space="preserve"> </w:t>
      </w:r>
      <w:r w:rsidRPr="00C34248">
        <w:t>implementing</w:t>
      </w:r>
      <w:r>
        <w:t xml:space="preserve"> </w:t>
      </w:r>
      <w:r w:rsidRPr="00C34248">
        <w:t>and</w:t>
      </w:r>
      <w:r>
        <w:t xml:space="preserve"> </w:t>
      </w:r>
      <w:r w:rsidRPr="00C34248">
        <w:t>overseeing</w:t>
      </w:r>
      <w:r>
        <w:t xml:space="preserve"> </w:t>
      </w:r>
      <w:r w:rsidRPr="00C34248">
        <w:t>the</w:t>
      </w:r>
      <w:r>
        <w:t xml:space="preserve"> </w:t>
      </w:r>
      <w:r w:rsidRPr="00C34248">
        <w:t>new</w:t>
      </w:r>
      <w:r>
        <w:t xml:space="preserve"> laws</w:t>
      </w:r>
      <w:r w:rsidRPr="00C34248">
        <w:t>.</w:t>
      </w:r>
      <w:r>
        <w:t xml:space="preserve"> Retirement villages will have new registration and annual reporting requirements, and we will have enhanced powers to monitor compliance with key protections. A mandatory Retirement Villages Code of Practice will also be developed, informed by consultation with the community and retirement village sector.</w:t>
      </w:r>
    </w:p>
    <w:p w14:paraId="03CB7262" w14:textId="77777777" w:rsidR="00856406" w:rsidRPr="00C34248" w:rsidRDefault="00856406" w:rsidP="00C0225A">
      <w:pPr>
        <w:pStyle w:val="BodyText"/>
      </w:pPr>
      <w:r w:rsidRPr="00C34248">
        <w:t>Our</w:t>
      </w:r>
      <w:r>
        <w:t xml:space="preserve"> activities </w:t>
      </w:r>
      <w:r w:rsidRPr="00C34248">
        <w:t>will</w:t>
      </w:r>
      <w:r>
        <w:t xml:space="preserve"> </w:t>
      </w:r>
      <w:r w:rsidRPr="00C34248">
        <w:t>include</w:t>
      </w:r>
      <w:r>
        <w:t xml:space="preserve"> e</w:t>
      </w:r>
      <w:r w:rsidRPr="00674176">
        <w:t>ducating</w:t>
      </w:r>
      <w:r>
        <w:t xml:space="preserve"> </w:t>
      </w:r>
      <w:r w:rsidRPr="00674176">
        <w:t>residents</w:t>
      </w:r>
      <w:r>
        <w:t xml:space="preserve"> </w:t>
      </w:r>
      <w:r w:rsidRPr="00674176">
        <w:t>and</w:t>
      </w:r>
      <w:r>
        <w:t xml:space="preserve"> </w:t>
      </w:r>
      <w:r w:rsidRPr="00674176">
        <w:t>operators</w:t>
      </w:r>
      <w:r>
        <w:t xml:space="preserve"> </w:t>
      </w:r>
      <w:r w:rsidRPr="00C34248">
        <w:t>about</w:t>
      </w:r>
      <w:r>
        <w:t xml:space="preserve"> </w:t>
      </w:r>
      <w:r w:rsidRPr="00C34248">
        <w:t>the</w:t>
      </w:r>
      <w:r>
        <w:t xml:space="preserve"> </w:t>
      </w:r>
      <w:r w:rsidRPr="00C34248">
        <w:t>changes,</w:t>
      </w:r>
      <w:r>
        <w:t xml:space="preserve"> m</w:t>
      </w:r>
      <w:r w:rsidRPr="00674176">
        <w:t>onitoring</w:t>
      </w:r>
      <w:r>
        <w:t xml:space="preserve"> </w:t>
      </w:r>
      <w:r w:rsidRPr="00674176">
        <w:t>compliance</w:t>
      </w:r>
      <w:r>
        <w:t>, and s</w:t>
      </w:r>
      <w:r w:rsidRPr="00674176">
        <w:t>upporting</w:t>
      </w:r>
      <w:r>
        <w:t xml:space="preserve"> </w:t>
      </w:r>
      <w:r w:rsidRPr="00674176">
        <w:t>effective</w:t>
      </w:r>
      <w:r>
        <w:t xml:space="preserve"> </w:t>
      </w:r>
      <w:r w:rsidRPr="00674176">
        <w:t>dispute</w:t>
      </w:r>
      <w:r>
        <w:t xml:space="preserve"> </w:t>
      </w:r>
      <w:r w:rsidRPr="00674176">
        <w:t>resolution</w:t>
      </w:r>
      <w:r>
        <w:t xml:space="preserve">. We will also engage </w:t>
      </w:r>
      <w:r w:rsidRPr="00674176">
        <w:t>with</w:t>
      </w:r>
      <w:r>
        <w:t xml:space="preserve"> </w:t>
      </w:r>
      <w:r w:rsidRPr="00674176">
        <w:t>stakeholders</w:t>
      </w:r>
      <w:r>
        <w:t xml:space="preserve"> </w:t>
      </w:r>
      <w:r w:rsidRPr="00C34248">
        <w:t>to</w:t>
      </w:r>
      <w:r>
        <w:t xml:space="preserve"> </w:t>
      </w:r>
      <w:r w:rsidRPr="00C34248">
        <w:t>ensure</w:t>
      </w:r>
      <w:r>
        <w:t xml:space="preserve"> </w:t>
      </w:r>
      <w:r w:rsidRPr="00C34248">
        <w:t>that</w:t>
      </w:r>
      <w:r>
        <w:t xml:space="preserve"> </w:t>
      </w:r>
      <w:r w:rsidRPr="00C34248">
        <w:t>reforms</w:t>
      </w:r>
      <w:r>
        <w:t xml:space="preserve"> </w:t>
      </w:r>
      <w:r w:rsidRPr="00C34248">
        <w:t>are</w:t>
      </w:r>
      <w:r>
        <w:t xml:space="preserve"> </w:t>
      </w:r>
      <w:r w:rsidRPr="00C34248">
        <w:t>applied</w:t>
      </w:r>
      <w:r>
        <w:t xml:space="preserve"> </w:t>
      </w:r>
      <w:r w:rsidRPr="00C34248">
        <w:t>consistently</w:t>
      </w:r>
      <w:r>
        <w:t xml:space="preserve"> </w:t>
      </w:r>
      <w:r w:rsidRPr="00C34248">
        <w:t>and</w:t>
      </w:r>
      <w:r>
        <w:t xml:space="preserve"> </w:t>
      </w:r>
      <w:r w:rsidRPr="00C34248">
        <w:t>that</w:t>
      </w:r>
      <w:r>
        <w:t xml:space="preserve"> </w:t>
      </w:r>
      <w:r w:rsidRPr="00C34248">
        <w:t>emerging</w:t>
      </w:r>
      <w:r>
        <w:t xml:space="preserve"> </w:t>
      </w:r>
      <w:r w:rsidRPr="00C34248">
        <w:t>issues</w:t>
      </w:r>
      <w:r>
        <w:t xml:space="preserve"> </w:t>
      </w:r>
      <w:r w:rsidRPr="00C34248">
        <w:t>are</w:t>
      </w:r>
      <w:r>
        <w:t xml:space="preserve"> </w:t>
      </w:r>
      <w:r w:rsidRPr="00C34248">
        <w:t>identified</w:t>
      </w:r>
      <w:r>
        <w:t xml:space="preserve"> </w:t>
      </w:r>
      <w:r w:rsidRPr="00C34248">
        <w:t>early.</w:t>
      </w:r>
      <w:r>
        <w:t xml:space="preserve"> The reforms are due to take effect from 1 May 2026</w:t>
      </w:r>
      <w:r w:rsidRPr="00C34248">
        <w:t>.</w:t>
      </w:r>
    </w:p>
    <w:p w14:paraId="2EEFD5C5" w14:textId="77777777" w:rsidR="00856406" w:rsidRPr="00604FFD" w:rsidRDefault="00856406" w:rsidP="00447322">
      <w:pPr>
        <w:pStyle w:val="Heading4"/>
      </w:pPr>
      <w:r w:rsidRPr="00604FFD">
        <w:t>Renting</w:t>
      </w:r>
      <w:r>
        <w:t xml:space="preserve"> </w:t>
      </w:r>
      <w:r w:rsidRPr="00604FFD">
        <w:t>and</w:t>
      </w:r>
      <w:r>
        <w:t xml:space="preserve"> </w:t>
      </w:r>
      <w:r w:rsidRPr="00604FFD">
        <w:t>residential</w:t>
      </w:r>
      <w:r>
        <w:t xml:space="preserve"> </w:t>
      </w:r>
      <w:r w:rsidRPr="00604FFD">
        <w:t>parks</w:t>
      </w:r>
      <w:r>
        <w:t xml:space="preserve"> </w:t>
      </w:r>
      <w:r w:rsidRPr="00604FFD">
        <w:t>reforms</w:t>
      </w:r>
    </w:p>
    <w:p w14:paraId="41E8BAF0" w14:textId="77777777" w:rsidR="00856406" w:rsidRPr="00AA2ADE" w:rsidRDefault="00856406" w:rsidP="00C0225A">
      <w:pPr>
        <w:pStyle w:val="BodyText"/>
      </w:pPr>
      <w:r>
        <w:t xml:space="preserve">Significant reforms to Victoria’s renting laws under the </w:t>
      </w:r>
      <w:r>
        <w:rPr>
          <w:i/>
          <w:iCs/>
        </w:rPr>
        <w:t xml:space="preserve">Residential Tenancies Act 1997 </w:t>
      </w:r>
      <w:r>
        <w:t>were passed by the Victorian Parliament in March 2025. These implement commitments made by the government under its September 2023 Housing Statement, as well as several additional renting reforms. These changes are expected to come into effect at various times from November 2025. CAV will focus on ensuring updated information for renters, rental providers and estate agents, as well as ensuring CAV is well prepared to monitor and ensure compliance with new requirements.</w:t>
      </w:r>
    </w:p>
    <w:p w14:paraId="185850E6" w14:textId="77777777" w:rsidR="00856406" w:rsidRDefault="00856406" w:rsidP="00C0225A">
      <w:pPr>
        <w:pStyle w:val="BodyText"/>
      </w:pPr>
      <w:r>
        <w:t>A</w:t>
      </w:r>
      <w:r w:rsidRPr="007D6048">
        <w:t>mendments</w:t>
      </w:r>
      <w:r>
        <w:t xml:space="preserve"> to the </w:t>
      </w:r>
      <w:r>
        <w:rPr>
          <w:i/>
          <w:iCs/>
        </w:rPr>
        <w:t xml:space="preserve">Residential Tenancies Act </w:t>
      </w:r>
      <w:r>
        <w:t xml:space="preserve">were also made in late 2024, </w:t>
      </w:r>
      <w:r w:rsidRPr="007D6048">
        <w:t>to</w:t>
      </w:r>
      <w:r>
        <w:t xml:space="preserve"> </w:t>
      </w:r>
      <w:r w:rsidRPr="007D6048">
        <w:t>improve</w:t>
      </w:r>
      <w:r>
        <w:t xml:space="preserve"> </w:t>
      </w:r>
      <w:r w:rsidRPr="007D6048">
        <w:t>protections</w:t>
      </w:r>
      <w:r>
        <w:t xml:space="preserve"> </w:t>
      </w:r>
      <w:r w:rsidRPr="007D6048">
        <w:t>for</w:t>
      </w:r>
      <w:r>
        <w:t xml:space="preserve"> </w:t>
      </w:r>
      <w:r w:rsidRPr="007D6048">
        <w:t>residential</w:t>
      </w:r>
      <w:r>
        <w:t xml:space="preserve"> </w:t>
      </w:r>
      <w:r w:rsidRPr="007D6048">
        <w:t>park</w:t>
      </w:r>
      <w:r>
        <w:t xml:space="preserve"> </w:t>
      </w:r>
      <w:r w:rsidRPr="007D6048">
        <w:t>residents</w:t>
      </w:r>
      <w:r>
        <w:t xml:space="preserve"> </w:t>
      </w:r>
      <w:r w:rsidRPr="007D6048">
        <w:t>by</w:t>
      </w:r>
      <w:r>
        <w:t>:</w:t>
      </w:r>
    </w:p>
    <w:p w14:paraId="0F243484" w14:textId="77777777" w:rsidR="00856406" w:rsidRDefault="00856406" w:rsidP="00C0225A">
      <w:pPr>
        <w:pStyle w:val="ListBullet"/>
      </w:pPr>
      <w:r>
        <w:t>providing for a new standard form site agreement to be prescribed</w:t>
      </w:r>
    </w:p>
    <w:p w14:paraId="7AFF5ED3" w14:textId="77777777" w:rsidR="00856406" w:rsidRDefault="00856406" w:rsidP="00C0225A">
      <w:pPr>
        <w:pStyle w:val="ListBullet"/>
      </w:pPr>
      <w:r>
        <w:t>imposing new pre-contractual disclosure obligations on park operators, and</w:t>
      </w:r>
    </w:p>
    <w:p w14:paraId="31E5D1AB" w14:textId="77777777" w:rsidR="00856406" w:rsidRDefault="00856406" w:rsidP="00C0225A">
      <w:pPr>
        <w:pStyle w:val="ListBullet"/>
      </w:pPr>
      <w:r>
        <w:t>clarifying rent increase processes.</w:t>
      </w:r>
    </w:p>
    <w:p w14:paraId="58A96144" w14:textId="77777777" w:rsidR="00856406" w:rsidRPr="007D6048" w:rsidRDefault="00856406" w:rsidP="00C0225A">
      <w:pPr>
        <w:pStyle w:val="BodyText"/>
      </w:pPr>
      <w:r>
        <w:t xml:space="preserve">CAV </w:t>
      </w:r>
      <w:r w:rsidRPr="007D6048">
        <w:t>will</w:t>
      </w:r>
      <w:r>
        <w:t xml:space="preserve"> </w:t>
      </w:r>
      <w:r w:rsidRPr="007D6048">
        <w:t>play</w:t>
      </w:r>
      <w:r>
        <w:t xml:space="preserve"> </w:t>
      </w:r>
      <w:r w:rsidRPr="007D6048">
        <w:t>a</w:t>
      </w:r>
      <w:r>
        <w:t xml:space="preserve"> </w:t>
      </w:r>
      <w:r w:rsidRPr="007D6048">
        <w:t>key</w:t>
      </w:r>
      <w:r>
        <w:t xml:space="preserve"> </w:t>
      </w:r>
      <w:r w:rsidRPr="007D6048">
        <w:t>regulatory</w:t>
      </w:r>
      <w:r>
        <w:t xml:space="preserve"> </w:t>
      </w:r>
      <w:r w:rsidRPr="007D6048">
        <w:t>role</w:t>
      </w:r>
      <w:r>
        <w:t xml:space="preserve"> </w:t>
      </w:r>
      <w:r w:rsidRPr="007D6048">
        <w:t>by</w:t>
      </w:r>
      <w:r>
        <w:t xml:space="preserve"> </w:t>
      </w:r>
      <w:r w:rsidRPr="007D6048">
        <w:t>monitoring</w:t>
      </w:r>
      <w:r>
        <w:t xml:space="preserve"> </w:t>
      </w:r>
      <w:r w:rsidRPr="007D6048">
        <w:t>compliance,</w:t>
      </w:r>
      <w:r>
        <w:t xml:space="preserve"> </w:t>
      </w:r>
      <w:r w:rsidRPr="007D6048">
        <w:t>enforcing</w:t>
      </w:r>
      <w:r>
        <w:t xml:space="preserve"> </w:t>
      </w:r>
      <w:r w:rsidRPr="007D6048">
        <w:t>the</w:t>
      </w:r>
      <w:r>
        <w:t xml:space="preserve"> </w:t>
      </w:r>
      <w:r w:rsidRPr="007D6048">
        <w:t>new</w:t>
      </w:r>
      <w:r>
        <w:t xml:space="preserve"> </w:t>
      </w:r>
      <w:r w:rsidRPr="007D6048">
        <w:t>rules</w:t>
      </w:r>
      <w:r>
        <w:t xml:space="preserve"> </w:t>
      </w:r>
      <w:r w:rsidRPr="007D6048">
        <w:t>and</w:t>
      </w:r>
      <w:r>
        <w:t xml:space="preserve"> </w:t>
      </w:r>
      <w:r w:rsidRPr="007D6048">
        <w:t>providing</w:t>
      </w:r>
      <w:r>
        <w:t xml:space="preserve"> </w:t>
      </w:r>
      <w:r w:rsidRPr="007D6048">
        <w:t>guidance</w:t>
      </w:r>
      <w:r>
        <w:t xml:space="preserve"> </w:t>
      </w:r>
      <w:r w:rsidRPr="007D6048">
        <w:t>to</w:t>
      </w:r>
      <w:r>
        <w:t xml:space="preserve"> </w:t>
      </w:r>
      <w:r w:rsidRPr="007D6048">
        <w:t>residents</w:t>
      </w:r>
      <w:r>
        <w:t xml:space="preserve"> </w:t>
      </w:r>
      <w:r w:rsidRPr="007D6048">
        <w:t>and</w:t>
      </w:r>
      <w:r>
        <w:t xml:space="preserve"> </w:t>
      </w:r>
      <w:r w:rsidRPr="007D6048">
        <w:t>park</w:t>
      </w:r>
      <w:r>
        <w:t xml:space="preserve"> </w:t>
      </w:r>
      <w:r w:rsidRPr="007D6048">
        <w:t>operators</w:t>
      </w:r>
      <w:r>
        <w:t xml:space="preserve">, </w:t>
      </w:r>
      <w:r w:rsidRPr="007D6048">
        <w:t>to</w:t>
      </w:r>
      <w:r>
        <w:t xml:space="preserve"> </w:t>
      </w:r>
      <w:r w:rsidRPr="007D6048">
        <w:t>ensure</w:t>
      </w:r>
      <w:r>
        <w:t xml:space="preserve"> </w:t>
      </w:r>
      <w:r w:rsidRPr="007D6048">
        <w:t>the</w:t>
      </w:r>
      <w:r>
        <w:t xml:space="preserve"> </w:t>
      </w:r>
      <w:r w:rsidRPr="007D6048">
        <w:t>amendments</w:t>
      </w:r>
      <w:r>
        <w:t xml:space="preserve"> </w:t>
      </w:r>
      <w:r w:rsidRPr="007D6048">
        <w:t>are</w:t>
      </w:r>
      <w:r>
        <w:t xml:space="preserve"> </w:t>
      </w:r>
      <w:r w:rsidRPr="007D6048">
        <w:t>implemented</w:t>
      </w:r>
      <w:r>
        <w:t xml:space="preserve"> </w:t>
      </w:r>
      <w:r w:rsidRPr="007D6048">
        <w:t>effectively.</w:t>
      </w:r>
    </w:p>
    <w:p w14:paraId="750546DD" w14:textId="77777777" w:rsidR="00856406" w:rsidRPr="00C0225A" w:rsidRDefault="00856406" w:rsidP="00447322">
      <w:pPr>
        <w:pStyle w:val="Heading4"/>
      </w:pPr>
      <w:r w:rsidRPr="00604FFD">
        <w:t>Fuel</w:t>
      </w:r>
      <w:r>
        <w:t xml:space="preserve"> </w:t>
      </w:r>
      <w:r w:rsidRPr="00604FFD">
        <w:t>price</w:t>
      </w:r>
      <w:r>
        <w:t xml:space="preserve"> </w:t>
      </w:r>
      <w:r w:rsidRPr="00604FFD">
        <w:t>reporting</w:t>
      </w:r>
    </w:p>
    <w:p w14:paraId="667C9254" w14:textId="77777777" w:rsidR="00856406" w:rsidRPr="00F2178A" w:rsidRDefault="00856406" w:rsidP="00C0225A">
      <w:pPr>
        <w:pStyle w:val="BodyText"/>
      </w:pPr>
      <w:r w:rsidRPr="008B0C12">
        <w:t>The</w:t>
      </w:r>
      <w:r>
        <w:t xml:space="preserve"> government’s new m</w:t>
      </w:r>
      <w:r w:rsidRPr="00674176">
        <w:t>andatory</w:t>
      </w:r>
      <w:r>
        <w:t xml:space="preserve"> f</w:t>
      </w:r>
      <w:r w:rsidRPr="00674176">
        <w:t>uel</w:t>
      </w:r>
      <w:r>
        <w:t xml:space="preserve"> p</w:t>
      </w:r>
      <w:r w:rsidRPr="00674176">
        <w:t>rice</w:t>
      </w:r>
      <w:r>
        <w:t xml:space="preserve"> re</w:t>
      </w:r>
      <w:r w:rsidRPr="00674176">
        <w:t>porting</w:t>
      </w:r>
      <w:r>
        <w:t xml:space="preserve"> s</w:t>
      </w:r>
      <w:r w:rsidRPr="00674176">
        <w:t>cheme</w:t>
      </w:r>
      <w:r w:rsidRPr="008B0C12">
        <w:t>,</w:t>
      </w:r>
      <w:r>
        <w:t xml:space="preserve"> </w:t>
      </w:r>
      <w:r w:rsidRPr="008B0C12">
        <w:t>introduced</w:t>
      </w:r>
      <w:r>
        <w:t xml:space="preserve"> </w:t>
      </w:r>
      <w:r w:rsidRPr="008B0C12">
        <w:t>in</w:t>
      </w:r>
      <w:r>
        <w:t xml:space="preserve"> the second half of </w:t>
      </w:r>
      <w:r w:rsidRPr="008B0C12">
        <w:t>202</w:t>
      </w:r>
      <w:r>
        <w:t>5</w:t>
      </w:r>
      <w:r w:rsidRPr="008B0C12">
        <w:t>,</w:t>
      </w:r>
      <w:r>
        <w:t xml:space="preserve"> will </w:t>
      </w:r>
      <w:r w:rsidRPr="008B0C12">
        <w:t>require</w:t>
      </w:r>
      <w:r>
        <w:t xml:space="preserve"> </w:t>
      </w:r>
      <w:r w:rsidRPr="008B0C12">
        <w:t>all</w:t>
      </w:r>
      <w:r>
        <w:t xml:space="preserve"> </w:t>
      </w:r>
      <w:r w:rsidRPr="008B0C12">
        <w:t>fuel</w:t>
      </w:r>
      <w:r>
        <w:t xml:space="preserve"> </w:t>
      </w:r>
      <w:r w:rsidRPr="008B0C12">
        <w:t>retailers</w:t>
      </w:r>
      <w:r>
        <w:t xml:space="preserve"> </w:t>
      </w:r>
      <w:r w:rsidRPr="008B0C12">
        <w:t>in</w:t>
      </w:r>
      <w:r>
        <w:t xml:space="preserve"> </w:t>
      </w:r>
      <w:r w:rsidRPr="008B0C12">
        <w:t>Victoria</w:t>
      </w:r>
      <w:r>
        <w:t xml:space="preserve"> </w:t>
      </w:r>
      <w:r w:rsidRPr="008B0C12">
        <w:t>to</w:t>
      </w:r>
      <w:r>
        <w:t xml:space="preserve"> </w:t>
      </w:r>
      <w:r w:rsidRPr="008B0C12">
        <w:t>report</w:t>
      </w:r>
      <w:r>
        <w:t xml:space="preserve"> </w:t>
      </w:r>
      <w:r w:rsidRPr="008B0C12">
        <w:t>their</w:t>
      </w:r>
      <w:r>
        <w:t xml:space="preserve"> </w:t>
      </w:r>
      <w:r w:rsidRPr="008B0C12">
        <w:t>prices</w:t>
      </w:r>
      <w:r>
        <w:t xml:space="preserve"> </w:t>
      </w:r>
      <w:r w:rsidRPr="008B0C12">
        <w:t>in</w:t>
      </w:r>
      <w:r>
        <w:t xml:space="preserve"> </w:t>
      </w:r>
      <w:r w:rsidRPr="008B0C12">
        <w:t>real</w:t>
      </w:r>
      <w:r>
        <w:t xml:space="preserve"> </w:t>
      </w:r>
      <w:r w:rsidRPr="008B0C12">
        <w:t>time</w:t>
      </w:r>
      <w:r>
        <w:t xml:space="preserve"> </w:t>
      </w:r>
      <w:r w:rsidRPr="008B0C12">
        <w:t>to</w:t>
      </w:r>
      <w:r>
        <w:t xml:space="preserve"> Service Victoria</w:t>
      </w:r>
      <w:r w:rsidRPr="008B0C12">
        <w:t>.</w:t>
      </w:r>
      <w:r>
        <w:t xml:space="preserve"> </w:t>
      </w:r>
      <w:r w:rsidRPr="008B0C12">
        <w:t>This</w:t>
      </w:r>
      <w:r>
        <w:t xml:space="preserve"> scheme </w:t>
      </w:r>
      <w:r w:rsidRPr="008B0C12">
        <w:t>is</w:t>
      </w:r>
      <w:r>
        <w:t xml:space="preserve"> </w:t>
      </w:r>
      <w:r w:rsidRPr="008B0C12">
        <w:t>designed</w:t>
      </w:r>
      <w:r>
        <w:t xml:space="preserve"> </w:t>
      </w:r>
      <w:r w:rsidRPr="008B0C12">
        <w:t>to</w:t>
      </w:r>
      <w:r>
        <w:t xml:space="preserve"> </w:t>
      </w:r>
      <w:r w:rsidRPr="008B0C12">
        <w:t>improve</w:t>
      </w:r>
      <w:r>
        <w:t xml:space="preserve"> </w:t>
      </w:r>
      <w:r w:rsidRPr="008B0C12">
        <w:t>price</w:t>
      </w:r>
      <w:r>
        <w:t xml:space="preserve"> </w:t>
      </w:r>
      <w:r w:rsidRPr="008B0C12">
        <w:t>transparency,</w:t>
      </w:r>
      <w:r>
        <w:t xml:space="preserve"> </w:t>
      </w:r>
      <w:r w:rsidRPr="008B0C12">
        <w:t>empower</w:t>
      </w:r>
      <w:r>
        <w:t xml:space="preserve"> </w:t>
      </w:r>
      <w:r w:rsidRPr="008B0C12">
        <w:t>consumers</w:t>
      </w:r>
      <w:r>
        <w:t xml:space="preserve"> </w:t>
      </w:r>
      <w:r w:rsidRPr="008B0C12">
        <w:t>to</w:t>
      </w:r>
      <w:r>
        <w:t xml:space="preserve"> </w:t>
      </w:r>
      <w:r w:rsidRPr="008B0C12">
        <w:t>make</w:t>
      </w:r>
      <w:r>
        <w:t xml:space="preserve"> </w:t>
      </w:r>
      <w:r w:rsidRPr="008B0C12">
        <w:t>informed</w:t>
      </w:r>
      <w:r>
        <w:t xml:space="preserve"> decisions</w:t>
      </w:r>
      <w:r w:rsidRPr="008B0C12">
        <w:t>,</w:t>
      </w:r>
      <w:r>
        <w:t xml:space="preserve"> </w:t>
      </w:r>
      <w:r w:rsidRPr="008B0C12">
        <w:t>and</w:t>
      </w:r>
      <w:r>
        <w:t xml:space="preserve"> </w:t>
      </w:r>
      <w:r w:rsidRPr="008B0C12">
        <w:t>promote</w:t>
      </w:r>
      <w:r>
        <w:t xml:space="preserve"> </w:t>
      </w:r>
      <w:r w:rsidRPr="008B0C12">
        <w:t>fairer</w:t>
      </w:r>
      <w:r>
        <w:t xml:space="preserve"> </w:t>
      </w:r>
      <w:r w:rsidRPr="008B0C12">
        <w:t>competition</w:t>
      </w:r>
      <w:r>
        <w:t xml:space="preserve"> </w:t>
      </w:r>
      <w:r w:rsidRPr="008B0C12">
        <w:t>in</w:t>
      </w:r>
      <w:r>
        <w:t xml:space="preserve"> </w:t>
      </w:r>
      <w:r w:rsidRPr="008B0C12">
        <w:t>the</w:t>
      </w:r>
      <w:r>
        <w:t xml:space="preserve"> </w:t>
      </w:r>
      <w:r w:rsidRPr="008B0C12">
        <w:t>retail</w:t>
      </w:r>
      <w:r>
        <w:t xml:space="preserve"> </w:t>
      </w:r>
      <w:r w:rsidRPr="008B0C12">
        <w:t>fuel</w:t>
      </w:r>
      <w:r>
        <w:t xml:space="preserve"> </w:t>
      </w:r>
      <w:r w:rsidRPr="008B0C12">
        <w:t>market.</w:t>
      </w:r>
    </w:p>
    <w:p w14:paraId="54069F12" w14:textId="77777777" w:rsidR="00856406" w:rsidRDefault="00856406" w:rsidP="00C0225A">
      <w:pPr>
        <w:pStyle w:val="BodyText"/>
      </w:pPr>
      <w:r w:rsidRPr="00EC2C52">
        <w:t>CAV</w:t>
      </w:r>
      <w:r>
        <w:t xml:space="preserve"> </w:t>
      </w:r>
      <w:r w:rsidRPr="00EC2C52">
        <w:t>will</w:t>
      </w:r>
      <w:r>
        <w:t xml:space="preserve"> </w:t>
      </w:r>
      <w:r w:rsidRPr="00EC2C52">
        <w:t>oversee</w:t>
      </w:r>
      <w:r>
        <w:t xml:space="preserve"> </w:t>
      </w:r>
      <w:r w:rsidRPr="00EC2C52">
        <w:t>compliance</w:t>
      </w:r>
      <w:r>
        <w:t xml:space="preserve"> </w:t>
      </w:r>
      <w:r w:rsidRPr="00EC2C52">
        <w:t>with</w:t>
      </w:r>
      <w:r>
        <w:t xml:space="preserve"> </w:t>
      </w:r>
      <w:r w:rsidRPr="00EC2C52">
        <w:t>the</w:t>
      </w:r>
      <w:r>
        <w:t xml:space="preserve"> </w:t>
      </w:r>
      <w:r w:rsidRPr="00EC2C52">
        <w:t>new</w:t>
      </w:r>
      <w:r>
        <w:t xml:space="preserve"> </w:t>
      </w:r>
      <w:r w:rsidRPr="00EC2C52">
        <w:t>mandatory</w:t>
      </w:r>
      <w:r>
        <w:t xml:space="preserve"> </w:t>
      </w:r>
      <w:r w:rsidRPr="00EC2C52">
        <w:t>fuel</w:t>
      </w:r>
      <w:r>
        <w:t xml:space="preserve"> </w:t>
      </w:r>
      <w:r w:rsidRPr="00EC2C52">
        <w:t>price</w:t>
      </w:r>
      <w:r>
        <w:t xml:space="preserve"> </w:t>
      </w:r>
      <w:r w:rsidRPr="00EC2C52">
        <w:t>reporting</w:t>
      </w:r>
      <w:r>
        <w:t xml:space="preserve"> </w:t>
      </w:r>
      <w:r w:rsidRPr="00EC2C52">
        <w:t>scheme.</w:t>
      </w:r>
      <w:r>
        <w:t xml:space="preserve"> </w:t>
      </w:r>
      <w:r w:rsidRPr="00EC2C52">
        <w:t>Our</w:t>
      </w:r>
      <w:r>
        <w:t xml:space="preserve"> </w:t>
      </w:r>
      <w:r w:rsidRPr="00EC2C52">
        <w:t>role</w:t>
      </w:r>
      <w:r>
        <w:t xml:space="preserve"> </w:t>
      </w:r>
      <w:r w:rsidRPr="00EC2C52">
        <w:t>will</w:t>
      </w:r>
      <w:r>
        <w:t xml:space="preserve"> </w:t>
      </w:r>
      <w:r w:rsidRPr="00EC2C52">
        <w:t>include</w:t>
      </w:r>
      <w:r>
        <w:t>:</w:t>
      </w:r>
    </w:p>
    <w:p w14:paraId="1D11475D" w14:textId="77777777" w:rsidR="00856406" w:rsidRDefault="00856406" w:rsidP="00C0225A">
      <w:pPr>
        <w:pStyle w:val="ListBullet"/>
      </w:pPr>
      <w:r>
        <w:t>e</w:t>
      </w:r>
      <w:r w:rsidRPr="00674176">
        <w:t>ducating</w:t>
      </w:r>
      <w:r>
        <w:t xml:space="preserve"> </w:t>
      </w:r>
      <w:r w:rsidRPr="00674176">
        <w:t>fuel</w:t>
      </w:r>
      <w:r>
        <w:t xml:space="preserve"> </w:t>
      </w:r>
      <w:r w:rsidRPr="00674176">
        <w:t>retailers</w:t>
      </w:r>
      <w:r>
        <w:t xml:space="preserve"> </w:t>
      </w:r>
      <w:r w:rsidRPr="00EC2C52">
        <w:t>about</w:t>
      </w:r>
      <w:r>
        <w:t xml:space="preserve"> </w:t>
      </w:r>
      <w:r w:rsidRPr="00EC2C52">
        <w:t>their</w:t>
      </w:r>
      <w:r>
        <w:t xml:space="preserve"> </w:t>
      </w:r>
      <w:r w:rsidRPr="00EC2C52">
        <w:t>obligations</w:t>
      </w:r>
    </w:p>
    <w:p w14:paraId="3AEB7BC0" w14:textId="77777777" w:rsidR="00856406" w:rsidRDefault="00856406" w:rsidP="00C0225A">
      <w:pPr>
        <w:pStyle w:val="ListBullet"/>
      </w:pPr>
      <w:r>
        <w:t>m</w:t>
      </w:r>
      <w:r w:rsidRPr="00674176">
        <w:t>onitoring</w:t>
      </w:r>
      <w:r>
        <w:t xml:space="preserve"> </w:t>
      </w:r>
      <w:r w:rsidRPr="00674176">
        <w:t>compliance</w:t>
      </w:r>
      <w:r>
        <w:t xml:space="preserve"> </w:t>
      </w:r>
      <w:r w:rsidRPr="00EC2C52">
        <w:t>with</w:t>
      </w:r>
      <w:r>
        <w:t xml:space="preserve"> </w:t>
      </w:r>
      <w:r w:rsidRPr="00EC2C52">
        <w:t>reporting</w:t>
      </w:r>
      <w:r>
        <w:t xml:space="preserve"> </w:t>
      </w:r>
      <w:r w:rsidRPr="00EC2C52">
        <w:t>requirements</w:t>
      </w:r>
      <w:r>
        <w:t xml:space="preserve"> </w:t>
      </w:r>
      <w:r w:rsidRPr="00EC2C52">
        <w:t>by</w:t>
      </w:r>
      <w:r>
        <w:t xml:space="preserve"> </w:t>
      </w:r>
      <w:r w:rsidRPr="00EC2C52">
        <w:t>reviewing</w:t>
      </w:r>
      <w:r>
        <w:t xml:space="preserve"> consumer reports, and</w:t>
      </w:r>
    </w:p>
    <w:p w14:paraId="76F73ABB" w14:textId="77777777" w:rsidR="00856406" w:rsidRDefault="00856406" w:rsidP="00C0225A">
      <w:pPr>
        <w:pStyle w:val="ListBullet"/>
      </w:pPr>
      <w:r>
        <w:t xml:space="preserve">investigating potential breaches and taking </w:t>
      </w:r>
      <w:r w:rsidRPr="00674176">
        <w:t>enforcement</w:t>
      </w:r>
      <w:r>
        <w:t xml:space="preserve"> </w:t>
      </w:r>
      <w:r w:rsidRPr="00674176">
        <w:t>action</w:t>
      </w:r>
      <w:r>
        <w:t xml:space="preserve"> </w:t>
      </w:r>
      <w:r w:rsidRPr="00EC2C52">
        <w:t>where</w:t>
      </w:r>
      <w:r>
        <w:t xml:space="preserve"> </w:t>
      </w:r>
      <w:r w:rsidRPr="00EC2C52">
        <w:t>appropriate</w:t>
      </w:r>
      <w:r>
        <w:t>.</w:t>
      </w:r>
    </w:p>
    <w:p w14:paraId="05950ACD" w14:textId="7DB5943B" w:rsidR="00856406" w:rsidRPr="00EC2C52" w:rsidRDefault="00856406" w:rsidP="00C0225A">
      <w:pPr>
        <w:pStyle w:val="BodyText"/>
      </w:pPr>
      <w:r>
        <w:t xml:space="preserve">We </w:t>
      </w:r>
      <w:r w:rsidRPr="00EC2C52">
        <w:t>will</w:t>
      </w:r>
      <w:r>
        <w:t xml:space="preserve"> </w:t>
      </w:r>
      <w:r w:rsidRPr="00EC2C52">
        <w:t>work</w:t>
      </w:r>
      <w:r>
        <w:t xml:space="preserve"> </w:t>
      </w:r>
      <w:r w:rsidRPr="00EC2C52">
        <w:t>closely</w:t>
      </w:r>
      <w:r>
        <w:t xml:space="preserve"> </w:t>
      </w:r>
      <w:r w:rsidRPr="00EC2C52">
        <w:t>with</w:t>
      </w:r>
      <w:r>
        <w:t xml:space="preserve"> </w:t>
      </w:r>
      <w:r w:rsidRPr="00EC2C52">
        <w:t>retailers,</w:t>
      </w:r>
      <w:r>
        <w:t xml:space="preserve"> </w:t>
      </w:r>
      <w:r w:rsidRPr="00EC2C52">
        <w:t>consumers</w:t>
      </w:r>
      <w:r>
        <w:t xml:space="preserve"> </w:t>
      </w:r>
      <w:r w:rsidRPr="00EC2C52">
        <w:t>and</w:t>
      </w:r>
      <w:r>
        <w:t xml:space="preserve"> our </w:t>
      </w:r>
      <w:r w:rsidRPr="00EC2C52">
        <w:t>partners</w:t>
      </w:r>
      <w:r>
        <w:t xml:space="preserve"> </w:t>
      </w:r>
      <w:r w:rsidRPr="00EC2C52">
        <w:t>to</w:t>
      </w:r>
      <w:r>
        <w:t xml:space="preserve"> implement </w:t>
      </w:r>
      <w:r w:rsidRPr="00EC2C52">
        <w:t>the</w:t>
      </w:r>
      <w:r>
        <w:t xml:space="preserve"> </w:t>
      </w:r>
      <w:r w:rsidRPr="00EC2C52">
        <w:t>scheme</w:t>
      </w:r>
      <w:r>
        <w:t xml:space="preserve"> </w:t>
      </w:r>
      <w:r w:rsidRPr="00EC2C52">
        <w:t>and</w:t>
      </w:r>
      <w:r>
        <w:t xml:space="preserve"> </w:t>
      </w:r>
      <w:r w:rsidRPr="00EC2C52">
        <w:t>ensure</w:t>
      </w:r>
      <w:r>
        <w:t xml:space="preserve"> </w:t>
      </w:r>
      <w:r w:rsidRPr="00EC2C52">
        <w:t>it</w:t>
      </w:r>
      <w:r>
        <w:t xml:space="preserve"> </w:t>
      </w:r>
      <w:r w:rsidRPr="00EC2C52">
        <w:t>delivers</w:t>
      </w:r>
      <w:r>
        <w:t xml:space="preserve"> </w:t>
      </w:r>
      <w:r w:rsidRPr="00EC2C52">
        <w:t>on</w:t>
      </w:r>
      <w:r>
        <w:t xml:space="preserve"> </w:t>
      </w:r>
      <w:r w:rsidRPr="00EC2C52">
        <w:t>its</w:t>
      </w:r>
      <w:r>
        <w:t xml:space="preserve"> </w:t>
      </w:r>
      <w:r w:rsidRPr="00EC2C52">
        <w:t>intended</w:t>
      </w:r>
      <w:r>
        <w:t xml:space="preserve"> </w:t>
      </w:r>
      <w:r w:rsidRPr="00EC2C52">
        <w:t>objectives</w:t>
      </w:r>
      <w:r w:rsidR="00624D29">
        <w:t xml:space="preserve"> – </w:t>
      </w:r>
      <w:r>
        <w:t xml:space="preserve">to help </w:t>
      </w:r>
      <w:r w:rsidRPr="00EC2C52">
        <w:t>Victorian</w:t>
      </w:r>
      <w:r>
        <w:t xml:space="preserve"> </w:t>
      </w:r>
      <w:r w:rsidRPr="00EC2C52">
        <w:t>motorists</w:t>
      </w:r>
      <w:r>
        <w:t xml:space="preserve"> find the best and cheapest places to re-fuel</w:t>
      </w:r>
      <w:r w:rsidRPr="00EC2C52">
        <w:t>.</w:t>
      </w:r>
    </w:p>
    <w:p w14:paraId="41CC1F7B" w14:textId="77777777" w:rsidR="00856406" w:rsidRPr="005136EF" w:rsidRDefault="00856406" w:rsidP="00945164">
      <w:pPr>
        <w:pStyle w:val="Heading4"/>
        <w:rPr>
          <w:i/>
        </w:rPr>
      </w:pPr>
      <w:r w:rsidRPr="005136EF">
        <w:t>Funeral</w:t>
      </w:r>
      <w:r>
        <w:t xml:space="preserve"> p</w:t>
      </w:r>
      <w:r w:rsidRPr="005136EF">
        <w:t>ricing</w:t>
      </w:r>
    </w:p>
    <w:p w14:paraId="4EE096B0" w14:textId="77777777" w:rsidR="00856406" w:rsidRDefault="00856406" w:rsidP="00C0225A">
      <w:pPr>
        <w:pStyle w:val="BodyText"/>
      </w:pPr>
      <w:r>
        <w:t>A</w:t>
      </w:r>
      <w:r w:rsidRPr="001A07A7">
        <w:t>mendments</w:t>
      </w:r>
      <w:r>
        <w:t xml:space="preserve"> </w:t>
      </w:r>
      <w:r w:rsidRPr="001A07A7">
        <w:t>to</w:t>
      </w:r>
      <w:r>
        <w:t xml:space="preserve"> </w:t>
      </w:r>
      <w:r w:rsidRPr="001A07A7">
        <w:t>legislation</w:t>
      </w:r>
      <w:r>
        <w:t xml:space="preserve"> </w:t>
      </w:r>
      <w:r w:rsidRPr="001A07A7">
        <w:t>regarding</w:t>
      </w:r>
      <w:r>
        <w:t xml:space="preserve"> </w:t>
      </w:r>
      <w:r w:rsidRPr="001A07A7">
        <w:t>funeral</w:t>
      </w:r>
      <w:r>
        <w:t xml:space="preserve"> </w:t>
      </w:r>
      <w:r w:rsidRPr="001A07A7">
        <w:t>pricing</w:t>
      </w:r>
      <w:r>
        <w:t xml:space="preserve"> </w:t>
      </w:r>
      <w:r w:rsidRPr="001A07A7">
        <w:t>aim</w:t>
      </w:r>
      <w:r>
        <w:t xml:space="preserve"> </w:t>
      </w:r>
      <w:r w:rsidRPr="001A07A7">
        <w:t>to</w:t>
      </w:r>
      <w:r>
        <w:t xml:space="preserve"> </w:t>
      </w:r>
      <w:r w:rsidRPr="001A07A7">
        <w:t>increase</w:t>
      </w:r>
      <w:r>
        <w:t xml:space="preserve"> </w:t>
      </w:r>
      <w:r w:rsidRPr="001A07A7">
        <w:t>transparency,</w:t>
      </w:r>
      <w:r>
        <w:t xml:space="preserve"> </w:t>
      </w:r>
      <w:r w:rsidRPr="001A07A7">
        <w:t>ensure</w:t>
      </w:r>
      <w:r>
        <w:t xml:space="preserve"> </w:t>
      </w:r>
      <w:r w:rsidRPr="001A07A7">
        <w:t>fair</w:t>
      </w:r>
      <w:r>
        <w:t xml:space="preserve"> </w:t>
      </w:r>
      <w:r w:rsidRPr="001A07A7">
        <w:t>pricing,</w:t>
      </w:r>
      <w:r>
        <w:t xml:space="preserve"> </w:t>
      </w:r>
      <w:r w:rsidRPr="001A07A7">
        <w:t>and</w:t>
      </w:r>
      <w:r>
        <w:t xml:space="preserve"> </w:t>
      </w:r>
      <w:r w:rsidRPr="001A07A7">
        <w:t>help</w:t>
      </w:r>
      <w:r>
        <w:t xml:space="preserve"> </w:t>
      </w:r>
      <w:r w:rsidRPr="001A07A7">
        <w:t>consumers</w:t>
      </w:r>
      <w:r>
        <w:t xml:space="preserve"> </w:t>
      </w:r>
      <w:r w:rsidRPr="001A07A7">
        <w:t>make</w:t>
      </w:r>
      <w:r>
        <w:t xml:space="preserve"> </w:t>
      </w:r>
      <w:r w:rsidRPr="001A07A7">
        <w:t>informed</w:t>
      </w:r>
      <w:r>
        <w:t xml:space="preserve"> </w:t>
      </w:r>
      <w:r w:rsidRPr="001A07A7">
        <w:t>choices</w:t>
      </w:r>
      <w:r>
        <w:t xml:space="preserve"> </w:t>
      </w:r>
      <w:r w:rsidRPr="001A07A7">
        <w:t>when</w:t>
      </w:r>
      <w:r>
        <w:t xml:space="preserve"> </w:t>
      </w:r>
      <w:r w:rsidRPr="001A07A7">
        <w:t>arranging</w:t>
      </w:r>
      <w:r>
        <w:t xml:space="preserve"> </w:t>
      </w:r>
      <w:r w:rsidRPr="001A07A7">
        <w:t>funerals.</w:t>
      </w:r>
      <w:r>
        <w:t xml:space="preserve"> CAV </w:t>
      </w:r>
      <w:r w:rsidRPr="001A07A7">
        <w:t>will</w:t>
      </w:r>
      <w:r>
        <w:t xml:space="preserve"> </w:t>
      </w:r>
      <w:r w:rsidRPr="001A07A7">
        <w:t>oversee</w:t>
      </w:r>
      <w:r>
        <w:t xml:space="preserve"> </w:t>
      </w:r>
      <w:r w:rsidRPr="001A07A7">
        <w:t>compliance</w:t>
      </w:r>
      <w:r>
        <w:t xml:space="preserve"> </w:t>
      </w:r>
      <w:r w:rsidRPr="001A07A7">
        <w:t>with</w:t>
      </w:r>
      <w:r>
        <w:t xml:space="preserve"> </w:t>
      </w:r>
      <w:r w:rsidRPr="001A07A7">
        <w:t>the</w:t>
      </w:r>
      <w:r>
        <w:t xml:space="preserve"> </w:t>
      </w:r>
      <w:r w:rsidRPr="001A07A7">
        <w:t>new</w:t>
      </w:r>
      <w:r>
        <w:t xml:space="preserve"> </w:t>
      </w:r>
      <w:r w:rsidRPr="001A07A7">
        <w:t>requirements,</w:t>
      </w:r>
      <w:r>
        <w:t xml:space="preserve"> </w:t>
      </w:r>
      <w:r w:rsidRPr="001A07A7">
        <w:t>monitor</w:t>
      </w:r>
      <w:r>
        <w:t xml:space="preserve"> </w:t>
      </w:r>
      <w:r w:rsidRPr="001A07A7">
        <w:t>industry</w:t>
      </w:r>
      <w:r>
        <w:t xml:space="preserve"> </w:t>
      </w:r>
      <w:r w:rsidRPr="001A07A7">
        <w:t>practices,</w:t>
      </w:r>
      <w:r>
        <w:t xml:space="preserve"> </w:t>
      </w:r>
      <w:r w:rsidRPr="001A07A7">
        <w:t>and</w:t>
      </w:r>
      <w:r>
        <w:t xml:space="preserve"> </w:t>
      </w:r>
      <w:r w:rsidRPr="001A07A7">
        <w:t>enforce</w:t>
      </w:r>
      <w:r>
        <w:t xml:space="preserve"> </w:t>
      </w:r>
      <w:r w:rsidRPr="001A07A7">
        <w:t>regulations</w:t>
      </w:r>
      <w:r>
        <w:t xml:space="preserve"> </w:t>
      </w:r>
      <w:r w:rsidRPr="001A07A7">
        <w:t>to</w:t>
      </w:r>
      <w:r>
        <w:t xml:space="preserve"> </w:t>
      </w:r>
      <w:r w:rsidRPr="001A07A7">
        <w:t>ensure</w:t>
      </w:r>
      <w:r>
        <w:t xml:space="preserve"> </w:t>
      </w:r>
      <w:r w:rsidRPr="001A07A7">
        <w:t>funeral</w:t>
      </w:r>
      <w:r>
        <w:t xml:space="preserve"> </w:t>
      </w:r>
      <w:r w:rsidRPr="001A07A7">
        <w:t>service</w:t>
      </w:r>
      <w:r>
        <w:t xml:space="preserve"> </w:t>
      </w:r>
      <w:r w:rsidRPr="001A07A7">
        <w:t>providers</w:t>
      </w:r>
      <w:r>
        <w:t xml:space="preserve"> </w:t>
      </w:r>
      <w:r w:rsidRPr="001A07A7">
        <w:t>adhere</w:t>
      </w:r>
      <w:r>
        <w:t xml:space="preserve"> </w:t>
      </w:r>
      <w:r w:rsidRPr="001A07A7">
        <w:t>to</w:t>
      </w:r>
      <w:r>
        <w:t xml:space="preserve"> </w:t>
      </w:r>
      <w:r w:rsidRPr="001A07A7">
        <w:t>the</w:t>
      </w:r>
      <w:r>
        <w:t xml:space="preserve"> </w:t>
      </w:r>
      <w:r w:rsidRPr="001A07A7">
        <w:t>rules.</w:t>
      </w:r>
    </w:p>
    <w:p w14:paraId="1901B216" w14:textId="77777777" w:rsidR="00856406" w:rsidRPr="00633E54" w:rsidRDefault="00856406" w:rsidP="00447322">
      <w:pPr>
        <w:pStyle w:val="Heading3"/>
      </w:pPr>
      <w:bookmarkStart w:id="67" w:name="_Toc204243173"/>
      <w:r w:rsidRPr="00633E54">
        <w:t>Statement</w:t>
      </w:r>
      <w:r>
        <w:t xml:space="preserve"> </w:t>
      </w:r>
      <w:r w:rsidRPr="00633E54">
        <w:t>of</w:t>
      </w:r>
      <w:r>
        <w:t xml:space="preserve"> </w:t>
      </w:r>
      <w:r w:rsidRPr="00633E54">
        <w:t>Expectations</w:t>
      </w:r>
      <w:bookmarkEnd w:id="67"/>
    </w:p>
    <w:p w14:paraId="7119A8CA" w14:textId="3A650D22" w:rsidR="00856406" w:rsidRPr="00717004" w:rsidRDefault="00856406" w:rsidP="00C0225A">
      <w:pPr>
        <w:pStyle w:val="BodyText"/>
      </w:pPr>
      <w:r w:rsidRPr="00717004">
        <w:t>In</w:t>
      </w:r>
      <w:r>
        <w:t xml:space="preserve"> </w:t>
      </w:r>
      <w:r w:rsidRPr="00717004">
        <w:t>June</w:t>
      </w:r>
      <w:r>
        <w:t xml:space="preserve"> </w:t>
      </w:r>
      <w:r w:rsidRPr="00717004">
        <w:t>2023,</w:t>
      </w:r>
      <w:r>
        <w:t xml:space="preserve"> </w:t>
      </w:r>
      <w:r w:rsidRPr="00717004">
        <w:t>the</w:t>
      </w:r>
      <w:r>
        <w:t xml:space="preserve"> former </w:t>
      </w:r>
      <w:r w:rsidRPr="00717004">
        <w:t>Ministers</w:t>
      </w:r>
      <w:r>
        <w:t xml:space="preserve"> </w:t>
      </w:r>
      <w:r w:rsidRPr="00717004">
        <w:t>for</w:t>
      </w:r>
      <w:r>
        <w:t xml:space="preserve"> </w:t>
      </w:r>
      <w:r w:rsidRPr="00717004">
        <w:t>Consumer</w:t>
      </w:r>
      <w:r>
        <w:t xml:space="preserve"> </w:t>
      </w:r>
      <w:r w:rsidRPr="00717004">
        <w:t>Affairs</w:t>
      </w:r>
      <w:r>
        <w:t xml:space="preserve"> </w:t>
      </w:r>
      <w:r w:rsidRPr="00717004">
        <w:t>and</w:t>
      </w:r>
      <w:r>
        <w:t xml:space="preserve"> </w:t>
      </w:r>
      <w:r w:rsidRPr="00717004">
        <w:t>Small</w:t>
      </w:r>
      <w:r>
        <w:t xml:space="preserve"> </w:t>
      </w:r>
      <w:r w:rsidRPr="00717004">
        <w:t>Business</w:t>
      </w:r>
      <w:r>
        <w:t xml:space="preserve"> </w:t>
      </w:r>
      <w:r w:rsidRPr="00717004">
        <w:t>issued</w:t>
      </w:r>
      <w:r>
        <w:t xml:space="preserve"> </w:t>
      </w:r>
      <w:r w:rsidRPr="00717004">
        <w:t>Statements</w:t>
      </w:r>
      <w:r>
        <w:t xml:space="preserve"> </w:t>
      </w:r>
      <w:r w:rsidRPr="00717004">
        <w:t>of</w:t>
      </w:r>
      <w:r>
        <w:t xml:space="preserve"> </w:t>
      </w:r>
      <w:r w:rsidRPr="00717004">
        <w:t>Expectations</w:t>
      </w:r>
      <w:r>
        <w:t xml:space="preserve"> </w:t>
      </w:r>
      <w:r w:rsidRPr="00717004">
        <w:t>(SOE)</w:t>
      </w:r>
      <w:r>
        <w:t xml:space="preserve"> </w:t>
      </w:r>
      <w:r w:rsidRPr="00717004">
        <w:t>to</w:t>
      </w:r>
      <w:r>
        <w:t xml:space="preserve"> </w:t>
      </w:r>
      <w:r w:rsidRPr="00717004">
        <w:t>CAV</w:t>
      </w:r>
      <w:r>
        <w:t xml:space="preserve"> </w:t>
      </w:r>
      <w:r w:rsidRPr="00717004">
        <w:t>and</w:t>
      </w:r>
      <w:r>
        <w:t xml:space="preserve"> </w:t>
      </w:r>
      <w:r w:rsidRPr="00717004">
        <w:t>the</w:t>
      </w:r>
      <w:r>
        <w:t xml:space="preserve"> </w:t>
      </w:r>
      <w:r w:rsidRPr="00717004">
        <w:t>Business</w:t>
      </w:r>
      <w:r>
        <w:t xml:space="preserve"> </w:t>
      </w:r>
      <w:r w:rsidRPr="00717004">
        <w:t>Licensing</w:t>
      </w:r>
      <w:r>
        <w:t xml:space="preserve"> </w:t>
      </w:r>
      <w:r w:rsidRPr="00717004">
        <w:t>Authority</w:t>
      </w:r>
      <w:r>
        <w:t xml:space="preserve">. </w:t>
      </w:r>
      <w:r w:rsidRPr="00717004">
        <w:t>The</w:t>
      </w:r>
      <w:r>
        <w:t xml:space="preserve"> </w:t>
      </w:r>
      <w:r w:rsidRPr="00717004">
        <w:t>SOEs</w:t>
      </w:r>
      <w:r>
        <w:t xml:space="preserve"> </w:t>
      </w:r>
      <w:r w:rsidRPr="00717004">
        <w:t>are</w:t>
      </w:r>
      <w:r>
        <w:t xml:space="preserve"> </w:t>
      </w:r>
      <w:r w:rsidRPr="00717004">
        <w:t>published</w:t>
      </w:r>
      <w:r>
        <w:t xml:space="preserve"> </w:t>
      </w:r>
      <w:r w:rsidRPr="00717004">
        <w:t>in</w:t>
      </w:r>
      <w:r>
        <w:t xml:space="preserve"> </w:t>
      </w:r>
      <w:r w:rsidRPr="00717004">
        <w:t>the</w:t>
      </w:r>
      <w:r>
        <w:t xml:space="preserve"> </w:t>
      </w:r>
      <w:r w:rsidRPr="00717004">
        <w:t>‘About</w:t>
      </w:r>
      <w:r>
        <w:t xml:space="preserve"> </w:t>
      </w:r>
      <w:r w:rsidRPr="00717004">
        <w:t>us’</w:t>
      </w:r>
      <w:r>
        <w:t xml:space="preserve"> </w:t>
      </w:r>
      <w:r w:rsidRPr="00717004">
        <w:t>section</w:t>
      </w:r>
      <w:r>
        <w:t xml:space="preserve"> </w:t>
      </w:r>
      <w:r w:rsidRPr="00717004">
        <w:t>of</w:t>
      </w:r>
      <w:r>
        <w:t xml:space="preserve"> </w:t>
      </w:r>
      <w:r w:rsidRPr="00717004">
        <w:t>our</w:t>
      </w:r>
      <w:r>
        <w:t xml:space="preserve"> </w:t>
      </w:r>
      <w:r w:rsidRPr="00717004">
        <w:t>website</w:t>
      </w:r>
      <w:r>
        <w:t xml:space="preserve"> </w:t>
      </w:r>
      <w:r w:rsidRPr="00717004">
        <w:t>at</w:t>
      </w:r>
      <w:r>
        <w:t xml:space="preserve"> </w:t>
      </w:r>
      <w:hyperlink r:id="rId15" w:history="1">
        <w:r w:rsidRPr="002478C8">
          <w:rPr>
            <w:rStyle w:val="Hyperlink"/>
          </w:rPr>
          <w:t>consumer.vic.gov.au/about-us</w:t>
        </w:r>
      </w:hyperlink>
      <w:r w:rsidRPr="00717004">
        <w:t>.</w:t>
      </w:r>
    </w:p>
    <w:p w14:paraId="006D536F" w14:textId="77777777" w:rsidR="00856406" w:rsidRPr="00717004" w:rsidRDefault="00856406" w:rsidP="00C0225A">
      <w:pPr>
        <w:pStyle w:val="BodyText"/>
      </w:pPr>
      <w:r w:rsidRPr="00717004">
        <w:t>CAV’s</w:t>
      </w:r>
      <w:r>
        <w:t xml:space="preserve"> </w:t>
      </w:r>
      <w:r w:rsidRPr="00717004">
        <w:t>SOE</w:t>
      </w:r>
      <w:r>
        <w:t xml:space="preserve"> outlined governance and performance objectives aimed at enhancing our administration and enforcement of regulations, to minimise their </w:t>
      </w:r>
      <w:r w:rsidRPr="00717004">
        <w:t>impact</w:t>
      </w:r>
      <w:r>
        <w:t xml:space="preserve"> </w:t>
      </w:r>
      <w:r w:rsidRPr="00717004">
        <w:t>on</w:t>
      </w:r>
      <w:r>
        <w:t xml:space="preserve"> </w:t>
      </w:r>
      <w:r w:rsidRPr="00717004">
        <w:t>businesses</w:t>
      </w:r>
      <w:r>
        <w:t xml:space="preserve"> </w:t>
      </w:r>
      <w:r w:rsidRPr="00717004">
        <w:t>and</w:t>
      </w:r>
      <w:r>
        <w:t xml:space="preserve"> </w:t>
      </w:r>
      <w:r w:rsidRPr="00717004">
        <w:t>the</w:t>
      </w:r>
      <w:r>
        <w:t xml:space="preserve"> </w:t>
      </w:r>
      <w:r w:rsidRPr="00717004">
        <w:t>community.</w:t>
      </w:r>
      <w:r>
        <w:t xml:space="preserve"> </w:t>
      </w:r>
      <w:r w:rsidRPr="00717004">
        <w:t>The</w:t>
      </w:r>
      <w:r>
        <w:t xml:space="preserve"> </w:t>
      </w:r>
      <w:r w:rsidRPr="00717004">
        <w:t>performance</w:t>
      </w:r>
      <w:r>
        <w:t xml:space="preserve"> </w:t>
      </w:r>
      <w:r w:rsidRPr="00717004">
        <w:t>objectives</w:t>
      </w:r>
      <w:r>
        <w:t xml:space="preserve"> </w:t>
      </w:r>
      <w:r w:rsidRPr="00717004">
        <w:t>identified</w:t>
      </w:r>
      <w:r>
        <w:t xml:space="preserve"> </w:t>
      </w:r>
      <w:r w:rsidRPr="00717004">
        <w:t>in</w:t>
      </w:r>
      <w:r>
        <w:t xml:space="preserve"> </w:t>
      </w:r>
      <w:r w:rsidRPr="00717004">
        <w:t>the</w:t>
      </w:r>
      <w:r>
        <w:t xml:space="preserve"> </w:t>
      </w:r>
      <w:r w:rsidRPr="00717004">
        <w:t>SOE</w:t>
      </w:r>
      <w:r>
        <w:t xml:space="preserve"> </w:t>
      </w:r>
      <w:r w:rsidRPr="00717004">
        <w:t>cover</w:t>
      </w:r>
      <w:r>
        <w:t xml:space="preserve"> </w:t>
      </w:r>
      <w:r w:rsidRPr="00717004">
        <w:t>five</w:t>
      </w:r>
      <w:r>
        <w:t xml:space="preserve"> </w:t>
      </w:r>
      <w:r w:rsidRPr="00717004">
        <w:t>expectations</w:t>
      </w:r>
      <w:r>
        <w:t xml:space="preserve">, </w:t>
      </w:r>
      <w:r w:rsidRPr="00717004">
        <w:t>set</w:t>
      </w:r>
      <w:r>
        <w:t xml:space="preserve"> </w:t>
      </w:r>
      <w:r w:rsidRPr="00717004">
        <w:t>out</w:t>
      </w:r>
      <w:r>
        <w:t xml:space="preserve"> </w:t>
      </w:r>
      <w:r w:rsidRPr="00717004">
        <w:t>below:</w:t>
      </w:r>
    </w:p>
    <w:p w14:paraId="7D267B26" w14:textId="77777777" w:rsidR="00856406" w:rsidRPr="00C854DE" w:rsidRDefault="00856406" w:rsidP="00447322">
      <w:pPr>
        <w:pStyle w:val="Heading4"/>
      </w:pPr>
      <w:r w:rsidRPr="00C854DE">
        <w:t>Protecting</w:t>
      </w:r>
      <w:r>
        <w:t xml:space="preserve"> </w:t>
      </w:r>
      <w:r w:rsidRPr="00C854DE">
        <w:t>Victorians:</w:t>
      </w:r>
      <w:r>
        <w:t xml:space="preserve"> </w:t>
      </w:r>
      <w:r w:rsidRPr="00C854DE">
        <w:t>Protecting</w:t>
      </w:r>
      <w:r>
        <w:t xml:space="preserve"> </w:t>
      </w:r>
      <w:r w:rsidRPr="00C854DE">
        <w:t>Victorians</w:t>
      </w:r>
      <w:r>
        <w:t xml:space="preserve"> </w:t>
      </w:r>
      <w:r w:rsidRPr="00C854DE">
        <w:t>from</w:t>
      </w:r>
      <w:r>
        <w:t xml:space="preserve"> </w:t>
      </w:r>
      <w:r w:rsidRPr="00C854DE">
        <w:t>the</w:t>
      </w:r>
      <w:r>
        <w:t xml:space="preserve"> </w:t>
      </w:r>
      <w:r w:rsidRPr="00C854DE">
        <w:t>impacts</w:t>
      </w:r>
      <w:r>
        <w:t xml:space="preserve"> </w:t>
      </w:r>
      <w:r w:rsidRPr="00C854DE">
        <w:t>of</w:t>
      </w:r>
      <w:r>
        <w:t xml:space="preserve"> </w:t>
      </w:r>
      <w:r w:rsidRPr="00C854DE">
        <w:t>rising</w:t>
      </w:r>
      <w:r>
        <w:t xml:space="preserve"> </w:t>
      </w:r>
      <w:r w:rsidRPr="00C854DE">
        <w:t>cost</w:t>
      </w:r>
      <w:r>
        <w:t xml:space="preserve"> </w:t>
      </w:r>
      <w:r w:rsidRPr="00C854DE">
        <w:t>of</w:t>
      </w:r>
      <w:r>
        <w:t xml:space="preserve"> </w:t>
      </w:r>
      <w:r w:rsidRPr="00C854DE">
        <w:t>living</w:t>
      </w:r>
      <w:r>
        <w:t xml:space="preserve"> </w:t>
      </w:r>
      <w:r w:rsidRPr="00C854DE">
        <w:t>pressure</w:t>
      </w:r>
    </w:p>
    <w:p w14:paraId="484F58FE" w14:textId="77777777" w:rsidR="00856406" w:rsidRPr="00717004" w:rsidRDefault="00856406" w:rsidP="002B4F26">
      <w:pPr>
        <w:pStyle w:val="BodyText"/>
      </w:pPr>
      <w:r w:rsidRPr="00717004">
        <w:t>CAV</w:t>
      </w:r>
      <w:r>
        <w:t xml:space="preserve"> was asked to </w:t>
      </w:r>
      <w:r w:rsidRPr="00717004">
        <w:t>focus</w:t>
      </w:r>
      <w:r>
        <w:t xml:space="preserve"> </w:t>
      </w:r>
      <w:r w:rsidRPr="00717004">
        <w:t>on</w:t>
      </w:r>
      <w:r>
        <w:t xml:space="preserve"> </w:t>
      </w:r>
      <w:r w:rsidRPr="00717004">
        <w:t>p</w:t>
      </w:r>
      <w:r w:rsidRPr="002B4F26">
        <w:rPr>
          <w:rFonts w:eastAsia="MS Mincho"/>
        </w:rPr>
        <w:t xml:space="preserve">rotecting Victorians from the impacts of rising cost of living pressures by providing a timely </w:t>
      </w:r>
      <w:r w:rsidRPr="00717004">
        <w:t>response</w:t>
      </w:r>
      <w:r>
        <w:t xml:space="preserve"> </w:t>
      </w:r>
      <w:r w:rsidRPr="00717004">
        <w:t>(including</w:t>
      </w:r>
      <w:r>
        <w:t xml:space="preserve"> </w:t>
      </w:r>
      <w:r w:rsidRPr="00717004">
        <w:t>accurate</w:t>
      </w:r>
      <w:r>
        <w:t xml:space="preserve"> </w:t>
      </w:r>
      <w:r w:rsidRPr="00717004">
        <w:t>communications</w:t>
      </w:r>
      <w:r>
        <w:t xml:space="preserve"> </w:t>
      </w:r>
      <w:r w:rsidRPr="00717004">
        <w:t>and</w:t>
      </w:r>
      <w:r>
        <w:t xml:space="preserve"> </w:t>
      </w:r>
      <w:r w:rsidRPr="00717004">
        <w:t>effective</w:t>
      </w:r>
      <w:r>
        <w:t xml:space="preserve"> </w:t>
      </w:r>
      <w:r w:rsidRPr="00717004">
        <w:t>investigation</w:t>
      </w:r>
      <w:r>
        <w:t xml:space="preserve"> </w:t>
      </w:r>
      <w:r w:rsidRPr="00717004">
        <w:t>and</w:t>
      </w:r>
      <w:r>
        <w:t xml:space="preserve"> </w:t>
      </w:r>
      <w:r w:rsidRPr="00717004">
        <w:t>enforcement</w:t>
      </w:r>
      <w:r>
        <w:t xml:space="preserve"> </w:t>
      </w:r>
      <w:r w:rsidRPr="00717004">
        <w:t>activities)</w:t>
      </w:r>
      <w:r>
        <w:t xml:space="preserve"> </w:t>
      </w:r>
      <w:r w:rsidRPr="00717004">
        <w:t>to</w:t>
      </w:r>
      <w:r>
        <w:t xml:space="preserve"> </w:t>
      </w:r>
      <w:r w:rsidRPr="00717004">
        <w:t>the</w:t>
      </w:r>
      <w:r>
        <w:t xml:space="preserve"> </w:t>
      </w:r>
      <w:r w:rsidRPr="00717004">
        <w:t>most</w:t>
      </w:r>
      <w:r>
        <w:t xml:space="preserve"> </w:t>
      </w:r>
      <w:r w:rsidRPr="00717004">
        <w:t>significant</w:t>
      </w:r>
      <w:r>
        <w:t xml:space="preserve"> </w:t>
      </w:r>
      <w:r w:rsidRPr="00717004">
        <w:t>risks</w:t>
      </w:r>
      <w:r>
        <w:t xml:space="preserve"> </w:t>
      </w:r>
      <w:r w:rsidRPr="00717004">
        <w:t>of</w:t>
      </w:r>
      <w:r>
        <w:t xml:space="preserve"> </w:t>
      </w:r>
      <w:r w:rsidRPr="00717004">
        <w:t>harm</w:t>
      </w:r>
      <w:r>
        <w:t xml:space="preserve"> </w:t>
      </w:r>
      <w:r w:rsidRPr="00717004">
        <w:t>caused</w:t>
      </w:r>
      <w:r>
        <w:t xml:space="preserve"> </w:t>
      </w:r>
      <w:r w:rsidRPr="00717004">
        <w:t>by</w:t>
      </w:r>
      <w:r>
        <w:t xml:space="preserve"> </w:t>
      </w:r>
      <w:r w:rsidRPr="00717004">
        <w:t>non-compliant</w:t>
      </w:r>
      <w:r>
        <w:t xml:space="preserve"> </w:t>
      </w:r>
      <w:r w:rsidRPr="00717004">
        <w:t>trader</w:t>
      </w:r>
      <w:r>
        <w:t xml:space="preserve"> </w:t>
      </w:r>
      <w:r w:rsidRPr="00717004">
        <w:t>and</w:t>
      </w:r>
      <w:r>
        <w:t xml:space="preserve"> </w:t>
      </w:r>
      <w:r w:rsidRPr="00717004">
        <w:t>rental</w:t>
      </w:r>
      <w:r>
        <w:t xml:space="preserve"> </w:t>
      </w:r>
      <w:r w:rsidRPr="00717004">
        <w:t>provider</w:t>
      </w:r>
      <w:r>
        <w:t xml:space="preserve"> </w:t>
      </w:r>
      <w:r w:rsidRPr="00717004">
        <w:t>conduct,</w:t>
      </w:r>
      <w:r>
        <w:t xml:space="preserve"> </w:t>
      </w:r>
      <w:r w:rsidRPr="00717004">
        <w:t>in</w:t>
      </w:r>
      <w:r>
        <w:t xml:space="preserve"> </w:t>
      </w:r>
      <w:r w:rsidRPr="00717004">
        <w:t>particular:</w:t>
      </w:r>
    </w:p>
    <w:p w14:paraId="2715D4C7" w14:textId="77777777" w:rsidR="00856406" w:rsidRPr="00717004" w:rsidRDefault="00856406" w:rsidP="00C0225A">
      <w:pPr>
        <w:pStyle w:val="ListBullet"/>
      </w:pPr>
      <w:r w:rsidRPr="00717004">
        <w:t>domestic</w:t>
      </w:r>
      <w:r>
        <w:t xml:space="preserve"> </w:t>
      </w:r>
      <w:r w:rsidRPr="00717004">
        <w:t>building</w:t>
      </w:r>
      <w:r>
        <w:t xml:space="preserve"> </w:t>
      </w:r>
      <w:r w:rsidRPr="00717004">
        <w:t>industry</w:t>
      </w:r>
      <w:r>
        <w:t xml:space="preserve"> </w:t>
      </w:r>
      <w:r w:rsidRPr="00717004">
        <w:t>challenges</w:t>
      </w:r>
      <w:r>
        <w:t xml:space="preserve"> </w:t>
      </w:r>
      <w:r w:rsidRPr="00717004">
        <w:t>leading</w:t>
      </w:r>
      <w:r>
        <w:t xml:space="preserve"> </w:t>
      </w:r>
      <w:r w:rsidRPr="00717004">
        <w:t>to</w:t>
      </w:r>
      <w:r>
        <w:t xml:space="preserve"> </w:t>
      </w:r>
      <w:r w:rsidRPr="00717004">
        <w:t>unfinished</w:t>
      </w:r>
      <w:r>
        <w:t xml:space="preserve"> </w:t>
      </w:r>
      <w:r w:rsidRPr="00717004">
        <w:t>or</w:t>
      </w:r>
      <w:r>
        <w:t xml:space="preserve"> </w:t>
      </w:r>
      <w:r w:rsidRPr="00717004">
        <w:t>defective</w:t>
      </w:r>
      <w:r>
        <w:t xml:space="preserve"> </w:t>
      </w:r>
      <w:r w:rsidRPr="00717004">
        <w:t>homes</w:t>
      </w:r>
      <w:r>
        <w:t xml:space="preserve">, </w:t>
      </w:r>
      <w:r w:rsidRPr="00717004">
        <w:t>or</w:t>
      </w:r>
      <w:r>
        <w:t xml:space="preserve"> </w:t>
      </w:r>
      <w:r w:rsidRPr="00717004">
        <w:t>loss</w:t>
      </w:r>
      <w:r>
        <w:t xml:space="preserve"> </w:t>
      </w:r>
      <w:r w:rsidRPr="00717004">
        <w:t>of</w:t>
      </w:r>
      <w:r>
        <w:t xml:space="preserve"> money </w:t>
      </w:r>
      <w:r w:rsidRPr="00717004">
        <w:t>paid</w:t>
      </w:r>
      <w:r>
        <w:t xml:space="preserve"> </w:t>
      </w:r>
      <w:r w:rsidRPr="00717004">
        <w:t>upfront</w:t>
      </w:r>
    </w:p>
    <w:p w14:paraId="0B909B3B" w14:textId="77777777" w:rsidR="00856406" w:rsidRPr="00717004" w:rsidRDefault="00856406" w:rsidP="00C0225A">
      <w:pPr>
        <w:pStyle w:val="ListBullet"/>
      </w:pPr>
      <w:r w:rsidRPr="00717004">
        <w:t>rental</w:t>
      </w:r>
      <w:r>
        <w:t xml:space="preserve"> </w:t>
      </w:r>
      <w:r w:rsidRPr="00717004">
        <w:t>providers</w:t>
      </w:r>
      <w:r>
        <w:t xml:space="preserve"> </w:t>
      </w:r>
      <w:r w:rsidRPr="00717004">
        <w:t>failing</w:t>
      </w:r>
      <w:r>
        <w:t xml:space="preserve"> </w:t>
      </w:r>
      <w:r w:rsidRPr="00717004">
        <w:t>to</w:t>
      </w:r>
      <w:r>
        <w:t xml:space="preserve"> </w:t>
      </w:r>
      <w:r w:rsidRPr="00717004">
        <w:t>provide</w:t>
      </w:r>
      <w:r>
        <w:t xml:space="preserve"> </w:t>
      </w:r>
      <w:r w:rsidRPr="00717004">
        <w:t>safe</w:t>
      </w:r>
      <w:r>
        <w:t xml:space="preserve"> </w:t>
      </w:r>
      <w:r w:rsidRPr="00717004">
        <w:t>and</w:t>
      </w:r>
      <w:r>
        <w:t xml:space="preserve"> </w:t>
      </w:r>
      <w:r w:rsidRPr="00717004">
        <w:t>secure</w:t>
      </w:r>
      <w:r>
        <w:t xml:space="preserve"> </w:t>
      </w:r>
      <w:r w:rsidRPr="00717004">
        <w:t>accommodation</w:t>
      </w:r>
      <w:r>
        <w:t xml:space="preserve"> </w:t>
      </w:r>
      <w:r w:rsidRPr="00717004">
        <w:t>that</w:t>
      </w:r>
      <w:r>
        <w:t xml:space="preserve"> </w:t>
      </w:r>
      <w:r w:rsidRPr="00717004">
        <w:t>meets</w:t>
      </w:r>
      <w:r>
        <w:t xml:space="preserve"> </w:t>
      </w:r>
      <w:r w:rsidRPr="00717004">
        <w:t>minimum</w:t>
      </w:r>
      <w:r>
        <w:t xml:space="preserve"> </w:t>
      </w:r>
      <w:r w:rsidRPr="00717004">
        <w:t>standards,</w:t>
      </w:r>
      <w:r>
        <w:t xml:space="preserve"> </w:t>
      </w:r>
      <w:r w:rsidRPr="00717004">
        <w:t>and</w:t>
      </w:r>
    </w:p>
    <w:p w14:paraId="459FDE1B" w14:textId="77777777" w:rsidR="00856406" w:rsidRPr="00717004" w:rsidRDefault="00856406" w:rsidP="00C0225A">
      <w:pPr>
        <w:pStyle w:val="ListBullet"/>
      </w:pPr>
      <w:r w:rsidRPr="00717004">
        <w:t>motor</w:t>
      </w:r>
      <w:r>
        <w:t xml:space="preserve"> </w:t>
      </w:r>
      <w:r w:rsidRPr="00717004">
        <w:t>car</w:t>
      </w:r>
      <w:r>
        <w:t xml:space="preserve"> </w:t>
      </w:r>
      <w:r w:rsidRPr="00717004">
        <w:t>traders</w:t>
      </w:r>
      <w:r>
        <w:t xml:space="preserve"> </w:t>
      </w:r>
      <w:r w:rsidRPr="00717004">
        <w:t>that</w:t>
      </w:r>
      <w:r>
        <w:t xml:space="preserve"> </w:t>
      </w:r>
      <w:r w:rsidRPr="00717004">
        <w:t>sell</w:t>
      </w:r>
      <w:r>
        <w:t xml:space="preserve"> </w:t>
      </w:r>
      <w:r w:rsidRPr="00717004">
        <w:t>poor</w:t>
      </w:r>
      <w:r>
        <w:t xml:space="preserve"> </w:t>
      </w:r>
      <w:r w:rsidRPr="00717004">
        <w:t>quality</w:t>
      </w:r>
      <w:r>
        <w:t xml:space="preserve"> </w:t>
      </w:r>
      <w:r w:rsidRPr="00717004">
        <w:t>cars</w:t>
      </w:r>
      <w:r>
        <w:t xml:space="preserve"> </w:t>
      </w:r>
      <w:r w:rsidRPr="00717004">
        <w:t>and</w:t>
      </w:r>
      <w:r>
        <w:t xml:space="preserve"> </w:t>
      </w:r>
      <w:r w:rsidRPr="00717004">
        <w:t>fail</w:t>
      </w:r>
      <w:r>
        <w:t xml:space="preserve"> </w:t>
      </w:r>
      <w:r w:rsidRPr="00717004">
        <w:t>to</w:t>
      </w:r>
      <w:r>
        <w:t xml:space="preserve"> </w:t>
      </w:r>
      <w:r w:rsidRPr="00717004">
        <w:t>provide</w:t>
      </w:r>
      <w:r>
        <w:t xml:space="preserve"> </w:t>
      </w:r>
      <w:r w:rsidRPr="00717004">
        <w:t>a</w:t>
      </w:r>
      <w:r>
        <w:t xml:space="preserve"> </w:t>
      </w:r>
      <w:r w:rsidRPr="00717004">
        <w:t>remedy</w:t>
      </w:r>
      <w:r>
        <w:t xml:space="preserve"> </w:t>
      </w:r>
      <w:r w:rsidRPr="00717004">
        <w:t>for</w:t>
      </w:r>
      <w:r>
        <w:t xml:space="preserve"> </w:t>
      </w:r>
      <w:r w:rsidRPr="00717004">
        <w:t>defects.</w:t>
      </w:r>
    </w:p>
    <w:p w14:paraId="21188A14" w14:textId="77777777" w:rsidR="00856406" w:rsidRPr="00C854DE" w:rsidRDefault="00856406" w:rsidP="00C0225A">
      <w:pPr>
        <w:pStyle w:val="Heading5"/>
        <w:rPr>
          <w:b w:val="0"/>
          <w:i/>
          <w:sz w:val="24"/>
          <w:szCs w:val="24"/>
        </w:rPr>
      </w:pPr>
      <w:r w:rsidRPr="00C854DE">
        <w:t>Implementation</w:t>
      </w:r>
    </w:p>
    <w:p w14:paraId="4575D3B1" w14:textId="77777777" w:rsidR="00856406" w:rsidRDefault="00856406" w:rsidP="00C0225A">
      <w:pPr>
        <w:pStyle w:val="BodyText"/>
      </w:pPr>
      <w:r>
        <w:t>T</w:t>
      </w:r>
      <w:r w:rsidRPr="0065139F">
        <w:t>hrough</w:t>
      </w:r>
      <w:r>
        <w:t xml:space="preserve"> </w:t>
      </w:r>
      <w:r w:rsidRPr="0065139F">
        <w:t>its</w:t>
      </w:r>
      <w:r>
        <w:t xml:space="preserve"> </w:t>
      </w:r>
      <w:r w:rsidRPr="0065139F">
        <w:t>dedicated</w:t>
      </w:r>
      <w:r>
        <w:t xml:space="preserve"> </w:t>
      </w:r>
      <w:r w:rsidRPr="0065139F">
        <w:t>Building</w:t>
      </w:r>
      <w:r>
        <w:t xml:space="preserve"> </w:t>
      </w:r>
      <w:r w:rsidRPr="0065139F">
        <w:t>Information</w:t>
      </w:r>
      <w:r>
        <w:t xml:space="preserve"> </w:t>
      </w:r>
      <w:r w:rsidRPr="0065139F">
        <w:t>Line,</w:t>
      </w:r>
      <w:r>
        <w:t xml:space="preserve"> CAV supports </w:t>
      </w:r>
      <w:r w:rsidRPr="0065139F">
        <w:t>consumers</w:t>
      </w:r>
      <w:r>
        <w:t xml:space="preserve"> </w:t>
      </w:r>
      <w:r w:rsidRPr="0065139F">
        <w:t>in</w:t>
      </w:r>
      <w:r>
        <w:t xml:space="preserve"> </w:t>
      </w:r>
      <w:r w:rsidRPr="0065139F">
        <w:t>the</w:t>
      </w:r>
      <w:r>
        <w:t xml:space="preserve"> </w:t>
      </w:r>
      <w:r w:rsidRPr="0065139F">
        <w:t>domestic</w:t>
      </w:r>
      <w:r>
        <w:t xml:space="preserve"> </w:t>
      </w:r>
      <w:r w:rsidRPr="0065139F">
        <w:t>building</w:t>
      </w:r>
      <w:r>
        <w:t xml:space="preserve"> </w:t>
      </w:r>
      <w:r w:rsidRPr="0065139F">
        <w:t>industry</w:t>
      </w:r>
      <w:r>
        <w:t xml:space="preserve"> </w:t>
      </w:r>
      <w:r w:rsidRPr="0065139F">
        <w:t>by</w:t>
      </w:r>
      <w:r>
        <w:t xml:space="preserve"> guiding them </w:t>
      </w:r>
      <w:r w:rsidRPr="0065139F">
        <w:t>on</w:t>
      </w:r>
      <w:r>
        <w:t xml:space="preserve"> </w:t>
      </w:r>
      <w:r w:rsidRPr="0065139F">
        <w:t>matters</w:t>
      </w:r>
      <w:r>
        <w:t xml:space="preserve"> </w:t>
      </w:r>
      <w:r w:rsidRPr="0065139F">
        <w:t>under</w:t>
      </w:r>
      <w:r>
        <w:t xml:space="preserve"> </w:t>
      </w:r>
      <w:r w:rsidRPr="0065139F">
        <w:t>the</w:t>
      </w:r>
      <w:r>
        <w:t xml:space="preserve"> </w:t>
      </w:r>
      <w:r w:rsidRPr="0065139F">
        <w:rPr>
          <w:i/>
          <w:iCs/>
        </w:rPr>
        <w:t>Domestic</w:t>
      </w:r>
      <w:r>
        <w:rPr>
          <w:i/>
          <w:iCs/>
        </w:rPr>
        <w:t xml:space="preserve"> </w:t>
      </w:r>
      <w:r w:rsidRPr="0065139F">
        <w:rPr>
          <w:i/>
          <w:iCs/>
        </w:rPr>
        <w:t>Building</w:t>
      </w:r>
      <w:r>
        <w:rPr>
          <w:i/>
          <w:iCs/>
        </w:rPr>
        <w:t xml:space="preserve"> </w:t>
      </w:r>
      <w:r w:rsidRPr="0065139F">
        <w:rPr>
          <w:i/>
          <w:iCs/>
        </w:rPr>
        <w:t>Contracts</w:t>
      </w:r>
      <w:r>
        <w:rPr>
          <w:i/>
          <w:iCs/>
        </w:rPr>
        <w:t xml:space="preserve"> </w:t>
      </w:r>
      <w:r w:rsidRPr="0065139F">
        <w:rPr>
          <w:i/>
          <w:iCs/>
        </w:rPr>
        <w:t>Act</w:t>
      </w:r>
      <w:r>
        <w:rPr>
          <w:i/>
          <w:iCs/>
        </w:rPr>
        <w:t xml:space="preserve"> </w:t>
      </w:r>
      <w:r w:rsidRPr="0065139F">
        <w:rPr>
          <w:i/>
          <w:iCs/>
        </w:rPr>
        <w:t>1995</w:t>
      </w:r>
      <w:r w:rsidRPr="0065139F">
        <w:t>.</w:t>
      </w:r>
      <w:r>
        <w:t xml:space="preserve"> We assist </w:t>
      </w:r>
      <w:r w:rsidRPr="0065139F">
        <w:t>with</w:t>
      </w:r>
      <w:r>
        <w:t xml:space="preserve"> </w:t>
      </w:r>
      <w:r w:rsidRPr="0065139F">
        <w:t>a</w:t>
      </w:r>
      <w:r>
        <w:t xml:space="preserve"> </w:t>
      </w:r>
      <w:r w:rsidRPr="0065139F">
        <w:t>wide</w:t>
      </w:r>
      <w:r>
        <w:t xml:space="preserve"> </w:t>
      </w:r>
      <w:r w:rsidRPr="0065139F">
        <w:t>range</w:t>
      </w:r>
      <w:r>
        <w:t xml:space="preserve"> </w:t>
      </w:r>
      <w:r w:rsidRPr="0065139F">
        <w:t>of</w:t>
      </w:r>
      <w:r>
        <w:t xml:space="preserve"> </w:t>
      </w:r>
      <w:r w:rsidRPr="0065139F">
        <w:t>issues</w:t>
      </w:r>
      <w:r>
        <w:t xml:space="preserve"> </w:t>
      </w:r>
      <w:r w:rsidRPr="0065139F">
        <w:t>through</w:t>
      </w:r>
      <w:r>
        <w:t xml:space="preserve"> </w:t>
      </w:r>
      <w:r w:rsidRPr="0065139F">
        <w:t>the</w:t>
      </w:r>
      <w:r>
        <w:t xml:space="preserve"> </w:t>
      </w:r>
      <w:r w:rsidRPr="0065139F">
        <w:t>Front</w:t>
      </w:r>
      <w:r>
        <w:t>l</w:t>
      </w:r>
      <w:r w:rsidRPr="0065139F">
        <w:t>ine</w:t>
      </w:r>
      <w:r>
        <w:t xml:space="preserve"> </w:t>
      </w:r>
      <w:r w:rsidRPr="0065139F">
        <w:t>Compliance</w:t>
      </w:r>
      <w:r>
        <w:t xml:space="preserve"> </w:t>
      </w:r>
      <w:r w:rsidRPr="0065139F">
        <w:t>Response</w:t>
      </w:r>
      <w:r>
        <w:t xml:space="preserve"> </w:t>
      </w:r>
      <w:r w:rsidRPr="0065139F">
        <w:t>service,</w:t>
      </w:r>
      <w:r>
        <w:t xml:space="preserve"> </w:t>
      </w:r>
      <w:r w:rsidRPr="0065139F">
        <w:t>including</w:t>
      </w:r>
      <w:r>
        <w:t xml:space="preserve"> </w:t>
      </w:r>
      <w:r w:rsidRPr="0065139F">
        <w:t>unresponsive</w:t>
      </w:r>
      <w:r>
        <w:t xml:space="preserve"> </w:t>
      </w:r>
      <w:r w:rsidRPr="0065139F">
        <w:t>builders,</w:t>
      </w:r>
      <w:r>
        <w:t xml:space="preserve"> </w:t>
      </w:r>
      <w:r w:rsidRPr="0065139F">
        <w:t>defective</w:t>
      </w:r>
      <w:r>
        <w:t xml:space="preserve"> </w:t>
      </w:r>
      <w:r w:rsidRPr="0065139F">
        <w:t>or</w:t>
      </w:r>
      <w:r>
        <w:t xml:space="preserve"> </w:t>
      </w:r>
      <w:r w:rsidRPr="0065139F">
        <w:t>incomplete</w:t>
      </w:r>
      <w:r>
        <w:t xml:space="preserve"> </w:t>
      </w:r>
      <w:r w:rsidRPr="0065139F">
        <w:t>work,</w:t>
      </w:r>
      <w:r>
        <w:t xml:space="preserve"> </w:t>
      </w:r>
      <w:r w:rsidRPr="0065139F">
        <w:t>and</w:t>
      </w:r>
      <w:r>
        <w:t xml:space="preserve"> </w:t>
      </w:r>
      <w:r w:rsidRPr="0065139F">
        <w:t>delays</w:t>
      </w:r>
      <w:r>
        <w:t xml:space="preserve"> </w:t>
      </w:r>
      <w:r w:rsidRPr="0065139F">
        <w:t>in</w:t>
      </w:r>
      <w:r>
        <w:t xml:space="preserve"> providing </w:t>
      </w:r>
      <w:r w:rsidRPr="0065139F">
        <w:t>required</w:t>
      </w:r>
      <w:r>
        <w:t xml:space="preserve"> </w:t>
      </w:r>
      <w:r w:rsidRPr="0065139F">
        <w:t>documentation.</w:t>
      </w:r>
    </w:p>
    <w:p w14:paraId="54471081" w14:textId="13A69F1C" w:rsidR="00856406" w:rsidRPr="00DD20D0" w:rsidRDefault="00856406" w:rsidP="00C0225A">
      <w:pPr>
        <w:pStyle w:val="BodyText"/>
      </w:pPr>
      <w:r>
        <w:t xml:space="preserve">During </w:t>
      </w:r>
      <w:r w:rsidR="00EE79C3">
        <w:t>2024–25</w:t>
      </w:r>
      <w:r>
        <w:t xml:space="preserve">, CAV </w:t>
      </w:r>
      <w:r w:rsidRPr="00717004">
        <w:t>delivered</w:t>
      </w:r>
      <w:r>
        <w:t xml:space="preserve"> </w:t>
      </w:r>
      <w:r w:rsidRPr="00717004">
        <w:t>updated</w:t>
      </w:r>
      <w:r>
        <w:t xml:space="preserve"> </w:t>
      </w:r>
      <w:r w:rsidRPr="00717004">
        <w:t>information,</w:t>
      </w:r>
      <w:r>
        <w:t xml:space="preserve"> </w:t>
      </w:r>
      <w:r w:rsidRPr="00717004">
        <w:t>education,</w:t>
      </w:r>
      <w:r>
        <w:t xml:space="preserve"> </w:t>
      </w:r>
      <w:r w:rsidRPr="00717004">
        <w:t>and</w:t>
      </w:r>
      <w:r>
        <w:t xml:space="preserve"> </w:t>
      </w:r>
      <w:r w:rsidRPr="00717004">
        <w:t>guidance</w:t>
      </w:r>
      <w:r>
        <w:t xml:space="preserve"> </w:t>
      </w:r>
      <w:r w:rsidRPr="00717004">
        <w:t>to</w:t>
      </w:r>
      <w:r>
        <w:t xml:space="preserve"> </w:t>
      </w:r>
      <w:r w:rsidRPr="00717004">
        <w:t>the</w:t>
      </w:r>
      <w:r>
        <w:t xml:space="preserve"> </w:t>
      </w:r>
      <w:r w:rsidRPr="00717004">
        <w:t>public</w:t>
      </w:r>
      <w:r>
        <w:t xml:space="preserve"> </w:t>
      </w:r>
      <w:r w:rsidRPr="00717004">
        <w:t>in</w:t>
      </w:r>
      <w:r>
        <w:t xml:space="preserve"> </w:t>
      </w:r>
      <w:r w:rsidRPr="00717004">
        <w:t>key</w:t>
      </w:r>
      <w:r>
        <w:t xml:space="preserve"> </w:t>
      </w:r>
      <w:r w:rsidRPr="00717004">
        <w:t>priority</w:t>
      </w:r>
      <w:r>
        <w:t xml:space="preserve"> </w:t>
      </w:r>
      <w:r w:rsidRPr="00717004">
        <w:t>areas.</w:t>
      </w:r>
      <w:r>
        <w:t xml:space="preserve"> </w:t>
      </w:r>
      <w:r w:rsidRPr="00717004">
        <w:t>This</w:t>
      </w:r>
      <w:r>
        <w:t xml:space="preserve"> </w:t>
      </w:r>
      <w:r w:rsidRPr="00717004">
        <w:t>included</w:t>
      </w:r>
      <w:r>
        <w:t xml:space="preserve"> the successful Funda-rentals </w:t>
      </w:r>
      <w:r w:rsidRPr="00717004">
        <w:t>campaign</w:t>
      </w:r>
      <w:r>
        <w:t xml:space="preserve">, enhancing </w:t>
      </w:r>
      <w:r w:rsidRPr="00717004">
        <w:t>awareness</w:t>
      </w:r>
      <w:r>
        <w:t xml:space="preserve"> </w:t>
      </w:r>
      <w:r w:rsidRPr="00717004">
        <w:t>of</w:t>
      </w:r>
      <w:r>
        <w:t xml:space="preserve"> </w:t>
      </w:r>
      <w:r w:rsidRPr="00717004">
        <w:t>renters’</w:t>
      </w:r>
      <w:r>
        <w:t xml:space="preserve"> </w:t>
      </w:r>
      <w:r w:rsidRPr="00717004">
        <w:t>rights</w:t>
      </w:r>
      <w:r>
        <w:t xml:space="preserve">. Our increased support for </w:t>
      </w:r>
      <w:r w:rsidRPr="00717004">
        <w:t>rent</w:t>
      </w:r>
      <w:r>
        <w:t xml:space="preserve"> </w:t>
      </w:r>
      <w:r w:rsidRPr="00717004">
        <w:t>increase</w:t>
      </w:r>
      <w:r>
        <w:t xml:space="preserve"> investigations </w:t>
      </w:r>
      <w:r w:rsidRPr="00717004">
        <w:t>continued,</w:t>
      </w:r>
      <w:r>
        <w:t xml:space="preserve"> </w:t>
      </w:r>
      <w:r w:rsidRPr="00717004">
        <w:t>providing</w:t>
      </w:r>
      <w:r>
        <w:t xml:space="preserve"> </w:t>
      </w:r>
      <w:r w:rsidRPr="00717004">
        <w:t>recourse</w:t>
      </w:r>
      <w:r>
        <w:t xml:space="preserve"> </w:t>
      </w:r>
      <w:r w:rsidRPr="00717004">
        <w:t>for</w:t>
      </w:r>
      <w:r>
        <w:t xml:space="preserve"> </w:t>
      </w:r>
      <w:r w:rsidRPr="00717004">
        <w:t>renters</w:t>
      </w:r>
      <w:r>
        <w:t xml:space="preserve"> </w:t>
      </w:r>
      <w:r w:rsidRPr="00717004">
        <w:t>who</w:t>
      </w:r>
      <w:r>
        <w:t xml:space="preserve"> </w:t>
      </w:r>
      <w:r w:rsidRPr="00717004">
        <w:t>felt</w:t>
      </w:r>
      <w:r>
        <w:t xml:space="preserve"> </w:t>
      </w:r>
      <w:r w:rsidRPr="00717004">
        <w:t>that</w:t>
      </w:r>
      <w:r>
        <w:t xml:space="preserve"> </w:t>
      </w:r>
      <w:r w:rsidRPr="00717004">
        <w:t>rent</w:t>
      </w:r>
      <w:r>
        <w:t xml:space="preserve"> </w:t>
      </w:r>
      <w:r w:rsidRPr="00717004">
        <w:t>increases</w:t>
      </w:r>
      <w:r>
        <w:t xml:space="preserve"> </w:t>
      </w:r>
      <w:r w:rsidRPr="00717004">
        <w:t>delivered</w:t>
      </w:r>
      <w:r>
        <w:t xml:space="preserve"> </w:t>
      </w:r>
      <w:r w:rsidRPr="00717004">
        <w:t>by</w:t>
      </w:r>
      <w:r>
        <w:t xml:space="preserve"> rental providers </w:t>
      </w:r>
      <w:r w:rsidRPr="00717004">
        <w:t>were</w:t>
      </w:r>
      <w:r>
        <w:t xml:space="preserve"> excessive</w:t>
      </w:r>
      <w:r w:rsidRPr="00717004">
        <w:t>.</w:t>
      </w:r>
      <w:r>
        <w:t xml:space="preserve"> </w:t>
      </w:r>
      <w:r w:rsidRPr="00717004">
        <w:t>Additionally,</w:t>
      </w:r>
      <w:r>
        <w:t xml:space="preserve"> we </w:t>
      </w:r>
      <w:r w:rsidRPr="00717004">
        <w:t>assessed,</w:t>
      </w:r>
      <w:r>
        <w:t xml:space="preserve"> </w:t>
      </w:r>
      <w:r w:rsidRPr="00717004">
        <w:t>escalated,</w:t>
      </w:r>
      <w:r>
        <w:t xml:space="preserve"> </w:t>
      </w:r>
      <w:r w:rsidRPr="00717004">
        <w:t>and</w:t>
      </w:r>
      <w:r>
        <w:t xml:space="preserve"> </w:t>
      </w:r>
      <w:r w:rsidRPr="00717004">
        <w:t>investigated</w:t>
      </w:r>
      <w:r>
        <w:t xml:space="preserve"> </w:t>
      </w:r>
      <w:r w:rsidRPr="00717004">
        <w:t>issues</w:t>
      </w:r>
      <w:r>
        <w:t xml:space="preserve"> </w:t>
      </w:r>
      <w:r w:rsidRPr="00717004">
        <w:t>of</w:t>
      </w:r>
      <w:r>
        <w:t xml:space="preserve"> </w:t>
      </w:r>
      <w:r w:rsidRPr="00717004">
        <w:t>non-compliance,</w:t>
      </w:r>
      <w:r>
        <w:t xml:space="preserve"> </w:t>
      </w:r>
      <w:r w:rsidRPr="00DD20D0">
        <w:t>decreasing</w:t>
      </w:r>
      <w:r>
        <w:t xml:space="preserve"> response times </w:t>
      </w:r>
      <w:r w:rsidRPr="00DD20D0">
        <w:t>to</w:t>
      </w:r>
      <w:r>
        <w:t xml:space="preserve"> </w:t>
      </w:r>
      <w:r w:rsidRPr="00DD20D0">
        <w:t>instances</w:t>
      </w:r>
      <w:r>
        <w:t xml:space="preserve"> </w:t>
      </w:r>
      <w:r w:rsidRPr="00DD20D0">
        <w:t>of</w:t>
      </w:r>
      <w:r>
        <w:t xml:space="preserve"> </w:t>
      </w:r>
      <w:r w:rsidRPr="00DD20D0">
        <w:t>serious</w:t>
      </w:r>
      <w:r>
        <w:t xml:space="preserve"> </w:t>
      </w:r>
      <w:r w:rsidRPr="00DD20D0">
        <w:t>non-compliance.</w:t>
      </w:r>
    </w:p>
    <w:p w14:paraId="45511196" w14:textId="5E27A261" w:rsidR="00856406" w:rsidRPr="00DD20D0" w:rsidRDefault="00856406" w:rsidP="00C0225A">
      <w:pPr>
        <w:pStyle w:val="BodyText"/>
      </w:pPr>
      <w:r w:rsidRPr="00C854DE">
        <w:t>In</w:t>
      </w:r>
      <w:r>
        <w:t xml:space="preserve"> </w:t>
      </w:r>
      <w:r w:rsidR="00EE79C3">
        <w:t>2024–25</w:t>
      </w:r>
      <w:r>
        <w:t xml:space="preserve">, </w:t>
      </w:r>
      <w:r w:rsidRPr="00C854DE">
        <w:t>CAV’s</w:t>
      </w:r>
      <w:r>
        <w:t xml:space="preserve"> </w:t>
      </w:r>
      <w:r w:rsidRPr="00DD20D0">
        <w:t>Motor</w:t>
      </w:r>
      <w:r>
        <w:t xml:space="preserve"> </w:t>
      </w:r>
      <w:r w:rsidRPr="00DD20D0">
        <w:t>Car</w:t>
      </w:r>
      <w:r>
        <w:t xml:space="preserve"> </w:t>
      </w:r>
      <w:r w:rsidRPr="00DD20D0">
        <w:t>Traders</w:t>
      </w:r>
      <w:r>
        <w:t xml:space="preserve"> </w:t>
      </w:r>
      <w:r w:rsidRPr="00DD20D0">
        <w:t>Program</w:t>
      </w:r>
      <w:r>
        <w:t xml:space="preserve"> </w:t>
      </w:r>
      <w:r w:rsidRPr="00C854DE">
        <w:t>made</w:t>
      </w:r>
      <w:r>
        <w:t xml:space="preserve"> </w:t>
      </w:r>
      <w:r w:rsidRPr="00C854DE">
        <w:t>significant</w:t>
      </w:r>
      <w:r>
        <w:t xml:space="preserve"> </w:t>
      </w:r>
      <w:r w:rsidRPr="00C854DE">
        <w:t>progress</w:t>
      </w:r>
      <w:r>
        <w:t xml:space="preserve"> </w:t>
      </w:r>
      <w:r w:rsidRPr="00C854DE">
        <w:t>in</w:t>
      </w:r>
      <w:r>
        <w:t xml:space="preserve"> </w:t>
      </w:r>
      <w:r w:rsidRPr="00C854DE">
        <w:t>promoting</w:t>
      </w:r>
      <w:r>
        <w:t xml:space="preserve"> </w:t>
      </w:r>
      <w:r w:rsidRPr="00C854DE">
        <w:t>compliance</w:t>
      </w:r>
      <w:r>
        <w:t xml:space="preserve"> </w:t>
      </w:r>
      <w:r w:rsidRPr="00C854DE">
        <w:t>in</w:t>
      </w:r>
      <w:r>
        <w:t xml:space="preserve"> </w:t>
      </w:r>
      <w:r w:rsidRPr="00C854DE">
        <w:t>the</w:t>
      </w:r>
      <w:r>
        <w:t xml:space="preserve"> </w:t>
      </w:r>
      <w:r w:rsidRPr="00C854DE">
        <w:t>industry.</w:t>
      </w:r>
      <w:r>
        <w:t xml:space="preserve"> </w:t>
      </w:r>
      <w:r w:rsidRPr="00C854DE">
        <w:t>We</w:t>
      </w:r>
      <w:r>
        <w:t xml:space="preserve"> </w:t>
      </w:r>
      <w:r w:rsidRPr="00C854DE">
        <w:t>collaborated</w:t>
      </w:r>
      <w:r>
        <w:t xml:space="preserve"> </w:t>
      </w:r>
      <w:r w:rsidRPr="00C854DE">
        <w:t>with</w:t>
      </w:r>
      <w:r>
        <w:t xml:space="preserve"> </w:t>
      </w:r>
      <w:r w:rsidRPr="00DD20D0">
        <w:t>industry</w:t>
      </w:r>
      <w:r>
        <w:t xml:space="preserve"> </w:t>
      </w:r>
      <w:r w:rsidRPr="00DD20D0">
        <w:t>co-regulators</w:t>
      </w:r>
      <w:r>
        <w:t xml:space="preserve"> </w:t>
      </w:r>
      <w:r w:rsidRPr="00DD20D0">
        <w:t>and</w:t>
      </w:r>
      <w:r>
        <w:t xml:space="preserve"> </w:t>
      </w:r>
      <w:r w:rsidRPr="00DD20D0">
        <w:t>stakeholders,</w:t>
      </w:r>
      <w:r>
        <w:t xml:space="preserve"> leveraging information sharing between regulators to deploy targeted compliance activities more effectively</w:t>
      </w:r>
      <w:r w:rsidRPr="00C854DE">
        <w:t>.</w:t>
      </w:r>
      <w:r>
        <w:t xml:space="preserve"> </w:t>
      </w:r>
      <w:r w:rsidRPr="00C854DE">
        <w:t>We</w:t>
      </w:r>
      <w:r>
        <w:t xml:space="preserve"> </w:t>
      </w:r>
      <w:r w:rsidRPr="00C854DE">
        <w:t>achieved</w:t>
      </w:r>
      <w:r>
        <w:t xml:space="preserve"> </w:t>
      </w:r>
      <w:r w:rsidRPr="00C854DE">
        <w:t>successful</w:t>
      </w:r>
      <w:r>
        <w:t xml:space="preserve"> </w:t>
      </w:r>
      <w:r w:rsidRPr="00C854DE">
        <w:t>interventions</w:t>
      </w:r>
      <w:r>
        <w:t xml:space="preserve"> </w:t>
      </w:r>
      <w:r w:rsidRPr="00C854DE">
        <w:t>with</w:t>
      </w:r>
      <w:r>
        <w:t xml:space="preserve"> </w:t>
      </w:r>
      <w:r w:rsidRPr="00C854DE">
        <w:t>problematic</w:t>
      </w:r>
      <w:r>
        <w:t xml:space="preserve"> </w:t>
      </w:r>
      <w:r w:rsidRPr="00C854DE">
        <w:t>traders</w:t>
      </w:r>
      <w:r>
        <w:t xml:space="preserve"> </w:t>
      </w:r>
      <w:r w:rsidRPr="00C854DE">
        <w:t>by</w:t>
      </w:r>
      <w:r>
        <w:t xml:space="preserve"> </w:t>
      </w:r>
      <w:r w:rsidRPr="00C854DE">
        <w:t>taking</w:t>
      </w:r>
      <w:r>
        <w:t xml:space="preserve"> </w:t>
      </w:r>
      <w:r w:rsidRPr="00C854DE">
        <w:t>innovative</w:t>
      </w:r>
      <w:r>
        <w:t xml:space="preserve"> </w:t>
      </w:r>
      <w:r w:rsidRPr="00C854DE">
        <w:t>approaches</w:t>
      </w:r>
      <w:r>
        <w:t xml:space="preserve"> </w:t>
      </w:r>
      <w:r w:rsidRPr="00C854DE">
        <w:t>to</w:t>
      </w:r>
      <w:r>
        <w:t xml:space="preserve"> </w:t>
      </w:r>
      <w:r w:rsidRPr="00C854DE">
        <w:t>tackling</w:t>
      </w:r>
      <w:r>
        <w:t xml:space="preserve"> </w:t>
      </w:r>
      <w:r w:rsidRPr="00C854DE">
        <w:t>persistent</w:t>
      </w:r>
      <w:r>
        <w:t xml:space="preserve"> </w:t>
      </w:r>
      <w:r w:rsidRPr="00C854DE">
        <w:t>non-compliant</w:t>
      </w:r>
      <w:r>
        <w:t xml:space="preserve"> </w:t>
      </w:r>
      <w:r w:rsidRPr="00C854DE">
        <w:t>behaviour.</w:t>
      </w:r>
      <w:r>
        <w:t xml:space="preserve"> </w:t>
      </w:r>
      <w:r w:rsidRPr="00C854DE">
        <w:t>One</w:t>
      </w:r>
      <w:r>
        <w:t xml:space="preserve"> </w:t>
      </w:r>
      <w:r w:rsidRPr="00C854DE">
        <w:t>important</w:t>
      </w:r>
      <w:r>
        <w:t xml:space="preserve"> </w:t>
      </w:r>
      <w:r w:rsidRPr="00C854DE">
        <w:t>aspect</w:t>
      </w:r>
      <w:r>
        <w:t xml:space="preserve"> </w:t>
      </w:r>
      <w:r w:rsidRPr="00C854DE">
        <w:t>of</w:t>
      </w:r>
      <w:r>
        <w:t xml:space="preserve"> our </w:t>
      </w:r>
      <w:r w:rsidRPr="00C854DE">
        <w:t>efforts</w:t>
      </w:r>
      <w:r>
        <w:t xml:space="preserve"> </w:t>
      </w:r>
      <w:r w:rsidRPr="00C854DE">
        <w:t>has</w:t>
      </w:r>
      <w:r>
        <w:t xml:space="preserve"> </w:t>
      </w:r>
      <w:r w:rsidRPr="00C854DE">
        <w:t>been</w:t>
      </w:r>
      <w:r>
        <w:t xml:space="preserve"> empowering and assisting </w:t>
      </w:r>
      <w:r w:rsidRPr="00C854DE">
        <w:t>consumers</w:t>
      </w:r>
      <w:r>
        <w:t xml:space="preserve"> </w:t>
      </w:r>
      <w:r w:rsidRPr="00C854DE">
        <w:t>in</w:t>
      </w:r>
      <w:r>
        <w:t xml:space="preserve"> </w:t>
      </w:r>
      <w:r w:rsidRPr="00C854DE">
        <w:t>resolving</w:t>
      </w:r>
      <w:r>
        <w:t xml:space="preserve"> </w:t>
      </w:r>
      <w:r w:rsidRPr="00DD20D0">
        <w:t>disputes</w:t>
      </w:r>
      <w:r>
        <w:t xml:space="preserve"> </w:t>
      </w:r>
      <w:r w:rsidRPr="00DD20D0">
        <w:t>with</w:t>
      </w:r>
      <w:r>
        <w:t xml:space="preserve"> </w:t>
      </w:r>
      <w:r w:rsidRPr="00DD20D0">
        <w:t>traders</w:t>
      </w:r>
      <w:r w:rsidRPr="00C854DE">
        <w:t>.</w:t>
      </w:r>
      <w:r>
        <w:t xml:space="preserve"> </w:t>
      </w:r>
      <w:r w:rsidRPr="00C854DE">
        <w:t>In</w:t>
      </w:r>
      <w:r>
        <w:t xml:space="preserve"> </w:t>
      </w:r>
      <w:r w:rsidR="00EE79C3">
        <w:t>2024–25</w:t>
      </w:r>
      <w:r>
        <w:t xml:space="preserve">, we helped </w:t>
      </w:r>
      <w:r w:rsidRPr="00C854DE">
        <w:t>many</w:t>
      </w:r>
      <w:r>
        <w:t xml:space="preserve"> </w:t>
      </w:r>
      <w:r w:rsidRPr="00C854DE">
        <w:t>Victorians</w:t>
      </w:r>
      <w:r>
        <w:t xml:space="preserve"> </w:t>
      </w:r>
      <w:r w:rsidRPr="00C854DE">
        <w:t>in</w:t>
      </w:r>
      <w:r>
        <w:t xml:space="preserve"> </w:t>
      </w:r>
      <w:r w:rsidRPr="00C854DE">
        <w:t>this</w:t>
      </w:r>
      <w:r>
        <w:t xml:space="preserve"> </w:t>
      </w:r>
      <w:r w:rsidRPr="00C854DE">
        <w:t>way</w:t>
      </w:r>
      <w:r w:rsidRPr="00DD20D0">
        <w:t>,</w:t>
      </w:r>
      <w:r>
        <w:t xml:space="preserve"> with </w:t>
      </w:r>
      <w:r w:rsidRPr="00DD20D0">
        <w:t>a</w:t>
      </w:r>
      <w:r>
        <w:t xml:space="preserve"> </w:t>
      </w:r>
      <w:r w:rsidRPr="00DD20D0">
        <w:t>significant</w:t>
      </w:r>
      <w:r>
        <w:t xml:space="preserve"> </w:t>
      </w:r>
      <w:r w:rsidRPr="00DD20D0">
        <w:t>increase</w:t>
      </w:r>
      <w:r>
        <w:t xml:space="preserve"> </w:t>
      </w:r>
      <w:r w:rsidRPr="00DD20D0">
        <w:t>in</w:t>
      </w:r>
      <w:r>
        <w:t xml:space="preserve"> f</w:t>
      </w:r>
      <w:r w:rsidRPr="00DD20D0">
        <w:t>rontline</w:t>
      </w:r>
      <w:r>
        <w:t xml:space="preserve"> c</w:t>
      </w:r>
      <w:r w:rsidRPr="00DD20D0">
        <w:t>ompliance</w:t>
      </w:r>
      <w:r>
        <w:t xml:space="preserve"> r</w:t>
      </w:r>
      <w:r w:rsidRPr="00DD20D0">
        <w:t>esponse</w:t>
      </w:r>
      <w:r>
        <w:t xml:space="preserve"> </w:t>
      </w:r>
      <w:r w:rsidRPr="00DD20D0">
        <w:t>services.</w:t>
      </w:r>
    </w:p>
    <w:p w14:paraId="521C7079" w14:textId="77777777" w:rsidR="00856406" w:rsidRPr="00C854DE" w:rsidRDefault="00856406" w:rsidP="00447322">
      <w:pPr>
        <w:pStyle w:val="Heading4"/>
      </w:pPr>
      <w:r w:rsidRPr="00C854DE">
        <w:rPr>
          <w:rFonts w:eastAsia="MS Mincho"/>
        </w:rPr>
        <w:t>Supporting</w:t>
      </w:r>
      <w:r>
        <w:rPr>
          <w:rFonts w:eastAsia="MS Mincho"/>
        </w:rPr>
        <w:t xml:space="preserve"> </w:t>
      </w:r>
      <w:r w:rsidRPr="00C854DE">
        <w:rPr>
          <w:rFonts w:eastAsia="MS Mincho"/>
        </w:rPr>
        <w:t>all</w:t>
      </w:r>
      <w:r>
        <w:rPr>
          <w:rFonts w:eastAsia="MS Mincho"/>
        </w:rPr>
        <w:t xml:space="preserve"> </w:t>
      </w:r>
      <w:r w:rsidRPr="00C854DE">
        <w:rPr>
          <w:rFonts w:eastAsia="MS Mincho"/>
        </w:rPr>
        <w:t>Victorians</w:t>
      </w:r>
      <w:r w:rsidRPr="00C854DE">
        <w:t>:</w:t>
      </w:r>
      <w:r>
        <w:t xml:space="preserve"> </w:t>
      </w:r>
      <w:r w:rsidRPr="00C854DE">
        <w:t>Supporting</w:t>
      </w:r>
      <w:r>
        <w:t xml:space="preserve"> </w:t>
      </w:r>
      <w:r w:rsidRPr="00C854DE">
        <w:t>all</w:t>
      </w:r>
      <w:r>
        <w:t xml:space="preserve"> </w:t>
      </w:r>
      <w:r w:rsidRPr="00C854DE">
        <w:t>Victorians,</w:t>
      </w:r>
      <w:r>
        <w:t xml:space="preserve"> </w:t>
      </w:r>
      <w:r w:rsidRPr="00C854DE">
        <w:t>especially</w:t>
      </w:r>
      <w:r>
        <w:t xml:space="preserve"> </w:t>
      </w:r>
      <w:r w:rsidRPr="00C854DE">
        <w:t>those</w:t>
      </w:r>
      <w:r>
        <w:t xml:space="preserve"> </w:t>
      </w:r>
      <w:r w:rsidRPr="00C854DE">
        <w:t>experiencing</w:t>
      </w:r>
      <w:r>
        <w:t xml:space="preserve"> </w:t>
      </w:r>
      <w:r w:rsidRPr="00C854DE">
        <w:t>vulnerability</w:t>
      </w:r>
      <w:r>
        <w:t>, through inclusive and accessible services</w:t>
      </w:r>
    </w:p>
    <w:p w14:paraId="2813A8A7" w14:textId="77777777" w:rsidR="00856406" w:rsidRPr="00717004" w:rsidRDefault="00856406" w:rsidP="00C0225A">
      <w:pPr>
        <w:pStyle w:val="BodyText"/>
      </w:pPr>
      <w:r w:rsidRPr="00717004">
        <w:t>Th</w:t>
      </w:r>
      <w:r>
        <w:t xml:space="preserve">is </w:t>
      </w:r>
      <w:r w:rsidRPr="00717004">
        <w:t>expectation</w:t>
      </w:r>
      <w:r>
        <w:t xml:space="preserve"> requires </w:t>
      </w:r>
      <w:r w:rsidRPr="00717004">
        <w:t>CAV</w:t>
      </w:r>
      <w:r>
        <w:t xml:space="preserve"> to work within the Department of Government Services and with Service Victoria to </w:t>
      </w:r>
      <w:r w:rsidRPr="00717004">
        <w:t>make</w:t>
      </w:r>
      <w:r>
        <w:t xml:space="preserve"> </w:t>
      </w:r>
      <w:r w:rsidRPr="00717004">
        <w:t>it</w:t>
      </w:r>
      <w:r>
        <w:t xml:space="preserve"> </w:t>
      </w:r>
      <w:r w:rsidRPr="00717004">
        <w:t>easier</w:t>
      </w:r>
      <w:r>
        <w:t xml:space="preserve"> </w:t>
      </w:r>
      <w:r w:rsidRPr="00717004">
        <w:t>and</w:t>
      </w:r>
      <w:r>
        <w:t xml:space="preserve"> </w:t>
      </w:r>
      <w:r w:rsidRPr="00717004">
        <w:t>quicker</w:t>
      </w:r>
      <w:r>
        <w:t xml:space="preserve"> </w:t>
      </w:r>
      <w:r w:rsidRPr="00717004">
        <w:t>for</w:t>
      </w:r>
      <w:r>
        <w:t xml:space="preserve"> all </w:t>
      </w:r>
      <w:r w:rsidRPr="00717004">
        <w:t>Victorians</w:t>
      </w:r>
      <w:r>
        <w:t xml:space="preserve"> </w:t>
      </w:r>
      <w:r w:rsidRPr="00717004">
        <w:t>to</w:t>
      </w:r>
      <w:r>
        <w:t xml:space="preserve"> </w:t>
      </w:r>
      <w:r w:rsidRPr="00717004">
        <w:t>find,</w:t>
      </w:r>
      <w:r>
        <w:t xml:space="preserve"> </w:t>
      </w:r>
      <w:r w:rsidRPr="00717004">
        <w:t>access</w:t>
      </w:r>
      <w:r>
        <w:t xml:space="preserve"> </w:t>
      </w:r>
      <w:r w:rsidRPr="00717004">
        <w:t>and</w:t>
      </w:r>
      <w:r>
        <w:t xml:space="preserve"> </w:t>
      </w:r>
      <w:r w:rsidRPr="00717004">
        <w:t>use</w:t>
      </w:r>
      <w:r>
        <w:t xml:space="preserve"> </w:t>
      </w:r>
      <w:r w:rsidRPr="00717004">
        <w:t>important</w:t>
      </w:r>
      <w:r>
        <w:t xml:space="preserve"> </w:t>
      </w:r>
      <w:r w:rsidRPr="00717004">
        <w:t>consumer</w:t>
      </w:r>
      <w:r>
        <w:t xml:space="preserve"> </w:t>
      </w:r>
      <w:r w:rsidRPr="00717004">
        <w:t>protection</w:t>
      </w:r>
      <w:r>
        <w:t xml:space="preserve"> </w:t>
      </w:r>
      <w:r w:rsidRPr="00717004">
        <w:t>information</w:t>
      </w:r>
      <w:r>
        <w:t xml:space="preserve"> </w:t>
      </w:r>
      <w:r w:rsidRPr="00717004">
        <w:t>and</w:t>
      </w:r>
      <w:r>
        <w:t xml:space="preserve"> </w:t>
      </w:r>
      <w:r w:rsidRPr="00717004">
        <w:t>advice.</w:t>
      </w:r>
    </w:p>
    <w:p w14:paraId="1539C837" w14:textId="77777777" w:rsidR="00856406" w:rsidRPr="00C854DE" w:rsidRDefault="00856406" w:rsidP="00C0225A">
      <w:pPr>
        <w:pStyle w:val="Heading5"/>
        <w:rPr>
          <w:b w:val="0"/>
          <w:i/>
        </w:rPr>
      </w:pPr>
      <w:r w:rsidRPr="00C854DE">
        <w:t>Implementation</w:t>
      </w:r>
    </w:p>
    <w:p w14:paraId="64C2ACA3" w14:textId="77777777" w:rsidR="00856406" w:rsidRPr="00717004" w:rsidRDefault="00856406" w:rsidP="00C0225A">
      <w:pPr>
        <w:pStyle w:val="BodyText"/>
      </w:pPr>
      <w:r w:rsidRPr="00717004">
        <w:t>Throughout</w:t>
      </w:r>
      <w:r>
        <w:t xml:space="preserve"> </w:t>
      </w:r>
      <w:r w:rsidRPr="00717004">
        <w:t>the</w:t>
      </w:r>
      <w:r>
        <w:t xml:space="preserve"> </w:t>
      </w:r>
      <w:r w:rsidRPr="00717004">
        <w:t>year</w:t>
      </w:r>
      <w:r>
        <w:t xml:space="preserve"> </w:t>
      </w:r>
      <w:r w:rsidRPr="00717004">
        <w:t>we</w:t>
      </w:r>
      <w:r>
        <w:t xml:space="preserve"> </w:t>
      </w:r>
      <w:r w:rsidRPr="00717004">
        <w:t>supported</w:t>
      </w:r>
      <w:r>
        <w:t xml:space="preserve"> </w:t>
      </w:r>
      <w:r w:rsidRPr="00717004">
        <w:t>Victorians</w:t>
      </w:r>
      <w:r>
        <w:t xml:space="preserve"> experiencing vulnerability. Our community programs provided funding </w:t>
      </w:r>
      <w:r w:rsidRPr="00717004">
        <w:t>for</w:t>
      </w:r>
      <w:r>
        <w:t xml:space="preserve"> organisations to deliver critical </w:t>
      </w:r>
      <w:r w:rsidRPr="00717004">
        <w:t>financial</w:t>
      </w:r>
      <w:r>
        <w:t xml:space="preserve"> </w:t>
      </w:r>
      <w:r w:rsidRPr="00717004">
        <w:t>counselling,</w:t>
      </w:r>
      <w:r>
        <w:t xml:space="preserve"> </w:t>
      </w:r>
      <w:r w:rsidRPr="00717004">
        <w:t>renting</w:t>
      </w:r>
      <w:r>
        <w:t xml:space="preserve"> </w:t>
      </w:r>
      <w:r w:rsidRPr="00717004">
        <w:t>and</w:t>
      </w:r>
      <w:r>
        <w:t xml:space="preserve"> </w:t>
      </w:r>
      <w:r w:rsidRPr="00717004">
        <w:t>consumer</w:t>
      </w:r>
      <w:r>
        <w:t xml:space="preserve"> </w:t>
      </w:r>
      <w:r w:rsidRPr="00717004">
        <w:t>assistance</w:t>
      </w:r>
      <w:r>
        <w:t xml:space="preserve">, </w:t>
      </w:r>
      <w:r w:rsidRPr="00717004">
        <w:t>and</w:t>
      </w:r>
      <w:r>
        <w:t xml:space="preserve"> </w:t>
      </w:r>
      <w:r w:rsidRPr="00717004">
        <w:t>advocacy</w:t>
      </w:r>
      <w:r>
        <w:t xml:space="preserve"> </w:t>
      </w:r>
      <w:r w:rsidRPr="00717004">
        <w:t>support.</w:t>
      </w:r>
    </w:p>
    <w:p w14:paraId="1B65CE12" w14:textId="5F4B5605" w:rsidR="00856406" w:rsidRPr="00717004" w:rsidRDefault="00856406" w:rsidP="00C0225A">
      <w:pPr>
        <w:pStyle w:val="BodyText"/>
      </w:pPr>
      <w:r w:rsidRPr="00717004">
        <w:t>We</w:t>
      </w:r>
      <w:r>
        <w:t xml:space="preserve"> </w:t>
      </w:r>
      <w:r w:rsidRPr="00717004">
        <w:t>progressed</w:t>
      </w:r>
      <w:r>
        <w:t xml:space="preserve"> our </w:t>
      </w:r>
      <w:r w:rsidRPr="00C854DE">
        <w:t>funded</w:t>
      </w:r>
      <w:r>
        <w:t xml:space="preserve"> </w:t>
      </w:r>
      <w:r w:rsidRPr="00C854DE">
        <w:t>services</w:t>
      </w:r>
      <w:r>
        <w:t xml:space="preserve"> program reviews</w:t>
      </w:r>
      <w:r w:rsidRPr="00717004">
        <w:t>,</w:t>
      </w:r>
      <w:r>
        <w:t xml:space="preserve"> </w:t>
      </w:r>
      <w:r w:rsidRPr="00717004">
        <w:t>aiming</w:t>
      </w:r>
      <w:r>
        <w:t xml:space="preserve"> </w:t>
      </w:r>
      <w:r w:rsidRPr="00717004">
        <w:t>to</w:t>
      </w:r>
      <w:r>
        <w:t xml:space="preserve"> </w:t>
      </w:r>
      <w:r w:rsidRPr="00717004">
        <w:t>make</w:t>
      </w:r>
      <w:r>
        <w:t xml:space="preserve"> </w:t>
      </w:r>
      <w:r w:rsidRPr="00717004">
        <w:t>services</w:t>
      </w:r>
      <w:r>
        <w:t xml:space="preserve"> </w:t>
      </w:r>
      <w:r w:rsidRPr="00717004">
        <w:t>as</w:t>
      </w:r>
      <w:r>
        <w:t xml:space="preserve"> </w:t>
      </w:r>
      <w:r w:rsidRPr="00717004">
        <w:t>accessible</w:t>
      </w:r>
      <w:r>
        <w:t xml:space="preserve"> </w:t>
      </w:r>
      <w:r w:rsidRPr="00717004">
        <w:t>and</w:t>
      </w:r>
      <w:r>
        <w:t xml:space="preserve"> </w:t>
      </w:r>
      <w:r w:rsidRPr="00717004">
        <w:t>useful</w:t>
      </w:r>
      <w:r>
        <w:t xml:space="preserve"> </w:t>
      </w:r>
      <w:r w:rsidRPr="00717004">
        <w:t>as</w:t>
      </w:r>
      <w:r>
        <w:t xml:space="preserve"> </w:t>
      </w:r>
      <w:r w:rsidRPr="00717004">
        <w:t>possible.</w:t>
      </w:r>
      <w:r>
        <w:t xml:space="preserve"> </w:t>
      </w:r>
      <w:r w:rsidRPr="00717004">
        <w:t>In</w:t>
      </w:r>
      <w:r>
        <w:t xml:space="preserve"> </w:t>
      </w:r>
      <w:r w:rsidR="00EE79C3">
        <w:t>2024–25</w:t>
      </w:r>
      <w:r>
        <w:t xml:space="preserve">, </w:t>
      </w:r>
      <w:r w:rsidRPr="00717004">
        <w:t>the</w:t>
      </w:r>
      <w:r>
        <w:t xml:space="preserve"> g</w:t>
      </w:r>
      <w:r w:rsidRPr="00717004">
        <w:t>overnment</w:t>
      </w:r>
      <w:r>
        <w:t xml:space="preserve"> </w:t>
      </w:r>
      <w:r w:rsidRPr="00717004">
        <w:t>undertook</w:t>
      </w:r>
      <w:r>
        <w:t xml:space="preserve"> </w:t>
      </w:r>
      <w:r w:rsidRPr="00717004">
        <w:t>the</w:t>
      </w:r>
      <w:r>
        <w:t xml:space="preserve"> </w:t>
      </w:r>
      <w:r w:rsidRPr="00717004">
        <w:t>competitive</w:t>
      </w:r>
      <w:r>
        <w:t xml:space="preserve"> F</w:t>
      </w:r>
      <w:r w:rsidRPr="00717004">
        <w:t>inancial</w:t>
      </w:r>
      <w:r>
        <w:t xml:space="preserve"> C</w:t>
      </w:r>
      <w:r w:rsidRPr="00717004">
        <w:t>ounselling</w:t>
      </w:r>
      <w:r>
        <w:t xml:space="preserve"> F</w:t>
      </w:r>
      <w:r w:rsidRPr="00717004">
        <w:t>unding</w:t>
      </w:r>
      <w:r>
        <w:t xml:space="preserve"> R</w:t>
      </w:r>
      <w:r w:rsidRPr="00717004">
        <w:t>ound</w:t>
      </w:r>
      <w:r>
        <w:t xml:space="preserve"> </w:t>
      </w:r>
      <w:r w:rsidRPr="00717004">
        <w:t>to</w:t>
      </w:r>
      <w:r>
        <w:t xml:space="preserve"> </w:t>
      </w:r>
      <w:r w:rsidRPr="00717004">
        <w:t>increase</w:t>
      </w:r>
      <w:r>
        <w:t xml:space="preserve"> </w:t>
      </w:r>
      <w:r w:rsidRPr="00717004">
        <w:t>support</w:t>
      </w:r>
      <w:r>
        <w:t xml:space="preserve"> </w:t>
      </w:r>
      <w:r w:rsidRPr="00717004">
        <w:t>for</w:t>
      </w:r>
      <w:r>
        <w:t xml:space="preserve"> </w:t>
      </w:r>
      <w:r w:rsidRPr="00717004">
        <w:t>people</w:t>
      </w:r>
      <w:r>
        <w:t xml:space="preserve"> </w:t>
      </w:r>
      <w:r w:rsidRPr="00717004">
        <w:t>experiencing</w:t>
      </w:r>
      <w:r>
        <w:t xml:space="preserve"> </w:t>
      </w:r>
      <w:r w:rsidRPr="00717004">
        <w:t>financial</w:t>
      </w:r>
      <w:r>
        <w:t xml:space="preserve"> </w:t>
      </w:r>
      <w:r w:rsidRPr="00717004">
        <w:t>hardship</w:t>
      </w:r>
      <w:r>
        <w:t xml:space="preserve">, </w:t>
      </w:r>
      <w:r w:rsidRPr="00717004">
        <w:t>due</w:t>
      </w:r>
      <w:r>
        <w:t xml:space="preserve"> </w:t>
      </w:r>
      <w:r w:rsidRPr="00717004">
        <w:t>to</w:t>
      </w:r>
      <w:r>
        <w:t xml:space="preserve"> </w:t>
      </w:r>
      <w:r w:rsidRPr="00717004">
        <w:t>mortgage</w:t>
      </w:r>
      <w:r>
        <w:t xml:space="preserve"> </w:t>
      </w:r>
      <w:r w:rsidRPr="00717004">
        <w:t>or</w:t>
      </w:r>
      <w:r>
        <w:t xml:space="preserve"> </w:t>
      </w:r>
      <w:r w:rsidRPr="00717004">
        <w:t>rental</w:t>
      </w:r>
      <w:r>
        <w:t xml:space="preserve"> </w:t>
      </w:r>
      <w:r w:rsidRPr="00717004">
        <w:t>stress</w:t>
      </w:r>
      <w:r>
        <w:t xml:space="preserve">. </w:t>
      </w:r>
      <w:r w:rsidRPr="00717004">
        <w:t>$15</w:t>
      </w:r>
      <w:r>
        <w:t xml:space="preserve"> </w:t>
      </w:r>
      <w:r w:rsidRPr="00717004">
        <w:t>million</w:t>
      </w:r>
      <w:r>
        <w:t xml:space="preserve"> was </w:t>
      </w:r>
      <w:r w:rsidRPr="00717004">
        <w:t>allocated</w:t>
      </w:r>
      <w:r>
        <w:t xml:space="preserve"> </w:t>
      </w:r>
      <w:r w:rsidRPr="00717004">
        <w:t>from</w:t>
      </w:r>
      <w:r>
        <w:t xml:space="preserve"> </w:t>
      </w:r>
      <w:r w:rsidR="00EE79C3">
        <w:t>2025–26</w:t>
      </w:r>
      <w:r>
        <w:t xml:space="preserve"> </w:t>
      </w:r>
      <w:r w:rsidRPr="00717004">
        <w:t>to</w:t>
      </w:r>
      <w:r>
        <w:t xml:space="preserve"> </w:t>
      </w:r>
      <w:r w:rsidRPr="00717004">
        <w:t>2027</w:t>
      </w:r>
      <w:r w:rsidR="00EE79C3">
        <w:t>–2</w:t>
      </w:r>
      <w:r w:rsidRPr="00717004">
        <w:t>8.</w:t>
      </w:r>
    </w:p>
    <w:p w14:paraId="2B9F4EC0" w14:textId="77777777" w:rsidR="00856406" w:rsidRPr="00CB7365" w:rsidRDefault="00856406" w:rsidP="00C0225A">
      <w:pPr>
        <w:pStyle w:val="BodyText"/>
      </w:pPr>
      <w:r w:rsidRPr="00CB7365">
        <w:t>We</w:t>
      </w:r>
      <w:r>
        <w:t xml:space="preserve"> </w:t>
      </w:r>
      <w:r w:rsidRPr="00CB7365">
        <w:t>also</w:t>
      </w:r>
      <w:r>
        <w:t xml:space="preserve"> </w:t>
      </w:r>
      <w:r w:rsidRPr="00CB7365">
        <w:t>improved</w:t>
      </w:r>
      <w:r>
        <w:t xml:space="preserve"> </w:t>
      </w:r>
      <w:r w:rsidRPr="00CB7365">
        <w:t>access</w:t>
      </w:r>
      <w:r>
        <w:t xml:space="preserve"> </w:t>
      </w:r>
      <w:r w:rsidRPr="00CB7365">
        <w:t>to</w:t>
      </w:r>
      <w:r>
        <w:t xml:space="preserve"> </w:t>
      </w:r>
      <w:r w:rsidRPr="00CB7365">
        <w:t>consumer</w:t>
      </w:r>
      <w:r>
        <w:t xml:space="preserve"> </w:t>
      </w:r>
      <w:r w:rsidRPr="00CB7365">
        <w:t>services</w:t>
      </w:r>
      <w:r>
        <w:t xml:space="preserve"> </w:t>
      </w:r>
      <w:r w:rsidRPr="00CB7365">
        <w:t>for</w:t>
      </w:r>
      <w:r>
        <w:t xml:space="preserve"> </w:t>
      </w:r>
      <w:r w:rsidRPr="00CB7365">
        <w:t>First</w:t>
      </w:r>
      <w:r>
        <w:t xml:space="preserve"> </w:t>
      </w:r>
      <w:r w:rsidRPr="00CB7365">
        <w:t>Nations</w:t>
      </w:r>
      <w:r>
        <w:t xml:space="preserve"> </w:t>
      </w:r>
      <w:r w:rsidRPr="00CB7365">
        <w:t>communities</w:t>
      </w:r>
      <w:r>
        <w:t xml:space="preserve"> </w:t>
      </w:r>
      <w:r w:rsidRPr="00CB7365">
        <w:t>through</w:t>
      </w:r>
      <w:r>
        <w:t xml:space="preserve"> </w:t>
      </w:r>
      <w:r w:rsidRPr="00CB7365">
        <w:t>our</w:t>
      </w:r>
      <w:r>
        <w:t xml:space="preserve"> </w:t>
      </w:r>
      <w:r w:rsidRPr="00CB7365">
        <w:t>Yarrka</w:t>
      </w:r>
      <w:r>
        <w:t xml:space="preserve"> </w:t>
      </w:r>
      <w:r w:rsidRPr="00CB7365">
        <w:t>Barring</w:t>
      </w:r>
      <w:r>
        <w:t xml:space="preserve"> </w:t>
      </w:r>
      <w:r w:rsidRPr="00CB7365">
        <w:t>initiative,</w:t>
      </w:r>
      <w:r>
        <w:t xml:space="preserve"> </w:t>
      </w:r>
      <w:r w:rsidRPr="00CB7365">
        <w:t>which</w:t>
      </w:r>
      <w:r>
        <w:t xml:space="preserve"> </w:t>
      </w:r>
      <w:r w:rsidRPr="00CB7365">
        <w:t>included</w:t>
      </w:r>
      <w:r>
        <w:t xml:space="preserve"> a </w:t>
      </w:r>
      <w:r w:rsidRPr="00CB7365">
        <w:t>dedicated</w:t>
      </w:r>
      <w:r>
        <w:t xml:space="preserve"> </w:t>
      </w:r>
      <w:r w:rsidRPr="00CB7365">
        <w:t>webpage</w:t>
      </w:r>
      <w:r>
        <w:t xml:space="preserve"> </w:t>
      </w:r>
      <w:r w:rsidRPr="00CB7365">
        <w:t>and</w:t>
      </w:r>
      <w:r>
        <w:t xml:space="preserve"> telephone </w:t>
      </w:r>
      <w:r w:rsidRPr="00C854DE">
        <w:t>support</w:t>
      </w:r>
      <w:r>
        <w:t>.</w:t>
      </w:r>
    </w:p>
    <w:p w14:paraId="199CD6CC" w14:textId="77777777" w:rsidR="00856406" w:rsidRPr="00C854DE" w:rsidRDefault="00856406" w:rsidP="00447322">
      <w:pPr>
        <w:pStyle w:val="Heading4"/>
      </w:pPr>
      <w:r w:rsidRPr="00C854DE">
        <w:t>Digital</w:t>
      </w:r>
      <w:r>
        <w:t xml:space="preserve"> </w:t>
      </w:r>
      <w:r w:rsidRPr="00C854DE">
        <w:t>technology:</w:t>
      </w:r>
      <w:r>
        <w:t xml:space="preserve"> </w:t>
      </w:r>
      <w:r w:rsidRPr="00C854DE">
        <w:t>Harnessing</w:t>
      </w:r>
      <w:r>
        <w:t xml:space="preserve"> </w:t>
      </w:r>
      <w:r w:rsidRPr="00C854DE">
        <w:t>digital</w:t>
      </w:r>
      <w:r>
        <w:t xml:space="preserve"> </w:t>
      </w:r>
      <w:r w:rsidRPr="00C854DE">
        <w:t>technologies</w:t>
      </w:r>
      <w:r>
        <w:t xml:space="preserve"> </w:t>
      </w:r>
      <w:r w:rsidRPr="00C854DE">
        <w:t>to</w:t>
      </w:r>
      <w:r>
        <w:t xml:space="preserve"> </w:t>
      </w:r>
      <w:r w:rsidRPr="00C854DE">
        <w:t>improve</w:t>
      </w:r>
      <w:r>
        <w:t xml:space="preserve"> </w:t>
      </w:r>
      <w:r w:rsidRPr="00C854DE">
        <w:t>CAV</w:t>
      </w:r>
      <w:r>
        <w:t xml:space="preserve"> </w:t>
      </w:r>
      <w:r w:rsidRPr="00C854DE">
        <w:t>services</w:t>
      </w:r>
      <w:r>
        <w:t xml:space="preserve"> </w:t>
      </w:r>
      <w:r w:rsidRPr="00C854DE">
        <w:t>and</w:t>
      </w:r>
      <w:r>
        <w:t xml:space="preserve"> </w:t>
      </w:r>
      <w:r w:rsidRPr="00C854DE">
        <w:t>make</w:t>
      </w:r>
      <w:r>
        <w:t xml:space="preserve"> </w:t>
      </w:r>
      <w:r w:rsidRPr="00C854DE">
        <w:t>the</w:t>
      </w:r>
      <w:r>
        <w:t xml:space="preserve"> </w:t>
      </w:r>
      <w:r w:rsidRPr="00C854DE">
        <w:t>most</w:t>
      </w:r>
      <w:r>
        <w:t xml:space="preserve"> </w:t>
      </w:r>
      <w:r w:rsidRPr="00C854DE">
        <w:t>of</w:t>
      </w:r>
      <w:r>
        <w:t xml:space="preserve"> </w:t>
      </w:r>
      <w:r w:rsidRPr="00C854DE">
        <w:t>CAV</w:t>
      </w:r>
      <w:r>
        <w:t xml:space="preserve"> </w:t>
      </w:r>
      <w:r w:rsidRPr="00C854DE">
        <w:t>data</w:t>
      </w:r>
      <w:r>
        <w:t xml:space="preserve"> </w:t>
      </w:r>
      <w:r w:rsidRPr="00C854DE">
        <w:t>and</w:t>
      </w:r>
      <w:r>
        <w:t xml:space="preserve"> </w:t>
      </w:r>
      <w:r w:rsidRPr="00C854DE">
        <w:t>resources</w:t>
      </w:r>
      <w:r>
        <w:t xml:space="preserve"> </w:t>
      </w:r>
      <w:r w:rsidRPr="00C854DE">
        <w:t>for</w:t>
      </w:r>
      <w:r>
        <w:t xml:space="preserve"> </w:t>
      </w:r>
      <w:r w:rsidRPr="00C854DE">
        <w:t>the</w:t>
      </w:r>
      <w:r>
        <w:t xml:space="preserve"> </w:t>
      </w:r>
      <w:r w:rsidRPr="00C854DE">
        <w:t>community</w:t>
      </w:r>
    </w:p>
    <w:p w14:paraId="30E908AE" w14:textId="77777777" w:rsidR="00856406" w:rsidRPr="00717004" w:rsidRDefault="00856406" w:rsidP="009D6CDF">
      <w:pPr>
        <w:pStyle w:val="BodyText"/>
      </w:pPr>
      <w:r w:rsidRPr="00717004">
        <w:t>CAV</w:t>
      </w:r>
      <w:r>
        <w:t xml:space="preserve"> was asked to </w:t>
      </w:r>
      <w:r w:rsidRPr="00717004">
        <w:t>focus</w:t>
      </w:r>
      <w:r>
        <w:t xml:space="preserve"> </w:t>
      </w:r>
      <w:r w:rsidRPr="00717004">
        <w:t>on</w:t>
      </w:r>
      <w:r>
        <w:t xml:space="preserve"> </w:t>
      </w:r>
      <w:r w:rsidRPr="00717004">
        <w:t>working</w:t>
      </w:r>
      <w:r>
        <w:t xml:space="preserve"> </w:t>
      </w:r>
      <w:r w:rsidRPr="00717004">
        <w:t>within</w:t>
      </w:r>
      <w:r>
        <w:t xml:space="preserve"> </w:t>
      </w:r>
      <w:r w:rsidRPr="00717004">
        <w:t>the</w:t>
      </w:r>
      <w:r>
        <w:t xml:space="preserve"> </w:t>
      </w:r>
      <w:r w:rsidRPr="00717004">
        <w:t>Department</w:t>
      </w:r>
      <w:r>
        <w:t xml:space="preserve"> </w:t>
      </w:r>
      <w:r w:rsidRPr="00717004">
        <w:t>of</w:t>
      </w:r>
      <w:r>
        <w:t xml:space="preserve"> </w:t>
      </w:r>
      <w:r w:rsidRPr="00717004">
        <w:t>Government</w:t>
      </w:r>
      <w:r>
        <w:t xml:space="preserve"> </w:t>
      </w:r>
      <w:r w:rsidRPr="00717004">
        <w:t>Services</w:t>
      </w:r>
      <w:r>
        <w:t xml:space="preserve"> </w:t>
      </w:r>
      <w:r w:rsidRPr="00717004">
        <w:t>and</w:t>
      </w:r>
      <w:r>
        <w:t xml:space="preserve"> </w:t>
      </w:r>
      <w:r w:rsidRPr="00717004">
        <w:t>with</w:t>
      </w:r>
      <w:r>
        <w:t xml:space="preserve"> </w:t>
      </w:r>
      <w:r w:rsidRPr="00717004">
        <w:t>Service</w:t>
      </w:r>
      <w:r>
        <w:t xml:space="preserve"> </w:t>
      </w:r>
      <w:r w:rsidRPr="00717004">
        <w:t>Victoria</w:t>
      </w:r>
      <w:r>
        <w:t xml:space="preserve"> </w:t>
      </w:r>
      <w:r w:rsidRPr="00717004">
        <w:t>to</w:t>
      </w:r>
      <w:r>
        <w:t xml:space="preserve"> deliver new online systems and tools that improve services for Victorians</w:t>
      </w:r>
      <w:r w:rsidRPr="00717004">
        <w:t>.</w:t>
      </w:r>
    </w:p>
    <w:p w14:paraId="76FEDA5E" w14:textId="77777777" w:rsidR="00856406" w:rsidRPr="00C854DE" w:rsidRDefault="00856406" w:rsidP="009D6CDF">
      <w:pPr>
        <w:pStyle w:val="Heading5"/>
        <w:rPr>
          <w:b w:val="0"/>
          <w:i/>
        </w:rPr>
      </w:pPr>
      <w:r w:rsidRPr="00C854DE">
        <w:t>Implementation</w:t>
      </w:r>
    </w:p>
    <w:p w14:paraId="2A0C3C37" w14:textId="5129AA3A" w:rsidR="00856406" w:rsidRPr="00717004" w:rsidRDefault="00856406" w:rsidP="009D6CDF">
      <w:pPr>
        <w:pStyle w:val="BodyText"/>
      </w:pPr>
      <w:r w:rsidRPr="00717004">
        <w:t>In</w:t>
      </w:r>
      <w:r>
        <w:t xml:space="preserve"> </w:t>
      </w:r>
      <w:r w:rsidR="00EE79C3">
        <w:t>2024–25</w:t>
      </w:r>
      <w:r>
        <w:t xml:space="preserve">, </w:t>
      </w:r>
      <w:r w:rsidRPr="00717004">
        <w:t>we</w:t>
      </w:r>
      <w:r>
        <w:t xml:space="preserve"> continued to </w:t>
      </w:r>
      <w:r w:rsidRPr="00C854DE">
        <w:t>make</w:t>
      </w:r>
      <w:r>
        <w:t xml:space="preserve"> </w:t>
      </w:r>
      <w:r w:rsidRPr="00717004">
        <w:t>significant</w:t>
      </w:r>
      <w:r>
        <w:t xml:space="preserve"> </w:t>
      </w:r>
      <w:r w:rsidRPr="00717004">
        <w:t>upgrades</w:t>
      </w:r>
      <w:r>
        <w:t xml:space="preserve"> </w:t>
      </w:r>
      <w:r w:rsidRPr="00717004">
        <w:t>to</w:t>
      </w:r>
      <w:r>
        <w:t xml:space="preserve"> </w:t>
      </w:r>
      <w:r w:rsidRPr="00717004">
        <w:t>our</w:t>
      </w:r>
      <w:r>
        <w:t xml:space="preserve"> </w:t>
      </w:r>
      <w:r w:rsidRPr="00717004">
        <w:t>licensing</w:t>
      </w:r>
      <w:r>
        <w:t xml:space="preserve"> </w:t>
      </w:r>
      <w:r w:rsidRPr="00717004">
        <w:t>and</w:t>
      </w:r>
      <w:r>
        <w:t xml:space="preserve"> </w:t>
      </w:r>
      <w:r w:rsidRPr="00717004">
        <w:t>registration</w:t>
      </w:r>
      <w:r>
        <w:t xml:space="preserve"> </w:t>
      </w:r>
      <w:r w:rsidRPr="00717004">
        <w:t>systems</w:t>
      </w:r>
      <w:r>
        <w:t xml:space="preserve">, known as myCAV, </w:t>
      </w:r>
      <w:r w:rsidRPr="00717004">
        <w:t>to</w:t>
      </w:r>
      <w:r>
        <w:t xml:space="preserve"> </w:t>
      </w:r>
      <w:r w:rsidRPr="00717004">
        <w:t>make</w:t>
      </w:r>
      <w:r>
        <w:t xml:space="preserve"> </w:t>
      </w:r>
      <w:r w:rsidRPr="00717004">
        <w:t>it</w:t>
      </w:r>
      <w:r>
        <w:t xml:space="preserve"> </w:t>
      </w:r>
      <w:r w:rsidRPr="00717004">
        <w:t>easier</w:t>
      </w:r>
      <w:r>
        <w:t xml:space="preserve"> </w:t>
      </w:r>
      <w:r w:rsidRPr="00717004">
        <w:t>and</w:t>
      </w:r>
      <w:r>
        <w:t xml:space="preserve"> </w:t>
      </w:r>
      <w:r w:rsidRPr="00717004">
        <w:t>faster</w:t>
      </w:r>
      <w:r>
        <w:t xml:space="preserve"> </w:t>
      </w:r>
      <w:r w:rsidRPr="00717004">
        <w:t>for</w:t>
      </w:r>
      <w:r>
        <w:t xml:space="preserve"> </w:t>
      </w:r>
      <w:r w:rsidRPr="00717004">
        <w:t>users</w:t>
      </w:r>
      <w:r>
        <w:t xml:space="preserve"> </w:t>
      </w:r>
      <w:r w:rsidRPr="00717004">
        <w:t>to</w:t>
      </w:r>
      <w:r>
        <w:t xml:space="preserve"> </w:t>
      </w:r>
      <w:r w:rsidRPr="00717004">
        <w:t>manage</w:t>
      </w:r>
      <w:r>
        <w:t xml:space="preserve"> </w:t>
      </w:r>
      <w:r w:rsidRPr="00717004">
        <w:t>their</w:t>
      </w:r>
      <w:r>
        <w:t xml:space="preserve"> </w:t>
      </w:r>
      <w:r w:rsidRPr="00717004">
        <w:t>regulatory</w:t>
      </w:r>
      <w:r>
        <w:t xml:space="preserve"> </w:t>
      </w:r>
      <w:r w:rsidRPr="00717004">
        <w:t>obligations</w:t>
      </w:r>
      <w:r>
        <w:t xml:space="preserve"> </w:t>
      </w:r>
      <w:r w:rsidRPr="00717004">
        <w:t>with</w:t>
      </w:r>
      <w:r>
        <w:t xml:space="preserve"> </w:t>
      </w:r>
      <w:r w:rsidRPr="00717004">
        <w:t>us</w:t>
      </w:r>
      <w:r w:rsidRPr="00C854DE">
        <w:t>.</w:t>
      </w:r>
      <w:r>
        <w:t xml:space="preserve"> </w:t>
      </w:r>
      <w:r w:rsidRPr="00717004">
        <w:t>We</w:t>
      </w:r>
      <w:r>
        <w:t xml:space="preserve"> transitioned from legacy systems and </w:t>
      </w:r>
      <w:r w:rsidRPr="00717004">
        <w:t>consolidated</w:t>
      </w:r>
      <w:r>
        <w:t xml:space="preserve"> </w:t>
      </w:r>
      <w:r w:rsidRPr="00717004">
        <w:t>all</w:t>
      </w:r>
      <w:r>
        <w:t xml:space="preserve"> </w:t>
      </w:r>
      <w:r w:rsidRPr="00717004">
        <w:t>licensing</w:t>
      </w:r>
      <w:r>
        <w:t xml:space="preserve"> </w:t>
      </w:r>
      <w:r w:rsidRPr="00717004">
        <w:t>and</w:t>
      </w:r>
      <w:r>
        <w:t xml:space="preserve"> </w:t>
      </w:r>
      <w:r w:rsidRPr="00717004">
        <w:t>registration</w:t>
      </w:r>
      <w:r>
        <w:t xml:space="preserve"> </w:t>
      </w:r>
      <w:r w:rsidRPr="00717004">
        <w:t>schemes</w:t>
      </w:r>
      <w:r>
        <w:t xml:space="preserve"> </w:t>
      </w:r>
      <w:r w:rsidRPr="00717004">
        <w:t>into</w:t>
      </w:r>
      <w:r>
        <w:t xml:space="preserve"> </w:t>
      </w:r>
      <w:r w:rsidRPr="00717004">
        <w:t>a</w:t>
      </w:r>
      <w:r>
        <w:t xml:space="preserve"> </w:t>
      </w:r>
      <w:r w:rsidRPr="00717004">
        <w:t>single</w:t>
      </w:r>
      <w:r>
        <w:t xml:space="preserve"> </w:t>
      </w:r>
      <w:r w:rsidRPr="00717004">
        <w:t>access</w:t>
      </w:r>
      <w:r>
        <w:t xml:space="preserve"> </w:t>
      </w:r>
      <w:r w:rsidRPr="00717004">
        <w:t>point</w:t>
      </w:r>
      <w:r>
        <w:t xml:space="preserve"> </w:t>
      </w:r>
      <w:r w:rsidRPr="00717004">
        <w:t>for</w:t>
      </w:r>
      <w:r>
        <w:t xml:space="preserve"> </w:t>
      </w:r>
      <w:r w:rsidRPr="00717004">
        <w:t>myCAV</w:t>
      </w:r>
      <w:r>
        <w:t xml:space="preserve"> </w:t>
      </w:r>
      <w:r w:rsidRPr="00717004">
        <w:t>account</w:t>
      </w:r>
      <w:r>
        <w:t xml:space="preserve"> </w:t>
      </w:r>
      <w:r w:rsidRPr="00717004">
        <w:t>holders,</w:t>
      </w:r>
      <w:r>
        <w:t xml:space="preserve"> </w:t>
      </w:r>
      <w:r w:rsidRPr="00717004">
        <w:t>migrating</w:t>
      </w:r>
      <w:r>
        <w:t xml:space="preserve"> </w:t>
      </w:r>
      <w:r w:rsidRPr="00717004">
        <w:t>40,000</w:t>
      </w:r>
      <w:r>
        <w:t xml:space="preserve"> i</w:t>
      </w:r>
      <w:r w:rsidRPr="00717004">
        <w:t>ncorporated</w:t>
      </w:r>
      <w:r>
        <w:t xml:space="preserve"> a</w:t>
      </w:r>
      <w:r w:rsidRPr="00717004">
        <w:t>ssociations</w:t>
      </w:r>
      <w:r>
        <w:t xml:space="preserve"> </w:t>
      </w:r>
      <w:r w:rsidRPr="00717004">
        <w:t>and</w:t>
      </w:r>
      <w:r>
        <w:t xml:space="preserve"> </w:t>
      </w:r>
      <w:r w:rsidRPr="00717004">
        <w:t>500</w:t>
      </w:r>
      <w:r>
        <w:t xml:space="preserve"> c</w:t>
      </w:r>
      <w:r w:rsidRPr="00717004">
        <w:t>o-operatives</w:t>
      </w:r>
      <w:r>
        <w:t xml:space="preserve"> </w:t>
      </w:r>
      <w:r w:rsidRPr="00717004">
        <w:t>to</w:t>
      </w:r>
      <w:r>
        <w:t xml:space="preserve"> a single online </w:t>
      </w:r>
      <w:r w:rsidRPr="00717004">
        <w:t>platform.</w:t>
      </w:r>
      <w:r>
        <w:t xml:space="preserve"> </w:t>
      </w:r>
      <w:r w:rsidRPr="00717004">
        <w:t>This</w:t>
      </w:r>
      <w:r>
        <w:t xml:space="preserve"> </w:t>
      </w:r>
      <w:r w:rsidRPr="00717004">
        <w:t>modernised</w:t>
      </w:r>
      <w:r>
        <w:t xml:space="preserve"> </w:t>
      </w:r>
      <w:r w:rsidRPr="00717004">
        <w:t>infrastructure</w:t>
      </w:r>
      <w:r>
        <w:t xml:space="preserve"> improves efficiency, reduces costs, and enhances </w:t>
      </w:r>
      <w:r w:rsidRPr="00717004">
        <w:t>user</w:t>
      </w:r>
      <w:r>
        <w:t xml:space="preserve"> </w:t>
      </w:r>
      <w:r w:rsidRPr="00717004">
        <w:t>convenience.</w:t>
      </w:r>
    </w:p>
    <w:p w14:paraId="326ECB65" w14:textId="76331E43" w:rsidR="00856406" w:rsidRDefault="00856406" w:rsidP="009D6CDF">
      <w:pPr>
        <w:pStyle w:val="BodyText"/>
        <w:rPr>
          <w:lang w:eastAsia="ja-JP"/>
        </w:rPr>
      </w:pPr>
      <w:r w:rsidRPr="003756D0">
        <w:rPr>
          <w:lang w:eastAsia="ja-JP"/>
        </w:rPr>
        <w:t>We</w:t>
      </w:r>
      <w:r>
        <w:rPr>
          <w:lang w:eastAsia="ja-JP"/>
        </w:rPr>
        <w:t xml:space="preserve"> </w:t>
      </w:r>
      <w:r w:rsidRPr="003756D0">
        <w:rPr>
          <w:lang w:eastAsia="ja-JP"/>
        </w:rPr>
        <w:t>progressed</w:t>
      </w:r>
      <w:r>
        <w:rPr>
          <w:lang w:eastAsia="ja-JP"/>
        </w:rPr>
        <w:t xml:space="preserve"> </w:t>
      </w:r>
      <w:r w:rsidRPr="003756D0">
        <w:rPr>
          <w:lang w:eastAsia="ja-JP"/>
        </w:rPr>
        <w:t>the</w:t>
      </w:r>
      <w:r>
        <w:rPr>
          <w:lang w:eastAsia="ja-JP"/>
        </w:rPr>
        <w:t xml:space="preserve"> </w:t>
      </w:r>
      <w:r w:rsidRPr="003756D0">
        <w:rPr>
          <w:lang w:eastAsia="ja-JP"/>
        </w:rPr>
        <w:t>RTBA</w:t>
      </w:r>
      <w:r>
        <w:rPr>
          <w:lang w:eastAsia="ja-JP"/>
        </w:rPr>
        <w:t xml:space="preserve"> </w:t>
      </w:r>
      <w:r w:rsidRPr="003756D0">
        <w:rPr>
          <w:lang w:eastAsia="ja-JP"/>
        </w:rPr>
        <w:t>bond</w:t>
      </w:r>
      <w:r>
        <w:rPr>
          <w:lang w:eastAsia="ja-JP"/>
        </w:rPr>
        <w:t xml:space="preserve"> </w:t>
      </w:r>
      <w:r w:rsidRPr="003756D0">
        <w:rPr>
          <w:lang w:eastAsia="ja-JP"/>
        </w:rPr>
        <w:t>management</w:t>
      </w:r>
      <w:r>
        <w:rPr>
          <w:lang w:eastAsia="ja-JP"/>
        </w:rPr>
        <w:t xml:space="preserve"> </w:t>
      </w:r>
      <w:r w:rsidRPr="003756D0">
        <w:rPr>
          <w:lang w:eastAsia="ja-JP"/>
        </w:rPr>
        <w:t>system</w:t>
      </w:r>
      <w:r>
        <w:rPr>
          <w:lang w:eastAsia="ja-JP"/>
        </w:rPr>
        <w:t xml:space="preserve"> </w:t>
      </w:r>
      <w:r w:rsidRPr="003756D0">
        <w:rPr>
          <w:lang w:eastAsia="ja-JP"/>
        </w:rPr>
        <w:t>replacement</w:t>
      </w:r>
      <w:r>
        <w:rPr>
          <w:lang w:eastAsia="ja-JP"/>
        </w:rPr>
        <w:t xml:space="preserve"> </w:t>
      </w:r>
      <w:r w:rsidRPr="00C854DE">
        <w:rPr>
          <w:lang w:eastAsia="ja-JP"/>
        </w:rPr>
        <w:t>project</w:t>
      </w:r>
      <w:r>
        <w:rPr>
          <w:lang w:eastAsia="ja-JP"/>
        </w:rPr>
        <w:t xml:space="preserve"> </w:t>
      </w:r>
      <w:r w:rsidRPr="003756D0">
        <w:rPr>
          <w:lang w:eastAsia="ja-JP"/>
        </w:rPr>
        <w:t>in</w:t>
      </w:r>
      <w:r>
        <w:rPr>
          <w:lang w:eastAsia="ja-JP"/>
        </w:rPr>
        <w:t xml:space="preserve"> the </w:t>
      </w:r>
      <w:r w:rsidR="00EE79C3">
        <w:rPr>
          <w:lang w:eastAsia="ja-JP"/>
        </w:rPr>
        <w:t>2024–25</w:t>
      </w:r>
      <w:r>
        <w:rPr>
          <w:lang w:eastAsia="ja-JP"/>
        </w:rPr>
        <w:t xml:space="preserve"> year</w:t>
      </w:r>
      <w:r w:rsidRPr="003756D0">
        <w:rPr>
          <w:lang w:eastAsia="ja-JP"/>
        </w:rPr>
        <w:t>.</w:t>
      </w:r>
      <w:r>
        <w:rPr>
          <w:lang w:eastAsia="ja-JP"/>
        </w:rPr>
        <w:t xml:space="preserve"> </w:t>
      </w:r>
      <w:r w:rsidRPr="006B511E">
        <w:rPr>
          <w:lang w:eastAsia="ja-JP"/>
        </w:rPr>
        <w:t>The</w:t>
      </w:r>
      <w:r>
        <w:rPr>
          <w:lang w:eastAsia="ja-JP"/>
        </w:rPr>
        <w:t xml:space="preserve"> </w:t>
      </w:r>
      <w:r w:rsidRPr="006B511E">
        <w:rPr>
          <w:lang w:eastAsia="ja-JP"/>
        </w:rPr>
        <w:t>project</w:t>
      </w:r>
      <w:r>
        <w:rPr>
          <w:lang w:eastAsia="ja-JP"/>
        </w:rPr>
        <w:t xml:space="preserve"> </w:t>
      </w:r>
      <w:r w:rsidRPr="006B511E">
        <w:rPr>
          <w:lang w:eastAsia="ja-JP"/>
        </w:rPr>
        <w:t>will</w:t>
      </w:r>
      <w:r>
        <w:rPr>
          <w:lang w:eastAsia="ja-JP"/>
        </w:rPr>
        <w:t xml:space="preserve"> </w:t>
      </w:r>
      <w:r w:rsidRPr="006B511E">
        <w:rPr>
          <w:lang w:eastAsia="ja-JP"/>
        </w:rPr>
        <w:t>modernise</w:t>
      </w:r>
      <w:r>
        <w:rPr>
          <w:lang w:eastAsia="ja-JP"/>
        </w:rPr>
        <w:t xml:space="preserve"> </w:t>
      </w:r>
      <w:r w:rsidRPr="006B511E">
        <w:rPr>
          <w:lang w:eastAsia="ja-JP"/>
        </w:rPr>
        <w:t>Victoria’s</w:t>
      </w:r>
      <w:r>
        <w:rPr>
          <w:lang w:eastAsia="ja-JP"/>
        </w:rPr>
        <w:t xml:space="preserve"> </w:t>
      </w:r>
      <w:r w:rsidRPr="006B511E">
        <w:rPr>
          <w:lang w:eastAsia="ja-JP"/>
        </w:rPr>
        <w:t>rental</w:t>
      </w:r>
      <w:r>
        <w:rPr>
          <w:lang w:eastAsia="ja-JP"/>
        </w:rPr>
        <w:t xml:space="preserve"> </w:t>
      </w:r>
      <w:r w:rsidRPr="006B511E">
        <w:rPr>
          <w:lang w:eastAsia="ja-JP"/>
        </w:rPr>
        <w:t>bonds</w:t>
      </w:r>
      <w:r>
        <w:rPr>
          <w:lang w:eastAsia="ja-JP"/>
        </w:rPr>
        <w:t xml:space="preserve"> </w:t>
      </w:r>
      <w:r w:rsidRPr="006B511E">
        <w:rPr>
          <w:lang w:eastAsia="ja-JP"/>
        </w:rPr>
        <w:t>platform</w:t>
      </w:r>
      <w:r>
        <w:rPr>
          <w:lang w:eastAsia="ja-JP"/>
        </w:rPr>
        <w:t xml:space="preserve"> </w:t>
      </w:r>
      <w:r w:rsidRPr="006B511E">
        <w:rPr>
          <w:lang w:eastAsia="ja-JP"/>
        </w:rPr>
        <w:t>to</w:t>
      </w:r>
      <w:r>
        <w:rPr>
          <w:lang w:eastAsia="ja-JP"/>
        </w:rPr>
        <w:t xml:space="preserve"> </w:t>
      </w:r>
      <w:r w:rsidRPr="006B511E">
        <w:rPr>
          <w:lang w:eastAsia="ja-JP"/>
        </w:rPr>
        <w:t>meet</w:t>
      </w:r>
      <w:r>
        <w:rPr>
          <w:lang w:eastAsia="ja-JP"/>
        </w:rPr>
        <w:t xml:space="preserve"> </w:t>
      </w:r>
      <w:r w:rsidRPr="006B511E">
        <w:rPr>
          <w:lang w:eastAsia="ja-JP"/>
        </w:rPr>
        <w:t>contemporary</w:t>
      </w:r>
      <w:r>
        <w:rPr>
          <w:lang w:eastAsia="ja-JP"/>
        </w:rPr>
        <w:t xml:space="preserve"> </w:t>
      </w:r>
      <w:r w:rsidRPr="006B511E">
        <w:rPr>
          <w:lang w:eastAsia="ja-JP"/>
        </w:rPr>
        <w:t>and</w:t>
      </w:r>
      <w:r>
        <w:rPr>
          <w:lang w:eastAsia="ja-JP"/>
        </w:rPr>
        <w:t xml:space="preserve"> </w:t>
      </w:r>
      <w:r w:rsidRPr="006B511E">
        <w:rPr>
          <w:lang w:eastAsia="ja-JP"/>
        </w:rPr>
        <w:t>future</w:t>
      </w:r>
      <w:r>
        <w:rPr>
          <w:lang w:eastAsia="ja-JP"/>
        </w:rPr>
        <w:t xml:space="preserve"> </w:t>
      </w:r>
      <w:r w:rsidRPr="006B511E">
        <w:rPr>
          <w:lang w:eastAsia="ja-JP"/>
        </w:rPr>
        <w:t>needs.</w:t>
      </w:r>
      <w:r>
        <w:rPr>
          <w:lang w:eastAsia="ja-JP"/>
        </w:rPr>
        <w:t xml:space="preserve"> </w:t>
      </w:r>
      <w:r w:rsidRPr="003756D0">
        <w:rPr>
          <w:lang w:eastAsia="ja-JP"/>
        </w:rPr>
        <w:t>Through</w:t>
      </w:r>
      <w:r>
        <w:rPr>
          <w:lang w:eastAsia="ja-JP"/>
        </w:rPr>
        <w:t xml:space="preserve"> </w:t>
      </w:r>
      <w:r w:rsidRPr="003756D0">
        <w:rPr>
          <w:lang w:eastAsia="ja-JP"/>
        </w:rPr>
        <w:t>a</w:t>
      </w:r>
      <w:r>
        <w:rPr>
          <w:lang w:eastAsia="ja-JP"/>
        </w:rPr>
        <w:t xml:space="preserve"> </w:t>
      </w:r>
      <w:r w:rsidRPr="003756D0">
        <w:rPr>
          <w:lang w:eastAsia="ja-JP"/>
        </w:rPr>
        <w:t>complete</w:t>
      </w:r>
      <w:r>
        <w:rPr>
          <w:lang w:eastAsia="ja-JP"/>
        </w:rPr>
        <w:t xml:space="preserve"> </w:t>
      </w:r>
      <w:r w:rsidRPr="003756D0">
        <w:rPr>
          <w:lang w:eastAsia="ja-JP"/>
        </w:rPr>
        <w:t>digital</w:t>
      </w:r>
      <w:r>
        <w:rPr>
          <w:lang w:eastAsia="ja-JP"/>
        </w:rPr>
        <w:t xml:space="preserve"> </w:t>
      </w:r>
      <w:r w:rsidRPr="003756D0">
        <w:rPr>
          <w:lang w:eastAsia="ja-JP"/>
        </w:rPr>
        <w:t>transformation,</w:t>
      </w:r>
      <w:r>
        <w:rPr>
          <w:lang w:eastAsia="ja-JP"/>
        </w:rPr>
        <w:t xml:space="preserve"> </w:t>
      </w:r>
      <w:r w:rsidRPr="003756D0">
        <w:rPr>
          <w:lang w:eastAsia="ja-JP"/>
        </w:rPr>
        <w:t>the</w:t>
      </w:r>
      <w:r>
        <w:rPr>
          <w:lang w:eastAsia="ja-JP"/>
        </w:rPr>
        <w:t xml:space="preserve"> </w:t>
      </w:r>
      <w:r w:rsidRPr="003756D0">
        <w:rPr>
          <w:lang w:eastAsia="ja-JP"/>
        </w:rPr>
        <w:t>project</w:t>
      </w:r>
      <w:r>
        <w:rPr>
          <w:lang w:eastAsia="ja-JP"/>
        </w:rPr>
        <w:t xml:space="preserve"> </w:t>
      </w:r>
      <w:r w:rsidRPr="003756D0">
        <w:rPr>
          <w:lang w:eastAsia="ja-JP"/>
        </w:rPr>
        <w:t>will</w:t>
      </w:r>
      <w:r>
        <w:rPr>
          <w:lang w:eastAsia="ja-JP"/>
        </w:rPr>
        <w:t xml:space="preserve"> </w:t>
      </w:r>
      <w:r w:rsidRPr="003756D0">
        <w:rPr>
          <w:lang w:eastAsia="ja-JP"/>
        </w:rPr>
        <w:t>significantly</w:t>
      </w:r>
      <w:r>
        <w:rPr>
          <w:lang w:eastAsia="ja-JP"/>
        </w:rPr>
        <w:t xml:space="preserve"> </w:t>
      </w:r>
      <w:r w:rsidRPr="003756D0">
        <w:rPr>
          <w:lang w:eastAsia="ja-JP"/>
        </w:rPr>
        <w:t>improve</w:t>
      </w:r>
      <w:r>
        <w:rPr>
          <w:lang w:eastAsia="ja-JP"/>
        </w:rPr>
        <w:t xml:space="preserve"> </w:t>
      </w:r>
      <w:r w:rsidRPr="003756D0">
        <w:rPr>
          <w:lang w:eastAsia="ja-JP"/>
        </w:rPr>
        <w:t>renting</w:t>
      </w:r>
      <w:r>
        <w:rPr>
          <w:lang w:eastAsia="ja-JP"/>
        </w:rPr>
        <w:t xml:space="preserve"> </w:t>
      </w:r>
      <w:r w:rsidRPr="003756D0">
        <w:rPr>
          <w:lang w:eastAsia="ja-JP"/>
        </w:rPr>
        <w:t>for</w:t>
      </w:r>
      <w:r>
        <w:rPr>
          <w:lang w:eastAsia="ja-JP"/>
        </w:rPr>
        <w:t xml:space="preserve"> </w:t>
      </w:r>
      <w:r w:rsidRPr="003756D0">
        <w:rPr>
          <w:lang w:eastAsia="ja-JP"/>
        </w:rPr>
        <w:t>Victorian</w:t>
      </w:r>
      <w:r>
        <w:rPr>
          <w:lang w:eastAsia="ja-JP"/>
        </w:rPr>
        <w:t xml:space="preserve"> </w:t>
      </w:r>
      <w:r w:rsidRPr="003756D0">
        <w:rPr>
          <w:lang w:eastAsia="ja-JP"/>
        </w:rPr>
        <w:t>renters.</w:t>
      </w:r>
      <w:r>
        <w:rPr>
          <w:lang w:eastAsia="ja-JP"/>
        </w:rPr>
        <w:t xml:space="preserve"> </w:t>
      </w:r>
      <w:r w:rsidRPr="003756D0">
        <w:rPr>
          <w:lang w:eastAsia="ja-JP"/>
        </w:rPr>
        <w:t>Lodging,</w:t>
      </w:r>
      <w:r>
        <w:rPr>
          <w:lang w:eastAsia="ja-JP"/>
        </w:rPr>
        <w:t xml:space="preserve"> </w:t>
      </w:r>
      <w:r w:rsidRPr="003756D0">
        <w:rPr>
          <w:lang w:eastAsia="ja-JP"/>
        </w:rPr>
        <w:t>transferring,</w:t>
      </w:r>
      <w:r>
        <w:rPr>
          <w:lang w:eastAsia="ja-JP"/>
        </w:rPr>
        <w:t xml:space="preserve"> </w:t>
      </w:r>
      <w:r w:rsidRPr="003756D0">
        <w:rPr>
          <w:lang w:eastAsia="ja-JP"/>
        </w:rPr>
        <w:t>and</w:t>
      </w:r>
      <w:r>
        <w:rPr>
          <w:lang w:eastAsia="ja-JP"/>
        </w:rPr>
        <w:t xml:space="preserve"> </w:t>
      </w:r>
      <w:r w:rsidRPr="003756D0">
        <w:rPr>
          <w:lang w:eastAsia="ja-JP"/>
        </w:rPr>
        <w:t>claiming</w:t>
      </w:r>
      <w:r>
        <w:rPr>
          <w:lang w:eastAsia="ja-JP"/>
        </w:rPr>
        <w:t xml:space="preserve"> </w:t>
      </w:r>
      <w:r w:rsidRPr="003756D0">
        <w:rPr>
          <w:lang w:eastAsia="ja-JP"/>
        </w:rPr>
        <w:t>bonds</w:t>
      </w:r>
      <w:r>
        <w:rPr>
          <w:lang w:eastAsia="ja-JP"/>
        </w:rPr>
        <w:t xml:space="preserve"> </w:t>
      </w:r>
      <w:r w:rsidRPr="003756D0">
        <w:rPr>
          <w:lang w:eastAsia="ja-JP"/>
        </w:rPr>
        <w:t>will</w:t>
      </w:r>
      <w:r>
        <w:rPr>
          <w:lang w:eastAsia="ja-JP"/>
        </w:rPr>
        <w:t xml:space="preserve"> </w:t>
      </w:r>
      <w:r w:rsidRPr="003756D0">
        <w:rPr>
          <w:lang w:eastAsia="ja-JP"/>
        </w:rPr>
        <w:t>be</w:t>
      </w:r>
      <w:r>
        <w:rPr>
          <w:lang w:eastAsia="ja-JP"/>
        </w:rPr>
        <w:t xml:space="preserve"> </w:t>
      </w:r>
      <w:r w:rsidRPr="003756D0">
        <w:rPr>
          <w:lang w:eastAsia="ja-JP"/>
        </w:rPr>
        <w:t>a</w:t>
      </w:r>
      <w:r>
        <w:rPr>
          <w:lang w:eastAsia="ja-JP"/>
        </w:rPr>
        <w:t xml:space="preserve"> </w:t>
      </w:r>
      <w:r w:rsidRPr="003756D0">
        <w:rPr>
          <w:lang w:eastAsia="ja-JP"/>
        </w:rPr>
        <w:t>more</w:t>
      </w:r>
      <w:r>
        <w:rPr>
          <w:lang w:eastAsia="ja-JP"/>
        </w:rPr>
        <w:t xml:space="preserve"> </w:t>
      </w:r>
      <w:r w:rsidRPr="003756D0">
        <w:rPr>
          <w:lang w:eastAsia="ja-JP"/>
        </w:rPr>
        <w:t>user-friendly</w:t>
      </w:r>
      <w:r>
        <w:rPr>
          <w:lang w:eastAsia="ja-JP"/>
        </w:rPr>
        <w:t xml:space="preserve"> </w:t>
      </w:r>
      <w:r w:rsidRPr="003756D0">
        <w:rPr>
          <w:lang w:eastAsia="ja-JP"/>
        </w:rPr>
        <w:t>experience,</w:t>
      </w:r>
      <w:r>
        <w:rPr>
          <w:lang w:eastAsia="ja-JP"/>
        </w:rPr>
        <w:t xml:space="preserve"> </w:t>
      </w:r>
      <w:r w:rsidRPr="003756D0">
        <w:rPr>
          <w:lang w:eastAsia="ja-JP"/>
        </w:rPr>
        <w:t>enhancing</w:t>
      </w:r>
      <w:r>
        <w:rPr>
          <w:lang w:eastAsia="ja-JP"/>
        </w:rPr>
        <w:t xml:space="preserve"> </w:t>
      </w:r>
      <w:r w:rsidRPr="003756D0">
        <w:rPr>
          <w:lang w:eastAsia="ja-JP"/>
        </w:rPr>
        <w:t>access</w:t>
      </w:r>
      <w:r>
        <w:rPr>
          <w:lang w:eastAsia="ja-JP"/>
        </w:rPr>
        <w:t xml:space="preserve"> </w:t>
      </w:r>
      <w:r w:rsidRPr="003756D0">
        <w:rPr>
          <w:lang w:eastAsia="ja-JP"/>
        </w:rPr>
        <w:t>to</w:t>
      </w:r>
      <w:r>
        <w:rPr>
          <w:lang w:eastAsia="ja-JP"/>
        </w:rPr>
        <w:t xml:space="preserve"> </w:t>
      </w:r>
      <w:r w:rsidRPr="003756D0">
        <w:rPr>
          <w:lang w:eastAsia="ja-JP"/>
        </w:rPr>
        <w:t>and</w:t>
      </w:r>
      <w:r>
        <w:rPr>
          <w:lang w:eastAsia="ja-JP"/>
        </w:rPr>
        <w:t xml:space="preserve"> </w:t>
      </w:r>
      <w:r w:rsidRPr="003756D0">
        <w:rPr>
          <w:lang w:eastAsia="ja-JP"/>
        </w:rPr>
        <w:t>trust</w:t>
      </w:r>
      <w:r>
        <w:rPr>
          <w:lang w:eastAsia="ja-JP"/>
        </w:rPr>
        <w:t xml:space="preserve"> </w:t>
      </w:r>
      <w:r w:rsidRPr="003756D0">
        <w:rPr>
          <w:lang w:eastAsia="ja-JP"/>
        </w:rPr>
        <w:t>in</w:t>
      </w:r>
      <w:r>
        <w:rPr>
          <w:lang w:eastAsia="ja-JP"/>
        </w:rPr>
        <w:t xml:space="preserve"> </w:t>
      </w:r>
      <w:r w:rsidRPr="003756D0">
        <w:rPr>
          <w:lang w:eastAsia="ja-JP"/>
        </w:rPr>
        <w:t>government</w:t>
      </w:r>
      <w:r>
        <w:rPr>
          <w:lang w:eastAsia="ja-JP"/>
        </w:rPr>
        <w:t xml:space="preserve"> </w:t>
      </w:r>
      <w:r w:rsidRPr="003756D0">
        <w:rPr>
          <w:lang w:eastAsia="ja-JP"/>
        </w:rPr>
        <w:t>services.</w:t>
      </w:r>
      <w:r>
        <w:rPr>
          <w:lang w:eastAsia="ja-JP"/>
        </w:rPr>
        <w:t xml:space="preserve"> </w:t>
      </w:r>
      <w:r w:rsidRPr="003756D0">
        <w:rPr>
          <w:lang w:eastAsia="ja-JP"/>
        </w:rPr>
        <w:t>The</w:t>
      </w:r>
      <w:r>
        <w:rPr>
          <w:lang w:eastAsia="ja-JP"/>
        </w:rPr>
        <w:t xml:space="preserve"> </w:t>
      </w:r>
      <w:r w:rsidRPr="003756D0">
        <w:rPr>
          <w:lang w:eastAsia="ja-JP"/>
        </w:rPr>
        <w:t>new</w:t>
      </w:r>
      <w:r>
        <w:rPr>
          <w:lang w:eastAsia="ja-JP"/>
        </w:rPr>
        <w:t xml:space="preserve"> </w:t>
      </w:r>
      <w:r w:rsidRPr="003756D0">
        <w:rPr>
          <w:lang w:eastAsia="ja-JP"/>
        </w:rPr>
        <w:t>system</w:t>
      </w:r>
      <w:r>
        <w:rPr>
          <w:lang w:eastAsia="ja-JP"/>
        </w:rPr>
        <w:t xml:space="preserve"> </w:t>
      </w:r>
      <w:r w:rsidRPr="003756D0">
        <w:rPr>
          <w:lang w:eastAsia="ja-JP"/>
        </w:rPr>
        <w:t>is</w:t>
      </w:r>
      <w:r>
        <w:rPr>
          <w:lang w:eastAsia="ja-JP"/>
        </w:rPr>
        <w:t xml:space="preserve"> </w:t>
      </w:r>
      <w:r w:rsidRPr="003756D0">
        <w:rPr>
          <w:lang w:eastAsia="ja-JP"/>
        </w:rPr>
        <w:t>also</w:t>
      </w:r>
      <w:r>
        <w:rPr>
          <w:lang w:eastAsia="ja-JP"/>
        </w:rPr>
        <w:t xml:space="preserve"> </w:t>
      </w:r>
      <w:r w:rsidRPr="003756D0">
        <w:rPr>
          <w:lang w:eastAsia="ja-JP"/>
        </w:rPr>
        <w:t>capable</w:t>
      </w:r>
      <w:r>
        <w:rPr>
          <w:lang w:eastAsia="ja-JP"/>
        </w:rPr>
        <w:t xml:space="preserve"> </w:t>
      </w:r>
      <w:r w:rsidRPr="003756D0">
        <w:rPr>
          <w:lang w:eastAsia="ja-JP"/>
        </w:rPr>
        <w:t>of</w:t>
      </w:r>
      <w:r>
        <w:rPr>
          <w:lang w:eastAsia="ja-JP"/>
        </w:rPr>
        <w:t xml:space="preserve"> </w:t>
      </w:r>
      <w:r w:rsidRPr="003756D0">
        <w:rPr>
          <w:lang w:eastAsia="ja-JP"/>
        </w:rPr>
        <w:t>supporting</w:t>
      </w:r>
      <w:r>
        <w:rPr>
          <w:lang w:eastAsia="ja-JP"/>
        </w:rPr>
        <w:t xml:space="preserve"> </w:t>
      </w:r>
      <w:r w:rsidRPr="003756D0">
        <w:rPr>
          <w:lang w:eastAsia="ja-JP"/>
        </w:rPr>
        <w:t>initiatives</w:t>
      </w:r>
      <w:r>
        <w:rPr>
          <w:lang w:eastAsia="ja-JP"/>
        </w:rPr>
        <w:t xml:space="preserve"> </w:t>
      </w:r>
      <w:r w:rsidRPr="003756D0">
        <w:rPr>
          <w:lang w:eastAsia="ja-JP"/>
        </w:rPr>
        <w:t>like</w:t>
      </w:r>
      <w:r>
        <w:rPr>
          <w:lang w:eastAsia="ja-JP"/>
        </w:rPr>
        <w:t xml:space="preserve"> </w:t>
      </w:r>
      <w:r w:rsidRPr="003756D0">
        <w:rPr>
          <w:lang w:eastAsia="ja-JP"/>
        </w:rPr>
        <w:t>the</w:t>
      </w:r>
      <w:r>
        <w:rPr>
          <w:lang w:eastAsia="ja-JP"/>
        </w:rPr>
        <w:t xml:space="preserve"> Portable Rental Bonds Scheme</w:t>
      </w:r>
      <w:r w:rsidRPr="003756D0">
        <w:rPr>
          <w:lang w:eastAsia="ja-JP"/>
        </w:rPr>
        <w:t>,</w:t>
      </w:r>
      <w:r>
        <w:rPr>
          <w:lang w:eastAsia="ja-JP"/>
        </w:rPr>
        <w:t xml:space="preserve"> a commitment under </w:t>
      </w:r>
      <w:r w:rsidRPr="003756D0">
        <w:rPr>
          <w:lang w:eastAsia="ja-JP"/>
        </w:rPr>
        <w:t>the</w:t>
      </w:r>
      <w:r>
        <w:rPr>
          <w:lang w:eastAsia="ja-JP"/>
        </w:rPr>
        <w:t xml:space="preserve"> </w:t>
      </w:r>
      <w:r w:rsidRPr="003756D0">
        <w:rPr>
          <w:lang w:eastAsia="ja-JP"/>
        </w:rPr>
        <w:t>government’s</w:t>
      </w:r>
      <w:r>
        <w:rPr>
          <w:lang w:eastAsia="ja-JP"/>
        </w:rPr>
        <w:t xml:space="preserve"> </w:t>
      </w:r>
      <w:r w:rsidRPr="003756D0">
        <w:rPr>
          <w:lang w:eastAsia="ja-JP"/>
        </w:rPr>
        <w:t>Housing</w:t>
      </w:r>
      <w:r>
        <w:rPr>
          <w:lang w:eastAsia="ja-JP"/>
        </w:rPr>
        <w:t xml:space="preserve"> </w:t>
      </w:r>
      <w:r w:rsidRPr="003756D0">
        <w:rPr>
          <w:lang w:eastAsia="ja-JP"/>
        </w:rPr>
        <w:t>Statement.</w:t>
      </w:r>
    </w:p>
    <w:p w14:paraId="5F7DAB1F" w14:textId="77777777" w:rsidR="00856406" w:rsidRPr="00C854DE" w:rsidRDefault="00856406" w:rsidP="00447322">
      <w:pPr>
        <w:pStyle w:val="Heading4"/>
      </w:pPr>
      <w:r w:rsidRPr="00C854DE">
        <w:t>Engaging</w:t>
      </w:r>
      <w:r>
        <w:t xml:space="preserve"> </w:t>
      </w:r>
      <w:r w:rsidRPr="00C854DE">
        <w:t>with</w:t>
      </w:r>
      <w:r>
        <w:t xml:space="preserve"> </w:t>
      </w:r>
      <w:r w:rsidRPr="00C854DE">
        <w:t>the</w:t>
      </w:r>
      <w:r>
        <w:t xml:space="preserve"> </w:t>
      </w:r>
      <w:r w:rsidRPr="00C854DE">
        <w:t>community:</w:t>
      </w:r>
      <w:r>
        <w:t xml:space="preserve"> </w:t>
      </w:r>
      <w:r w:rsidRPr="00C854DE">
        <w:t>Engaging</w:t>
      </w:r>
      <w:r>
        <w:t xml:space="preserve"> </w:t>
      </w:r>
      <w:r w:rsidRPr="00C854DE">
        <w:t>with</w:t>
      </w:r>
      <w:r>
        <w:t xml:space="preserve"> </w:t>
      </w:r>
      <w:r w:rsidRPr="00C854DE">
        <w:t>partners</w:t>
      </w:r>
      <w:r>
        <w:t xml:space="preserve"> </w:t>
      </w:r>
      <w:r w:rsidRPr="00C854DE">
        <w:t>to</w:t>
      </w:r>
      <w:r>
        <w:t xml:space="preserve"> </w:t>
      </w:r>
      <w:r w:rsidRPr="00C854DE">
        <w:t>better</w:t>
      </w:r>
      <w:r>
        <w:t xml:space="preserve"> </w:t>
      </w:r>
      <w:r w:rsidRPr="00C854DE">
        <w:t>serve</w:t>
      </w:r>
      <w:r>
        <w:t xml:space="preserve"> </w:t>
      </w:r>
      <w:r w:rsidRPr="00C854DE">
        <w:t>Victorian</w:t>
      </w:r>
      <w:r>
        <w:t xml:space="preserve"> </w:t>
      </w:r>
      <w:r w:rsidRPr="00C854DE">
        <w:t>communities</w:t>
      </w:r>
    </w:p>
    <w:p w14:paraId="731A9E66" w14:textId="77777777" w:rsidR="00856406" w:rsidRPr="00717004" w:rsidRDefault="00856406" w:rsidP="009D6CDF">
      <w:pPr>
        <w:pStyle w:val="BodyText"/>
      </w:pPr>
      <w:r>
        <w:t xml:space="preserve">This </w:t>
      </w:r>
      <w:r w:rsidRPr="00717004">
        <w:t>expectation</w:t>
      </w:r>
      <w:r>
        <w:t xml:space="preserve"> requires </w:t>
      </w:r>
      <w:r w:rsidRPr="00717004">
        <w:t>CAV</w:t>
      </w:r>
      <w:r>
        <w:t xml:space="preserve"> to </w:t>
      </w:r>
      <w:r w:rsidRPr="00717004">
        <w:t>engag</w:t>
      </w:r>
      <w:r>
        <w:t xml:space="preserve">e </w:t>
      </w:r>
      <w:r w:rsidRPr="00717004">
        <w:t>with</w:t>
      </w:r>
      <w:r>
        <w:t xml:space="preserve"> </w:t>
      </w:r>
      <w:r w:rsidRPr="00717004">
        <w:t>partners,</w:t>
      </w:r>
      <w:r>
        <w:t xml:space="preserve"> </w:t>
      </w:r>
      <w:r w:rsidRPr="00717004">
        <w:t>stakeholders,</w:t>
      </w:r>
      <w:r>
        <w:t xml:space="preserve"> </w:t>
      </w:r>
      <w:r w:rsidRPr="00717004">
        <w:t>and</w:t>
      </w:r>
      <w:r>
        <w:t xml:space="preserve"> </w:t>
      </w:r>
      <w:r w:rsidRPr="00717004">
        <w:t>industry</w:t>
      </w:r>
      <w:r>
        <w:t xml:space="preserve"> </w:t>
      </w:r>
      <w:r w:rsidRPr="00717004">
        <w:t>to</w:t>
      </w:r>
      <w:r>
        <w:t xml:space="preserve"> </w:t>
      </w:r>
      <w:r w:rsidRPr="00717004">
        <w:t>better</w:t>
      </w:r>
      <w:r>
        <w:t xml:space="preserve"> </w:t>
      </w:r>
      <w:r w:rsidRPr="00717004">
        <w:t>understand</w:t>
      </w:r>
      <w:r>
        <w:t xml:space="preserve"> </w:t>
      </w:r>
      <w:r w:rsidRPr="00717004">
        <w:t>and</w:t>
      </w:r>
      <w:r>
        <w:t xml:space="preserve"> </w:t>
      </w:r>
      <w:r w:rsidRPr="00717004">
        <w:t>serve</w:t>
      </w:r>
      <w:r>
        <w:t xml:space="preserve"> </w:t>
      </w:r>
      <w:r w:rsidRPr="00717004">
        <w:t>Victorian</w:t>
      </w:r>
      <w:r>
        <w:t xml:space="preserve"> </w:t>
      </w:r>
      <w:r w:rsidRPr="00717004">
        <w:t>communities,</w:t>
      </w:r>
      <w:r>
        <w:t xml:space="preserve"> </w:t>
      </w:r>
      <w:r w:rsidRPr="00717004">
        <w:t>in</w:t>
      </w:r>
      <w:r>
        <w:t xml:space="preserve"> </w:t>
      </w:r>
      <w:r w:rsidRPr="00717004">
        <w:t>particular:</w:t>
      </w:r>
    </w:p>
    <w:p w14:paraId="5F3B9C99" w14:textId="77777777" w:rsidR="00856406" w:rsidRPr="00717004" w:rsidRDefault="00856406" w:rsidP="009D6CDF">
      <w:pPr>
        <w:pStyle w:val="ListBullet"/>
      </w:pPr>
      <w:r w:rsidRPr="00717004">
        <w:t>holding</w:t>
      </w:r>
      <w:r>
        <w:t xml:space="preserve"> </w:t>
      </w:r>
      <w:r w:rsidRPr="00717004">
        <w:t>regular</w:t>
      </w:r>
      <w:r>
        <w:t xml:space="preserve"> </w:t>
      </w:r>
      <w:r w:rsidRPr="00717004">
        <w:t>forums</w:t>
      </w:r>
      <w:r>
        <w:t xml:space="preserve"> </w:t>
      </w:r>
      <w:r w:rsidRPr="00717004">
        <w:t>and</w:t>
      </w:r>
      <w:r>
        <w:t xml:space="preserve"> </w:t>
      </w:r>
      <w:r w:rsidRPr="00717004">
        <w:t>engagement</w:t>
      </w:r>
      <w:r>
        <w:t xml:space="preserve"> </w:t>
      </w:r>
      <w:r w:rsidRPr="00717004">
        <w:t>opportunities</w:t>
      </w:r>
      <w:r>
        <w:t xml:space="preserve"> </w:t>
      </w:r>
      <w:r w:rsidRPr="00717004">
        <w:t>to</w:t>
      </w:r>
      <w:r>
        <w:t xml:space="preserve"> </w:t>
      </w:r>
      <w:r w:rsidRPr="00717004">
        <w:t>understand</w:t>
      </w:r>
      <w:r>
        <w:t xml:space="preserve"> </w:t>
      </w:r>
      <w:r w:rsidRPr="00717004">
        <w:t>emerging</w:t>
      </w:r>
      <w:r>
        <w:t xml:space="preserve"> </w:t>
      </w:r>
      <w:r w:rsidRPr="00717004">
        <w:t>issues</w:t>
      </w:r>
      <w:r>
        <w:t xml:space="preserve">, </w:t>
      </w:r>
      <w:r w:rsidRPr="00717004">
        <w:t>and</w:t>
      </w:r>
      <w:r>
        <w:t xml:space="preserve"> </w:t>
      </w:r>
      <w:r w:rsidRPr="00717004">
        <w:t>obtain</w:t>
      </w:r>
      <w:r>
        <w:t xml:space="preserve"> </w:t>
      </w:r>
      <w:r w:rsidRPr="00717004">
        <w:t>input</w:t>
      </w:r>
      <w:r>
        <w:t xml:space="preserve"> </w:t>
      </w:r>
      <w:r w:rsidRPr="00717004">
        <w:t>into</w:t>
      </w:r>
      <w:r>
        <w:t xml:space="preserve"> </w:t>
      </w:r>
      <w:r w:rsidRPr="00717004">
        <w:t>how</w:t>
      </w:r>
      <w:r>
        <w:t xml:space="preserve"> </w:t>
      </w:r>
      <w:r w:rsidRPr="00717004">
        <w:t>CAV</w:t>
      </w:r>
      <w:r>
        <w:t xml:space="preserve"> </w:t>
      </w:r>
      <w:r w:rsidRPr="00717004">
        <w:t>undertakes</w:t>
      </w:r>
      <w:r>
        <w:t xml:space="preserve"> </w:t>
      </w:r>
      <w:r w:rsidRPr="00717004">
        <w:t>its</w:t>
      </w:r>
      <w:r>
        <w:t xml:space="preserve"> </w:t>
      </w:r>
      <w:r w:rsidRPr="00717004">
        <w:t>functions</w:t>
      </w:r>
      <w:r>
        <w:t xml:space="preserve">, </w:t>
      </w:r>
      <w:r w:rsidRPr="00717004">
        <w:t>and</w:t>
      </w:r>
    </w:p>
    <w:p w14:paraId="0CF38901" w14:textId="77777777" w:rsidR="00856406" w:rsidRPr="00717004" w:rsidRDefault="00856406" w:rsidP="009D6CDF">
      <w:pPr>
        <w:pStyle w:val="ListBullet"/>
      </w:pPr>
      <w:r w:rsidRPr="00717004">
        <w:t>collaborating</w:t>
      </w:r>
      <w:r>
        <w:t xml:space="preserve"> </w:t>
      </w:r>
      <w:r w:rsidRPr="00717004">
        <w:t>closely</w:t>
      </w:r>
      <w:r>
        <w:t xml:space="preserve"> </w:t>
      </w:r>
      <w:r w:rsidRPr="00717004">
        <w:t>with</w:t>
      </w:r>
      <w:r>
        <w:t xml:space="preserve"> </w:t>
      </w:r>
      <w:r w:rsidRPr="00717004">
        <w:t>other</w:t>
      </w:r>
      <w:r>
        <w:t xml:space="preserve"> </w:t>
      </w:r>
      <w:r w:rsidRPr="00717004">
        <w:t>regulators</w:t>
      </w:r>
      <w:r>
        <w:t xml:space="preserve"> </w:t>
      </w:r>
      <w:r w:rsidRPr="00717004">
        <w:t>where</w:t>
      </w:r>
      <w:r>
        <w:t xml:space="preserve"> </w:t>
      </w:r>
      <w:r w:rsidRPr="00717004">
        <w:t>relevant</w:t>
      </w:r>
      <w:r>
        <w:t xml:space="preserve">, </w:t>
      </w:r>
      <w:r w:rsidRPr="00717004">
        <w:t>to</w:t>
      </w:r>
      <w:r>
        <w:t xml:space="preserve"> </w:t>
      </w:r>
      <w:r w:rsidRPr="00717004">
        <w:t>address</w:t>
      </w:r>
      <w:r>
        <w:t xml:space="preserve"> </w:t>
      </w:r>
      <w:r w:rsidRPr="00717004">
        <w:t>risks</w:t>
      </w:r>
      <w:r>
        <w:t xml:space="preserve"> </w:t>
      </w:r>
      <w:r w:rsidRPr="00717004">
        <w:t>of</w:t>
      </w:r>
      <w:r>
        <w:t xml:space="preserve"> </w:t>
      </w:r>
      <w:r w:rsidRPr="00717004">
        <w:t>harm</w:t>
      </w:r>
      <w:r>
        <w:t xml:space="preserve"> </w:t>
      </w:r>
      <w:r w:rsidRPr="00717004">
        <w:t>to</w:t>
      </w:r>
      <w:r>
        <w:t xml:space="preserve"> </w:t>
      </w:r>
      <w:r w:rsidRPr="00717004">
        <w:t>the</w:t>
      </w:r>
      <w:r>
        <w:t xml:space="preserve"> </w:t>
      </w:r>
      <w:r w:rsidRPr="00717004">
        <w:t>community.</w:t>
      </w:r>
    </w:p>
    <w:p w14:paraId="75DBA2A8" w14:textId="77777777" w:rsidR="00856406" w:rsidRPr="00C854DE" w:rsidRDefault="00856406" w:rsidP="009D6CDF">
      <w:pPr>
        <w:pStyle w:val="Heading5"/>
        <w:rPr>
          <w:b w:val="0"/>
          <w:i/>
        </w:rPr>
      </w:pPr>
      <w:r w:rsidRPr="00C854DE">
        <w:t>Implementation</w:t>
      </w:r>
    </w:p>
    <w:p w14:paraId="05FC0930" w14:textId="4ADD5AE6" w:rsidR="00856406" w:rsidRPr="00717004" w:rsidRDefault="00856406" w:rsidP="009D6CDF">
      <w:pPr>
        <w:pStyle w:val="BodyText"/>
      </w:pPr>
      <w:r w:rsidRPr="00717004">
        <w:t>CAV’s</w:t>
      </w:r>
      <w:r>
        <w:t xml:space="preserve"> </w:t>
      </w:r>
      <w:r w:rsidRPr="00717004">
        <w:t>Stakeholder</w:t>
      </w:r>
      <w:r>
        <w:t xml:space="preserve"> </w:t>
      </w:r>
      <w:r w:rsidRPr="00717004">
        <w:t>Engagement</w:t>
      </w:r>
      <w:r>
        <w:t xml:space="preserve"> </w:t>
      </w:r>
      <w:r w:rsidRPr="00717004">
        <w:t>Framework,</w:t>
      </w:r>
      <w:r>
        <w:t xml:space="preserve"> </w:t>
      </w:r>
      <w:r w:rsidRPr="00717004">
        <w:t>published</w:t>
      </w:r>
      <w:r>
        <w:t xml:space="preserve"> </w:t>
      </w:r>
      <w:r w:rsidRPr="00717004">
        <w:t>in</w:t>
      </w:r>
      <w:r>
        <w:t xml:space="preserve"> </w:t>
      </w:r>
      <w:r w:rsidRPr="00717004">
        <w:t>June</w:t>
      </w:r>
      <w:r>
        <w:t xml:space="preserve"> </w:t>
      </w:r>
      <w:r w:rsidRPr="00717004">
        <w:t>2024,</w:t>
      </w:r>
      <w:r>
        <w:t xml:space="preserve"> </w:t>
      </w:r>
      <w:r w:rsidRPr="00717004">
        <w:t>drives</w:t>
      </w:r>
      <w:r>
        <w:t xml:space="preserve"> our </w:t>
      </w:r>
      <w:r w:rsidRPr="00717004">
        <w:t>collaboration.</w:t>
      </w:r>
      <w:r>
        <w:t xml:space="preserve"> </w:t>
      </w:r>
      <w:r w:rsidRPr="00717004">
        <w:t>In</w:t>
      </w:r>
      <w:r>
        <w:t xml:space="preserve"> </w:t>
      </w:r>
      <w:r w:rsidR="00EE79C3">
        <w:t>2023–24</w:t>
      </w:r>
      <w:r>
        <w:t xml:space="preserve">, we committed to two standing stakeholder forums and in </w:t>
      </w:r>
      <w:r w:rsidR="00EE79C3">
        <w:t>2024–25</w:t>
      </w:r>
      <w:r>
        <w:t xml:space="preserve">, we followed through on this commitment, with both the Consumer and Renter Consultative Forum </w:t>
      </w:r>
      <w:r w:rsidRPr="00717004">
        <w:t>and</w:t>
      </w:r>
      <w:r>
        <w:t xml:space="preserve"> </w:t>
      </w:r>
      <w:r w:rsidRPr="00717004">
        <w:t>the</w:t>
      </w:r>
      <w:r>
        <w:t xml:space="preserve"> </w:t>
      </w:r>
      <w:r w:rsidRPr="00717004">
        <w:t>Housing</w:t>
      </w:r>
      <w:r>
        <w:t xml:space="preserve"> </w:t>
      </w:r>
      <w:r w:rsidRPr="00717004">
        <w:t>and</w:t>
      </w:r>
      <w:r>
        <w:t xml:space="preserve"> </w:t>
      </w:r>
      <w:r w:rsidRPr="00717004">
        <w:t>Property</w:t>
      </w:r>
      <w:r>
        <w:t xml:space="preserve"> </w:t>
      </w:r>
      <w:r w:rsidRPr="00717004">
        <w:t>Advisory</w:t>
      </w:r>
      <w:r>
        <w:t xml:space="preserve"> </w:t>
      </w:r>
      <w:r w:rsidRPr="00717004">
        <w:t>Forum</w:t>
      </w:r>
      <w:r>
        <w:t>, continuing to support holistic sector and stakeholder engagement</w:t>
      </w:r>
      <w:r w:rsidRPr="00717004">
        <w:t>.</w:t>
      </w:r>
    </w:p>
    <w:p w14:paraId="30F9172F" w14:textId="77777777" w:rsidR="00856406" w:rsidRPr="00717004" w:rsidRDefault="00856406" w:rsidP="009D6CDF">
      <w:pPr>
        <w:pStyle w:val="BodyText"/>
      </w:pPr>
      <w:r w:rsidRPr="00717004">
        <w:t>We</w:t>
      </w:r>
      <w:r>
        <w:t xml:space="preserve"> </w:t>
      </w:r>
      <w:r w:rsidRPr="00717004">
        <w:t>encouraged</w:t>
      </w:r>
      <w:r>
        <w:t xml:space="preserve"> participation </w:t>
      </w:r>
      <w:r w:rsidRPr="00717004">
        <w:t>in</w:t>
      </w:r>
      <w:r>
        <w:t xml:space="preserve"> </w:t>
      </w:r>
      <w:r w:rsidRPr="00717004">
        <w:t>the</w:t>
      </w:r>
      <w:r>
        <w:t xml:space="preserve"> </w:t>
      </w:r>
      <w:r w:rsidRPr="00717004">
        <w:t>second</w:t>
      </w:r>
      <w:r>
        <w:t xml:space="preserve"> </w:t>
      </w:r>
      <w:r w:rsidRPr="00717004">
        <w:t>iteration</w:t>
      </w:r>
      <w:r>
        <w:t xml:space="preserve"> </w:t>
      </w:r>
      <w:r w:rsidRPr="00717004">
        <w:t>of</w:t>
      </w:r>
      <w:r>
        <w:t xml:space="preserve"> </w:t>
      </w:r>
      <w:r w:rsidRPr="00717004">
        <w:t>our</w:t>
      </w:r>
      <w:r>
        <w:t xml:space="preserve"> </w:t>
      </w:r>
      <w:r w:rsidRPr="00717004">
        <w:t>stakeholder</w:t>
      </w:r>
      <w:r>
        <w:t xml:space="preserve"> </w:t>
      </w:r>
      <w:r w:rsidRPr="00717004">
        <w:t>survey.</w:t>
      </w:r>
      <w:r>
        <w:t xml:space="preserve"> </w:t>
      </w:r>
      <w:r w:rsidRPr="00717004">
        <w:t>The</w:t>
      </w:r>
      <w:r>
        <w:t xml:space="preserve"> </w:t>
      </w:r>
      <w:r w:rsidRPr="00717004">
        <w:t>survey</w:t>
      </w:r>
      <w:r>
        <w:t xml:space="preserve"> aims to determine which issues are most important to our stakeholders and where they believe we should concentrate </w:t>
      </w:r>
      <w:r w:rsidRPr="00717004">
        <w:t>our</w:t>
      </w:r>
      <w:r>
        <w:t xml:space="preserve"> </w:t>
      </w:r>
      <w:r w:rsidRPr="00717004">
        <w:t>regulatory</w:t>
      </w:r>
      <w:r>
        <w:t xml:space="preserve"> </w:t>
      </w:r>
      <w:r w:rsidRPr="00717004">
        <w:t>efforts.</w:t>
      </w:r>
      <w:r>
        <w:t xml:space="preserve"> </w:t>
      </w:r>
      <w:r w:rsidRPr="00717004">
        <w:t>The</w:t>
      </w:r>
      <w:r>
        <w:t xml:space="preserve"> </w:t>
      </w:r>
      <w:r w:rsidRPr="00717004">
        <w:t>survey</w:t>
      </w:r>
      <w:r>
        <w:t xml:space="preserve"> </w:t>
      </w:r>
      <w:r w:rsidRPr="00717004">
        <w:t>was</w:t>
      </w:r>
      <w:r>
        <w:t xml:space="preserve"> </w:t>
      </w:r>
      <w:r w:rsidRPr="00717004">
        <w:t>completed</w:t>
      </w:r>
      <w:r>
        <w:t xml:space="preserve"> </w:t>
      </w:r>
      <w:r w:rsidRPr="00717004">
        <w:t>in</w:t>
      </w:r>
      <w:r>
        <w:t xml:space="preserve"> </w:t>
      </w:r>
      <w:r w:rsidRPr="00717004">
        <w:t>2025</w:t>
      </w:r>
      <w:r>
        <w:t xml:space="preserve">, </w:t>
      </w:r>
      <w:r w:rsidRPr="00717004">
        <w:t>and</w:t>
      </w:r>
      <w:r>
        <w:t xml:space="preserve"> </w:t>
      </w:r>
      <w:r w:rsidRPr="00717004">
        <w:t>the</w:t>
      </w:r>
      <w:r>
        <w:t xml:space="preserve"> </w:t>
      </w:r>
      <w:r w:rsidRPr="00717004">
        <w:t>results</w:t>
      </w:r>
      <w:r>
        <w:t xml:space="preserve"> </w:t>
      </w:r>
      <w:r w:rsidRPr="00717004">
        <w:t>will</w:t>
      </w:r>
      <w:r>
        <w:t xml:space="preserve"> </w:t>
      </w:r>
      <w:r w:rsidRPr="00717004">
        <w:t>inform</w:t>
      </w:r>
      <w:r>
        <w:t xml:space="preserve"> </w:t>
      </w:r>
      <w:r w:rsidRPr="00717004">
        <w:t>our</w:t>
      </w:r>
      <w:r>
        <w:t xml:space="preserve"> </w:t>
      </w:r>
      <w:r w:rsidRPr="00717004">
        <w:t>continuing</w:t>
      </w:r>
      <w:r>
        <w:t xml:space="preserve"> </w:t>
      </w:r>
      <w:r w:rsidRPr="00717004">
        <w:t>regulatory</w:t>
      </w:r>
      <w:r>
        <w:t xml:space="preserve"> </w:t>
      </w:r>
      <w:r w:rsidRPr="00717004">
        <w:t>focus.</w:t>
      </w:r>
    </w:p>
    <w:p w14:paraId="5EFB2802" w14:textId="77777777" w:rsidR="00856406" w:rsidRPr="00717004" w:rsidRDefault="00856406" w:rsidP="009D6CDF">
      <w:pPr>
        <w:pStyle w:val="BodyText"/>
        <w:rPr>
          <w:highlight w:val="yellow"/>
        </w:rPr>
      </w:pPr>
      <w:r w:rsidRPr="00717004">
        <w:t>CAV</w:t>
      </w:r>
      <w:r>
        <w:t xml:space="preserve"> </w:t>
      </w:r>
      <w:r w:rsidRPr="00717004">
        <w:t>also</w:t>
      </w:r>
      <w:r>
        <w:t xml:space="preserve"> </w:t>
      </w:r>
      <w:r w:rsidRPr="00717004">
        <w:t>collaborates</w:t>
      </w:r>
      <w:r>
        <w:t xml:space="preserve"> </w:t>
      </w:r>
      <w:r w:rsidRPr="00717004">
        <w:t>with</w:t>
      </w:r>
      <w:r>
        <w:t xml:space="preserve"> </w:t>
      </w:r>
      <w:r w:rsidRPr="00717004">
        <w:t>other</w:t>
      </w:r>
      <w:r>
        <w:t xml:space="preserve"> </w:t>
      </w:r>
      <w:r w:rsidRPr="00717004">
        <w:t>regulatory</w:t>
      </w:r>
      <w:r>
        <w:t xml:space="preserve"> </w:t>
      </w:r>
      <w:r w:rsidRPr="00717004">
        <w:t>bodies</w:t>
      </w:r>
      <w:r>
        <w:t xml:space="preserve"> </w:t>
      </w:r>
      <w:r w:rsidRPr="00717004">
        <w:t>such</w:t>
      </w:r>
      <w:r>
        <w:t xml:space="preserve"> </w:t>
      </w:r>
      <w:r w:rsidRPr="00717004">
        <w:t>as</w:t>
      </w:r>
      <w:r>
        <w:t xml:space="preserve"> </w:t>
      </w:r>
      <w:r w:rsidRPr="00717004">
        <w:t>the</w:t>
      </w:r>
      <w:r>
        <w:t xml:space="preserve"> </w:t>
      </w:r>
      <w:r w:rsidRPr="00717004">
        <w:t>Essential</w:t>
      </w:r>
      <w:r>
        <w:t xml:space="preserve"> </w:t>
      </w:r>
      <w:r w:rsidRPr="00717004">
        <w:t>Services</w:t>
      </w:r>
      <w:r>
        <w:t xml:space="preserve"> </w:t>
      </w:r>
      <w:r w:rsidRPr="00717004">
        <w:t>Commission,</w:t>
      </w:r>
      <w:r>
        <w:t xml:space="preserve"> </w:t>
      </w:r>
      <w:r w:rsidRPr="00717004">
        <w:t>the</w:t>
      </w:r>
      <w:r>
        <w:t xml:space="preserve"> </w:t>
      </w:r>
      <w:r w:rsidRPr="00717004">
        <w:t>Energy</w:t>
      </w:r>
      <w:r>
        <w:t xml:space="preserve"> </w:t>
      </w:r>
      <w:r w:rsidRPr="00717004">
        <w:t>and</w:t>
      </w:r>
      <w:r>
        <w:t xml:space="preserve"> </w:t>
      </w:r>
      <w:r w:rsidRPr="00717004">
        <w:t>Water</w:t>
      </w:r>
      <w:r>
        <w:t xml:space="preserve"> </w:t>
      </w:r>
      <w:r w:rsidRPr="00717004">
        <w:t>Ombudsman</w:t>
      </w:r>
      <w:r>
        <w:t xml:space="preserve"> </w:t>
      </w:r>
      <w:r w:rsidRPr="00717004">
        <w:t>Victoria</w:t>
      </w:r>
      <w:r>
        <w:t xml:space="preserve">, </w:t>
      </w:r>
      <w:r w:rsidRPr="00717004">
        <w:t>and</w:t>
      </w:r>
      <w:r>
        <w:t xml:space="preserve"> </w:t>
      </w:r>
      <w:r w:rsidRPr="00717004">
        <w:t>local</w:t>
      </w:r>
      <w:r>
        <w:t xml:space="preserve"> </w:t>
      </w:r>
      <w:r w:rsidRPr="00717004">
        <w:t>councils.</w:t>
      </w:r>
      <w:r>
        <w:t xml:space="preserve"> </w:t>
      </w:r>
      <w:r w:rsidRPr="00717004">
        <w:t>As</w:t>
      </w:r>
      <w:r>
        <w:t xml:space="preserve"> </w:t>
      </w:r>
      <w:r w:rsidRPr="00717004">
        <w:t>the</w:t>
      </w:r>
      <w:r>
        <w:t xml:space="preserve"> </w:t>
      </w:r>
      <w:r w:rsidRPr="00717004">
        <w:t>Victorian</w:t>
      </w:r>
      <w:r>
        <w:t xml:space="preserve"> regulator for </w:t>
      </w:r>
      <w:r w:rsidRPr="00717004">
        <w:t>the</w:t>
      </w:r>
      <w:r>
        <w:t xml:space="preserve"> </w:t>
      </w:r>
      <w:r w:rsidRPr="00717004">
        <w:t>Australian</w:t>
      </w:r>
      <w:r>
        <w:t xml:space="preserve"> </w:t>
      </w:r>
      <w:r w:rsidRPr="00717004">
        <w:t>Consumer</w:t>
      </w:r>
      <w:r>
        <w:t xml:space="preserve"> </w:t>
      </w:r>
      <w:r w:rsidRPr="00717004">
        <w:t>Law,</w:t>
      </w:r>
      <w:r>
        <w:t xml:space="preserve"> </w:t>
      </w:r>
      <w:r w:rsidRPr="00717004">
        <w:t>we</w:t>
      </w:r>
      <w:r>
        <w:t xml:space="preserve"> </w:t>
      </w:r>
      <w:r w:rsidRPr="00717004">
        <w:t>work</w:t>
      </w:r>
      <w:r>
        <w:t xml:space="preserve"> </w:t>
      </w:r>
      <w:r w:rsidRPr="00717004">
        <w:t>with</w:t>
      </w:r>
      <w:r>
        <w:t xml:space="preserve"> </w:t>
      </w:r>
      <w:r w:rsidRPr="00717004">
        <w:t>the</w:t>
      </w:r>
      <w:r>
        <w:t xml:space="preserve"> </w:t>
      </w:r>
      <w:r w:rsidRPr="00717004">
        <w:t>Australian</w:t>
      </w:r>
      <w:r>
        <w:t xml:space="preserve"> </w:t>
      </w:r>
      <w:r w:rsidRPr="00717004">
        <w:t>Competition</w:t>
      </w:r>
      <w:r>
        <w:t xml:space="preserve"> </w:t>
      </w:r>
      <w:r w:rsidRPr="00717004">
        <w:t>and</w:t>
      </w:r>
      <w:r>
        <w:t xml:space="preserve"> </w:t>
      </w:r>
      <w:r w:rsidRPr="00717004">
        <w:t>Consumer</w:t>
      </w:r>
      <w:r>
        <w:t xml:space="preserve"> </w:t>
      </w:r>
      <w:r w:rsidRPr="00717004">
        <w:t>Commission</w:t>
      </w:r>
      <w:r>
        <w:t xml:space="preserve"> and other state and territory consumer regulators</w:t>
      </w:r>
      <w:r w:rsidRPr="00717004">
        <w:t>.</w:t>
      </w:r>
    </w:p>
    <w:p w14:paraId="643ACEEF" w14:textId="77777777" w:rsidR="00856406" w:rsidRPr="00C854DE" w:rsidRDefault="00856406" w:rsidP="00447322">
      <w:pPr>
        <w:pStyle w:val="Heading4"/>
      </w:pPr>
      <w:r w:rsidRPr="00C854DE">
        <w:t>Raising</w:t>
      </w:r>
      <w:r>
        <w:t xml:space="preserve"> </w:t>
      </w:r>
      <w:r w:rsidRPr="00C854DE">
        <w:t>awareness:</w:t>
      </w:r>
      <w:r>
        <w:t xml:space="preserve"> </w:t>
      </w:r>
      <w:r w:rsidRPr="00C854DE">
        <w:t>Improving</w:t>
      </w:r>
      <w:r>
        <w:t xml:space="preserve"> </w:t>
      </w:r>
      <w:r w:rsidRPr="00C854DE">
        <w:t>Victorians’</w:t>
      </w:r>
      <w:r>
        <w:t xml:space="preserve"> </w:t>
      </w:r>
      <w:r w:rsidRPr="00C854DE">
        <w:t>trust</w:t>
      </w:r>
      <w:r>
        <w:t xml:space="preserve"> </w:t>
      </w:r>
      <w:r w:rsidRPr="00C854DE">
        <w:t>in</w:t>
      </w:r>
      <w:r>
        <w:t xml:space="preserve"> </w:t>
      </w:r>
      <w:r w:rsidRPr="00C854DE">
        <w:t>CAV</w:t>
      </w:r>
      <w:r>
        <w:t xml:space="preserve"> </w:t>
      </w:r>
      <w:r w:rsidRPr="00C854DE">
        <w:t>as</w:t>
      </w:r>
      <w:r>
        <w:t xml:space="preserve"> </w:t>
      </w:r>
      <w:r w:rsidRPr="00C854DE">
        <w:t>a</w:t>
      </w:r>
      <w:r>
        <w:t xml:space="preserve"> </w:t>
      </w:r>
      <w:r w:rsidRPr="00C854DE">
        <w:t>regulator</w:t>
      </w:r>
    </w:p>
    <w:p w14:paraId="3F218A7B" w14:textId="77777777" w:rsidR="00856406" w:rsidRPr="00717004" w:rsidRDefault="00856406" w:rsidP="009D6CDF">
      <w:pPr>
        <w:pStyle w:val="BodyText"/>
      </w:pPr>
      <w:r w:rsidRPr="00717004">
        <w:t>CAV</w:t>
      </w:r>
      <w:r>
        <w:t xml:space="preserve"> was asked to </w:t>
      </w:r>
      <w:r w:rsidRPr="00717004">
        <w:t>focus</w:t>
      </w:r>
      <w:r>
        <w:t xml:space="preserve"> </w:t>
      </w:r>
      <w:r w:rsidRPr="00717004">
        <w:t>on</w:t>
      </w:r>
      <w:r>
        <w:t xml:space="preserve"> </w:t>
      </w:r>
      <w:r w:rsidRPr="00717004">
        <w:t>improving</w:t>
      </w:r>
      <w:r>
        <w:t xml:space="preserve"> </w:t>
      </w:r>
      <w:r w:rsidRPr="00717004">
        <w:t>Victorians’</w:t>
      </w:r>
      <w:r>
        <w:t xml:space="preserve"> </w:t>
      </w:r>
      <w:r w:rsidRPr="00717004">
        <w:t>trust</w:t>
      </w:r>
      <w:r>
        <w:t xml:space="preserve"> </w:t>
      </w:r>
      <w:r w:rsidRPr="00717004">
        <w:t>in</w:t>
      </w:r>
      <w:r>
        <w:t xml:space="preserve"> </w:t>
      </w:r>
      <w:r w:rsidRPr="00717004">
        <w:t>CAV</w:t>
      </w:r>
      <w:r>
        <w:t xml:space="preserve"> </w:t>
      </w:r>
      <w:r w:rsidRPr="00717004">
        <w:t>as</w:t>
      </w:r>
      <w:r>
        <w:t xml:space="preserve"> </w:t>
      </w:r>
      <w:r w:rsidRPr="00717004">
        <w:t>a</w:t>
      </w:r>
      <w:r>
        <w:t xml:space="preserve"> </w:t>
      </w:r>
      <w:r w:rsidRPr="00717004">
        <w:t>regulator</w:t>
      </w:r>
      <w:r>
        <w:t xml:space="preserve"> </w:t>
      </w:r>
      <w:r w:rsidRPr="00717004">
        <w:t>by</w:t>
      </w:r>
      <w:r>
        <w:t xml:space="preserve"> </w:t>
      </w:r>
      <w:r w:rsidRPr="00717004">
        <w:t>raising</w:t>
      </w:r>
      <w:r>
        <w:t xml:space="preserve"> </w:t>
      </w:r>
      <w:r w:rsidRPr="00717004">
        <w:t>awareness</w:t>
      </w:r>
      <w:r>
        <w:t xml:space="preserve"> </w:t>
      </w:r>
      <w:r w:rsidRPr="00717004">
        <w:t>of</w:t>
      </w:r>
      <w:r>
        <w:t xml:space="preserve"> </w:t>
      </w:r>
      <w:r w:rsidRPr="00717004">
        <w:t>CAV’s</w:t>
      </w:r>
      <w:r>
        <w:t xml:space="preserve"> </w:t>
      </w:r>
      <w:r w:rsidRPr="00717004">
        <w:t>role</w:t>
      </w:r>
      <w:r>
        <w:t xml:space="preserve"> </w:t>
      </w:r>
      <w:r w:rsidRPr="00717004">
        <w:t>and</w:t>
      </w:r>
      <w:r>
        <w:t xml:space="preserve"> </w:t>
      </w:r>
      <w:r w:rsidRPr="00717004">
        <w:t>functions</w:t>
      </w:r>
      <w:r>
        <w:t xml:space="preserve">, </w:t>
      </w:r>
      <w:r w:rsidRPr="00717004">
        <w:t>and</w:t>
      </w:r>
      <w:r>
        <w:t xml:space="preserve"> </w:t>
      </w:r>
      <w:r w:rsidRPr="00717004">
        <w:t>increasing</w:t>
      </w:r>
      <w:r>
        <w:t xml:space="preserve"> </w:t>
      </w:r>
      <w:r w:rsidRPr="00717004">
        <w:t>promotion</w:t>
      </w:r>
      <w:r>
        <w:t xml:space="preserve"> </w:t>
      </w:r>
      <w:r w:rsidRPr="00717004">
        <w:t>of</w:t>
      </w:r>
      <w:r>
        <w:t xml:space="preserve"> </w:t>
      </w:r>
      <w:r w:rsidRPr="00717004">
        <w:t>CAV’s</w:t>
      </w:r>
      <w:r>
        <w:t xml:space="preserve"> </w:t>
      </w:r>
      <w:r w:rsidRPr="00717004">
        <w:t>compliance</w:t>
      </w:r>
      <w:r>
        <w:t xml:space="preserve"> </w:t>
      </w:r>
      <w:r w:rsidRPr="00717004">
        <w:t>and</w:t>
      </w:r>
      <w:r>
        <w:t xml:space="preserve"> </w:t>
      </w:r>
      <w:r w:rsidRPr="00717004">
        <w:t>enforcement</w:t>
      </w:r>
      <w:r>
        <w:t xml:space="preserve"> </w:t>
      </w:r>
      <w:r w:rsidRPr="00717004">
        <w:t>activities.</w:t>
      </w:r>
    </w:p>
    <w:p w14:paraId="04CA5A7E" w14:textId="77777777" w:rsidR="00856406" w:rsidRPr="009D6CDF" w:rsidRDefault="00856406" w:rsidP="009D6CDF">
      <w:pPr>
        <w:pStyle w:val="Heading5"/>
      </w:pPr>
      <w:r w:rsidRPr="00C854DE">
        <w:t>Implementation</w:t>
      </w:r>
    </w:p>
    <w:p w14:paraId="61FE4407" w14:textId="4AA72464" w:rsidR="00856406" w:rsidRPr="00C854DE" w:rsidRDefault="00856406" w:rsidP="009D6CDF">
      <w:pPr>
        <w:pStyle w:val="BodyText"/>
      </w:pPr>
      <w:r>
        <w:t xml:space="preserve">We have </w:t>
      </w:r>
      <w:r w:rsidRPr="00C854DE">
        <w:t>acted</w:t>
      </w:r>
      <w:r>
        <w:t xml:space="preserve"> </w:t>
      </w:r>
      <w:r w:rsidRPr="00C854DE">
        <w:t>on</w:t>
      </w:r>
      <w:r>
        <w:t xml:space="preserve"> our </w:t>
      </w:r>
      <w:r w:rsidRPr="00C854DE">
        <w:t>strategic</w:t>
      </w:r>
      <w:r>
        <w:t xml:space="preserve"> </w:t>
      </w:r>
      <w:r w:rsidRPr="00C854DE">
        <w:t>focus</w:t>
      </w:r>
      <w:r>
        <w:t xml:space="preserve"> </w:t>
      </w:r>
      <w:r w:rsidRPr="00C854DE">
        <w:t>by</w:t>
      </w:r>
      <w:r>
        <w:t xml:space="preserve"> </w:t>
      </w:r>
      <w:r w:rsidRPr="00C854DE">
        <w:t>significantly</w:t>
      </w:r>
      <w:r>
        <w:t xml:space="preserve"> </w:t>
      </w:r>
      <w:r w:rsidRPr="00C854DE">
        <w:t>increasing</w:t>
      </w:r>
      <w:r>
        <w:t xml:space="preserve"> </w:t>
      </w:r>
      <w:r w:rsidRPr="00C854DE">
        <w:t>the</w:t>
      </w:r>
      <w:r>
        <w:t xml:space="preserve"> </w:t>
      </w:r>
      <w:r w:rsidRPr="00C854DE">
        <w:t>visibility</w:t>
      </w:r>
      <w:r>
        <w:t xml:space="preserve"> </w:t>
      </w:r>
      <w:r w:rsidRPr="00C854DE">
        <w:t>of</w:t>
      </w:r>
      <w:r>
        <w:t xml:space="preserve"> our </w:t>
      </w:r>
      <w:r w:rsidRPr="00C854DE">
        <w:t>compliance</w:t>
      </w:r>
      <w:r>
        <w:t xml:space="preserve"> </w:t>
      </w:r>
      <w:r w:rsidRPr="00C854DE">
        <w:t>and</w:t>
      </w:r>
      <w:r>
        <w:t xml:space="preserve"> </w:t>
      </w:r>
      <w:r w:rsidRPr="00C854DE">
        <w:t>enforcement</w:t>
      </w:r>
      <w:r>
        <w:t xml:space="preserve"> </w:t>
      </w:r>
      <w:r w:rsidRPr="00C854DE">
        <w:t>work.</w:t>
      </w:r>
      <w:r>
        <w:t xml:space="preserve"> </w:t>
      </w:r>
      <w:r w:rsidRPr="00C854DE">
        <w:t>High-profile</w:t>
      </w:r>
      <w:r>
        <w:t xml:space="preserve"> taskforces (for r</w:t>
      </w:r>
      <w:r w:rsidRPr="00C854DE">
        <w:t>enting,</w:t>
      </w:r>
      <w:r>
        <w:t xml:space="preserve"> u</w:t>
      </w:r>
      <w:r w:rsidRPr="00C854DE">
        <w:t>nderquoting</w:t>
      </w:r>
      <w:r>
        <w:t xml:space="preserve"> </w:t>
      </w:r>
      <w:r w:rsidRPr="00C854DE">
        <w:t>and</w:t>
      </w:r>
      <w:r>
        <w:t xml:space="preserve"> the m</w:t>
      </w:r>
      <w:r w:rsidRPr="00C854DE">
        <w:t>achete</w:t>
      </w:r>
      <w:r>
        <w:t xml:space="preserve"> ban) drew </w:t>
      </w:r>
      <w:r w:rsidRPr="00C854DE">
        <w:t>attention</w:t>
      </w:r>
      <w:r>
        <w:t xml:space="preserve"> </w:t>
      </w:r>
      <w:r w:rsidRPr="00C854DE">
        <w:t>to</w:t>
      </w:r>
      <w:r>
        <w:t xml:space="preserve"> </w:t>
      </w:r>
      <w:r w:rsidRPr="00C854DE">
        <w:t>systemic</w:t>
      </w:r>
      <w:r>
        <w:t xml:space="preserve"> </w:t>
      </w:r>
      <w:r w:rsidRPr="00C854DE">
        <w:t>harms</w:t>
      </w:r>
      <w:r>
        <w:t xml:space="preserve"> </w:t>
      </w:r>
      <w:r w:rsidRPr="00C854DE">
        <w:t>and</w:t>
      </w:r>
      <w:r>
        <w:t xml:space="preserve"> </w:t>
      </w:r>
      <w:r w:rsidRPr="00C854DE">
        <w:t>demonstrated</w:t>
      </w:r>
      <w:r>
        <w:t xml:space="preserve"> </w:t>
      </w:r>
      <w:r w:rsidRPr="00C854DE">
        <w:t>CAV’s</w:t>
      </w:r>
      <w:r>
        <w:t xml:space="preserve"> </w:t>
      </w:r>
      <w:r w:rsidRPr="00C854DE">
        <w:t>readiness</w:t>
      </w:r>
      <w:r>
        <w:t xml:space="preserve"> </w:t>
      </w:r>
      <w:r w:rsidRPr="00C854DE">
        <w:t>to</w:t>
      </w:r>
      <w:r>
        <w:t xml:space="preserve"> </w:t>
      </w:r>
      <w:r w:rsidRPr="00C854DE">
        <w:t>intervene</w:t>
      </w:r>
      <w:r>
        <w:t xml:space="preserve"> </w:t>
      </w:r>
      <w:r w:rsidRPr="00C854DE">
        <w:t>whe</w:t>
      </w:r>
      <w:r>
        <w:t xml:space="preserve">n </w:t>
      </w:r>
      <w:r w:rsidRPr="00C854DE">
        <w:t>consumer</w:t>
      </w:r>
      <w:r>
        <w:t xml:space="preserve"> </w:t>
      </w:r>
      <w:r w:rsidRPr="00C854DE">
        <w:t>safety</w:t>
      </w:r>
      <w:r>
        <w:t xml:space="preserve"> or </w:t>
      </w:r>
      <w:r w:rsidRPr="00C854DE">
        <w:t>confidence</w:t>
      </w:r>
      <w:r>
        <w:t xml:space="preserve"> is </w:t>
      </w:r>
      <w:r w:rsidRPr="00C854DE">
        <w:t>at</w:t>
      </w:r>
      <w:r>
        <w:t xml:space="preserve"> </w:t>
      </w:r>
      <w:r w:rsidRPr="00C854DE">
        <w:t>risk.</w:t>
      </w:r>
      <w:r>
        <w:t xml:space="preserve"> </w:t>
      </w:r>
      <w:r w:rsidRPr="00172FC8">
        <w:t>These</w:t>
      </w:r>
      <w:r>
        <w:t xml:space="preserve"> taskforce</w:t>
      </w:r>
      <w:r w:rsidRPr="00172FC8">
        <w:t>s</w:t>
      </w:r>
      <w:r w:rsidR="00624D29">
        <w:t xml:space="preserve"> – </w:t>
      </w:r>
      <w:r w:rsidRPr="00172FC8">
        <w:t>alongside</w:t>
      </w:r>
      <w:r>
        <w:t xml:space="preserve"> </w:t>
      </w:r>
      <w:r w:rsidRPr="00172FC8">
        <w:t>regular</w:t>
      </w:r>
      <w:r>
        <w:t xml:space="preserve"> </w:t>
      </w:r>
      <w:r w:rsidRPr="00172FC8">
        <w:t>public</w:t>
      </w:r>
      <w:r>
        <w:t xml:space="preserve"> </w:t>
      </w:r>
      <w:r w:rsidRPr="00172FC8">
        <w:t>warnings</w:t>
      </w:r>
      <w:r>
        <w:t xml:space="preserve"> </w:t>
      </w:r>
      <w:r w:rsidRPr="00172FC8">
        <w:t>and</w:t>
      </w:r>
      <w:r>
        <w:t xml:space="preserve"> news alerts</w:t>
      </w:r>
      <w:r w:rsidR="00624D29">
        <w:t xml:space="preserve"> – </w:t>
      </w:r>
      <w:r w:rsidRPr="00C854DE">
        <w:t>have</w:t>
      </w:r>
      <w:r>
        <w:t xml:space="preserve"> </w:t>
      </w:r>
      <w:r w:rsidRPr="00C854DE">
        <w:t>strengthened</w:t>
      </w:r>
      <w:r>
        <w:t xml:space="preserve"> </w:t>
      </w:r>
      <w:r w:rsidRPr="00C854DE">
        <w:t>community</w:t>
      </w:r>
      <w:r>
        <w:t xml:space="preserve"> </w:t>
      </w:r>
      <w:r w:rsidRPr="00C854DE">
        <w:t>awareness</w:t>
      </w:r>
      <w:r>
        <w:t xml:space="preserve"> </w:t>
      </w:r>
      <w:r w:rsidRPr="00C854DE">
        <w:t>of</w:t>
      </w:r>
      <w:r>
        <w:t xml:space="preserve"> </w:t>
      </w:r>
      <w:r w:rsidRPr="00C854DE">
        <w:t>CAV’s</w:t>
      </w:r>
      <w:r>
        <w:t xml:space="preserve"> </w:t>
      </w:r>
      <w:r w:rsidRPr="00C854DE">
        <w:t>role</w:t>
      </w:r>
      <w:r>
        <w:t xml:space="preserve"> </w:t>
      </w:r>
      <w:r w:rsidRPr="00C854DE">
        <w:t>as</w:t>
      </w:r>
      <w:r>
        <w:t xml:space="preserve"> </w:t>
      </w:r>
      <w:r w:rsidRPr="00C854DE">
        <w:t>an</w:t>
      </w:r>
      <w:r>
        <w:t xml:space="preserve"> </w:t>
      </w:r>
      <w:r w:rsidRPr="00C854DE">
        <w:t>active</w:t>
      </w:r>
      <w:r>
        <w:t xml:space="preserve"> </w:t>
      </w:r>
      <w:r w:rsidRPr="00C854DE">
        <w:t>regulator.</w:t>
      </w:r>
    </w:p>
    <w:p w14:paraId="7284997B" w14:textId="5486286D" w:rsidR="00856406" w:rsidRPr="00674176" w:rsidRDefault="00856406" w:rsidP="009D6CDF">
      <w:pPr>
        <w:pStyle w:val="BodyText"/>
      </w:pPr>
      <w:r>
        <w:t>A clear uplift in enforcement activity has underpinned this stronger promotion</w:t>
      </w:r>
      <w:r w:rsidRPr="00674176">
        <w:t>.</w:t>
      </w:r>
      <w:r>
        <w:t xml:space="preserve"> </w:t>
      </w:r>
      <w:r w:rsidRPr="00674176">
        <w:t>Between</w:t>
      </w:r>
      <w:r>
        <w:t xml:space="preserve"> </w:t>
      </w:r>
      <w:r w:rsidR="00EE79C3">
        <w:t>2023–24</w:t>
      </w:r>
      <w:r>
        <w:t xml:space="preserve"> </w:t>
      </w:r>
      <w:r w:rsidRPr="00674176">
        <w:t>and</w:t>
      </w:r>
      <w:r>
        <w:t xml:space="preserve"> </w:t>
      </w:r>
      <w:r w:rsidR="00EE79C3">
        <w:t>2024–25</w:t>
      </w:r>
      <w:r w:rsidRPr="00674176">
        <w:t>,</w:t>
      </w:r>
      <w:r>
        <w:t xml:space="preserve"> </w:t>
      </w:r>
      <w:r w:rsidRPr="00674176">
        <w:t>CAV</w:t>
      </w:r>
      <w:r>
        <w:t xml:space="preserve"> </w:t>
      </w:r>
      <w:r w:rsidRPr="00674176">
        <w:t>increased</w:t>
      </w:r>
      <w:r>
        <w:t xml:space="preserve"> </w:t>
      </w:r>
      <w:r w:rsidRPr="00674176">
        <w:t>its</w:t>
      </w:r>
      <w:r>
        <w:t xml:space="preserve"> </w:t>
      </w:r>
      <w:r w:rsidRPr="00674176">
        <w:t>court</w:t>
      </w:r>
      <w:r>
        <w:t xml:space="preserve"> </w:t>
      </w:r>
      <w:r w:rsidRPr="00674176">
        <w:t>and</w:t>
      </w:r>
      <w:r>
        <w:t xml:space="preserve"> </w:t>
      </w:r>
      <w:r w:rsidRPr="00674176">
        <w:t>administrative</w:t>
      </w:r>
      <w:r>
        <w:t xml:space="preserve"> </w:t>
      </w:r>
      <w:r w:rsidRPr="00674176">
        <w:t>actions</w:t>
      </w:r>
      <w:r>
        <w:t xml:space="preserve"> </w:t>
      </w:r>
      <w:r w:rsidRPr="00674176">
        <w:t>from</w:t>
      </w:r>
      <w:r>
        <w:t xml:space="preserve"> </w:t>
      </w:r>
      <w:r w:rsidRPr="00674176">
        <w:t>963</w:t>
      </w:r>
      <w:r>
        <w:t xml:space="preserve"> </w:t>
      </w:r>
      <w:r w:rsidRPr="00674176">
        <w:t>to</w:t>
      </w:r>
      <w:r>
        <w:t xml:space="preserve"> </w:t>
      </w:r>
      <w:r w:rsidRPr="00674176">
        <w:t>117</w:t>
      </w:r>
      <w:r>
        <w:t>1</w:t>
      </w:r>
      <w:r w:rsidRPr="00674176">
        <w:t>.</w:t>
      </w:r>
      <w:r>
        <w:t xml:space="preserve"> </w:t>
      </w:r>
      <w:r w:rsidRPr="00674176">
        <w:t>Over</w:t>
      </w:r>
      <w:r>
        <w:t xml:space="preserve"> </w:t>
      </w:r>
      <w:r w:rsidRPr="00674176">
        <w:t>the</w:t>
      </w:r>
      <w:r>
        <w:t xml:space="preserve"> </w:t>
      </w:r>
      <w:r w:rsidRPr="00674176">
        <w:t>same</w:t>
      </w:r>
      <w:r>
        <w:t xml:space="preserve"> </w:t>
      </w:r>
      <w:r w:rsidRPr="00674176">
        <w:t>period,</w:t>
      </w:r>
      <w:r>
        <w:t xml:space="preserve"> </w:t>
      </w:r>
      <w:r w:rsidRPr="00674176">
        <w:t>finalised</w:t>
      </w:r>
      <w:r>
        <w:t xml:space="preserve"> </w:t>
      </w:r>
      <w:r w:rsidRPr="00674176">
        <w:t>criminal</w:t>
      </w:r>
      <w:r>
        <w:t xml:space="preserve"> </w:t>
      </w:r>
      <w:r w:rsidRPr="00674176">
        <w:t>prosecutions</w:t>
      </w:r>
      <w:r>
        <w:t xml:space="preserve"> increased </w:t>
      </w:r>
      <w:r w:rsidRPr="00674176">
        <w:t>from</w:t>
      </w:r>
      <w:r>
        <w:t xml:space="preserve"> </w:t>
      </w:r>
      <w:r w:rsidRPr="00674176">
        <w:t>4</w:t>
      </w:r>
      <w:r>
        <w:t xml:space="preserve"> </w:t>
      </w:r>
      <w:r w:rsidRPr="00674176">
        <w:t>to</w:t>
      </w:r>
      <w:r>
        <w:t xml:space="preserve"> 8</w:t>
      </w:r>
      <w:r w:rsidRPr="00674176">
        <w:t>,</w:t>
      </w:r>
      <w:r>
        <w:t xml:space="preserve"> </w:t>
      </w:r>
      <w:r w:rsidRPr="00674176">
        <w:t>and</w:t>
      </w:r>
      <w:r>
        <w:t xml:space="preserve"> </w:t>
      </w:r>
      <w:r w:rsidRPr="00674176">
        <w:t>finalised</w:t>
      </w:r>
      <w:r>
        <w:t xml:space="preserve"> </w:t>
      </w:r>
      <w:r w:rsidRPr="00674176">
        <w:t>civil</w:t>
      </w:r>
      <w:r>
        <w:t xml:space="preserve"> </w:t>
      </w:r>
      <w:r w:rsidRPr="00674176">
        <w:t>matters</w:t>
      </w:r>
      <w:r>
        <w:t xml:space="preserve"> </w:t>
      </w:r>
      <w:r w:rsidRPr="00674176">
        <w:t>rose</w:t>
      </w:r>
      <w:r>
        <w:t xml:space="preserve"> </w:t>
      </w:r>
      <w:r w:rsidRPr="00674176">
        <w:t>from</w:t>
      </w:r>
      <w:r>
        <w:t xml:space="preserve"> </w:t>
      </w:r>
      <w:r w:rsidRPr="00674176">
        <w:t>3</w:t>
      </w:r>
      <w:r>
        <w:t xml:space="preserve"> </w:t>
      </w:r>
      <w:r w:rsidRPr="00674176">
        <w:t>to</w:t>
      </w:r>
      <w:r>
        <w:t xml:space="preserve"> 7</w:t>
      </w:r>
      <w:r w:rsidRPr="00674176">
        <w:t>.</w:t>
      </w:r>
      <w:r>
        <w:t xml:space="preserve"> </w:t>
      </w:r>
      <w:r w:rsidRPr="00674176">
        <w:t>CAV</w:t>
      </w:r>
      <w:r>
        <w:t xml:space="preserve"> </w:t>
      </w:r>
      <w:r w:rsidRPr="00674176">
        <w:t>also</w:t>
      </w:r>
      <w:r>
        <w:t xml:space="preserve"> </w:t>
      </w:r>
      <w:r w:rsidRPr="00674176">
        <w:t>commenced</w:t>
      </w:r>
      <w:r>
        <w:t xml:space="preserve"> 20 </w:t>
      </w:r>
      <w:r w:rsidRPr="00674176">
        <w:t>new</w:t>
      </w:r>
      <w:r>
        <w:t xml:space="preserve"> </w:t>
      </w:r>
      <w:r w:rsidRPr="00674176">
        <w:t>criminal</w:t>
      </w:r>
      <w:r>
        <w:t xml:space="preserve"> and civil proceedings </w:t>
      </w:r>
      <w:r w:rsidRPr="00674176">
        <w:t>in</w:t>
      </w:r>
      <w:r>
        <w:t xml:space="preserve"> </w:t>
      </w:r>
      <w:r w:rsidR="00EE79C3">
        <w:t>2024–25</w:t>
      </w:r>
      <w:r>
        <w:t xml:space="preserve">, </w:t>
      </w:r>
      <w:r w:rsidRPr="00674176">
        <w:t>compared</w:t>
      </w:r>
      <w:r>
        <w:t xml:space="preserve"> </w:t>
      </w:r>
      <w:r w:rsidRPr="00674176">
        <w:t>with</w:t>
      </w:r>
      <w:r>
        <w:t xml:space="preserve"> 17 </w:t>
      </w:r>
      <w:r w:rsidRPr="00674176">
        <w:t>in</w:t>
      </w:r>
      <w:r>
        <w:t xml:space="preserve"> </w:t>
      </w:r>
      <w:r w:rsidR="00EE79C3">
        <w:t>2023–24</w:t>
      </w:r>
      <w:r w:rsidRPr="00674176">
        <w:t>.</w:t>
      </w:r>
      <w:r>
        <w:t xml:space="preserve"> </w:t>
      </w:r>
      <w:r w:rsidRPr="00674176">
        <w:t>By</w:t>
      </w:r>
      <w:r>
        <w:t xml:space="preserve"> </w:t>
      </w:r>
      <w:r w:rsidRPr="00674176">
        <w:t>publicising</w:t>
      </w:r>
      <w:r>
        <w:t xml:space="preserve"> </w:t>
      </w:r>
      <w:r w:rsidRPr="00674176">
        <w:t>these</w:t>
      </w:r>
      <w:r>
        <w:t xml:space="preserve"> </w:t>
      </w:r>
      <w:r w:rsidRPr="00674176">
        <w:t>outcomes</w:t>
      </w:r>
      <w:r>
        <w:t xml:space="preserve"> </w:t>
      </w:r>
      <w:r w:rsidRPr="00674176">
        <w:t>and</w:t>
      </w:r>
      <w:r>
        <w:t xml:space="preserve"> </w:t>
      </w:r>
      <w:r w:rsidRPr="00674176">
        <w:t>broader</w:t>
      </w:r>
      <w:r>
        <w:t xml:space="preserve"> taskforce </w:t>
      </w:r>
      <w:r w:rsidRPr="00674176">
        <w:t>activity,</w:t>
      </w:r>
      <w:r>
        <w:t xml:space="preserve"> we have </w:t>
      </w:r>
      <w:r w:rsidRPr="00674176">
        <w:t>reinforced</w:t>
      </w:r>
      <w:r>
        <w:t xml:space="preserve"> our commitment that serious </w:t>
      </w:r>
      <w:r w:rsidRPr="00674176">
        <w:t>non-compliance</w:t>
      </w:r>
      <w:r>
        <w:t xml:space="preserve"> </w:t>
      </w:r>
      <w:r w:rsidRPr="00674176">
        <w:t>will</w:t>
      </w:r>
      <w:r>
        <w:t xml:space="preserve"> </w:t>
      </w:r>
      <w:r w:rsidRPr="00674176">
        <w:t>be</w:t>
      </w:r>
      <w:r>
        <w:t xml:space="preserve"> </w:t>
      </w:r>
      <w:r w:rsidRPr="00674176">
        <w:t>detected,</w:t>
      </w:r>
      <w:r>
        <w:t xml:space="preserve"> </w:t>
      </w:r>
      <w:r w:rsidRPr="00674176">
        <w:t>acted</w:t>
      </w:r>
      <w:r>
        <w:t xml:space="preserve"> </w:t>
      </w:r>
      <w:r w:rsidRPr="00674176">
        <w:t>upon,</w:t>
      </w:r>
      <w:r>
        <w:t xml:space="preserve"> </w:t>
      </w:r>
      <w:r w:rsidRPr="00674176">
        <w:t>and</w:t>
      </w:r>
      <w:r>
        <w:t xml:space="preserve"> </w:t>
      </w:r>
      <w:r w:rsidRPr="00674176">
        <w:t>communicated</w:t>
      </w:r>
      <w:r>
        <w:t xml:space="preserve"> </w:t>
      </w:r>
      <w:r w:rsidRPr="00674176">
        <w:t>transparently.</w:t>
      </w:r>
    </w:p>
    <w:p w14:paraId="6400F4D3" w14:textId="09EB3CBC" w:rsidR="00856406" w:rsidRPr="00717004" w:rsidRDefault="00856406" w:rsidP="009D6CDF">
      <w:pPr>
        <w:pStyle w:val="BodyText"/>
        <w:rPr>
          <w:rFonts w:eastAsia="Calibri"/>
          <w:lang w:eastAsia="en-AU"/>
        </w:rPr>
      </w:pPr>
      <w:r w:rsidRPr="004418D9">
        <w:t>The</w:t>
      </w:r>
      <w:r>
        <w:t xml:space="preserve"> </w:t>
      </w:r>
      <w:r w:rsidRPr="004418D9">
        <w:t>Director</w:t>
      </w:r>
      <w:r>
        <w:t xml:space="preserve"> of CAV raised our public profile by undertaking regular media engagements in </w:t>
      </w:r>
      <w:r w:rsidR="00EE79C3">
        <w:t>2024–25</w:t>
      </w:r>
      <w:r>
        <w:t xml:space="preserve"> including radio interviews on ABC, 3AW and Joy FM </w:t>
      </w:r>
      <w:r w:rsidRPr="004418D9">
        <w:t>on</w:t>
      </w:r>
      <w:r>
        <w:t xml:space="preserve"> </w:t>
      </w:r>
      <w:r w:rsidRPr="004418D9">
        <w:t>various</w:t>
      </w:r>
      <w:r>
        <w:t xml:space="preserve"> </w:t>
      </w:r>
      <w:r w:rsidRPr="004418D9">
        <w:t>topics,</w:t>
      </w:r>
      <w:r>
        <w:t xml:space="preserve"> </w:t>
      </w:r>
      <w:r w:rsidRPr="004418D9">
        <w:t>as</w:t>
      </w:r>
      <w:r>
        <w:t xml:space="preserve"> </w:t>
      </w:r>
      <w:r w:rsidRPr="004418D9">
        <w:t>well</w:t>
      </w:r>
      <w:r>
        <w:t xml:space="preserve"> </w:t>
      </w:r>
      <w:r w:rsidRPr="004418D9">
        <w:t>as</w:t>
      </w:r>
      <w:r>
        <w:t xml:space="preserve"> </w:t>
      </w:r>
      <w:r w:rsidRPr="004418D9">
        <w:t>appearing</w:t>
      </w:r>
      <w:r>
        <w:t xml:space="preserve"> </w:t>
      </w:r>
      <w:r w:rsidRPr="004418D9">
        <w:t>on</w:t>
      </w:r>
      <w:r>
        <w:t xml:space="preserve"> </w:t>
      </w:r>
      <w:r w:rsidRPr="004418D9">
        <w:t>TV</w:t>
      </w:r>
      <w:r>
        <w:t xml:space="preserve"> </w:t>
      </w:r>
      <w:r w:rsidRPr="004418D9">
        <w:t>news</w:t>
      </w:r>
      <w:r>
        <w:t xml:space="preserve"> </w:t>
      </w:r>
      <w:r w:rsidRPr="004418D9">
        <w:t>in</w:t>
      </w:r>
      <w:r>
        <w:t xml:space="preserve"> </w:t>
      </w:r>
      <w:r w:rsidRPr="004418D9">
        <w:t>several</w:t>
      </w:r>
      <w:r>
        <w:t xml:space="preserve"> </w:t>
      </w:r>
      <w:r w:rsidRPr="004418D9">
        <w:t>instances.</w:t>
      </w:r>
    </w:p>
    <w:p w14:paraId="13BD2749" w14:textId="77777777" w:rsidR="00856406" w:rsidRDefault="00856406" w:rsidP="009D6CDF">
      <w:pPr>
        <w:pStyle w:val="BodyText"/>
      </w:pPr>
      <w:r>
        <w:t xml:space="preserve">We </w:t>
      </w:r>
      <w:r w:rsidRPr="00717004">
        <w:t>r</w:t>
      </w:r>
      <w:r>
        <w:t>a</w:t>
      </w:r>
      <w:r w:rsidRPr="00717004">
        <w:t>n</w:t>
      </w:r>
      <w:r>
        <w:t xml:space="preserve"> </w:t>
      </w:r>
      <w:r w:rsidRPr="00717004">
        <w:t>multiple</w:t>
      </w:r>
      <w:r>
        <w:t xml:space="preserve"> </w:t>
      </w:r>
      <w:r w:rsidRPr="00717004">
        <w:t>social</w:t>
      </w:r>
      <w:r>
        <w:t xml:space="preserve"> </w:t>
      </w:r>
      <w:r w:rsidRPr="00717004">
        <w:t>media</w:t>
      </w:r>
      <w:r>
        <w:t xml:space="preserve"> </w:t>
      </w:r>
      <w:r w:rsidRPr="00717004">
        <w:t>campaigns</w:t>
      </w:r>
      <w:r>
        <w:t xml:space="preserve"> aimed at raising </w:t>
      </w:r>
      <w:r w:rsidRPr="00717004">
        <w:t>awareness</w:t>
      </w:r>
      <w:r>
        <w:t xml:space="preserve"> </w:t>
      </w:r>
      <w:r w:rsidRPr="00717004">
        <w:t>of</w:t>
      </w:r>
      <w:r>
        <w:t xml:space="preserve"> </w:t>
      </w:r>
      <w:r w:rsidRPr="00717004">
        <w:t>both</w:t>
      </w:r>
      <w:r>
        <w:t xml:space="preserve"> </w:t>
      </w:r>
      <w:r w:rsidRPr="00717004">
        <w:t>Victorians’</w:t>
      </w:r>
      <w:r>
        <w:t xml:space="preserve"> </w:t>
      </w:r>
      <w:r w:rsidRPr="00717004">
        <w:t>rights</w:t>
      </w:r>
      <w:r>
        <w:t xml:space="preserve"> </w:t>
      </w:r>
      <w:r w:rsidRPr="00717004">
        <w:t>and</w:t>
      </w:r>
      <w:r>
        <w:t xml:space="preserve"> </w:t>
      </w:r>
      <w:r w:rsidRPr="00717004">
        <w:t>CAV’s</w:t>
      </w:r>
      <w:r>
        <w:t xml:space="preserve"> </w:t>
      </w:r>
      <w:r w:rsidRPr="00717004">
        <w:t>role</w:t>
      </w:r>
      <w:r>
        <w:t xml:space="preserve"> </w:t>
      </w:r>
      <w:r w:rsidRPr="00717004">
        <w:t>and</w:t>
      </w:r>
      <w:r>
        <w:t xml:space="preserve"> </w:t>
      </w:r>
      <w:r w:rsidRPr="00717004">
        <w:t>functions.</w:t>
      </w:r>
      <w:r>
        <w:t xml:space="preserve"> </w:t>
      </w:r>
      <w:r w:rsidRPr="00717004">
        <w:t>One</w:t>
      </w:r>
      <w:r>
        <w:t xml:space="preserve"> </w:t>
      </w:r>
      <w:r w:rsidRPr="00717004">
        <w:t>key</w:t>
      </w:r>
      <w:r>
        <w:t xml:space="preserve"> </w:t>
      </w:r>
      <w:r w:rsidRPr="00717004">
        <w:t>campaign</w:t>
      </w:r>
      <w:r>
        <w:t xml:space="preserve"> </w:t>
      </w:r>
      <w:r w:rsidRPr="00717004">
        <w:t>was</w:t>
      </w:r>
      <w:r>
        <w:t xml:space="preserve"> </w:t>
      </w:r>
      <w:r w:rsidRPr="00717004">
        <w:t>the</w:t>
      </w:r>
      <w:r>
        <w:t xml:space="preserve"> previously mentioned </w:t>
      </w:r>
      <w:r w:rsidRPr="00717004">
        <w:t>Funda-rentals</w:t>
      </w:r>
      <w:r>
        <w:t xml:space="preserve"> </w:t>
      </w:r>
      <w:r w:rsidRPr="00717004">
        <w:t>campaign,</w:t>
      </w:r>
      <w:r>
        <w:t xml:space="preserve"> </w:t>
      </w:r>
      <w:r w:rsidRPr="00D22D0F">
        <w:t>launched</w:t>
      </w:r>
      <w:r>
        <w:t xml:space="preserve"> </w:t>
      </w:r>
      <w:r w:rsidRPr="00D22D0F">
        <w:t>to</w:t>
      </w:r>
      <w:r>
        <w:t xml:space="preserve"> </w:t>
      </w:r>
      <w:r w:rsidRPr="00D22D0F">
        <w:t>improve</w:t>
      </w:r>
      <w:r>
        <w:t xml:space="preserve"> </w:t>
      </w:r>
      <w:r w:rsidRPr="00D22D0F">
        <w:t>renters’</w:t>
      </w:r>
      <w:r>
        <w:t xml:space="preserve"> </w:t>
      </w:r>
      <w:r w:rsidRPr="00D22D0F">
        <w:t>understanding</w:t>
      </w:r>
      <w:r>
        <w:t xml:space="preserve"> </w:t>
      </w:r>
      <w:r w:rsidRPr="00D22D0F">
        <w:t>of</w:t>
      </w:r>
      <w:r>
        <w:t xml:space="preserve"> </w:t>
      </w:r>
      <w:r w:rsidRPr="00D22D0F">
        <w:t>their</w:t>
      </w:r>
      <w:r>
        <w:t xml:space="preserve"> </w:t>
      </w:r>
      <w:r w:rsidRPr="00D22D0F">
        <w:t>rights</w:t>
      </w:r>
      <w:r>
        <w:t xml:space="preserve"> </w:t>
      </w:r>
      <w:r w:rsidRPr="00D22D0F">
        <w:t>and</w:t>
      </w:r>
      <w:r>
        <w:t xml:space="preserve"> </w:t>
      </w:r>
      <w:r w:rsidRPr="00D22D0F">
        <w:t>rental</w:t>
      </w:r>
      <w:r>
        <w:t xml:space="preserve"> </w:t>
      </w:r>
      <w:r w:rsidRPr="00D22D0F">
        <w:t>providers’</w:t>
      </w:r>
      <w:r>
        <w:t xml:space="preserve"> </w:t>
      </w:r>
      <w:r w:rsidRPr="00D22D0F">
        <w:t>awareness</w:t>
      </w:r>
      <w:r>
        <w:t xml:space="preserve"> </w:t>
      </w:r>
      <w:r w:rsidRPr="00D22D0F">
        <w:t>of</w:t>
      </w:r>
      <w:r>
        <w:t xml:space="preserve"> </w:t>
      </w:r>
      <w:r w:rsidRPr="00D22D0F">
        <w:t>their</w:t>
      </w:r>
      <w:r>
        <w:t xml:space="preserve"> </w:t>
      </w:r>
      <w:r w:rsidRPr="00D22D0F">
        <w:t>legal</w:t>
      </w:r>
      <w:r>
        <w:t xml:space="preserve"> </w:t>
      </w:r>
      <w:r w:rsidRPr="00D22D0F">
        <w:t>rental</w:t>
      </w:r>
      <w:r>
        <w:t xml:space="preserve"> </w:t>
      </w:r>
      <w:r w:rsidRPr="00D22D0F">
        <w:t>obligations.</w:t>
      </w:r>
      <w:r>
        <w:t xml:space="preserve"> </w:t>
      </w:r>
      <w:r w:rsidRPr="00D22D0F">
        <w:t>The</w:t>
      </w:r>
      <w:r>
        <w:t xml:space="preserve"> </w:t>
      </w:r>
      <w:r w:rsidRPr="00D22D0F">
        <w:t>campaign</w:t>
      </w:r>
      <w:r>
        <w:t xml:space="preserve"> </w:t>
      </w:r>
      <w:r w:rsidRPr="00D22D0F">
        <w:t>also</w:t>
      </w:r>
      <w:r>
        <w:t xml:space="preserve"> </w:t>
      </w:r>
      <w:r w:rsidRPr="00D22D0F">
        <w:t>aimed</w:t>
      </w:r>
      <w:r>
        <w:t xml:space="preserve"> </w:t>
      </w:r>
      <w:r w:rsidRPr="00D22D0F">
        <w:t>to</w:t>
      </w:r>
      <w:r>
        <w:t xml:space="preserve"> </w:t>
      </w:r>
      <w:r w:rsidRPr="00D22D0F">
        <w:t>improve</w:t>
      </w:r>
      <w:r>
        <w:t xml:space="preserve"> </w:t>
      </w:r>
      <w:r w:rsidRPr="00D22D0F">
        <w:t>confidence</w:t>
      </w:r>
      <w:r>
        <w:t xml:space="preserve"> </w:t>
      </w:r>
      <w:r w:rsidRPr="00D22D0F">
        <w:t>that</w:t>
      </w:r>
      <w:r>
        <w:t xml:space="preserve"> </w:t>
      </w:r>
      <w:r w:rsidRPr="00D22D0F">
        <w:t>CAV</w:t>
      </w:r>
      <w:r>
        <w:t xml:space="preserve"> </w:t>
      </w:r>
      <w:r w:rsidRPr="00D22D0F">
        <w:t>is</w:t>
      </w:r>
      <w:r>
        <w:t xml:space="preserve"> </w:t>
      </w:r>
      <w:r w:rsidRPr="00D22D0F">
        <w:t>upholding</w:t>
      </w:r>
      <w:r>
        <w:t xml:space="preserve"> </w:t>
      </w:r>
      <w:r w:rsidRPr="00D22D0F">
        <w:t>key</w:t>
      </w:r>
      <w:r>
        <w:t xml:space="preserve"> </w:t>
      </w:r>
      <w:r w:rsidRPr="00D22D0F">
        <w:t>consumer</w:t>
      </w:r>
      <w:r>
        <w:t xml:space="preserve"> </w:t>
      </w:r>
      <w:r w:rsidRPr="00D22D0F">
        <w:t>protections</w:t>
      </w:r>
      <w:r>
        <w:t xml:space="preserve"> </w:t>
      </w:r>
      <w:r w:rsidRPr="00D22D0F">
        <w:t>and</w:t>
      </w:r>
      <w:r>
        <w:t xml:space="preserve"> </w:t>
      </w:r>
      <w:r w:rsidRPr="00D22D0F">
        <w:t>ensuring</w:t>
      </w:r>
      <w:r>
        <w:t xml:space="preserve"> </w:t>
      </w:r>
      <w:r w:rsidRPr="00D22D0F">
        <w:t>a</w:t>
      </w:r>
      <w:r>
        <w:t xml:space="preserve"> </w:t>
      </w:r>
      <w:r w:rsidRPr="00D22D0F">
        <w:t>fair</w:t>
      </w:r>
      <w:r>
        <w:t xml:space="preserve"> </w:t>
      </w:r>
      <w:r w:rsidRPr="00D22D0F">
        <w:t>and</w:t>
      </w:r>
      <w:r>
        <w:t xml:space="preserve"> </w:t>
      </w:r>
      <w:r w:rsidRPr="00D22D0F">
        <w:t>safe</w:t>
      </w:r>
      <w:r>
        <w:t xml:space="preserve"> </w:t>
      </w:r>
      <w:r w:rsidRPr="00D22D0F">
        <w:t>rental</w:t>
      </w:r>
      <w:r>
        <w:t xml:space="preserve"> </w:t>
      </w:r>
      <w:r w:rsidRPr="00D22D0F">
        <w:t>market.</w:t>
      </w:r>
      <w:r>
        <w:t xml:space="preserve"> </w:t>
      </w:r>
      <w:r w:rsidRPr="00D22D0F">
        <w:t>Analysis</w:t>
      </w:r>
      <w:r>
        <w:t xml:space="preserve"> </w:t>
      </w:r>
      <w:r w:rsidRPr="00D22D0F">
        <w:t>of</w:t>
      </w:r>
      <w:r>
        <w:t xml:space="preserve"> </w:t>
      </w:r>
      <w:r w:rsidRPr="00D22D0F">
        <w:t>this</w:t>
      </w:r>
      <w:r>
        <w:t xml:space="preserve"> </w:t>
      </w:r>
      <w:r w:rsidRPr="00D22D0F">
        <w:t>campaign</w:t>
      </w:r>
      <w:r>
        <w:t xml:space="preserve"> revealed that Victorians were strongly engaged with it </w:t>
      </w:r>
      <w:r w:rsidRPr="00D22D0F">
        <w:t>across</w:t>
      </w:r>
      <w:r>
        <w:t xml:space="preserve"> </w:t>
      </w:r>
      <w:r w:rsidRPr="00D22D0F">
        <w:t>multiple</w:t>
      </w:r>
      <w:r>
        <w:t xml:space="preserve"> </w:t>
      </w:r>
      <w:r w:rsidRPr="00D22D0F">
        <w:t>platforms.</w:t>
      </w:r>
    </w:p>
    <w:p w14:paraId="5A98CCD2" w14:textId="7839D2BB" w:rsidR="00856406" w:rsidRPr="00A4404F" w:rsidRDefault="00856406" w:rsidP="00794DF4">
      <w:pPr>
        <w:pStyle w:val="Caption"/>
      </w:pPr>
      <w:bookmarkStart w:id="68" w:name="_Toc204243174"/>
      <w:bookmarkStart w:id="69" w:name="_Toc212562083"/>
      <w:r w:rsidRPr="00A4404F">
        <w:t>Table</w:t>
      </w:r>
      <w:r>
        <w:t xml:space="preserve"> </w:t>
      </w:r>
      <w:r w:rsidR="00D148FC">
        <w:t>16</w:t>
      </w:r>
      <w:r w:rsidRPr="00A4404F">
        <w:t>:</w:t>
      </w:r>
      <w:r>
        <w:t xml:space="preserve"> </w:t>
      </w:r>
      <w:r w:rsidRPr="00A4404F">
        <w:t>Trust</w:t>
      </w:r>
      <w:r>
        <w:t xml:space="preserve"> </w:t>
      </w:r>
      <w:r w:rsidRPr="00A4404F">
        <w:t>funds</w:t>
      </w:r>
      <w:r>
        <w:t xml:space="preserve"> </w:t>
      </w:r>
      <w:r w:rsidRPr="00A4404F">
        <w:t>administered</w:t>
      </w:r>
      <w:r>
        <w:t xml:space="preserve"> </w:t>
      </w:r>
      <w:r w:rsidRPr="00A4404F">
        <w:t>by</w:t>
      </w:r>
      <w:r>
        <w:t xml:space="preserve"> </w:t>
      </w:r>
      <w:r w:rsidRPr="00A4404F">
        <w:t>CAV</w:t>
      </w:r>
      <w:bookmarkEnd w:id="68"/>
      <w:bookmarkEnd w:id="69"/>
    </w:p>
    <w:tbl>
      <w:tblPr>
        <w:tblStyle w:val="TableGrid"/>
        <w:tblW w:w="9638" w:type="dxa"/>
        <w:tblLayout w:type="fixed"/>
        <w:tblLook w:val="06A0" w:firstRow="1" w:lastRow="0" w:firstColumn="1" w:lastColumn="0" w:noHBand="1" w:noVBand="1"/>
      </w:tblPr>
      <w:tblGrid>
        <w:gridCol w:w="4395"/>
        <w:gridCol w:w="5243"/>
      </w:tblGrid>
      <w:tr w:rsidR="00856406" w:rsidRPr="009C1F7F" w14:paraId="2D6868B4" w14:textId="77777777" w:rsidTr="005B7969">
        <w:trPr>
          <w:cnfStyle w:val="100000000000" w:firstRow="1" w:lastRow="0" w:firstColumn="0" w:lastColumn="0" w:oddVBand="0" w:evenVBand="0" w:oddHBand="0" w:evenHBand="0" w:firstRowFirstColumn="0" w:firstRowLastColumn="0" w:lastRowFirstColumn="0" w:lastRowLastColumn="0"/>
          <w:trHeight w:val="60"/>
          <w:tblHeader/>
        </w:trPr>
        <w:tc>
          <w:tcPr>
            <w:tcW w:w="4395" w:type="dxa"/>
          </w:tcPr>
          <w:p w14:paraId="32F6820F" w14:textId="77777777" w:rsidR="00856406" w:rsidRPr="00794DF4" w:rsidRDefault="00856406" w:rsidP="00794DF4">
            <w:pPr>
              <w:pStyle w:val="TableColHead"/>
            </w:pPr>
            <w:r w:rsidRPr="00794DF4">
              <w:t>Trust fund</w:t>
            </w:r>
          </w:p>
        </w:tc>
        <w:tc>
          <w:tcPr>
            <w:tcW w:w="5243" w:type="dxa"/>
          </w:tcPr>
          <w:p w14:paraId="35E85743" w14:textId="77777777" w:rsidR="00856406" w:rsidRPr="00794DF4" w:rsidRDefault="00856406" w:rsidP="00794DF4">
            <w:pPr>
              <w:pStyle w:val="TableColHead"/>
            </w:pPr>
            <w:r w:rsidRPr="00794DF4">
              <w:t>Expenditure includes</w:t>
            </w:r>
          </w:p>
        </w:tc>
      </w:tr>
      <w:tr w:rsidR="00856406" w:rsidRPr="009C1F7F" w14:paraId="7A0FAAAA" w14:textId="77777777" w:rsidTr="00794DF4">
        <w:trPr>
          <w:trHeight w:val="60"/>
        </w:trPr>
        <w:tc>
          <w:tcPr>
            <w:tcW w:w="4395" w:type="dxa"/>
          </w:tcPr>
          <w:p w14:paraId="1985802F" w14:textId="77777777" w:rsidR="00856406" w:rsidRPr="00717004" w:rsidRDefault="00856406" w:rsidP="004A6BB2">
            <w:pPr>
              <w:pStyle w:val="TableText"/>
            </w:pPr>
            <w:r w:rsidRPr="00717004">
              <w:t>Domestic</w:t>
            </w:r>
            <w:r>
              <w:t xml:space="preserve"> </w:t>
            </w:r>
            <w:r w:rsidRPr="00717004">
              <w:t>Builders</w:t>
            </w:r>
            <w:r>
              <w:t xml:space="preserve"> </w:t>
            </w:r>
            <w:r w:rsidRPr="00717004">
              <w:t>Fund</w:t>
            </w:r>
          </w:p>
        </w:tc>
        <w:tc>
          <w:tcPr>
            <w:tcW w:w="5243" w:type="dxa"/>
          </w:tcPr>
          <w:p w14:paraId="319346CB" w14:textId="77777777" w:rsidR="00856406" w:rsidRPr="00717004" w:rsidRDefault="00856406" w:rsidP="004A6BB2">
            <w:pPr>
              <w:pStyle w:val="TableText"/>
            </w:pPr>
            <w:r w:rsidRPr="00717004">
              <w:t>Administration</w:t>
            </w:r>
            <w:r>
              <w:t xml:space="preserve"> </w:t>
            </w:r>
            <w:r w:rsidRPr="00717004">
              <w:t>of</w:t>
            </w:r>
            <w:r>
              <w:t xml:space="preserve"> </w:t>
            </w:r>
            <w:r w:rsidRPr="00717004">
              <w:t>the</w:t>
            </w:r>
            <w:r>
              <w:t xml:space="preserve"> </w:t>
            </w:r>
            <w:r w:rsidRPr="00717004">
              <w:rPr>
                <w:rStyle w:val="Emphasis"/>
              </w:rPr>
              <w:t>Domestic</w:t>
            </w:r>
            <w:r>
              <w:rPr>
                <w:rStyle w:val="Emphasis"/>
              </w:rPr>
              <w:t xml:space="preserve"> </w:t>
            </w:r>
            <w:r w:rsidRPr="00717004">
              <w:rPr>
                <w:rStyle w:val="Emphasis"/>
              </w:rPr>
              <w:t>Building</w:t>
            </w:r>
            <w:r>
              <w:rPr>
                <w:rStyle w:val="Emphasis"/>
              </w:rPr>
              <w:t xml:space="preserve"> </w:t>
            </w:r>
            <w:r w:rsidRPr="00717004">
              <w:rPr>
                <w:rStyle w:val="Emphasis"/>
              </w:rPr>
              <w:t>Contracts</w:t>
            </w:r>
            <w:r>
              <w:rPr>
                <w:rStyle w:val="Emphasis"/>
              </w:rPr>
              <w:t xml:space="preserve"> </w:t>
            </w:r>
            <w:r w:rsidRPr="00717004">
              <w:rPr>
                <w:rStyle w:val="Emphasis"/>
              </w:rPr>
              <w:t>Act</w:t>
            </w:r>
            <w:r>
              <w:rPr>
                <w:rStyle w:val="Emphasis"/>
              </w:rPr>
              <w:t xml:space="preserve"> </w:t>
            </w:r>
            <w:r w:rsidRPr="00A4404F">
              <w:rPr>
                <w:rStyle w:val="Emphasis"/>
              </w:rPr>
              <w:t>1995</w:t>
            </w:r>
            <w:r w:rsidRPr="00717004">
              <w:t>,</w:t>
            </w:r>
            <w:r>
              <w:t xml:space="preserve"> </w:t>
            </w:r>
            <w:r w:rsidRPr="00717004">
              <w:t>costs</w:t>
            </w:r>
            <w:r>
              <w:t xml:space="preserve"> </w:t>
            </w:r>
            <w:r w:rsidRPr="00717004">
              <w:t>relating</w:t>
            </w:r>
            <w:r>
              <w:t xml:space="preserve"> </w:t>
            </w:r>
            <w:r w:rsidRPr="00717004">
              <w:t>to</w:t>
            </w:r>
            <w:r>
              <w:t xml:space="preserve"> </w:t>
            </w:r>
            <w:r w:rsidRPr="00717004">
              <w:t>the</w:t>
            </w:r>
            <w:r>
              <w:t xml:space="preserve"> </w:t>
            </w:r>
            <w:r w:rsidRPr="00717004">
              <w:t>Victorian</w:t>
            </w:r>
            <w:r>
              <w:t xml:space="preserve"> </w:t>
            </w:r>
            <w:r w:rsidRPr="00717004">
              <w:t>Civil</w:t>
            </w:r>
            <w:r>
              <w:t xml:space="preserve"> </w:t>
            </w:r>
            <w:r w:rsidRPr="00717004">
              <w:t>and</w:t>
            </w:r>
            <w:r>
              <w:t xml:space="preserve"> </w:t>
            </w:r>
            <w:r w:rsidRPr="00717004">
              <w:t>Administrative</w:t>
            </w:r>
            <w:r>
              <w:t xml:space="preserve"> </w:t>
            </w:r>
            <w:r w:rsidRPr="00717004">
              <w:t>Tribunal</w:t>
            </w:r>
            <w:r>
              <w:t xml:space="preserve"> </w:t>
            </w:r>
            <w:r w:rsidRPr="00717004">
              <w:t>(VCAT)</w:t>
            </w:r>
            <w:r>
              <w:t xml:space="preserve"> </w:t>
            </w:r>
            <w:r w:rsidRPr="00717004">
              <w:t>Building</w:t>
            </w:r>
            <w:r>
              <w:t xml:space="preserve"> </w:t>
            </w:r>
            <w:r w:rsidRPr="00717004">
              <w:t>and</w:t>
            </w:r>
            <w:r>
              <w:t xml:space="preserve"> </w:t>
            </w:r>
            <w:r w:rsidRPr="00717004">
              <w:t>Property</w:t>
            </w:r>
            <w:r>
              <w:t xml:space="preserve"> </w:t>
            </w:r>
            <w:r w:rsidRPr="00717004">
              <w:t>List</w:t>
            </w:r>
            <w:r>
              <w:t xml:space="preserve"> </w:t>
            </w:r>
            <w:r w:rsidRPr="00717004">
              <w:t>and</w:t>
            </w:r>
            <w:r>
              <w:t xml:space="preserve"> </w:t>
            </w:r>
            <w:r w:rsidRPr="00717004">
              <w:t>Domestic</w:t>
            </w:r>
            <w:r>
              <w:t xml:space="preserve"> </w:t>
            </w:r>
            <w:r w:rsidRPr="00717004">
              <w:t>Building</w:t>
            </w:r>
            <w:r>
              <w:t xml:space="preserve"> </w:t>
            </w:r>
            <w:r w:rsidRPr="00717004">
              <w:t>Dispute</w:t>
            </w:r>
            <w:r>
              <w:t xml:space="preserve"> </w:t>
            </w:r>
            <w:r w:rsidRPr="00717004">
              <w:t>Resolution</w:t>
            </w:r>
            <w:r>
              <w:t xml:space="preserve"> </w:t>
            </w:r>
            <w:r w:rsidRPr="00717004">
              <w:t>Victoria</w:t>
            </w:r>
            <w:r>
              <w:t xml:space="preserve"> </w:t>
            </w:r>
            <w:r w:rsidRPr="00717004">
              <w:t>(DBDRV).</w:t>
            </w:r>
          </w:p>
        </w:tc>
      </w:tr>
      <w:tr w:rsidR="00856406" w:rsidRPr="009C1F7F" w14:paraId="00F48547" w14:textId="77777777" w:rsidTr="00794DF4">
        <w:trPr>
          <w:trHeight w:val="60"/>
        </w:trPr>
        <w:tc>
          <w:tcPr>
            <w:tcW w:w="4395" w:type="dxa"/>
          </w:tcPr>
          <w:p w14:paraId="4613428E" w14:textId="77777777" w:rsidR="00856406" w:rsidRPr="00717004" w:rsidRDefault="00856406" w:rsidP="004A6BB2">
            <w:pPr>
              <w:pStyle w:val="TableText"/>
            </w:pPr>
            <w:r w:rsidRPr="00717004">
              <w:t>Motor</w:t>
            </w:r>
            <w:r>
              <w:t xml:space="preserve"> </w:t>
            </w:r>
            <w:r w:rsidRPr="00717004">
              <w:t>Car</w:t>
            </w:r>
            <w:r>
              <w:t xml:space="preserve"> </w:t>
            </w:r>
            <w:r w:rsidRPr="00717004">
              <w:t>Traders</w:t>
            </w:r>
            <w:r>
              <w:t xml:space="preserve"> </w:t>
            </w:r>
            <w:r w:rsidRPr="00717004">
              <w:t>Guarantee</w:t>
            </w:r>
            <w:r>
              <w:t xml:space="preserve"> </w:t>
            </w:r>
            <w:r w:rsidRPr="00717004">
              <w:t>Fund</w:t>
            </w:r>
          </w:p>
        </w:tc>
        <w:tc>
          <w:tcPr>
            <w:tcW w:w="5243" w:type="dxa"/>
          </w:tcPr>
          <w:p w14:paraId="6BED12BB" w14:textId="77777777" w:rsidR="00856406" w:rsidRPr="00717004" w:rsidRDefault="00856406" w:rsidP="004A6BB2">
            <w:pPr>
              <w:pStyle w:val="TableText"/>
            </w:pPr>
            <w:r w:rsidRPr="00717004">
              <w:t>Administration</w:t>
            </w:r>
            <w:r>
              <w:t xml:space="preserve"> </w:t>
            </w:r>
            <w:r w:rsidRPr="00717004">
              <w:t>of</w:t>
            </w:r>
            <w:r>
              <w:t xml:space="preserve"> </w:t>
            </w:r>
            <w:r w:rsidRPr="00717004">
              <w:t>the</w:t>
            </w:r>
            <w:r>
              <w:rPr>
                <w:rStyle w:val="Emphasis"/>
              </w:rPr>
              <w:t xml:space="preserve"> </w:t>
            </w:r>
            <w:r w:rsidRPr="00717004">
              <w:rPr>
                <w:rStyle w:val="Emphasis"/>
              </w:rPr>
              <w:t>Motor</w:t>
            </w:r>
            <w:r>
              <w:rPr>
                <w:rStyle w:val="Emphasis"/>
              </w:rPr>
              <w:t xml:space="preserve"> </w:t>
            </w:r>
            <w:r w:rsidRPr="00717004">
              <w:rPr>
                <w:rStyle w:val="Emphasis"/>
              </w:rPr>
              <w:t>Car</w:t>
            </w:r>
            <w:r>
              <w:rPr>
                <w:rStyle w:val="Emphasis"/>
              </w:rPr>
              <w:t xml:space="preserve"> </w:t>
            </w:r>
            <w:r w:rsidRPr="00717004">
              <w:rPr>
                <w:rStyle w:val="Emphasis"/>
              </w:rPr>
              <w:t>Traders</w:t>
            </w:r>
            <w:r>
              <w:rPr>
                <w:rStyle w:val="Emphasis"/>
              </w:rPr>
              <w:t xml:space="preserve"> </w:t>
            </w:r>
            <w:r w:rsidRPr="00717004">
              <w:rPr>
                <w:rStyle w:val="Emphasis"/>
              </w:rPr>
              <w:t>Act</w:t>
            </w:r>
            <w:r>
              <w:rPr>
                <w:rStyle w:val="Emphasis"/>
              </w:rPr>
              <w:t xml:space="preserve"> </w:t>
            </w:r>
            <w:r w:rsidRPr="00A4404F">
              <w:rPr>
                <w:rStyle w:val="Emphasis"/>
              </w:rPr>
              <w:t>1986</w:t>
            </w:r>
            <w:r w:rsidRPr="00717004">
              <w:t>,</w:t>
            </w:r>
            <w:r>
              <w:t xml:space="preserve"> </w:t>
            </w:r>
            <w:r w:rsidRPr="00717004">
              <w:t>guarantee</w:t>
            </w:r>
            <w:r>
              <w:t xml:space="preserve"> </w:t>
            </w:r>
            <w:r w:rsidRPr="00717004">
              <w:t>fund</w:t>
            </w:r>
            <w:r>
              <w:t xml:space="preserve"> </w:t>
            </w:r>
            <w:r w:rsidRPr="00717004">
              <w:t>claims.</w:t>
            </w:r>
          </w:p>
        </w:tc>
      </w:tr>
      <w:tr w:rsidR="00856406" w:rsidRPr="009C1F7F" w14:paraId="5ABBD620" w14:textId="77777777" w:rsidTr="00794DF4">
        <w:trPr>
          <w:trHeight w:val="60"/>
        </w:trPr>
        <w:tc>
          <w:tcPr>
            <w:tcW w:w="4395" w:type="dxa"/>
          </w:tcPr>
          <w:p w14:paraId="3FA9934A" w14:textId="77777777" w:rsidR="00856406" w:rsidRPr="00717004" w:rsidRDefault="00856406" w:rsidP="004A6BB2">
            <w:pPr>
              <w:pStyle w:val="TableText"/>
            </w:pPr>
            <w:r w:rsidRPr="00717004">
              <w:t>Residential</w:t>
            </w:r>
            <w:r>
              <w:t xml:space="preserve"> </w:t>
            </w:r>
            <w:r w:rsidRPr="00717004">
              <w:t>Bonds</w:t>
            </w:r>
            <w:r>
              <w:t xml:space="preserve"> </w:t>
            </w:r>
            <w:r w:rsidRPr="00717004">
              <w:t>Account</w:t>
            </w:r>
          </w:p>
        </w:tc>
        <w:tc>
          <w:tcPr>
            <w:tcW w:w="5243" w:type="dxa"/>
          </w:tcPr>
          <w:p w14:paraId="678454F3" w14:textId="77777777" w:rsidR="00856406" w:rsidRPr="00717004" w:rsidRDefault="00856406" w:rsidP="004A6BB2">
            <w:pPr>
              <w:pStyle w:val="TableText"/>
            </w:pPr>
            <w:r w:rsidRPr="00717004">
              <w:t>Bonds</w:t>
            </w:r>
            <w:r>
              <w:t xml:space="preserve"> </w:t>
            </w:r>
            <w:r w:rsidRPr="00717004">
              <w:t>held</w:t>
            </w:r>
            <w:r>
              <w:t xml:space="preserve"> </w:t>
            </w:r>
            <w:r w:rsidRPr="00717004">
              <w:t>on</w:t>
            </w:r>
            <w:r>
              <w:t xml:space="preserve"> </w:t>
            </w:r>
            <w:r w:rsidRPr="00717004">
              <w:t>trust</w:t>
            </w:r>
            <w:r>
              <w:t xml:space="preserve"> </w:t>
            </w:r>
            <w:r w:rsidRPr="00717004">
              <w:t>for</w:t>
            </w:r>
            <w:r>
              <w:t xml:space="preserve"> </w:t>
            </w:r>
            <w:r w:rsidRPr="00717004">
              <w:t>Victorian</w:t>
            </w:r>
            <w:r>
              <w:t xml:space="preserve"> </w:t>
            </w:r>
            <w:r w:rsidRPr="00717004">
              <w:t>renters</w:t>
            </w:r>
            <w:r>
              <w:t xml:space="preserve"> </w:t>
            </w:r>
            <w:r w:rsidRPr="00717004">
              <w:t>and</w:t>
            </w:r>
            <w:r>
              <w:t xml:space="preserve"> </w:t>
            </w:r>
            <w:r w:rsidRPr="00717004">
              <w:t>rental</w:t>
            </w:r>
            <w:r>
              <w:t xml:space="preserve"> </w:t>
            </w:r>
            <w:r w:rsidRPr="00717004">
              <w:t>providers.</w:t>
            </w:r>
          </w:p>
        </w:tc>
      </w:tr>
      <w:tr w:rsidR="00856406" w:rsidRPr="009C1F7F" w14:paraId="11A82A1B" w14:textId="77777777" w:rsidTr="00794DF4">
        <w:trPr>
          <w:trHeight w:val="60"/>
        </w:trPr>
        <w:tc>
          <w:tcPr>
            <w:tcW w:w="4395" w:type="dxa"/>
          </w:tcPr>
          <w:p w14:paraId="73128062" w14:textId="77777777" w:rsidR="00856406" w:rsidRPr="00717004" w:rsidRDefault="00856406" w:rsidP="004A6BB2">
            <w:pPr>
              <w:pStyle w:val="TableText"/>
            </w:pPr>
            <w:r w:rsidRPr="00717004">
              <w:t>Residential</w:t>
            </w:r>
            <w:r>
              <w:t xml:space="preserve"> </w:t>
            </w:r>
            <w:r w:rsidRPr="00717004">
              <w:t>Bonds</w:t>
            </w:r>
            <w:r>
              <w:t xml:space="preserve"> </w:t>
            </w:r>
            <w:r w:rsidRPr="00717004">
              <w:t>Investment</w:t>
            </w:r>
            <w:r>
              <w:t xml:space="preserve"> </w:t>
            </w:r>
            <w:r w:rsidRPr="00717004">
              <w:t>Income</w:t>
            </w:r>
            <w:r>
              <w:t xml:space="preserve"> </w:t>
            </w:r>
            <w:r w:rsidRPr="00717004">
              <w:t>Account</w:t>
            </w:r>
          </w:p>
        </w:tc>
        <w:tc>
          <w:tcPr>
            <w:tcW w:w="5243" w:type="dxa"/>
          </w:tcPr>
          <w:p w14:paraId="27D42BFC" w14:textId="77777777" w:rsidR="00856406" w:rsidRPr="00717004" w:rsidRDefault="00856406" w:rsidP="004A6BB2">
            <w:pPr>
              <w:pStyle w:val="TableText"/>
            </w:pPr>
            <w:r w:rsidRPr="00717004">
              <w:t>Administration</w:t>
            </w:r>
            <w:r>
              <w:t xml:space="preserve"> </w:t>
            </w:r>
            <w:r w:rsidRPr="00717004">
              <w:t>of</w:t>
            </w:r>
            <w:r>
              <w:t xml:space="preserve"> </w:t>
            </w:r>
            <w:r w:rsidRPr="00717004">
              <w:t>the</w:t>
            </w:r>
            <w:r>
              <w:t xml:space="preserve"> </w:t>
            </w:r>
            <w:r w:rsidRPr="00717004">
              <w:t>Residential</w:t>
            </w:r>
            <w:r>
              <w:t xml:space="preserve"> </w:t>
            </w:r>
            <w:r w:rsidRPr="00717004">
              <w:t>Tenancies</w:t>
            </w:r>
            <w:r>
              <w:t xml:space="preserve"> </w:t>
            </w:r>
            <w:r w:rsidRPr="00717004">
              <w:t>Bond</w:t>
            </w:r>
            <w:r>
              <w:t xml:space="preserve"> </w:t>
            </w:r>
            <w:r w:rsidRPr="00717004">
              <w:t>Authority,</w:t>
            </w:r>
            <w:r>
              <w:t xml:space="preserve"> </w:t>
            </w:r>
            <w:r w:rsidRPr="00717004">
              <w:t>transfers</w:t>
            </w:r>
            <w:r>
              <w:t xml:space="preserve"> </w:t>
            </w:r>
            <w:r w:rsidRPr="00717004">
              <w:t>to</w:t>
            </w:r>
            <w:r>
              <w:t xml:space="preserve"> </w:t>
            </w:r>
            <w:r w:rsidRPr="00717004">
              <w:t>the</w:t>
            </w:r>
            <w:r>
              <w:t xml:space="preserve"> </w:t>
            </w:r>
            <w:r w:rsidRPr="00717004">
              <w:t>Residential</w:t>
            </w:r>
            <w:r>
              <w:t xml:space="preserve"> </w:t>
            </w:r>
            <w:r w:rsidRPr="00717004">
              <w:t>Tenancies</w:t>
            </w:r>
            <w:r>
              <w:t xml:space="preserve"> </w:t>
            </w:r>
            <w:r w:rsidRPr="00717004">
              <w:t>Fund.</w:t>
            </w:r>
          </w:p>
        </w:tc>
      </w:tr>
      <w:tr w:rsidR="00856406" w:rsidRPr="009C1F7F" w14:paraId="62805022" w14:textId="77777777" w:rsidTr="00794DF4">
        <w:trPr>
          <w:trHeight w:val="60"/>
        </w:trPr>
        <w:tc>
          <w:tcPr>
            <w:tcW w:w="4395" w:type="dxa"/>
          </w:tcPr>
          <w:p w14:paraId="7B641330" w14:textId="77777777" w:rsidR="00856406" w:rsidRPr="00717004" w:rsidRDefault="00856406" w:rsidP="004A6BB2">
            <w:pPr>
              <w:pStyle w:val="TableText"/>
            </w:pPr>
            <w:r w:rsidRPr="00717004">
              <w:t>Residential</w:t>
            </w:r>
            <w:r>
              <w:t xml:space="preserve"> </w:t>
            </w:r>
            <w:r w:rsidRPr="00717004">
              <w:t>Tenancies</w:t>
            </w:r>
            <w:r>
              <w:t xml:space="preserve"> </w:t>
            </w:r>
            <w:r w:rsidRPr="00717004">
              <w:t>Fund</w:t>
            </w:r>
          </w:p>
        </w:tc>
        <w:tc>
          <w:tcPr>
            <w:tcW w:w="5243" w:type="dxa"/>
          </w:tcPr>
          <w:p w14:paraId="49412048" w14:textId="77777777" w:rsidR="00856406" w:rsidRPr="00717004" w:rsidRDefault="00856406" w:rsidP="004A6BB2">
            <w:pPr>
              <w:pStyle w:val="TableText"/>
            </w:pPr>
            <w:r w:rsidRPr="00717004">
              <w:t>Administration</w:t>
            </w:r>
            <w:r>
              <w:t xml:space="preserve"> </w:t>
            </w:r>
            <w:r w:rsidRPr="00717004">
              <w:t>of</w:t>
            </w:r>
            <w:r>
              <w:t xml:space="preserve"> </w:t>
            </w:r>
            <w:r w:rsidRPr="00717004">
              <w:t>the</w:t>
            </w:r>
            <w:r>
              <w:t xml:space="preserve"> </w:t>
            </w:r>
            <w:r w:rsidRPr="00717004">
              <w:rPr>
                <w:rStyle w:val="Emphasis"/>
              </w:rPr>
              <w:t>Residential</w:t>
            </w:r>
            <w:r>
              <w:rPr>
                <w:rStyle w:val="Emphasis"/>
              </w:rPr>
              <w:t xml:space="preserve"> </w:t>
            </w:r>
            <w:r w:rsidRPr="00717004">
              <w:rPr>
                <w:rStyle w:val="Emphasis"/>
              </w:rPr>
              <w:t>Tenancies</w:t>
            </w:r>
            <w:r>
              <w:rPr>
                <w:rStyle w:val="Emphasis"/>
              </w:rPr>
              <w:t xml:space="preserve"> </w:t>
            </w:r>
            <w:r w:rsidRPr="00717004">
              <w:rPr>
                <w:rStyle w:val="Emphasis"/>
              </w:rPr>
              <w:t>Act</w:t>
            </w:r>
            <w:r>
              <w:rPr>
                <w:rStyle w:val="Emphasis"/>
              </w:rPr>
              <w:t xml:space="preserve"> </w:t>
            </w:r>
            <w:r w:rsidRPr="00A4404F">
              <w:rPr>
                <w:rStyle w:val="Emphasis"/>
              </w:rPr>
              <w:t>1997</w:t>
            </w:r>
            <w:r w:rsidRPr="00717004">
              <w:t>,</w:t>
            </w:r>
            <w:r>
              <w:t xml:space="preserve"> </w:t>
            </w:r>
            <w:r w:rsidRPr="00717004">
              <w:t>costs</w:t>
            </w:r>
            <w:r>
              <w:t xml:space="preserve"> </w:t>
            </w:r>
            <w:r w:rsidRPr="00717004">
              <w:t>relating</w:t>
            </w:r>
            <w:r>
              <w:t xml:space="preserve"> </w:t>
            </w:r>
            <w:r w:rsidRPr="00717004">
              <w:t>to</w:t>
            </w:r>
            <w:r>
              <w:t xml:space="preserve"> </w:t>
            </w:r>
            <w:r w:rsidRPr="00717004">
              <w:t>the</w:t>
            </w:r>
            <w:r>
              <w:t xml:space="preserve"> </w:t>
            </w:r>
            <w:r w:rsidRPr="00717004">
              <w:t>VCAT</w:t>
            </w:r>
            <w:r>
              <w:t xml:space="preserve"> </w:t>
            </w:r>
            <w:r w:rsidRPr="00717004">
              <w:t>Residential</w:t>
            </w:r>
            <w:r>
              <w:t xml:space="preserve"> </w:t>
            </w:r>
            <w:r w:rsidRPr="00717004">
              <w:t>Tenancies</w:t>
            </w:r>
            <w:r>
              <w:t xml:space="preserve"> </w:t>
            </w:r>
            <w:r w:rsidRPr="00717004">
              <w:t>List.</w:t>
            </w:r>
          </w:p>
        </w:tc>
      </w:tr>
      <w:tr w:rsidR="00856406" w:rsidRPr="009C1F7F" w14:paraId="0D458882" w14:textId="77777777" w:rsidTr="00794DF4">
        <w:trPr>
          <w:trHeight w:val="60"/>
        </w:trPr>
        <w:tc>
          <w:tcPr>
            <w:tcW w:w="4395" w:type="dxa"/>
          </w:tcPr>
          <w:p w14:paraId="6F8F0A5B" w14:textId="77777777" w:rsidR="00856406" w:rsidRPr="00717004" w:rsidRDefault="00856406" w:rsidP="004A6BB2">
            <w:pPr>
              <w:pStyle w:val="TableText"/>
            </w:pPr>
            <w:r w:rsidRPr="00717004">
              <w:t>Victorian</w:t>
            </w:r>
            <w:r>
              <w:t xml:space="preserve"> </w:t>
            </w:r>
            <w:r w:rsidRPr="00717004">
              <w:t>Consumer</w:t>
            </w:r>
            <w:r>
              <w:t xml:space="preserve"> </w:t>
            </w:r>
            <w:r w:rsidRPr="00717004">
              <w:t>Law</w:t>
            </w:r>
            <w:r>
              <w:t xml:space="preserve"> </w:t>
            </w:r>
            <w:r w:rsidRPr="00717004">
              <w:t>Fund</w:t>
            </w:r>
          </w:p>
        </w:tc>
        <w:tc>
          <w:tcPr>
            <w:tcW w:w="5243" w:type="dxa"/>
          </w:tcPr>
          <w:p w14:paraId="5D8D3560" w14:textId="77777777" w:rsidR="00856406" w:rsidRPr="00717004" w:rsidRDefault="00856406" w:rsidP="004A6BB2">
            <w:pPr>
              <w:pStyle w:val="TableText"/>
            </w:pPr>
            <w:r w:rsidRPr="00717004">
              <w:t>Administration</w:t>
            </w:r>
            <w:r>
              <w:t xml:space="preserve"> </w:t>
            </w:r>
            <w:r w:rsidRPr="00717004">
              <w:t>of</w:t>
            </w:r>
            <w:r>
              <w:t xml:space="preserve"> </w:t>
            </w:r>
            <w:r w:rsidRPr="00717004">
              <w:t>the</w:t>
            </w:r>
            <w:r>
              <w:t xml:space="preserve"> </w:t>
            </w:r>
            <w:r w:rsidRPr="00717004">
              <w:rPr>
                <w:rStyle w:val="Emphasis"/>
              </w:rPr>
              <w:t>Australian</w:t>
            </w:r>
            <w:r>
              <w:rPr>
                <w:rStyle w:val="Emphasis"/>
              </w:rPr>
              <w:t xml:space="preserve"> </w:t>
            </w:r>
            <w:r w:rsidRPr="00717004">
              <w:rPr>
                <w:rStyle w:val="Emphasis"/>
              </w:rPr>
              <w:t>Consumer</w:t>
            </w:r>
            <w:r>
              <w:rPr>
                <w:rStyle w:val="Emphasis"/>
              </w:rPr>
              <w:t xml:space="preserve"> </w:t>
            </w:r>
            <w:r w:rsidRPr="00717004">
              <w:rPr>
                <w:rStyle w:val="Emphasis"/>
              </w:rPr>
              <w:t>Law</w:t>
            </w:r>
            <w:r>
              <w:rPr>
                <w:rStyle w:val="Emphasis"/>
              </w:rPr>
              <w:t xml:space="preserve"> </w:t>
            </w:r>
            <w:r w:rsidRPr="00717004">
              <w:rPr>
                <w:rStyle w:val="Emphasis"/>
              </w:rPr>
              <w:t>and</w:t>
            </w:r>
            <w:r>
              <w:rPr>
                <w:rStyle w:val="Emphasis"/>
              </w:rPr>
              <w:t xml:space="preserve"> </w:t>
            </w:r>
            <w:r w:rsidRPr="00717004">
              <w:rPr>
                <w:rStyle w:val="Emphasis"/>
              </w:rPr>
              <w:t>Fair</w:t>
            </w:r>
            <w:r>
              <w:rPr>
                <w:rStyle w:val="Emphasis"/>
              </w:rPr>
              <w:t xml:space="preserve"> </w:t>
            </w:r>
            <w:r w:rsidRPr="00717004">
              <w:rPr>
                <w:rStyle w:val="Emphasis"/>
              </w:rPr>
              <w:t>Trading</w:t>
            </w:r>
            <w:r>
              <w:rPr>
                <w:rStyle w:val="Emphasis"/>
              </w:rPr>
              <w:t xml:space="preserve"> </w:t>
            </w:r>
            <w:r w:rsidRPr="00717004">
              <w:rPr>
                <w:rStyle w:val="Emphasis"/>
              </w:rPr>
              <w:t>Act</w:t>
            </w:r>
            <w:r>
              <w:rPr>
                <w:rStyle w:val="Emphasis"/>
              </w:rPr>
              <w:t xml:space="preserve"> </w:t>
            </w:r>
            <w:r w:rsidRPr="00A4404F">
              <w:rPr>
                <w:rStyle w:val="Emphasis"/>
              </w:rPr>
              <w:t>2012</w:t>
            </w:r>
            <w:r w:rsidRPr="00717004">
              <w:t>,</w:t>
            </w:r>
            <w:r>
              <w:t xml:space="preserve"> </w:t>
            </w:r>
            <w:r w:rsidRPr="00717004">
              <w:t>orders</w:t>
            </w:r>
            <w:r>
              <w:t xml:space="preserve"> </w:t>
            </w:r>
            <w:r w:rsidRPr="00717004">
              <w:t>for</w:t>
            </w:r>
            <w:r>
              <w:t xml:space="preserve"> </w:t>
            </w:r>
            <w:r w:rsidRPr="00717004">
              <w:t>payment</w:t>
            </w:r>
            <w:r>
              <w:t xml:space="preserve"> </w:t>
            </w:r>
            <w:r w:rsidRPr="00717004">
              <w:t>to</w:t>
            </w:r>
            <w:r>
              <w:t xml:space="preserve"> </w:t>
            </w:r>
            <w:r w:rsidRPr="00717004">
              <w:t>non-party</w:t>
            </w:r>
            <w:r>
              <w:t xml:space="preserve"> </w:t>
            </w:r>
            <w:r w:rsidRPr="00717004">
              <w:t>consumers,</w:t>
            </w:r>
            <w:r>
              <w:t xml:space="preserve"> </w:t>
            </w:r>
            <w:r w:rsidRPr="00717004">
              <w:t>special</w:t>
            </w:r>
            <w:r>
              <w:t xml:space="preserve"> </w:t>
            </w:r>
            <w:r w:rsidRPr="00717004">
              <w:t>purpose</w:t>
            </w:r>
            <w:r>
              <w:t xml:space="preserve"> </w:t>
            </w:r>
            <w:r w:rsidRPr="00717004">
              <w:t>grants.</w:t>
            </w:r>
          </w:p>
        </w:tc>
      </w:tr>
      <w:tr w:rsidR="00856406" w:rsidRPr="009C1F7F" w14:paraId="6F81C55F" w14:textId="77777777" w:rsidTr="00794DF4">
        <w:trPr>
          <w:trHeight w:val="80"/>
        </w:trPr>
        <w:tc>
          <w:tcPr>
            <w:tcW w:w="4395" w:type="dxa"/>
          </w:tcPr>
          <w:p w14:paraId="3F929488" w14:textId="77777777" w:rsidR="00856406" w:rsidRPr="00717004" w:rsidRDefault="00856406" w:rsidP="004A6BB2">
            <w:pPr>
              <w:pStyle w:val="TableText"/>
            </w:pPr>
            <w:r w:rsidRPr="00717004">
              <w:t>Victorian</w:t>
            </w:r>
            <w:r>
              <w:t xml:space="preserve"> </w:t>
            </w:r>
            <w:r w:rsidRPr="00717004">
              <w:t>Property</w:t>
            </w:r>
            <w:r>
              <w:t xml:space="preserve"> </w:t>
            </w:r>
            <w:r w:rsidRPr="00717004">
              <w:t>Fund</w:t>
            </w:r>
          </w:p>
        </w:tc>
        <w:tc>
          <w:tcPr>
            <w:tcW w:w="5243" w:type="dxa"/>
          </w:tcPr>
          <w:p w14:paraId="7558ECCF" w14:textId="77777777" w:rsidR="00856406" w:rsidRPr="00717004" w:rsidRDefault="00856406" w:rsidP="004A6BB2">
            <w:pPr>
              <w:pStyle w:val="TableText"/>
            </w:pPr>
            <w:r w:rsidRPr="00717004">
              <w:t>Administration</w:t>
            </w:r>
            <w:r>
              <w:t xml:space="preserve"> </w:t>
            </w:r>
            <w:r w:rsidRPr="00717004">
              <w:t>of</w:t>
            </w:r>
            <w:r>
              <w:t xml:space="preserve"> </w:t>
            </w:r>
            <w:r w:rsidRPr="00717004">
              <w:t>the</w:t>
            </w:r>
            <w:r>
              <w:t xml:space="preserve"> </w:t>
            </w:r>
            <w:r w:rsidRPr="00717004">
              <w:rPr>
                <w:rStyle w:val="Emphasis"/>
              </w:rPr>
              <w:t>Estate</w:t>
            </w:r>
            <w:r>
              <w:rPr>
                <w:rStyle w:val="Emphasis"/>
              </w:rPr>
              <w:t xml:space="preserve"> </w:t>
            </w:r>
            <w:r w:rsidRPr="00717004">
              <w:rPr>
                <w:rStyle w:val="Emphasis"/>
              </w:rPr>
              <w:t>Agents</w:t>
            </w:r>
            <w:r>
              <w:rPr>
                <w:rStyle w:val="Emphasis"/>
              </w:rPr>
              <w:t xml:space="preserve"> </w:t>
            </w:r>
            <w:r w:rsidRPr="00717004">
              <w:rPr>
                <w:rStyle w:val="Emphasis"/>
              </w:rPr>
              <w:t>Act</w:t>
            </w:r>
            <w:r>
              <w:rPr>
                <w:rStyle w:val="Emphasis"/>
              </w:rPr>
              <w:t xml:space="preserve"> </w:t>
            </w:r>
            <w:r w:rsidRPr="00A4404F">
              <w:rPr>
                <w:rStyle w:val="Emphasis"/>
              </w:rPr>
              <w:t>1980</w:t>
            </w:r>
            <w:r>
              <w:t xml:space="preserve"> </w:t>
            </w:r>
            <w:r w:rsidRPr="00717004">
              <w:t>and</w:t>
            </w:r>
            <w:r>
              <w:t xml:space="preserve"> </w:t>
            </w:r>
            <w:r w:rsidRPr="00717004">
              <w:t>other</w:t>
            </w:r>
            <w:r>
              <w:t xml:space="preserve"> </w:t>
            </w:r>
            <w:r w:rsidRPr="00717004">
              <w:t>real</w:t>
            </w:r>
            <w:r>
              <w:t xml:space="preserve"> </w:t>
            </w:r>
            <w:r w:rsidRPr="00717004">
              <w:t>estate</w:t>
            </w:r>
            <w:r>
              <w:t xml:space="preserve"> </w:t>
            </w:r>
            <w:r w:rsidRPr="00717004">
              <w:t>related</w:t>
            </w:r>
            <w:r>
              <w:t xml:space="preserve"> </w:t>
            </w:r>
            <w:r w:rsidRPr="00717004">
              <w:t>legislation</w:t>
            </w:r>
            <w:r>
              <w:t xml:space="preserve"> </w:t>
            </w:r>
            <w:r w:rsidRPr="00717004">
              <w:t>as</w:t>
            </w:r>
            <w:r>
              <w:t xml:space="preserve"> </w:t>
            </w:r>
            <w:r w:rsidRPr="00717004">
              <w:t>permitted</w:t>
            </w:r>
            <w:r>
              <w:t xml:space="preserve"> </w:t>
            </w:r>
            <w:r w:rsidRPr="00717004">
              <w:t>by</w:t>
            </w:r>
            <w:r>
              <w:t xml:space="preserve"> </w:t>
            </w:r>
            <w:r w:rsidRPr="00717004">
              <w:t>s.</w:t>
            </w:r>
            <w:r>
              <w:t xml:space="preserve"> </w:t>
            </w:r>
            <w:r w:rsidRPr="00717004">
              <w:t>75</w:t>
            </w:r>
            <w:r>
              <w:t xml:space="preserve"> </w:t>
            </w:r>
            <w:r w:rsidRPr="00717004">
              <w:t>of</w:t>
            </w:r>
            <w:r>
              <w:t xml:space="preserve"> </w:t>
            </w:r>
            <w:r w:rsidRPr="00717004">
              <w:t>the</w:t>
            </w:r>
            <w:r>
              <w:t xml:space="preserve"> </w:t>
            </w:r>
            <w:r w:rsidRPr="00717004">
              <w:t>Act,</w:t>
            </w:r>
            <w:r>
              <w:t xml:space="preserve"> </w:t>
            </w:r>
            <w:r w:rsidRPr="00717004">
              <w:t>grants</w:t>
            </w:r>
            <w:r>
              <w:t xml:space="preserve"> </w:t>
            </w:r>
            <w:r w:rsidRPr="00717004">
              <w:t>relating</w:t>
            </w:r>
            <w:r>
              <w:t xml:space="preserve"> </w:t>
            </w:r>
            <w:r w:rsidRPr="00717004">
              <w:t>to</w:t>
            </w:r>
            <w:r>
              <w:t xml:space="preserve"> </w:t>
            </w:r>
            <w:r w:rsidRPr="00717004">
              <w:t>property</w:t>
            </w:r>
            <w:r>
              <w:t xml:space="preserve"> </w:t>
            </w:r>
            <w:r w:rsidRPr="00717004">
              <w:t>and</w:t>
            </w:r>
            <w:r>
              <w:t xml:space="preserve"> </w:t>
            </w:r>
            <w:r w:rsidRPr="00717004">
              <w:t>housing</w:t>
            </w:r>
            <w:r>
              <w:t xml:space="preserve"> </w:t>
            </w:r>
            <w:r w:rsidRPr="00717004">
              <w:t>as</w:t>
            </w:r>
            <w:r>
              <w:t xml:space="preserve"> </w:t>
            </w:r>
            <w:r w:rsidRPr="00717004">
              <w:t>permitted</w:t>
            </w:r>
            <w:r>
              <w:t xml:space="preserve"> </w:t>
            </w:r>
            <w:r w:rsidRPr="00717004">
              <w:t>by</w:t>
            </w:r>
            <w:r>
              <w:t xml:space="preserve"> </w:t>
            </w:r>
            <w:r w:rsidRPr="00717004">
              <w:t>s.</w:t>
            </w:r>
            <w:r>
              <w:t xml:space="preserve"> </w:t>
            </w:r>
            <w:r w:rsidRPr="00717004">
              <w:t>76(3)</w:t>
            </w:r>
            <w:r>
              <w:t xml:space="preserve"> </w:t>
            </w:r>
            <w:r w:rsidRPr="00717004">
              <w:t>of</w:t>
            </w:r>
            <w:r>
              <w:t xml:space="preserve"> </w:t>
            </w:r>
            <w:r w:rsidRPr="00717004">
              <w:t>the</w:t>
            </w:r>
            <w:r>
              <w:t xml:space="preserve"> </w:t>
            </w:r>
            <w:r w:rsidRPr="00717004">
              <w:t>Act,</w:t>
            </w:r>
            <w:r>
              <w:t xml:space="preserve"> </w:t>
            </w:r>
            <w:r w:rsidRPr="00717004">
              <w:t>trust</w:t>
            </w:r>
            <w:r>
              <w:t xml:space="preserve"> </w:t>
            </w:r>
            <w:r w:rsidRPr="00717004">
              <w:t>fund</w:t>
            </w:r>
            <w:r>
              <w:t xml:space="preserve"> </w:t>
            </w:r>
            <w:r w:rsidRPr="00717004">
              <w:t>claims,</w:t>
            </w:r>
            <w:r>
              <w:t xml:space="preserve"> </w:t>
            </w:r>
            <w:r w:rsidRPr="00717004">
              <w:t>costs</w:t>
            </w:r>
            <w:r>
              <w:t xml:space="preserve"> </w:t>
            </w:r>
            <w:r w:rsidRPr="00717004">
              <w:t>relating</w:t>
            </w:r>
            <w:r>
              <w:t xml:space="preserve"> </w:t>
            </w:r>
            <w:r w:rsidRPr="00717004">
              <w:t>to</w:t>
            </w:r>
            <w:r>
              <w:t xml:space="preserve"> </w:t>
            </w:r>
            <w:r w:rsidRPr="00717004">
              <w:t>the</w:t>
            </w:r>
            <w:r>
              <w:t xml:space="preserve"> </w:t>
            </w:r>
            <w:r w:rsidRPr="00717004">
              <w:t>VCAT</w:t>
            </w:r>
            <w:r>
              <w:t xml:space="preserve"> </w:t>
            </w:r>
            <w:r w:rsidRPr="00717004">
              <w:t>Owners</w:t>
            </w:r>
            <w:r>
              <w:t xml:space="preserve"> </w:t>
            </w:r>
            <w:r w:rsidRPr="00717004">
              <w:t>Corporation</w:t>
            </w:r>
            <w:r>
              <w:t xml:space="preserve"> </w:t>
            </w:r>
            <w:r w:rsidRPr="00717004">
              <w:t>List</w:t>
            </w:r>
            <w:r>
              <w:t xml:space="preserve">, Rental Dispute Resolution Victoria </w:t>
            </w:r>
            <w:r w:rsidRPr="00717004">
              <w:t>and</w:t>
            </w:r>
            <w:r>
              <w:t xml:space="preserve"> </w:t>
            </w:r>
            <w:r w:rsidRPr="00717004">
              <w:t>contribution</w:t>
            </w:r>
            <w:r>
              <w:t xml:space="preserve"> </w:t>
            </w:r>
            <w:r w:rsidRPr="00717004">
              <w:t>to</w:t>
            </w:r>
            <w:r>
              <w:t xml:space="preserve"> </w:t>
            </w:r>
            <w:r w:rsidRPr="00717004">
              <w:t>the</w:t>
            </w:r>
            <w:r>
              <w:t xml:space="preserve"> </w:t>
            </w:r>
            <w:r w:rsidRPr="00717004">
              <w:t>costs</w:t>
            </w:r>
            <w:r>
              <w:t xml:space="preserve"> </w:t>
            </w:r>
            <w:r w:rsidRPr="00717004">
              <w:t>of</w:t>
            </w:r>
            <w:r>
              <w:t xml:space="preserve"> </w:t>
            </w:r>
            <w:r w:rsidRPr="00717004">
              <w:t>the</w:t>
            </w:r>
            <w:r>
              <w:t xml:space="preserve"> </w:t>
            </w:r>
            <w:r w:rsidRPr="00717004">
              <w:t>VCAT</w:t>
            </w:r>
            <w:r>
              <w:t xml:space="preserve"> </w:t>
            </w:r>
            <w:r w:rsidRPr="00717004">
              <w:t>Residential</w:t>
            </w:r>
            <w:r>
              <w:t xml:space="preserve"> </w:t>
            </w:r>
            <w:r w:rsidRPr="00717004">
              <w:t>Tenancies</w:t>
            </w:r>
            <w:r>
              <w:t xml:space="preserve"> </w:t>
            </w:r>
            <w:r w:rsidRPr="00717004">
              <w:t>List.</w:t>
            </w:r>
          </w:p>
        </w:tc>
      </w:tr>
    </w:tbl>
    <w:p w14:paraId="15A35EFF" w14:textId="77777777" w:rsidR="00DE3B0D" w:rsidRPr="00934136" w:rsidRDefault="00DE3B0D" w:rsidP="00D23ECC">
      <w:pPr>
        <w:pStyle w:val="BodyText"/>
        <w:rPr>
          <w:highlight w:val="yellow"/>
        </w:rPr>
      </w:pPr>
    </w:p>
    <w:p w14:paraId="65CA8AFE" w14:textId="77777777" w:rsidR="00F22B33" w:rsidRPr="00934136" w:rsidRDefault="00F22B33" w:rsidP="00B71C68">
      <w:pPr>
        <w:pStyle w:val="Heading1"/>
        <w:rPr>
          <w:highlight w:val="yellow"/>
        </w:rPr>
        <w:sectPr w:rsidR="00F22B33" w:rsidRPr="00934136" w:rsidSect="00FB2F9B">
          <w:footerReference w:type="default" r:id="rId16"/>
          <w:footnotePr>
            <w:numRestart w:val="eachPage"/>
          </w:footnotePr>
          <w:type w:val="continuous"/>
          <w:pgSz w:w="11906" w:h="16838" w:code="9"/>
          <w:pgMar w:top="1418" w:right="1418" w:bottom="1134" w:left="1418" w:header="510" w:footer="510" w:gutter="0"/>
          <w:cols w:space="708"/>
          <w:titlePg/>
          <w:docGrid w:linePitch="360"/>
        </w:sectPr>
      </w:pPr>
    </w:p>
    <w:p w14:paraId="160919A0" w14:textId="18067D2D" w:rsidR="00DE3B0D" w:rsidRDefault="00DE3B0D" w:rsidP="00B71C68">
      <w:pPr>
        <w:pStyle w:val="Heading1"/>
      </w:pPr>
      <w:bookmarkStart w:id="70" w:name="_Toc212562065"/>
      <w:r w:rsidRPr="00641860">
        <w:t>Financial</w:t>
      </w:r>
      <w:r w:rsidR="00B556A3" w:rsidRPr="00641860">
        <w:t xml:space="preserve"> </w:t>
      </w:r>
      <w:r w:rsidRPr="00641860">
        <w:t>information</w:t>
      </w:r>
      <w:r w:rsidR="00B556A3" w:rsidRPr="00641860">
        <w:t xml:space="preserve"> </w:t>
      </w:r>
      <w:r w:rsidRPr="00641860">
        <w:t>202</w:t>
      </w:r>
      <w:r w:rsidR="00D0773E">
        <w:t>4</w:t>
      </w:r>
      <w:r w:rsidRPr="00641860">
        <w:t>–2</w:t>
      </w:r>
      <w:r w:rsidR="00D0773E">
        <w:t>5</w:t>
      </w:r>
      <w:r w:rsidR="005F6712">
        <w:rPr>
          <w:rStyle w:val="FootnoteReference"/>
        </w:rPr>
        <w:footnoteReference w:id="7"/>
      </w:r>
      <w:bookmarkEnd w:id="70"/>
    </w:p>
    <w:p w14:paraId="3ECB7A71" w14:textId="23F05821" w:rsidR="00D148FC" w:rsidRPr="00D148FC" w:rsidRDefault="00D148FC" w:rsidP="00D148FC">
      <w:pPr>
        <w:pStyle w:val="Caption"/>
      </w:pPr>
      <w:bookmarkStart w:id="71" w:name="_Toc212562084"/>
      <w:r>
        <w:t xml:space="preserve">Table 17: </w:t>
      </w:r>
      <w:r w:rsidRPr="00641860">
        <w:t>Financial information 202</w:t>
      </w:r>
      <w:r>
        <w:t>4</w:t>
      </w:r>
      <w:r w:rsidRPr="00641860">
        <w:t>–2</w:t>
      </w:r>
      <w:r>
        <w:t>5</w:t>
      </w:r>
      <w:bookmarkEnd w:id="71"/>
    </w:p>
    <w:tbl>
      <w:tblPr>
        <w:tblStyle w:val="TableGrid"/>
        <w:tblW w:w="21263" w:type="dxa"/>
        <w:tblLayout w:type="fixed"/>
        <w:tblLook w:val="06A0" w:firstRow="1" w:lastRow="0" w:firstColumn="1" w:lastColumn="0" w:noHBand="1" w:noVBand="1"/>
      </w:tblPr>
      <w:tblGrid>
        <w:gridCol w:w="7471"/>
        <w:gridCol w:w="1724"/>
        <w:gridCol w:w="1724"/>
        <w:gridCol w:w="1724"/>
        <w:gridCol w:w="1724"/>
        <w:gridCol w:w="1724"/>
        <w:gridCol w:w="1724"/>
        <w:gridCol w:w="1724"/>
        <w:gridCol w:w="1724"/>
      </w:tblGrid>
      <w:tr w:rsidR="00D0773E" w:rsidRPr="009C1F7F" w14:paraId="7392C6B5" w14:textId="77777777" w:rsidTr="005B7969">
        <w:trPr>
          <w:cnfStyle w:val="100000000000" w:firstRow="1" w:lastRow="0" w:firstColumn="0" w:lastColumn="0" w:oddVBand="0" w:evenVBand="0" w:oddHBand="0" w:evenHBand="0" w:firstRowFirstColumn="0" w:firstRowLastColumn="0" w:lastRowFirstColumn="0" w:lastRowLastColumn="0"/>
          <w:trHeight w:val="274"/>
          <w:tblHeader/>
        </w:trPr>
        <w:tc>
          <w:tcPr>
            <w:tcW w:w="7471" w:type="dxa"/>
          </w:tcPr>
          <w:p w14:paraId="632F3792" w14:textId="77777777" w:rsidR="00D0773E" w:rsidRPr="00D116F9" w:rsidRDefault="00D0773E" w:rsidP="00D0773E">
            <w:pPr>
              <w:pStyle w:val="TableColHead"/>
            </w:pPr>
          </w:p>
        </w:tc>
        <w:tc>
          <w:tcPr>
            <w:tcW w:w="1724" w:type="dxa"/>
          </w:tcPr>
          <w:p w14:paraId="2573D859" w14:textId="77777777" w:rsidR="00D0773E" w:rsidRPr="00D116F9" w:rsidRDefault="00D0773E" w:rsidP="00D0773E">
            <w:pPr>
              <w:pStyle w:val="TableColHeadRight"/>
            </w:pPr>
            <w:r w:rsidRPr="00D116F9">
              <w:t>Victorian Consumer Law Fund</w:t>
            </w:r>
          </w:p>
        </w:tc>
        <w:tc>
          <w:tcPr>
            <w:tcW w:w="1724" w:type="dxa"/>
          </w:tcPr>
          <w:p w14:paraId="683F8EEB" w14:textId="77777777" w:rsidR="00D0773E" w:rsidRPr="00D116F9" w:rsidRDefault="00D0773E" w:rsidP="00D0773E">
            <w:pPr>
              <w:pStyle w:val="TableColHeadRight"/>
            </w:pPr>
            <w:r w:rsidRPr="00D116F9">
              <w:t>Domestic Builders Fund</w:t>
            </w:r>
          </w:p>
        </w:tc>
        <w:tc>
          <w:tcPr>
            <w:tcW w:w="1724" w:type="dxa"/>
          </w:tcPr>
          <w:p w14:paraId="695ABD3D" w14:textId="77777777" w:rsidR="00D0773E" w:rsidRPr="00D116F9" w:rsidRDefault="00D0773E" w:rsidP="00D0773E">
            <w:pPr>
              <w:pStyle w:val="TableColHeadRight"/>
            </w:pPr>
            <w:r w:rsidRPr="00D116F9">
              <w:t>Motor Car Traders’ Guarantee Fund</w:t>
            </w:r>
          </w:p>
        </w:tc>
        <w:tc>
          <w:tcPr>
            <w:tcW w:w="1724" w:type="dxa"/>
          </w:tcPr>
          <w:p w14:paraId="591AAE44" w14:textId="77777777" w:rsidR="00D0773E" w:rsidRPr="00D116F9" w:rsidRDefault="00D0773E" w:rsidP="00D0773E">
            <w:pPr>
              <w:pStyle w:val="TableColHeadRight"/>
            </w:pPr>
            <w:r w:rsidRPr="00D116F9">
              <w:t xml:space="preserve">Residential </w:t>
            </w:r>
            <w:r>
              <w:t>B</w:t>
            </w:r>
            <w:r w:rsidRPr="00D116F9">
              <w:t xml:space="preserve">onds </w:t>
            </w:r>
            <w:r>
              <w:t>I</w:t>
            </w:r>
            <w:r w:rsidRPr="00D116F9">
              <w:t xml:space="preserve">nvestment </w:t>
            </w:r>
            <w:r>
              <w:t>I</w:t>
            </w:r>
            <w:r w:rsidRPr="00D116F9">
              <w:t xml:space="preserve">ncome </w:t>
            </w:r>
            <w:r>
              <w:t>A</w:t>
            </w:r>
            <w:r w:rsidRPr="00D116F9">
              <w:t>ccount</w:t>
            </w:r>
          </w:p>
        </w:tc>
        <w:tc>
          <w:tcPr>
            <w:tcW w:w="1724" w:type="dxa"/>
          </w:tcPr>
          <w:p w14:paraId="6F9C5020" w14:textId="77777777" w:rsidR="00D0773E" w:rsidRPr="00D116F9" w:rsidRDefault="00D0773E" w:rsidP="00D0773E">
            <w:pPr>
              <w:pStyle w:val="TableColHeadRight"/>
            </w:pPr>
            <w:r w:rsidRPr="00D116F9">
              <w:t>Residential Tenancies Fund</w:t>
            </w:r>
          </w:p>
        </w:tc>
        <w:tc>
          <w:tcPr>
            <w:tcW w:w="1724" w:type="dxa"/>
          </w:tcPr>
          <w:p w14:paraId="5ABACB44" w14:textId="77777777" w:rsidR="00D0773E" w:rsidRPr="00D116F9" w:rsidRDefault="00D0773E" w:rsidP="00D0773E">
            <w:pPr>
              <w:pStyle w:val="TableColHeadRight"/>
            </w:pPr>
            <w:r w:rsidRPr="00D116F9">
              <w:t>Sex Work Regulation Fund</w:t>
            </w:r>
            <w:r>
              <w:rPr>
                <w:rStyle w:val="FootnoteReference"/>
              </w:rPr>
              <w:footnoteReference w:id="8"/>
            </w:r>
          </w:p>
        </w:tc>
        <w:tc>
          <w:tcPr>
            <w:tcW w:w="1724" w:type="dxa"/>
          </w:tcPr>
          <w:p w14:paraId="4B14E26B" w14:textId="77777777" w:rsidR="00D0773E" w:rsidRPr="00D116F9" w:rsidRDefault="00D0773E" w:rsidP="00D0773E">
            <w:pPr>
              <w:pStyle w:val="TableColHeadRight"/>
            </w:pPr>
            <w:r w:rsidRPr="00D116F9">
              <w:t>Victorian Property Fund</w:t>
            </w:r>
          </w:p>
        </w:tc>
        <w:tc>
          <w:tcPr>
            <w:tcW w:w="1724" w:type="dxa"/>
          </w:tcPr>
          <w:p w14:paraId="7B3F003A" w14:textId="77777777" w:rsidR="00D0773E" w:rsidRPr="00D116F9" w:rsidRDefault="00D0773E" w:rsidP="00D0773E">
            <w:pPr>
              <w:pStyle w:val="TableColHeadRight"/>
              <w:rPr>
                <w:rFonts w:asciiTheme="majorHAnsi" w:hAnsiTheme="majorHAnsi"/>
                <w:highlight w:val="yellow"/>
              </w:rPr>
            </w:pPr>
            <w:r w:rsidRPr="00D116F9">
              <w:t xml:space="preserve">Trust </w:t>
            </w:r>
            <w:r>
              <w:t>f</w:t>
            </w:r>
            <w:r w:rsidRPr="00D116F9">
              <w:t xml:space="preserve">unds </w:t>
            </w:r>
            <w:r>
              <w:t>t</w:t>
            </w:r>
            <w:r w:rsidRPr="00D116F9">
              <w:t>otal</w:t>
            </w:r>
          </w:p>
          <w:p w14:paraId="3AF8BDB6" w14:textId="77777777" w:rsidR="00D0773E" w:rsidRPr="00D116F9" w:rsidRDefault="00D0773E" w:rsidP="00D0773E">
            <w:pPr>
              <w:pStyle w:val="TableColHeadRight"/>
            </w:pPr>
            <w:r w:rsidRPr="00D116F9">
              <w:t>2024–25</w:t>
            </w:r>
          </w:p>
        </w:tc>
      </w:tr>
      <w:tr w:rsidR="00D0773E" w:rsidRPr="009C1F7F" w14:paraId="3DFBCD85" w14:textId="77777777" w:rsidTr="00A02E61">
        <w:trPr>
          <w:trHeight w:val="300"/>
        </w:trPr>
        <w:tc>
          <w:tcPr>
            <w:tcW w:w="21263" w:type="dxa"/>
            <w:gridSpan w:val="9"/>
            <w:shd w:val="clear" w:color="auto" w:fill="BCCAE5"/>
          </w:tcPr>
          <w:p w14:paraId="60DDF48E" w14:textId="77777777" w:rsidR="00D0773E" w:rsidRPr="003239FD" w:rsidRDefault="00D0773E" w:rsidP="00D0773E">
            <w:pPr>
              <w:pStyle w:val="TableTextBold"/>
            </w:pPr>
            <w:r w:rsidRPr="003239FD">
              <w:t xml:space="preserve">CAV </w:t>
            </w:r>
            <w:r>
              <w:t>T</w:t>
            </w:r>
            <w:r w:rsidRPr="003239FD">
              <w:t xml:space="preserve">rust </w:t>
            </w:r>
            <w:r>
              <w:t>F</w:t>
            </w:r>
            <w:r w:rsidRPr="003239FD">
              <w:t xml:space="preserve">unds </w:t>
            </w:r>
            <w:r>
              <w:t>R</w:t>
            </w:r>
            <w:r w:rsidRPr="003239FD">
              <w:t>evenue</w:t>
            </w:r>
          </w:p>
        </w:tc>
      </w:tr>
      <w:tr w:rsidR="00D0773E" w:rsidRPr="009C1F7F" w14:paraId="4276FE98" w14:textId="77777777" w:rsidTr="00D0773E">
        <w:trPr>
          <w:trHeight w:val="76"/>
        </w:trPr>
        <w:tc>
          <w:tcPr>
            <w:tcW w:w="7471" w:type="dxa"/>
          </w:tcPr>
          <w:p w14:paraId="00082A4E" w14:textId="77777777" w:rsidR="00D0773E" w:rsidRPr="003239FD" w:rsidRDefault="00D0773E" w:rsidP="00D0773E">
            <w:pPr>
              <w:pStyle w:val="TableText"/>
            </w:pPr>
            <w:r w:rsidRPr="003239FD">
              <w:t xml:space="preserve">Revenue recognition, Estate </w:t>
            </w:r>
            <w:r>
              <w:t>a</w:t>
            </w:r>
            <w:r w:rsidRPr="003239FD">
              <w:t xml:space="preserve">gent and </w:t>
            </w:r>
            <w:r>
              <w:t>c</w:t>
            </w:r>
            <w:r w:rsidRPr="003239FD">
              <w:t>onveyancer trust accounts</w:t>
            </w:r>
          </w:p>
        </w:tc>
        <w:tc>
          <w:tcPr>
            <w:tcW w:w="1724" w:type="dxa"/>
          </w:tcPr>
          <w:p w14:paraId="544BB4A6" w14:textId="77777777" w:rsidR="00D0773E" w:rsidRPr="003F4DC2" w:rsidRDefault="00D0773E" w:rsidP="00D0773E">
            <w:pPr>
              <w:pStyle w:val="TableTextRight"/>
            </w:pPr>
          </w:p>
        </w:tc>
        <w:tc>
          <w:tcPr>
            <w:tcW w:w="1724" w:type="dxa"/>
          </w:tcPr>
          <w:p w14:paraId="775E14A0" w14:textId="77777777" w:rsidR="00D0773E" w:rsidRPr="003F4DC2" w:rsidRDefault="00D0773E" w:rsidP="00D0773E">
            <w:pPr>
              <w:pStyle w:val="TableTextRight"/>
            </w:pPr>
          </w:p>
        </w:tc>
        <w:tc>
          <w:tcPr>
            <w:tcW w:w="1724" w:type="dxa"/>
          </w:tcPr>
          <w:p w14:paraId="6F4A412C" w14:textId="77777777" w:rsidR="00D0773E" w:rsidRPr="003F4DC2" w:rsidRDefault="00D0773E" w:rsidP="00D0773E">
            <w:pPr>
              <w:pStyle w:val="TableTextRight"/>
            </w:pPr>
          </w:p>
        </w:tc>
        <w:tc>
          <w:tcPr>
            <w:tcW w:w="1724" w:type="dxa"/>
          </w:tcPr>
          <w:p w14:paraId="0EB3295A" w14:textId="77777777" w:rsidR="00D0773E" w:rsidRPr="003F4DC2" w:rsidRDefault="00D0773E" w:rsidP="00D0773E">
            <w:pPr>
              <w:pStyle w:val="TableTextRight"/>
            </w:pPr>
          </w:p>
        </w:tc>
        <w:tc>
          <w:tcPr>
            <w:tcW w:w="1724" w:type="dxa"/>
          </w:tcPr>
          <w:p w14:paraId="0A46189F" w14:textId="77777777" w:rsidR="00D0773E" w:rsidRPr="003F4DC2" w:rsidRDefault="00D0773E" w:rsidP="00D0773E">
            <w:pPr>
              <w:pStyle w:val="TableTextRight"/>
            </w:pPr>
          </w:p>
        </w:tc>
        <w:tc>
          <w:tcPr>
            <w:tcW w:w="1724" w:type="dxa"/>
          </w:tcPr>
          <w:p w14:paraId="3E2B44B5" w14:textId="77777777" w:rsidR="00D0773E" w:rsidRPr="003F4DC2" w:rsidRDefault="00D0773E" w:rsidP="00D0773E">
            <w:pPr>
              <w:pStyle w:val="TableTextRight"/>
            </w:pPr>
          </w:p>
        </w:tc>
        <w:tc>
          <w:tcPr>
            <w:tcW w:w="1724" w:type="dxa"/>
          </w:tcPr>
          <w:p w14:paraId="1CF7AF65" w14:textId="77777777" w:rsidR="00D0773E" w:rsidRPr="3B77C055" w:rsidRDefault="00D0773E" w:rsidP="00D0773E">
            <w:pPr>
              <w:pStyle w:val="TableTextRight"/>
              <w:rPr>
                <w:rFonts w:eastAsia="Arial"/>
              </w:rPr>
            </w:pPr>
            <w:r w:rsidRPr="3B77C055">
              <w:rPr>
                <w:rFonts w:eastAsia="Arial"/>
              </w:rPr>
              <w:t>114,648,440</w:t>
            </w:r>
          </w:p>
        </w:tc>
        <w:tc>
          <w:tcPr>
            <w:tcW w:w="1724" w:type="dxa"/>
          </w:tcPr>
          <w:p w14:paraId="65106EC9"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114,648,440</w:t>
            </w:r>
          </w:p>
        </w:tc>
      </w:tr>
      <w:tr w:rsidR="00D0773E" w:rsidRPr="009C1F7F" w14:paraId="0B4B5D45" w14:textId="77777777" w:rsidTr="00D0773E">
        <w:trPr>
          <w:trHeight w:val="300"/>
        </w:trPr>
        <w:tc>
          <w:tcPr>
            <w:tcW w:w="7471" w:type="dxa"/>
          </w:tcPr>
          <w:p w14:paraId="6A11E46F" w14:textId="77777777" w:rsidR="00D0773E" w:rsidRPr="003239FD" w:rsidRDefault="00D0773E" w:rsidP="00D0773E">
            <w:pPr>
              <w:pStyle w:val="TableText"/>
            </w:pPr>
            <w:r w:rsidRPr="003239FD">
              <w:t xml:space="preserve">Revenue recognition, </w:t>
            </w:r>
            <w:r>
              <w:t>r</w:t>
            </w:r>
            <w:r w:rsidRPr="003239FD">
              <w:t xml:space="preserve">esidential </w:t>
            </w:r>
            <w:r>
              <w:t>t</w:t>
            </w:r>
            <w:r w:rsidRPr="003239FD">
              <w:t xml:space="preserve">enancy </w:t>
            </w:r>
            <w:r>
              <w:t>b</w:t>
            </w:r>
            <w:r w:rsidRPr="003239FD">
              <w:t>onds</w:t>
            </w:r>
          </w:p>
        </w:tc>
        <w:tc>
          <w:tcPr>
            <w:tcW w:w="1724" w:type="dxa"/>
          </w:tcPr>
          <w:p w14:paraId="4B7560A6" w14:textId="77777777" w:rsidR="00D0773E" w:rsidRPr="003F4DC2" w:rsidRDefault="00D0773E" w:rsidP="00D0773E">
            <w:pPr>
              <w:pStyle w:val="TableTextRight"/>
            </w:pPr>
          </w:p>
        </w:tc>
        <w:tc>
          <w:tcPr>
            <w:tcW w:w="1724" w:type="dxa"/>
          </w:tcPr>
          <w:p w14:paraId="7109907A" w14:textId="77777777" w:rsidR="00D0773E" w:rsidRPr="003F4DC2" w:rsidRDefault="00D0773E" w:rsidP="00D0773E">
            <w:pPr>
              <w:pStyle w:val="TableTextRight"/>
            </w:pPr>
          </w:p>
        </w:tc>
        <w:tc>
          <w:tcPr>
            <w:tcW w:w="1724" w:type="dxa"/>
          </w:tcPr>
          <w:p w14:paraId="16F87FCD" w14:textId="77777777" w:rsidR="00D0773E" w:rsidRPr="003F4DC2" w:rsidRDefault="00D0773E" w:rsidP="00D0773E">
            <w:pPr>
              <w:pStyle w:val="TableTextRight"/>
            </w:pPr>
          </w:p>
        </w:tc>
        <w:tc>
          <w:tcPr>
            <w:tcW w:w="1724" w:type="dxa"/>
          </w:tcPr>
          <w:p w14:paraId="564B891A"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57,513,446</w:t>
            </w:r>
          </w:p>
        </w:tc>
        <w:tc>
          <w:tcPr>
            <w:tcW w:w="1724" w:type="dxa"/>
          </w:tcPr>
          <w:p w14:paraId="2AD79C0A" w14:textId="77777777" w:rsidR="00D0773E" w:rsidRPr="003F4DC2" w:rsidRDefault="00D0773E" w:rsidP="00D0773E">
            <w:pPr>
              <w:pStyle w:val="TableTextRight"/>
            </w:pPr>
          </w:p>
        </w:tc>
        <w:tc>
          <w:tcPr>
            <w:tcW w:w="1724" w:type="dxa"/>
          </w:tcPr>
          <w:p w14:paraId="2C89ED32" w14:textId="77777777" w:rsidR="00D0773E" w:rsidRPr="003F4DC2" w:rsidRDefault="00D0773E" w:rsidP="00D0773E">
            <w:pPr>
              <w:pStyle w:val="TableTextRight"/>
            </w:pPr>
          </w:p>
        </w:tc>
        <w:tc>
          <w:tcPr>
            <w:tcW w:w="1724" w:type="dxa"/>
          </w:tcPr>
          <w:p w14:paraId="425D6E88" w14:textId="77777777" w:rsidR="00D0773E" w:rsidRPr="003F4DC2" w:rsidRDefault="00D0773E" w:rsidP="00D0773E">
            <w:pPr>
              <w:pStyle w:val="TableTextRight"/>
            </w:pPr>
          </w:p>
        </w:tc>
        <w:tc>
          <w:tcPr>
            <w:tcW w:w="1724" w:type="dxa"/>
          </w:tcPr>
          <w:p w14:paraId="1566294E"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57,513,446</w:t>
            </w:r>
          </w:p>
        </w:tc>
      </w:tr>
      <w:tr w:rsidR="00D0773E" w:rsidRPr="009C1F7F" w14:paraId="2DE382D4" w14:textId="77777777" w:rsidTr="00D0773E">
        <w:trPr>
          <w:trHeight w:val="300"/>
        </w:trPr>
        <w:tc>
          <w:tcPr>
            <w:tcW w:w="7471" w:type="dxa"/>
          </w:tcPr>
          <w:p w14:paraId="6545E1ED" w14:textId="77777777" w:rsidR="00D0773E" w:rsidRPr="003239FD" w:rsidRDefault="00D0773E" w:rsidP="00D0773E">
            <w:pPr>
              <w:pStyle w:val="TableText"/>
            </w:pPr>
            <w:r w:rsidRPr="003239FD">
              <w:t>Fees income</w:t>
            </w:r>
          </w:p>
        </w:tc>
        <w:tc>
          <w:tcPr>
            <w:tcW w:w="1724" w:type="dxa"/>
          </w:tcPr>
          <w:p w14:paraId="44F93456" w14:textId="77777777" w:rsidR="00D0773E" w:rsidRPr="003F4DC2" w:rsidRDefault="00D0773E" w:rsidP="00D0773E">
            <w:pPr>
              <w:pStyle w:val="TableTextRight"/>
            </w:pPr>
          </w:p>
        </w:tc>
        <w:tc>
          <w:tcPr>
            <w:tcW w:w="1724" w:type="dxa"/>
          </w:tcPr>
          <w:p w14:paraId="2759AF05" w14:textId="77777777" w:rsidR="00D0773E" w:rsidRPr="003F4DC2" w:rsidRDefault="00D0773E" w:rsidP="00D0773E">
            <w:pPr>
              <w:pStyle w:val="TableTextRight"/>
            </w:pPr>
            <w:r w:rsidRPr="003F4DC2">
              <w:t>1,068,894</w:t>
            </w:r>
          </w:p>
        </w:tc>
        <w:tc>
          <w:tcPr>
            <w:tcW w:w="1724" w:type="dxa"/>
          </w:tcPr>
          <w:p w14:paraId="369C1C3F"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4,183,171</w:t>
            </w:r>
          </w:p>
        </w:tc>
        <w:tc>
          <w:tcPr>
            <w:tcW w:w="1724" w:type="dxa"/>
          </w:tcPr>
          <w:p w14:paraId="1DF47707" w14:textId="77777777" w:rsidR="00D0773E" w:rsidRPr="003F4DC2" w:rsidRDefault="00D0773E" w:rsidP="00D0773E">
            <w:pPr>
              <w:pStyle w:val="TableTextRight"/>
            </w:pPr>
          </w:p>
        </w:tc>
        <w:tc>
          <w:tcPr>
            <w:tcW w:w="1724" w:type="dxa"/>
          </w:tcPr>
          <w:p w14:paraId="46870EBA"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2,204,950</w:t>
            </w:r>
          </w:p>
        </w:tc>
        <w:tc>
          <w:tcPr>
            <w:tcW w:w="1724" w:type="dxa"/>
          </w:tcPr>
          <w:p w14:paraId="464CBE7A" w14:textId="77777777" w:rsidR="00D0773E" w:rsidRPr="003F4DC2" w:rsidRDefault="00D0773E" w:rsidP="00D0773E">
            <w:pPr>
              <w:pStyle w:val="TableTextRight"/>
            </w:pPr>
          </w:p>
        </w:tc>
        <w:tc>
          <w:tcPr>
            <w:tcW w:w="1724" w:type="dxa"/>
          </w:tcPr>
          <w:p w14:paraId="09341E0C" w14:textId="77777777" w:rsidR="00D0773E" w:rsidRPr="3B77C055" w:rsidRDefault="00D0773E" w:rsidP="00D0773E">
            <w:pPr>
              <w:pStyle w:val="TableTextRight"/>
              <w:rPr>
                <w:rFonts w:eastAsia="Arial"/>
              </w:rPr>
            </w:pPr>
            <w:r w:rsidRPr="3B77C055">
              <w:rPr>
                <w:rFonts w:eastAsia="Arial"/>
              </w:rPr>
              <w:t>9,295,111</w:t>
            </w:r>
          </w:p>
        </w:tc>
        <w:tc>
          <w:tcPr>
            <w:tcW w:w="1724" w:type="dxa"/>
          </w:tcPr>
          <w:p w14:paraId="2F717007"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16,752,126</w:t>
            </w:r>
          </w:p>
        </w:tc>
      </w:tr>
      <w:tr w:rsidR="00D0773E" w:rsidRPr="009C1F7F" w14:paraId="1791406F" w14:textId="77777777" w:rsidTr="00D0773E">
        <w:trPr>
          <w:trHeight w:val="300"/>
        </w:trPr>
        <w:tc>
          <w:tcPr>
            <w:tcW w:w="7471" w:type="dxa"/>
          </w:tcPr>
          <w:p w14:paraId="0C1EC108" w14:textId="77777777" w:rsidR="00D0773E" w:rsidRPr="003239FD" w:rsidRDefault="00D0773E" w:rsidP="00D0773E">
            <w:pPr>
              <w:pStyle w:val="TableText"/>
            </w:pPr>
            <w:r w:rsidRPr="003239FD">
              <w:t>Interest/</w:t>
            </w:r>
            <w:r>
              <w:t>d</w:t>
            </w:r>
            <w:r w:rsidRPr="003239FD">
              <w:t xml:space="preserve">istribution </w:t>
            </w:r>
            <w:r>
              <w:t>r</w:t>
            </w:r>
            <w:r w:rsidRPr="003239FD">
              <w:t>evenue</w:t>
            </w:r>
          </w:p>
        </w:tc>
        <w:tc>
          <w:tcPr>
            <w:tcW w:w="1724" w:type="dxa"/>
          </w:tcPr>
          <w:p w14:paraId="12E0045C" w14:textId="77777777" w:rsidR="00D0773E" w:rsidRPr="003F4DC2" w:rsidRDefault="00D0773E" w:rsidP="00D0773E">
            <w:pPr>
              <w:pStyle w:val="TableTextRight"/>
            </w:pPr>
            <w:r w:rsidRPr="003F4DC2">
              <w:t>49,253</w:t>
            </w:r>
          </w:p>
        </w:tc>
        <w:tc>
          <w:tcPr>
            <w:tcW w:w="1724" w:type="dxa"/>
          </w:tcPr>
          <w:p w14:paraId="3713F69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2,015,494</w:t>
            </w:r>
          </w:p>
        </w:tc>
        <w:tc>
          <w:tcPr>
            <w:tcW w:w="1724" w:type="dxa"/>
          </w:tcPr>
          <w:p w14:paraId="13E7EF67"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513,659</w:t>
            </w:r>
          </w:p>
        </w:tc>
        <w:tc>
          <w:tcPr>
            <w:tcW w:w="1724" w:type="dxa"/>
          </w:tcPr>
          <w:p w14:paraId="43D7EF26"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6,975,117</w:t>
            </w:r>
          </w:p>
        </w:tc>
        <w:tc>
          <w:tcPr>
            <w:tcW w:w="1724" w:type="dxa"/>
          </w:tcPr>
          <w:p w14:paraId="4DFE6F81"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1,334,001</w:t>
            </w:r>
          </w:p>
        </w:tc>
        <w:tc>
          <w:tcPr>
            <w:tcW w:w="1724" w:type="dxa"/>
          </w:tcPr>
          <w:p w14:paraId="35087484" w14:textId="77777777" w:rsidR="00D0773E" w:rsidRPr="003F4DC2" w:rsidRDefault="00D0773E" w:rsidP="00D0773E">
            <w:pPr>
              <w:pStyle w:val="TableTextRight"/>
            </w:pPr>
            <w:r w:rsidRPr="003F4DC2">
              <w:t>9</w:t>
            </w:r>
          </w:p>
        </w:tc>
        <w:tc>
          <w:tcPr>
            <w:tcW w:w="1724" w:type="dxa"/>
          </w:tcPr>
          <w:p w14:paraId="206ABED3"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25,746,533</w:t>
            </w:r>
          </w:p>
        </w:tc>
        <w:tc>
          <w:tcPr>
            <w:tcW w:w="1724" w:type="dxa"/>
          </w:tcPr>
          <w:p w14:paraId="3A277A72"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36,634,066</w:t>
            </w:r>
          </w:p>
        </w:tc>
      </w:tr>
      <w:tr w:rsidR="00D0773E" w:rsidRPr="009C1F7F" w14:paraId="6E8AEE6D" w14:textId="77777777" w:rsidTr="00D0773E">
        <w:trPr>
          <w:trHeight w:val="300"/>
        </w:trPr>
        <w:tc>
          <w:tcPr>
            <w:tcW w:w="7471" w:type="dxa"/>
          </w:tcPr>
          <w:p w14:paraId="3A618DB5" w14:textId="77777777" w:rsidR="00D0773E" w:rsidRPr="003239FD" w:rsidRDefault="00D0773E" w:rsidP="00D0773E">
            <w:pPr>
              <w:pStyle w:val="TableText"/>
              <w:rPr>
                <w:color w:val="000000"/>
              </w:rPr>
            </w:pPr>
            <w:r w:rsidRPr="003239FD">
              <w:t xml:space="preserve">Investments – </w:t>
            </w:r>
            <w:r w:rsidRPr="3B77C055">
              <w:t xml:space="preserve">net </w:t>
            </w:r>
            <w:r w:rsidRPr="003239FD">
              <w:t>market value adjustments</w:t>
            </w:r>
          </w:p>
        </w:tc>
        <w:tc>
          <w:tcPr>
            <w:tcW w:w="1724" w:type="dxa"/>
          </w:tcPr>
          <w:p w14:paraId="4B86391C" w14:textId="77777777" w:rsidR="00D0773E" w:rsidRPr="003F4DC2" w:rsidRDefault="00D0773E" w:rsidP="00D0773E">
            <w:pPr>
              <w:pStyle w:val="TableTextRight"/>
            </w:pPr>
          </w:p>
        </w:tc>
        <w:tc>
          <w:tcPr>
            <w:tcW w:w="1724" w:type="dxa"/>
          </w:tcPr>
          <w:p w14:paraId="7749D7A3" w14:textId="77777777" w:rsidR="00D0773E" w:rsidRPr="003F4DC2" w:rsidRDefault="00D0773E" w:rsidP="00D0773E">
            <w:pPr>
              <w:pStyle w:val="TableTextRight"/>
            </w:pPr>
            <w:r w:rsidRPr="003F4DC2">
              <w:t>1,514,824</w:t>
            </w:r>
          </w:p>
        </w:tc>
        <w:tc>
          <w:tcPr>
            <w:tcW w:w="1724" w:type="dxa"/>
          </w:tcPr>
          <w:p w14:paraId="66E27AB4"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283,940</w:t>
            </w:r>
          </w:p>
        </w:tc>
        <w:tc>
          <w:tcPr>
            <w:tcW w:w="1724" w:type="dxa"/>
          </w:tcPr>
          <w:p w14:paraId="198A3A36"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24,068,894</w:t>
            </w:r>
          </w:p>
        </w:tc>
        <w:tc>
          <w:tcPr>
            <w:tcW w:w="1724" w:type="dxa"/>
          </w:tcPr>
          <w:p w14:paraId="66E7F5E4"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(18,925)</w:t>
            </w:r>
          </w:p>
        </w:tc>
        <w:tc>
          <w:tcPr>
            <w:tcW w:w="1724" w:type="dxa"/>
          </w:tcPr>
          <w:p w14:paraId="6BD12895" w14:textId="77777777" w:rsidR="00D0773E" w:rsidRPr="003F4DC2" w:rsidRDefault="00D0773E" w:rsidP="00D0773E">
            <w:pPr>
              <w:pStyle w:val="TableTextRight"/>
            </w:pPr>
          </w:p>
        </w:tc>
        <w:tc>
          <w:tcPr>
            <w:tcW w:w="1724" w:type="dxa"/>
          </w:tcPr>
          <w:p w14:paraId="520EC687"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13,853,304</w:t>
            </w:r>
          </w:p>
        </w:tc>
        <w:tc>
          <w:tcPr>
            <w:tcW w:w="1724" w:type="dxa"/>
          </w:tcPr>
          <w:p w14:paraId="1BE30030"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39,702,037</w:t>
            </w:r>
          </w:p>
        </w:tc>
      </w:tr>
      <w:tr w:rsidR="00D0773E" w:rsidRPr="009C1F7F" w14:paraId="53ED0921" w14:textId="77777777" w:rsidTr="00D0773E">
        <w:trPr>
          <w:trHeight w:val="300"/>
        </w:trPr>
        <w:tc>
          <w:tcPr>
            <w:tcW w:w="7471" w:type="dxa"/>
          </w:tcPr>
          <w:p w14:paraId="62E9C641" w14:textId="77777777" w:rsidR="00D0773E" w:rsidRPr="003239FD" w:rsidRDefault="00D0773E" w:rsidP="00D0773E">
            <w:pPr>
              <w:pStyle w:val="TableText"/>
            </w:pPr>
            <w:r w:rsidRPr="003239FD">
              <w:rPr>
                <w:color w:val="000000"/>
              </w:rPr>
              <w:t>Transferred from the Victorian Building Authority</w:t>
            </w:r>
            <w:r w:rsidRPr="003239FD">
              <w:rPr>
                <w:rStyle w:val="FootnoteReference"/>
                <w:color w:val="000000"/>
              </w:rPr>
              <w:footnoteReference w:id="9"/>
            </w:r>
          </w:p>
        </w:tc>
        <w:tc>
          <w:tcPr>
            <w:tcW w:w="1724" w:type="dxa"/>
          </w:tcPr>
          <w:p w14:paraId="3D6792CA" w14:textId="77777777" w:rsidR="00D0773E" w:rsidRPr="003F4DC2" w:rsidRDefault="00D0773E" w:rsidP="00D0773E">
            <w:pPr>
              <w:pStyle w:val="TableTextRight"/>
            </w:pPr>
          </w:p>
        </w:tc>
        <w:tc>
          <w:tcPr>
            <w:tcW w:w="1724" w:type="dxa"/>
          </w:tcPr>
          <w:p w14:paraId="49772DCB"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21,900,943</w:t>
            </w:r>
          </w:p>
        </w:tc>
        <w:tc>
          <w:tcPr>
            <w:tcW w:w="1724" w:type="dxa"/>
          </w:tcPr>
          <w:p w14:paraId="7C24997D" w14:textId="77777777" w:rsidR="00D0773E" w:rsidRPr="003F4DC2" w:rsidRDefault="00D0773E" w:rsidP="00D0773E">
            <w:pPr>
              <w:pStyle w:val="TableTextRight"/>
            </w:pPr>
          </w:p>
        </w:tc>
        <w:tc>
          <w:tcPr>
            <w:tcW w:w="1724" w:type="dxa"/>
          </w:tcPr>
          <w:p w14:paraId="23213AF6" w14:textId="77777777" w:rsidR="00D0773E" w:rsidRPr="003F4DC2" w:rsidRDefault="00D0773E" w:rsidP="00D0773E">
            <w:pPr>
              <w:pStyle w:val="TableTextRight"/>
            </w:pPr>
          </w:p>
        </w:tc>
        <w:tc>
          <w:tcPr>
            <w:tcW w:w="1724" w:type="dxa"/>
          </w:tcPr>
          <w:p w14:paraId="4CDFAE3B" w14:textId="77777777" w:rsidR="00D0773E" w:rsidRPr="003F4DC2" w:rsidRDefault="00D0773E" w:rsidP="00D0773E">
            <w:pPr>
              <w:pStyle w:val="TableTextRight"/>
            </w:pPr>
          </w:p>
        </w:tc>
        <w:tc>
          <w:tcPr>
            <w:tcW w:w="1724" w:type="dxa"/>
          </w:tcPr>
          <w:p w14:paraId="3C2BF67C" w14:textId="77777777" w:rsidR="00D0773E" w:rsidRPr="003F4DC2" w:rsidRDefault="00D0773E" w:rsidP="00D0773E">
            <w:pPr>
              <w:pStyle w:val="TableTextRight"/>
            </w:pPr>
          </w:p>
        </w:tc>
        <w:tc>
          <w:tcPr>
            <w:tcW w:w="1724" w:type="dxa"/>
          </w:tcPr>
          <w:p w14:paraId="7D9BBFD8" w14:textId="77777777" w:rsidR="00D0773E" w:rsidRPr="003F4DC2" w:rsidRDefault="00D0773E" w:rsidP="00D0773E">
            <w:pPr>
              <w:pStyle w:val="TableTextRight"/>
            </w:pPr>
          </w:p>
        </w:tc>
        <w:tc>
          <w:tcPr>
            <w:tcW w:w="1724" w:type="dxa"/>
          </w:tcPr>
          <w:p w14:paraId="5B1BC8A3"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21,900,943</w:t>
            </w:r>
          </w:p>
        </w:tc>
      </w:tr>
      <w:tr w:rsidR="00D0773E" w:rsidRPr="009C1F7F" w14:paraId="6BD89FB7" w14:textId="77777777" w:rsidTr="00D0773E">
        <w:trPr>
          <w:trHeight w:val="300"/>
        </w:trPr>
        <w:tc>
          <w:tcPr>
            <w:tcW w:w="7471" w:type="dxa"/>
          </w:tcPr>
          <w:p w14:paraId="478410C1" w14:textId="77777777" w:rsidR="00D0773E" w:rsidRPr="003239FD" w:rsidRDefault="00D0773E" w:rsidP="00D0773E">
            <w:pPr>
              <w:pStyle w:val="TableText"/>
            </w:pPr>
            <w:r w:rsidRPr="003239FD">
              <w:t>Other revenue</w:t>
            </w:r>
          </w:p>
        </w:tc>
        <w:tc>
          <w:tcPr>
            <w:tcW w:w="1724" w:type="dxa"/>
          </w:tcPr>
          <w:p w14:paraId="308386D1" w14:textId="77777777" w:rsidR="00D0773E" w:rsidRPr="003F4DC2" w:rsidRDefault="00D0773E" w:rsidP="00D0773E">
            <w:pPr>
              <w:pStyle w:val="TableTextRight"/>
            </w:pPr>
          </w:p>
        </w:tc>
        <w:tc>
          <w:tcPr>
            <w:tcW w:w="1724" w:type="dxa"/>
          </w:tcPr>
          <w:p w14:paraId="40D7DD70" w14:textId="77777777" w:rsidR="00D0773E" w:rsidRPr="003F4DC2" w:rsidRDefault="00D0773E" w:rsidP="00D0773E">
            <w:pPr>
              <w:pStyle w:val="TableTextRight"/>
            </w:pPr>
            <w:r w:rsidRPr="003F4DC2">
              <w:t>7,191</w:t>
            </w:r>
          </w:p>
        </w:tc>
        <w:tc>
          <w:tcPr>
            <w:tcW w:w="1724" w:type="dxa"/>
          </w:tcPr>
          <w:p w14:paraId="3456DF8A" w14:textId="77777777" w:rsidR="00D0773E" w:rsidRPr="003F4DC2" w:rsidRDefault="00D0773E" w:rsidP="00D0773E">
            <w:pPr>
              <w:pStyle w:val="TableTextRight"/>
            </w:pPr>
          </w:p>
        </w:tc>
        <w:tc>
          <w:tcPr>
            <w:tcW w:w="1724" w:type="dxa"/>
          </w:tcPr>
          <w:p w14:paraId="03CA8069"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638</w:t>
            </w:r>
          </w:p>
        </w:tc>
        <w:tc>
          <w:tcPr>
            <w:tcW w:w="1724" w:type="dxa"/>
          </w:tcPr>
          <w:p w14:paraId="0AACF65E" w14:textId="77777777" w:rsidR="00D0773E" w:rsidRPr="003F4DC2" w:rsidRDefault="00D0773E" w:rsidP="00D0773E">
            <w:pPr>
              <w:pStyle w:val="TableTextRight"/>
            </w:pPr>
          </w:p>
        </w:tc>
        <w:tc>
          <w:tcPr>
            <w:tcW w:w="1724" w:type="dxa"/>
          </w:tcPr>
          <w:p w14:paraId="28742CCC" w14:textId="77777777" w:rsidR="00D0773E" w:rsidRPr="003F4DC2" w:rsidRDefault="00D0773E" w:rsidP="00D0773E">
            <w:pPr>
              <w:pStyle w:val="TableTextRight"/>
            </w:pPr>
          </w:p>
        </w:tc>
        <w:tc>
          <w:tcPr>
            <w:tcW w:w="1724" w:type="dxa"/>
          </w:tcPr>
          <w:p w14:paraId="0BE74DE0"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192,222</w:t>
            </w:r>
          </w:p>
        </w:tc>
        <w:tc>
          <w:tcPr>
            <w:tcW w:w="1724" w:type="dxa"/>
          </w:tcPr>
          <w:p w14:paraId="43A353F4"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200,051</w:t>
            </w:r>
          </w:p>
        </w:tc>
      </w:tr>
      <w:tr w:rsidR="00D0773E" w:rsidRPr="009C1F7F" w14:paraId="5BC27360" w14:textId="77777777" w:rsidTr="00D0773E">
        <w:trPr>
          <w:trHeight w:val="300"/>
        </w:trPr>
        <w:tc>
          <w:tcPr>
            <w:tcW w:w="7471" w:type="dxa"/>
          </w:tcPr>
          <w:p w14:paraId="707414C8" w14:textId="77777777" w:rsidR="00D0773E" w:rsidRPr="003239FD" w:rsidRDefault="00D0773E" w:rsidP="00D0773E">
            <w:pPr>
              <w:pStyle w:val="TableText"/>
            </w:pPr>
            <w:r w:rsidRPr="003239FD">
              <w:t>Penalty income</w:t>
            </w:r>
          </w:p>
        </w:tc>
        <w:tc>
          <w:tcPr>
            <w:tcW w:w="1724" w:type="dxa"/>
          </w:tcPr>
          <w:p w14:paraId="304E2CAD" w14:textId="77777777" w:rsidR="00D0773E" w:rsidRPr="003F4DC2" w:rsidRDefault="00D0773E" w:rsidP="00D0773E">
            <w:pPr>
              <w:pStyle w:val="TableTextRight"/>
            </w:pPr>
            <w:r w:rsidRPr="003F4DC2">
              <w:t>24,853</w:t>
            </w:r>
          </w:p>
        </w:tc>
        <w:tc>
          <w:tcPr>
            <w:tcW w:w="1724" w:type="dxa"/>
          </w:tcPr>
          <w:p w14:paraId="4214B19A" w14:textId="77777777" w:rsidR="00D0773E" w:rsidRPr="003F4DC2" w:rsidRDefault="00D0773E" w:rsidP="00D0773E">
            <w:pPr>
              <w:pStyle w:val="TableTextRight"/>
            </w:pPr>
          </w:p>
        </w:tc>
        <w:tc>
          <w:tcPr>
            <w:tcW w:w="1724" w:type="dxa"/>
          </w:tcPr>
          <w:p w14:paraId="2EEE4919" w14:textId="77777777" w:rsidR="00D0773E" w:rsidRPr="003F4DC2" w:rsidRDefault="00D0773E" w:rsidP="00D0773E">
            <w:pPr>
              <w:pStyle w:val="TableTextRight"/>
            </w:pPr>
          </w:p>
        </w:tc>
        <w:tc>
          <w:tcPr>
            <w:tcW w:w="1724" w:type="dxa"/>
          </w:tcPr>
          <w:p w14:paraId="067709FE" w14:textId="77777777" w:rsidR="00D0773E" w:rsidRPr="003F4DC2" w:rsidRDefault="00D0773E" w:rsidP="00D0773E">
            <w:pPr>
              <w:pStyle w:val="TableTextRight"/>
            </w:pPr>
          </w:p>
        </w:tc>
        <w:tc>
          <w:tcPr>
            <w:tcW w:w="1724" w:type="dxa"/>
          </w:tcPr>
          <w:p w14:paraId="1FC71ACF"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124,500</w:t>
            </w:r>
          </w:p>
        </w:tc>
        <w:tc>
          <w:tcPr>
            <w:tcW w:w="1724" w:type="dxa"/>
          </w:tcPr>
          <w:p w14:paraId="345C4041" w14:textId="77777777" w:rsidR="00D0773E" w:rsidRPr="003F4DC2" w:rsidRDefault="00D0773E" w:rsidP="00D0773E">
            <w:pPr>
              <w:pStyle w:val="TableTextRight"/>
            </w:pPr>
          </w:p>
        </w:tc>
        <w:tc>
          <w:tcPr>
            <w:tcW w:w="1724" w:type="dxa"/>
          </w:tcPr>
          <w:p w14:paraId="5219DB46"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487,537</w:t>
            </w:r>
          </w:p>
        </w:tc>
        <w:tc>
          <w:tcPr>
            <w:tcW w:w="1724" w:type="dxa"/>
          </w:tcPr>
          <w:p w14:paraId="44FDE83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636,890</w:t>
            </w:r>
          </w:p>
        </w:tc>
      </w:tr>
      <w:tr w:rsidR="00D0773E" w:rsidRPr="009C1F7F" w14:paraId="7A5AAC92" w14:textId="77777777" w:rsidTr="00D0773E">
        <w:trPr>
          <w:trHeight w:val="300"/>
        </w:trPr>
        <w:tc>
          <w:tcPr>
            <w:tcW w:w="7471" w:type="dxa"/>
          </w:tcPr>
          <w:p w14:paraId="4DD10B35" w14:textId="77777777" w:rsidR="00D0773E" w:rsidRPr="003239FD" w:rsidRDefault="00D0773E" w:rsidP="00D0773E">
            <w:pPr>
              <w:pStyle w:val="TableText"/>
            </w:pPr>
            <w:r w:rsidRPr="003239FD">
              <w:t>Net Transfers in</w:t>
            </w:r>
          </w:p>
        </w:tc>
        <w:tc>
          <w:tcPr>
            <w:tcW w:w="1724" w:type="dxa"/>
          </w:tcPr>
          <w:p w14:paraId="67A7C838" w14:textId="77777777" w:rsidR="00D0773E" w:rsidRPr="003F4DC2" w:rsidRDefault="00D0773E" w:rsidP="00D0773E">
            <w:pPr>
              <w:pStyle w:val="TableTextRight"/>
            </w:pPr>
          </w:p>
        </w:tc>
        <w:tc>
          <w:tcPr>
            <w:tcW w:w="1724" w:type="dxa"/>
          </w:tcPr>
          <w:p w14:paraId="2AB8EFA0" w14:textId="77777777" w:rsidR="00D0773E" w:rsidRPr="003F4DC2" w:rsidRDefault="00D0773E" w:rsidP="00D0773E">
            <w:pPr>
              <w:pStyle w:val="TableTextRight"/>
            </w:pPr>
          </w:p>
        </w:tc>
        <w:tc>
          <w:tcPr>
            <w:tcW w:w="1724" w:type="dxa"/>
          </w:tcPr>
          <w:p w14:paraId="13CD9A74" w14:textId="77777777" w:rsidR="00D0773E" w:rsidRPr="003F4DC2" w:rsidRDefault="00D0773E" w:rsidP="00D0773E">
            <w:pPr>
              <w:pStyle w:val="TableTextRight"/>
            </w:pPr>
          </w:p>
        </w:tc>
        <w:tc>
          <w:tcPr>
            <w:tcW w:w="1724" w:type="dxa"/>
          </w:tcPr>
          <w:p w14:paraId="51AB1900"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(10,000,000)</w:t>
            </w:r>
          </w:p>
        </w:tc>
        <w:tc>
          <w:tcPr>
            <w:tcW w:w="1724" w:type="dxa"/>
          </w:tcPr>
          <w:p w14:paraId="2BEAEC11"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10,000,000</w:t>
            </w:r>
          </w:p>
        </w:tc>
        <w:tc>
          <w:tcPr>
            <w:tcW w:w="1724" w:type="dxa"/>
          </w:tcPr>
          <w:p w14:paraId="6E6F248F" w14:textId="77777777" w:rsidR="00D0773E" w:rsidRPr="003F4DC2" w:rsidRDefault="00D0773E" w:rsidP="00D0773E">
            <w:pPr>
              <w:pStyle w:val="TableTextRight"/>
              <w:rPr>
                <w:rFonts w:eastAsia="Arial"/>
                <w:color w:val="000000" w:themeColor="text1"/>
              </w:rPr>
            </w:pPr>
          </w:p>
        </w:tc>
        <w:tc>
          <w:tcPr>
            <w:tcW w:w="1724" w:type="dxa"/>
          </w:tcPr>
          <w:p w14:paraId="38DA80BB" w14:textId="77777777" w:rsidR="00D0773E" w:rsidRPr="003F4DC2" w:rsidRDefault="00D0773E" w:rsidP="00D0773E">
            <w:pPr>
              <w:pStyle w:val="TableTextRight"/>
            </w:pPr>
          </w:p>
        </w:tc>
        <w:tc>
          <w:tcPr>
            <w:tcW w:w="1724" w:type="dxa"/>
          </w:tcPr>
          <w:p w14:paraId="3189464C" w14:textId="77777777" w:rsidR="00D0773E" w:rsidRPr="003F4DC2" w:rsidRDefault="00D0773E" w:rsidP="00D0773E">
            <w:pPr>
              <w:pStyle w:val="TableTextRight"/>
            </w:pPr>
            <w:r w:rsidRPr="003F4DC2">
              <w:t>0</w:t>
            </w:r>
          </w:p>
        </w:tc>
      </w:tr>
      <w:tr w:rsidR="00D0773E" w:rsidRPr="009C1F7F" w14:paraId="4A9F25CD" w14:textId="77777777" w:rsidTr="00A02E61">
        <w:trPr>
          <w:trHeight w:val="300"/>
        </w:trPr>
        <w:tc>
          <w:tcPr>
            <w:tcW w:w="7471" w:type="dxa"/>
            <w:shd w:val="clear" w:color="auto" w:fill="D3DBEE"/>
          </w:tcPr>
          <w:p w14:paraId="039B4A83" w14:textId="77777777" w:rsidR="00D0773E" w:rsidRPr="007643D7" w:rsidRDefault="00D0773E" w:rsidP="00D0773E">
            <w:pPr>
              <w:pStyle w:val="TableTextBold"/>
            </w:pPr>
            <w:r w:rsidRPr="007643D7">
              <w:t>Total CAV Trust Funds Revenue</w:t>
            </w:r>
          </w:p>
        </w:tc>
        <w:tc>
          <w:tcPr>
            <w:tcW w:w="1724" w:type="dxa"/>
            <w:shd w:val="clear" w:color="auto" w:fill="D3DBEE"/>
          </w:tcPr>
          <w:p w14:paraId="77864599" w14:textId="77777777" w:rsidR="00D0773E" w:rsidRPr="007643D7" w:rsidRDefault="00D0773E" w:rsidP="00D0773E">
            <w:pPr>
              <w:pStyle w:val="TableTextRightBold"/>
            </w:pPr>
            <w:r w:rsidRPr="007643D7">
              <w:t>74,106</w:t>
            </w:r>
          </w:p>
        </w:tc>
        <w:tc>
          <w:tcPr>
            <w:tcW w:w="1724" w:type="dxa"/>
            <w:shd w:val="clear" w:color="auto" w:fill="D3DBEE"/>
          </w:tcPr>
          <w:p w14:paraId="7528FFC1" w14:textId="77777777" w:rsidR="00D0773E" w:rsidRPr="007643D7" w:rsidRDefault="00D0773E" w:rsidP="00D0773E">
            <w:pPr>
              <w:pStyle w:val="TableTextRightBold"/>
            </w:pPr>
            <w:r w:rsidRPr="007643D7">
              <w:t>26,507,347</w:t>
            </w:r>
          </w:p>
        </w:tc>
        <w:tc>
          <w:tcPr>
            <w:tcW w:w="1724" w:type="dxa"/>
            <w:shd w:val="clear" w:color="auto" w:fill="D3DBEE"/>
          </w:tcPr>
          <w:p w14:paraId="40E89503" w14:textId="77777777" w:rsidR="00D0773E" w:rsidRPr="003F4DC2" w:rsidRDefault="00D0773E" w:rsidP="00D0773E">
            <w:pPr>
              <w:pStyle w:val="TableTextRightBold"/>
              <w:rPr>
                <w:rFonts w:eastAsia="Arial"/>
                <w:color w:val="000000" w:themeColor="text1"/>
              </w:rPr>
            </w:pPr>
            <w:r w:rsidRPr="003F4DC2">
              <w:rPr>
                <w:rFonts w:eastAsia="Arial"/>
                <w:color w:val="000000" w:themeColor="text1"/>
              </w:rPr>
              <w:t>4,980,770</w:t>
            </w:r>
          </w:p>
        </w:tc>
        <w:tc>
          <w:tcPr>
            <w:tcW w:w="1724" w:type="dxa"/>
            <w:shd w:val="clear" w:color="auto" w:fill="D3DBEE"/>
          </w:tcPr>
          <w:p w14:paraId="35A95E58" w14:textId="77777777" w:rsidR="00D0773E" w:rsidRPr="003F4DC2" w:rsidRDefault="00D0773E" w:rsidP="00D0773E">
            <w:pPr>
              <w:pStyle w:val="TableTextRightBold"/>
              <w:rPr>
                <w:rFonts w:eastAsia="Arial"/>
                <w:color w:val="000000" w:themeColor="text1"/>
              </w:rPr>
            </w:pPr>
            <w:r w:rsidRPr="003F4DC2">
              <w:rPr>
                <w:rFonts w:eastAsia="Arial"/>
                <w:color w:val="000000" w:themeColor="text1"/>
              </w:rPr>
              <w:t>78,558,094</w:t>
            </w:r>
          </w:p>
        </w:tc>
        <w:tc>
          <w:tcPr>
            <w:tcW w:w="1724" w:type="dxa"/>
            <w:shd w:val="clear" w:color="auto" w:fill="D3DBEE"/>
          </w:tcPr>
          <w:p w14:paraId="3D953008" w14:textId="77777777" w:rsidR="00D0773E" w:rsidRPr="003F4DC2" w:rsidRDefault="00D0773E" w:rsidP="00D0773E">
            <w:pPr>
              <w:pStyle w:val="TableTextRightBold"/>
              <w:rPr>
                <w:rFonts w:eastAsia="Arial"/>
                <w:color w:val="000000" w:themeColor="text1"/>
              </w:rPr>
            </w:pPr>
            <w:r w:rsidRPr="003F4DC2">
              <w:rPr>
                <w:rFonts w:eastAsia="Arial"/>
                <w:color w:val="000000" w:themeColor="text1"/>
              </w:rPr>
              <w:t>13,644,526</w:t>
            </w:r>
          </w:p>
        </w:tc>
        <w:tc>
          <w:tcPr>
            <w:tcW w:w="1724" w:type="dxa"/>
            <w:shd w:val="clear" w:color="auto" w:fill="D3DBEE"/>
          </w:tcPr>
          <w:p w14:paraId="1F60897C" w14:textId="77777777" w:rsidR="00D0773E" w:rsidRPr="007643D7" w:rsidRDefault="00D0773E" w:rsidP="00D0773E">
            <w:pPr>
              <w:pStyle w:val="TableTextRightBold"/>
            </w:pPr>
            <w:r w:rsidRPr="007643D7">
              <w:t>9</w:t>
            </w:r>
          </w:p>
        </w:tc>
        <w:tc>
          <w:tcPr>
            <w:tcW w:w="1724" w:type="dxa"/>
            <w:shd w:val="clear" w:color="auto" w:fill="D3DBEE"/>
          </w:tcPr>
          <w:p w14:paraId="55872712" w14:textId="77777777" w:rsidR="00D0773E" w:rsidRPr="003F4DC2" w:rsidRDefault="00D0773E" w:rsidP="00D0773E">
            <w:pPr>
              <w:pStyle w:val="TableTextRightBold"/>
              <w:rPr>
                <w:rFonts w:eastAsia="Arial"/>
                <w:color w:val="000000" w:themeColor="text1"/>
              </w:rPr>
            </w:pPr>
            <w:r w:rsidRPr="003F4DC2">
              <w:rPr>
                <w:rFonts w:eastAsia="Arial"/>
                <w:color w:val="000000" w:themeColor="text1"/>
              </w:rPr>
              <w:t>164,223,147</w:t>
            </w:r>
          </w:p>
        </w:tc>
        <w:tc>
          <w:tcPr>
            <w:tcW w:w="1724" w:type="dxa"/>
            <w:shd w:val="clear" w:color="auto" w:fill="D3DBEE"/>
          </w:tcPr>
          <w:p w14:paraId="3CF2D340" w14:textId="77777777" w:rsidR="00D0773E" w:rsidRPr="007643D7" w:rsidRDefault="00D0773E" w:rsidP="00D0773E">
            <w:pPr>
              <w:pStyle w:val="TableTextRightBold"/>
              <w:rPr>
                <w:rFonts w:eastAsia="Arial"/>
                <w:color w:val="000000" w:themeColor="text1"/>
              </w:rPr>
            </w:pPr>
            <w:r w:rsidRPr="007643D7">
              <w:rPr>
                <w:rFonts w:eastAsia="Arial"/>
                <w:color w:val="000000" w:themeColor="text1"/>
              </w:rPr>
              <w:t>287,987,999</w:t>
            </w:r>
          </w:p>
        </w:tc>
      </w:tr>
      <w:tr w:rsidR="00D0773E" w:rsidRPr="009C1F7F" w14:paraId="220623ED" w14:textId="77777777" w:rsidTr="00A02E61">
        <w:trPr>
          <w:trHeight w:val="300"/>
        </w:trPr>
        <w:tc>
          <w:tcPr>
            <w:tcW w:w="21263" w:type="dxa"/>
            <w:gridSpan w:val="9"/>
            <w:shd w:val="clear" w:color="auto" w:fill="BCCAE5"/>
          </w:tcPr>
          <w:p w14:paraId="567A045C" w14:textId="77777777" w:rsidR="00D0773E" w:rsidRPr="003F4DC2" w:rsidRDefault="00D0773E" w:rsidP="00A02E61">
            <w:pPr>
              <w:pStyle w:val="TableTextBold"/>
            </w:pPr>
            <w:r w:rsidRPr="003F4DC2">
              <w:t xml:space="preserve">CAV </w:t>
            </w:r>
            <w:r>
              <w:t>T</w:t>
            </w:r>
            <w:r w:rsidRPr="003F4DC2">
              <w:t xml:space="preserve">rust </w:t>
            </w:r>
            <w:r>
              <w:t>F</w:t>
            </w:r>
            <w:r w:rsidRPr="003F4DC2">
              <w:t xml:space="preserve">und </w:t>
            </w:r>
            <w:r>
              <w:t>E</w:t>
            </w:r>
            <w:r w:rsidRPr="003F4DC2">
              <w:t>xpenditure</w:t>
            </w:r>
          </w:p>
        </w:tc>
      </w:tr>
      <w:tr w:rsidR="00D0773E" w:rsidRPr="009C1F7F" w14:paraId="04D3BCD7" w14:textId="77777777" w:rsidTr="00D0773E">
        <w:trPr>
          <w:trHeight w:val="300"/>
        </w:trPr>
        <w:tc>
          <w:tcPr>
            <w:tcW w:w="7471" w:type="dxa"/>
          </w:tcPr>
          <w:p w14:paraId="609D0127" w14:textId="77777777" w:rsidR="00D0773E" w:rsidRPr="003239FD" w:rsidRDefault="00D0773E" w:rsidP="00D0773E">
            <w:pPr>
              <w:pStyle w:val="TableText"/>
            </w:pPr>
            <w:r w:rsidRPr="003239FD">
              <w:t xml:space="preserve">Audit </w:t>
            </w:r>
            <w:r>
              <w:t>S</w:t>
            </w:r>
            <w:r w:rsidRPr="003239FD">
              <w:t>ervices</w:t>
            </w:r>
          </w:p>
        </w:tc>
        <w:tc>
          <w:tcPr>
            <w:tcW w:w="1724" w:type="dxa"/>
          </w:tcPr>
          <w:p w14:paraId="02422F01" w14:textId="77777777" w:rsidR="00D0773E" w:rsidRPr="003F4DC2" w:rsidRDefault="00D0773E" w:rsidP="00D0773E">
            <w:pPr>
              <w:pStyle w:val="TableTextRight"/>
            </w:pPr>
          </w:p>
        </w:tc>
        <w:tc>
          <w:tcPr>
            <w:tcW w:w="1724" w:type="dxa"/>
          </w:tcPr>
          <w:p w14:paraId="4011FA2D" w14:textId="77777777" w:rsidR="00D0773E" w:rsidRPr="003F4DC2" w:rsidRDefault="00D0773E" w:rsidP="00D0773E">
            <w:pPr>
              <w:pStyle w:val="TableTextRight"/>
            </w:pPr>
          </w:p>
        </w:tc>
        <w:tc>
          <w:tcPr>
            <w:tcW w:w="1724" w:type="dxa"/>
          </w:tcPr>
          <w:p w14:paraId="0CB76EC3" w14:textId="77777777" w:rsidR="00D0773E" w:rsidRPr="003F4DC2" w:rsidRDefault="00D0773E" w:rsidP="00D0773E">
            <w:pPr>
              <w:pStyle w:val="TableTextRight"/>
            </w:pPr>
          </w:p>
        </w:tc>
        <w:tc>
          <w:tcPr>
            <w:tcW w:w="1724" w:type="dxa"/>
          </w:tcPr>
          <w:p w14:paraId="7420F43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19,600</w:t>
            </w:r>
          </w:p>
        </w:tc>
        <w:tc>
          <w:tcPr>
            <w:tcW w:w="1724" w:type="dxa"/>
          </w:tcPr>
          <w:p w14:paraId="2F461031" w14:textId="77777777" w:rsidR="00D0773E" w:rsidRPr="003F4DC2" w:rsidRDefault="00D0773E" w:rsidP="00D0773E">
            <w:pPr>
              <w:pStyle w:val="TableTextRight"/>
            </w:pPr>
          </w:p>
        </w:tc>
        <w:tc>
          <w:tcPr>
            <w:tcW w:w="1724" w:type="dxa"/>
          </w:tcPr>
          <w:p w14:paraId="2DE7E76B" w14:textId="77777777" w:rsidR="00D0773E" w:rsidRPr="003F4DC2" w:rsidRDefault="00D0773E" w:rsidP="00D0773E">
            <w:pPr>
              <w:pStyle w:val="TableTextRight"/>
            </w:pPr>
          </w:p>
        </w:tc>
        <w:tc>
          <w:tcPr>
            <w:tcW w:w="1724" w:type="dxa"/>
          </w:tcPr>
          <w:p w14:paraId="34A5AF84" w14:textId="77777777" w:rsidR="00D0773E" w:rsidRPr="003F4DC2" w:rsidRDefault="00D0773E" w:rsidP="00D0773E">
            <w:pPr>
              <w:pStyle w:val="TableTextRight"/>
            </w:pPr>
          </w:p>
        </w:tc>
        <w:tc>
          <w:tcPr>
            <w:tcW w:w="1724" w:type="dxa"/>
          </w:tcPr>
          <w:p w14:paraId="534B24E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19,600</w:t>
            </w:r>
          </w:p>
        </w:tc>
      </w:tr>
      <w:tr w:rsidR="00D0773E" w:rsidRPr="009C1F7F" w14:paraId="2B6E043E" w14:textId="77777777" w:rsidTr="00D0773E">
        <w:trPr>
          <w:trHeight w:val="300"/>
        </w:trPr>
        <w:tc>
          <w:tcPr>
            <w:tcW w:w="7471" w:type="dxa"/>
          </w:tcPr>
          <w:p w14:paraId="4A002E71" w14:textId="77777777" w:rsidR="00D0773E" w:rsidRPr="003239FD" w:rsidRDefault="00D0773E" w:rsidP="00D0773E">
            <w:pPr>
              <w:pStyle w:val="TableText"/>
            </w:pPr>
            <w:r w:rsidRPr="003239FD">
              <w:t>Claims on consumer guarantee funds</w:t>
            </w:r>
          </w:p>
        </w:tc>
        <w:tc>
          <w:tcPr>
            <w:tcW w:w="1724" w:type="dxa"/>
          </w:tcPr>
          <w:p w14:paraId="04027095" w14:textId="77777777" w:rsidR="00D0773E" w:rsidRPr="003F4DC2" w:rsidRDefault="00D0773E" w:rsidP="00D0773E">
            <w:pPr>
              <w:pStyle w:val="TableTextRight"/>
            </w:pPr>
          </w:p>
        </w:tc>
        <w:tc>
          <w:tcPr>
            <w:tcW w:w="1724" w:type="dxa"/>
          </w:tcPr>
          <w:p w14:paraId="6CA5BB33" w14:textId="77777777" w:rsidR="00D0773E" w:rsidRPr="003F4DC2" w:rsidRDefault="00D0773E" w:rsidP="00D0773E">
            <w:pPr>
              <w:pStyle w:val="TableTextRight"/>
            </w:pPr>
          </w:p>
        </w:tc>
        <w:tc>
          <w:tcPr>
            <w:tcW w:w="1724" w:type="dxa"/>
          </w:tcPr>
          <w:p w14:paraId="2D0B80C6"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488,739</w:t>
            </w:r>
          </w:p>
        </w:tc>
        <w:tc>
          <w:tcPr>
            <w:tcW w:w="1724" w:type="dxa"/>
          </w:tcPr>
          <w:p w14:paraId="2D57FF7A" w14:textId="77777777" w:rsidR="00D0773E" w:rsidRPr="003F4DC2" w:rsidRDefault="00D0773E" w:rsidP="00D0773E">
            <w:pPr>
              <w:pStyle w:val="TableTextRight"/>
            </w:pPr>
          </w:p>
        </w:tc>
        <w:tc>
          <w:tcPr>
            <w:tcW w:w="1724" w:type="dxa"/>
          </w:tcPr>
          <w:p w14:paraId="23F0B31B" w14:textId="77777777" w:rsidR="00D0773E" w:rsidRPr="003F4DC2" w:rsidRDefault="00D0773E" w:rsidP="00D0773E">
            <w:pPr>
              <w:pStyle w:val="TableTextRight"/>
            </w:pPr>
          </w:p>
        </w:tc>
        <w:tc>
          <w:tcPr>
            <w:tcW w:w="1724" w:type="dxa"/>
          </w:tcPr>
          <w:p w14:paraId="6413C6BB" w14:textId="77777777" w:rsidR="00D0773E" w:rsidRPr="003F4DC2" w:rsidRDefault="00D0773E" w:rsidP="00D0773E">
            <w:pPr>
              <w:pStyle w:val="TableTextRight"/>
            </w:pPr>
          </w:p>
        </w:tc>
        <w:tc>
          <w:tcPr>
            <w:tcW w:w="1724" w:type="dxa"/>
          </w:tcPr>
          <w:p w14:paraId="65BBEF6A"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552,824</w:t>
            </w:r>
          </w:p>
        </w:tc>
        <w:tc>
          <w:tcPr>
            <w:tcW w:w="1724" w:type="dxa"/>
          </w:tcPr>
          <w:p w14:paraId="75DC9C8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1,041,563</w:t>
            </w:r>
          </w:p>
        </w:tc>
      </w:tr>
      <w:tr w:rsidR="00D0773E" w:rsidRPr="009C1F7F" w14:paraId="66957726" w14:textId="77777777" w:rsidTr="00D0773E">
        <w:trPr>
          <w:trHeight w:val="300"/>
        </w:trPr>
        <w:tc>
          <w:tcPr>
            <w:tcW w:w="7471" w:type="dxa"/>
          </w:tcPr>
          <w:p w14:paraId="36A59BA9" w14:textId="77777777" w:rsidR="00D0773E" w:rsidRPr="003239FD" w:rsidRDefault="00D0773E" w:rsidP="00D0773E">
            <w:pPr>
              <w:pStyle w:val="TableText"/>
            </w:pPr>
            <w:r w:rsidRPr="003239FD">
              <w:t>Contractors, consultants and professional services</w:t>
            </w:r>
          </w:p>
        </w:tc>
        <w:tc>
          <w:tcPr>
            <w:tcW w:w="1724" w:type="dxa"/>
          </w:tcPr>
          <w:p w14:paraId="0A5173C5" w14:textId="77777777" w:rsidR="00D0773E" w:rsidRPr="003F4DC2" w:rsidRDefault="00D0773E" w:rsidP="00D0773E">
            <w:pPr>
              <w:pStyle w:val="TableTextRight"/>
            </w:pPr>
          </w:p>
        </w:tc>
        <w:tc>
          <w:tcPr>
            <w:tcW w:w="1724" w:type="dxa"/>
          </w:tcPr>
          <w:p w14:paraId="71D30A14"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306,907</w:t>
            </w:r>
          </w:p>
        </w:tc>
        <w:tc>
          <w:tcPr>
            <w:tcW w:w="1724" w:type="dxa"/>
          </w:tcPr>
          <w:p w14:paraId="4836A657"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12,381</w:t>
            </w:r>
          </w:p>
        </w:tc>
        <w:tc>
          <w:tcPr>
            <w:tcW w:w="1724" w:type="dxa"/>
          </w:tcPr>
          <w:p w14:paraId="739821DB"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205,190</w:t>
            </w:r>
          </w:p>
        </w:tc>
        <w:tc>
          <w:tcPr>
            <w:tcW w:w="1724" w:type="dxa"/>
          </w:tcPr>
          <w:p w14:paraId="2E57CEFD"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275,398</w:t>
            </w:r>
          </w:p>
        </w:tc>
        <w:tc>
          <w:tcPr>
            <w:tcW w:w="1724" w:type="dxa"/>
          </w:tcPr>
          <w:p w14:paraId="79AC8045" w14:textId="77777777" w:rsidR="00D0773E" w:rsidRPr="003F4DC2" w:rsidRDefault="00D0773E" w:rsidP="00D0773E">
            <w:pPr>
              <w:pStyle w:val="TableTextRight"/>
            </w:pPr>
          </w:p>
        </w:tc>
        <w:tc>
          <w:tcPr>
            <w:tcW w:w="1724" w:type="dxa"/>
          </w:tcPr>
          <w:p w14:paraId="69C1D864"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1,136,230</w:t>
            </w:r>
          </w:p>
        </w:tc>
        <w:tc>
          <w:tcPr>
            <w:tcW w:w="1724" w:type="dxa"/>
          </w:tcPr>
          <w:p w14:paraId="4C9761F3"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1,936,107</w:t>
            </w:r>
          </w:p>
        </w:tc>
      </w:tr>
      <w:tr w:rsidR="00D0773E" w:rsidRPr="009C1F7F" w14:paraId="17A77C67" w14:textId="77777777" w:rsidTr="00D0773E">
        <w:trPr>
          <w:trHeight w:val="300"/>
        </w:trPr>
        <w:tc>
          <w:tcPr>
            <w:tcW w:w="7471" w:type="dxa"/>
          </w:tcPr>
          <w:p w14:paraId="0F08DEC6" w14:textId="77777777" w:rsidR="00D0773E" w:rsidRPr="003239FD" w:rsidRDefault="00D0773E" w:rsidP="00D0773E">
            <w:pPr>
              <w:pStyle w:val="TableText"/>
            </w:pPr>
            <w:r w:rsidRPr="003239FD">
              <w:t>Employee related costs</w:t>
            </w:r>
          </w:p>
        </w:tc>
        <w:tc>
          <w:tcPr>
            <w:tcW w:w="1724" w:type="dxa"/>
          </w:tcPr>
          <w:p w14:paraId="62570FF8" w14:textId="77777777" w:rsidR="00D0773E" w:rsidRPr="003F4DC2" w:rsidRDefault="00D0773E" w:rsidP="00D0773E">
            <w:pPr>
              <w:pStyle w:val="TableTextRight"/>
            </w:pPr>
          </w:p>
        </w:tc>
        <w:tc>
          <w:tcPr>
            <w:tcW w:w="1724" w:type="dxa"/>
          </w:tcPr>
          <w:p w14:paraId="410C8638" w14:textId="77777777" w:rsidR="00D0773E" w:rsidRPr="003F4DC2" w:rsidRDefault="00D0773E" w:rsidP="00D0773E">
            <w:pPr>
              <w:pStyle w:val="TableTextRight"/>
            </w:pPr>
            <w:r w:rsidRPr="003F4DC2">
              <w:t>14,588,827</w:t>
            </w:r>
          </w:p>
        </w:tc>
        <w:tc>
          <w:tcPr>
            <w:tcW w:w="1724" w:type="dxa"/>
          </w:tcPr>
          <w:p w14:paraId="1885E61E"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3,261,763</w:t>
            </w:r>
          </w:p>
        </w:tc>
        <w:tc>
          <w:tcPr>
            <w:tcW w:w="1724" w:type="dxa"/>
          </w:tcPr>
          <w:p w14:paraId="63D9C33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7,185,879</w:t>
            </w:r>
          </w:p>
        </w:tc>
        <w:tc>
          <w:tcPr>
            <w:tcW w:w="1724" w:type="dxa"/>
          </w:tcPr>
          <w:p w14:paraId="34232FA2"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15,620,600</w:t>
            </w:r>
          </w:p>
        </w:tc>
        <w:tc>
          <w:tcPr>
            <w:tcW w:w="1724" w:type="dxa"/>
          </w:tcPr>
          <w:p w14:paraId="44E73018" w14:textId="77777777" w:rsidR="00D0773E" w:rsidRPr="003F4DC2" w:rsidRDefault="00D0773E" w:rsidP="00D0773E">
            <w:pPr>
              <w:pStyle w:val="TableTextRight"/>
            </w:pPr>
          </w:p>
        </w:tc>
        <w:tc>
          <w:tcPr>
            <w:tcW w:w="1724" w:type="dxa"/>
          </w:tcPr>
          <w:p w14:paraId="742CE52D"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15,425,318</w:t>
            </w:r>
          </w:p>
        </w:tc>
        <w:tc>
          <w:tcPr>
            <w:tcW w:w="1724" w:type="dxa"/>
          </w:tcPr>
          <w:p w14:paraId="7960F517"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56,082,387</w:t>
            </w:r>
          </w:p>
        </w:tc>
      </w:tr>
      <w:tr w:rsidR="00D0773E" w:rsidRPr="009C1F7F" w14:paraId="0641BF25" w14:textId="77777777" w:rsidTr="00D0773E">
        <w:trPr>
          <w:trHeight w:val="300"/>
        </w:trPr>
        <w:tc>
          <w:tcPr>
            <w:tcW w:w="7471" w:type="dxa"/>
          </w:tcPr>
          <w:p w14:paraId="0F5C3770" w14:textId="77777777" w:rsidR="00D0773E" w:rsidRPr="003239FD" w:rsidRDefault="00D0773E" w:rsidP="00D0773E">
            <w:pPr>
              <w:pStyle w:val="TableText"/>
            </w:pPr>
            <w:r w:rsidRPr="003239FD">
              <w:t>Grants paid</w:t>
            </w:r>
          </w:p>
        </w:tc>
        <w:tc>
          <w:tcPr>
            <w:tcW w:w="1724" w:type="dxa"/>
          </w:tcPr>
          <w:p w14:paraId="5FC78A1E" w14:textId="77777777" w:rsidR="00D0773E" w:rsidRPr="003F4DC2" w:rsidRDefault="00D0773E" w:rsidP="00D0773E">
            <w:pPr>
              <w:pStyle w:val="TableTextRight"/>
            </w:pPr>
          </w:p>
        </w:tc>
        <w:tc>
          <w:tcPr>
            <w:tcW w:w="1724" w:type="dxa"/>
          </w:tcPr>
          <w:p w14:paraId="050A9737" w14:textId="77777777" w:rsidR="00D0773E" w:rsidRPr="003F4DC2" w:rsidRDefault="00D0773E" w:rsidP="00D0773E">
            <w:pPr>
              <w:pStyle w:val="TableTextRight"/>
            </w:pPr>
            <w:r w:rsidRPr="003F4DC2">
              <w:t>9,137,773</w:t>
            </w:r>
          </w:p>
        </w:tc>
        <w:tc>
          <w:tcPr>
            <w:tcW w:w="1724" w:type="dxa"/>
          </w:tcPr>
          <w:p w14:paraId="0257C531" w14:textId="77777777" w:rsidR="00D0773E" w:rsidRPr="003F4DC2" w:rsidRDefault="00D0773E" w:rsidP="00D0773E">
            <w:pPr>
              <w:pStyle w:val="TableTextRight"/>
            </w:pPr>
          </w:p>
        </w:tc>
        <w:tc>
          <w:tcPr>
            <w:tcW w:w="1724" w:type="dxa"/>
          </w:tcPr>
          <w:p w14:paraId="7C34A2B8" w14:textId="77777777" w:rsidR="00D0773E" w:rsidRPr="003F4DC2" w:rsidRDefault="00D0773E" w:rsidP="00D0773E">
            <w:pPr>
              <w:pStyle w:val="TableTextRight"/>
            </w:pPr>
          </w:p>
        </w:tc>
        <w:tc>
          <w:tcPr>
            <w:tcW w:w="1724" w:type="dxa"/>
          </w:tcPr>
          <w:p w14:paraId="0A535659"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5,378,503</w:t>
            </w:r>
          </w:p>
        </w:tc>
        <w:tc>
          <w:tcPr>
            <w:tcW w:w="1724" w:type="dxa"/>
          </w:tcPr>
          <w:p w14:paraId="3A24554C" w14:textId="77777777" w:rsidR="00D0773E" w:rsidRPr="003F4DC2" w:rsidRDefault="00D0773E" w:rsidP="00D0773E">
            <w:pPr>
              <w:pStyle w:val="TableTextRight"/>
            </w:pPr>
          </w:p>
        </w:tc>
        <w:tc>
          <w:tcPr>
            <w:tcW w:w="1724" w:type="dxa"/>
          </w:tcPr>
          <w:p w14:paraId="1EE90A9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62,448,286</w:t>
            </w:r>
          </w:p>
        </w:tc>
        <w:tc>
          <w:tcPr>
            <w:tcW w:w="1724" w:type="dxa"/>
          </w:tcPr>
          <w:p w14:paraId="6D4835B8"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76,964,563</w:t>
            </w:r>
          </w:p>
        </w:tc>
      </w:tr>
      <w:tr w:rsidR="00D0773E" w:rsidRPr="009C1F7F" w14:paraId="2C14A70C" w14:textId="77777777" w:rsidTr="00D0773E">
        <w:trPr>
          <w:trHeight w:val="60"/>
        </w:trPr>
        <w:tc>
          <w:tcPr>
            <w:tcW w:w="7471" w:type="dxa"/>
          </w:tcPr>
          <w:p w14:paraId="234EA61D" w14:textId="77777777" w:rsidR="00D0773E" w:rsidRPr="003239FD" w:rsidRDefault="00D0773E" w:rsidP="00D0773E">
            <w:pPr>
              <w:pStyle w:val="TableText"/>
            </w:pPr>
            <w:r w:rsidRPr="003239FD">
              <w:t>Information technology</w:t>
            </w:r>
          </w:p>
        </w:tc>
        <w:tc>
          <w:tcPr>
            <w:tcW w:w="1724" w:type="dxa"/>
          </w:tcPr>
          <w:p w14:paraId="1B477ECE" w14:textId="77777777" w:rsidR="00D0773E" w:rsidRPr="003F4DC2" w:rsidRDefault="00D0773E" w:rsidP="00D0773E">
            <w:pPr>
              <w:pStyle w:val="TableTextRight"/>
            </w:pPr>
          </w:p>
        </w:tc>
        <w:tc>
          <w:tcPr>
            <w:tcW w:w="1724" w:type="dxa"/>
          </w:tcPr>
          <w:p w14:paraId="20D85744" w14:textId="77777777" w:rsidR="00D0773E" w:rsidRPr="003F4DC2" w:rsidRDefault="00D0773E" w:rsidP="00D0773E">
            <w:pPr>
              <w:pStyle w:val="TableTextRight"/>
            </w:pPr>
            <w:r w:rsidRPr="003F4DC2">
              <w:t>597,451</w:t>
            </w:r>
          </w:p>
        </w:tc>
        <w:tc>
          <w:tcPr>
            <w:tcW w:w="1724" w:type="dxa"/>
          </w:tcPr>
          <w:p w14:paraId="2698888C" w14:textId="77777777" w:rsidR="00D0773E" w:rsidRPr="003F4DC2" w:rsidRDefault="00D0773E" w:rsidP="00D0773E">
            <w:pPr>
              <w:pStyle w:val="TableTextRight"/>
              <w:rPr>
                <w:rFonts w:eastAsia="Aptos Narrow"/>
                <w:color w:val="000000" w:themeColor="text1"/>
              </w:rPr>
            </w:pPr>
            <w:r w:rsidRPr="003F4DC2">
              <w:rPr>
                <w:rFonts w:eastAsia="Aptos Narrow"/>
                <w:color w:val="000000" w:themeColor="text1"/>
              </w:rPr>
              <w:t>44,873</w:t>
            </w:r>
          </w:p>
        </w:tc>
        <w:tc>
          <w:tcPr>
            <w:tcW w:w="1724" w:type="dxa"/>
          </w:tcPr>
          <w:p w14:paraId="44BB2938" w14:textId="77777777" w:rsidR="00D0773E" w:rsidRPr="003F4DC2" w:rsidRDefault="00D0773E" w:rsidP="00D0773E">
            <w:pPr>
              <w:pStyle w:val="TableTextRight"/>
              <w:rPr>
                <w:rFonts w:eastAsia="Aptos Narrow"/>
                <w:color w:val="000000" w:themeColor="text1"/>
              </w:rPr>
            </w:pPr>
            <w:r w:rsidRPr="003F4DC2">
              <w:rPr>
                <w:rFonts w:eastAsia="Aptos Narrow"/>
                <w:color w:val="000000" w:themeColor="text1"/>
              </w:rPr>
              <w:t>616,217</w:t>
            </w:r>
          </w:p>
        </w:tc>
        <w:tc>
          <w:tcPr>
            <w:tcW w:w="1724" w:type="dxa"/>
          </w:tcPr>
          <w:p w14:paraId="5B291253" w14:textId="77777777" w:rsidR="00D0773E" w:rsidRPr="003F4DC2" w:rsidRDefault="00D0773E" w:rsidP="00D0773E">
            <w:pPr>
              <w:pStyle w:val="TableTextRight"/>
              <w:rPr>
                <w:rFonts w:eastAsia="Aptos Narrow"/>
                <w:color w:val="000000" w:themeColor="text1"/>
              </w:rPr>
            </w:pPr>
            <w:r w:rsidRPr="003F4DC2">
              <w:rPr>
                <w:rFonts w:eastAsia="Aptos Narrow"/>
                <w:color w:val="000000" w:themeColor="text1"/>
              </w:rPr>
              <w:t>651,360</w:t>
            </w:r>
          </w:p>
        </w:tc>
        <w:tc>
          <w:tcPr>
            <w:tcW w:w="1724" w:type="dxa"/>
          </w:tcPr>
          <w:p w14:paraId="51B0D0D8" w14:textId="77777777" w:rsidR="00D0773E" w:rsidRPr="003F4DC2" w:rsidRDefault="00D0773E" w:rsidP="00D0773E">
            <w:pPr>
              <w:pStyle w:val="TableTextRight"/>
            </w:pPr>
          </w:p>
        </w:tc>
        <w:tc>
          <w:tcPr>
            <w:tcW w:w="1724" w:type="dxa"/>
          </w:tcPr>
          <w:p w14:paraId="0748CE61" w14:textId="77777777" w:rsidR="00D0773E" w:rsidRPr="003F4DC2" w:rsidRDefault="00D0773E" w:rsidP="00D0773E">
            <w:pPr>
              <w:pStyle w:val="TableTextRight"/>
              <w:rPr>
                <w:rFonts w:eastAsia="Aptos Narrow"/>
                <w:color w:val="000000" w:themeColor="text1"/>
              </w:rPr>
            </w:pPr>
            <w:r w:rsidRPr="003F4DC2">
              <w:rPr>
                <w:rFonts w:eastAsia="Aptos Narrow"/>
                <w:color w:val="000000" w:themeColor="text1"/>
              </w:rPr>
              <w:t>777,504</w:t>
            </w:r>
          </w:p>
        </w:tc>
        <w:tc>
          <w:tcPr>
            <w:tcW w:w="1724" w:type="dxa"/>
          </w:tcPr>
          <w:p w14:paraId="0F2225E6"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2,687,404</w:t>
            </w:r>
          </w:p>
        </w:tc>
      </w:tr>
      <w:tr w:rsidR="00D0773E" w:rsidRPr="009C1F7F" w14:paraId="6A5C2597" w14:textId="77777777" w:rsidTr="00D0773E">
        <w:trPr>
          <w:trHeight w:val="300"/>
        </w:trPr>
        <w:tc>
          <w:tcPr>
            <w:tcW w:w="7471" w:type="dxa"/>
          </w:tcPr>
          <w:p w14:paraId="2F593D92" w14:textId="77777777" w:rsidR="00D0773E" w:rsidRPr="003239FD" w:rsidRDefault="00D0773E" w:rsidP="00D0773E">
            <w:pPr>
              <w:pStyle w:val="TableText"/>
            </w:pPr>
            <w:r w:rsidRPr="003239FD">
              <w:t>Occupancy costs</w:t>
            </w:r>
          </w:p>
        </w:tc>
        <w:tc>
          <w:tcPr>
            <w:tcW w:w="1724" w:type="dxa"/>
          </w:tcPr>
          <w:p w14:paraId="0D9BC516" w14:textId="77777777" w:rsidR="00D0773E" w:rsidRPr="003F4DC2" w:rsidRDefault="00D0773E" w:rsidP="00D0773E">
            <w:pPr>
              <w:pStyle w:val="TableTextRight"/>
            </w:pPr>
          </w:p>
        </w:tc>
        <w:tc>
          <w:tcPr>
            <w:tcW w:w="1724" w:type="dxa"/>
          </w:tcPr>
          <w:p w14:paraId="2BE49591" w14:textId="77777777" w:rsidR="00D0773E" w:rsidRPr="003F4DC2" w:rsidRDefault="00D0773E" w:rsidP="00D0773E">
            <w:pPr>
              <w:pStyle w:val="TableTextRight"/>
            </w:pPr>
          </w:p>
        </w:tc>
        <w:tc>
          <w:tcPr>
            <w:tcW w:w="1724" w:type="dxa"/>
          </w:tcPr>
          <w:p w14:paraId="7B4A9478" w14:textId="77777777" w:rsidR="00D0773E" w:rsidRPr="003F4DC2" w:rsidRDefault="00D0773E" w:rsidP="00D0773E">
            <w:pPr>
              <w:pStyle w:val="TableTextRight"/>
            </w:pPr>
          </w:p>
        </w:tc>
        <w:tc>
          <w:tcPr>
            <w:tcW w:w="1724" w:type="dxa"/>
          </w:tcPr>
          <w:p w14:paraId="772EB3A8" w14:textId="77777777" w:rsidR="00D0773E" w:rsidRPr="003F4DC2" w:rsidRDefault="00D0773E" w:rsidP="00D0773E">
            <w:pPr>
              <w:pStyle w:val="TableTextRight"/>
            </w:pPr>
          </w:p>
        </w:tc>
        <w:tc>
          <w:tcPr>
            <w:tcW w:w="1724" w:type="dxa"/>
          </w:tcPr>
          <w:p w14:paraId="55AF1BCE" w14:textId="77777777" w:rsidR="00D0773E" w:rsidRPr="003F4DC2" w:rsidRDefault="00D0773E" w:rsidP="00D0773E">
            <w:pPr>
              <w:pStyle w:val="TableTextRight"/>
            </w:pPr>
          </w:p>
        </w:tc>
        <w:tc>
          <w:tcPr>
            <w:tcW w:w="1724" w:type="dxa"/>
          </w:tcPr>
          <w:p w14:paraId="39CA9DB4" w14:textId="77777777" w:rsidR="00D0773E" w:rsidRPr="003F4DC2" w:rsidRDefault="00D0773E" w:rsidP="00D0773E">
            <w:pPr>
              <w:pStyle w:val="TableTextRight"/>
            </w:pPr>
          </w:p>
        </w:tc>
        <w:tc>
          <w:tcPr>
            <w:tcW w:w="1724" w:type="dxa"/>
          </w:tcPr>
          <w:p w14:paraId="2D10E380" w14:textId="77777777" w:rsidR="00D0773E" w:rsidRPr="003F4DC2" w:rsidRDefault="00D0773E" w:rsidP="00D0773E">
            <w:pPr>
              <w:pStyle w:val="TableTextRight"/>
            </w:pPr>
          </w:p>
        </w:tc>
        <w:tc>
          <w:tcPr>
            <w:tcW w:w="1724" w:type="dxa"/>
          </w:tcPr>
          <w:p w14:paraId="7BF4688F" w14:textId="77777777" w:rsidR="00D0773E" w:rsidRPr="003F4DC2" w:rsidRDefault="00D0773E" w:rsidP="00D0773E">
            <w:pPr>
              <w:pStyle w:val="TableTextRight"/>
            </w:pPr>
          </w:p>
        </w:tc>
      </w:tr>
      <w:tr w:rsidR="00D0773E" w:rsidRPr="009C1F7F" w14:paraId="23542816" w14:textId="77777777" w:rsidTr="00D0773E">
        <w:trPr>
          <w:trHeight w:val="300"/>
        </w:trPr>
        <w:tc>
          <w:tcPr>
            <w:tcW w:w="7471" w:type="dxa"/>
          </w:tcPr>
          <w:p w14:paraId="6C1B0491" w14:textId="77777777" w:rsidR="00D0773E" w:rsidRPr="003239FD" w:rsidRDefault="00D0773E" w:rsidP="00D0773E">
            <w:pPr>
              <w:pStyle w:val="TableText"/>
            </w:pPr>
            <w:r w:rsidRPr="003239FD">
              <w:t>Other operating costs</w:t>
            </w:r>
          </w:p>
        </w:tc>
        <w:tc>
          <w:tcPr>
            <w:tcW w:w="1724" w:type="dxa"/>
          </w:tcPr>
          <w:p w14:paraId="638B3266" w14:textId="77777777" w:rsidR="00D0773E" w:rsidRPr="003F4DC2" w:rsidRDefault="00D0773E" w:rsidP="00D0773E">
            <w:pPr>
              <w:pStyle w:val="TableTextRight"/>
            </w:pPr>
          </w:p>
        </w:tc>
        <w:tc>
          <w:tcPr>
            <w:tcW w:w="1724" w:type="dxa"/>
          </w:tcPr>
          <w:p w14:paraId="6E19597B" w14:textId="77777777" w:rsidR="00D0773E" w:rsidRPr="003F4DC2" w:rsidRDefault="00D0773E" w:rsidP="00D0773E">
            <w:pPr>
              <w:pStyle w:val="TableTextRight"/>
            </w:pPr>
            <w:r w:rsidRPr="003F4DC2">
              <w:t>1,826,481</w:t>
            </w:r>
          </w:p>
        </w:tc>
        <w:tc>
          <w:tcPr>
            <w:tcW w:w="1724" w:type="dxa"/>
          </w:tcPr>
          <w:p w14:paraId="5D8AA923"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483,520</w:t>
            </w:r>
          </w:p>
        </w:tc>
        <w:tc>
          <w:tcPr>
            <w:tcW w:w="1724" w:type="dxa"/>
          </w:tcPr>
          <w:p w14:paraId="2B877B75"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844,355</w:t>
            </w:r>
          </w:p>
        </w:tc>
        <w:tc>
          <w:tcPr>
            <w:tcW w:w="1724" w:type="dxa"/>
          </w:tcPr>
          <w:p w14:paraId="079805E2"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3,508,813</w:t>
            </w:r>
          </w:p>
        </w:tc>
        <w:tc>
          <w:tcPr>
            <w:tcW w:w="1724" w:type="dxa"/>
          </w:tcPr>
          <w:p w14:paraId="6E26626D" w14:textId="77777777" w:rsidR="00D0773E" w:rsidRPr="003F4DC2" w:rsidRDefault="00D0773E" w:rsidP="00D0773E">
            <w:pPr>
              <w:pStyle w:val="TableTextRight"/>
            </w:pPr>
          </w:p>
        </w:tc>
        <w:tc>
          <w:tcPr>
            <w:tcW w:w="1724" w:type="dxa"/>
          </w:tcPr>
          <w:p w14:paraId="519AD9B2"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5,464,976</w:t>
            </w:r>
          </w:p>
        </w:tc>
        <w:tc>
          <w:tcPr>
            <w:tcW w:w="1724" w:type="dxa"/>
          </w:tcPr>
          <w:p w14:paraId="3C9E634C"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12,128,146</w:t>
            </w:r>
          </w:p>
        </w:tc>
      </w:tr>
      <w:tr w:rsidR="00D0773E" w:rsidRPr="009C1F7F" w14:paraId="5D2B58BB" w14:textId="77777777" w:rsidTr="00D0773E">
        <w:trPr>
          <w:trHeight w:val="300"/>
        </w:trPr>
        <w:tc>
          <w:tcPr>
            <w:tcW w:w="7471" w:type="dxa"/>
          </w:tcPr>
          <w:p w14:paraId="6E92A6C9" w14:textId="77777777" w:rsidR="00D0773E" w:rsidRPr="003239FD" w:rsidRDefault="00D0773E" w:rsidP="00D0773E">
            <w:pPr>
              <w:pStyle w:val="TableText"/>
            </w:pPr>
            <w:r w:rsidRPr="003239FD">
              <w:t xml:space="preserve">Net </w:t>
            </w:r>
            <w:r>
              <w:t>t</w:t>
            </w:r>
            <w:r w:rsidRPr="003239FD">
              <w:t>ransfers out</w:t>
            </w:r>
          </w:p>
        </w:tc>
        <w:tc>
          <w:tcPr>
            <w:tcW w:w="1724" w:type="dxa"/>
          </w:tcPr>
          <w:p w14:paraId="0B156236" w14:textId="77777777" w:rsidR="00D0773E" w:rsidRPr="003F4DC2" w:rsidRDefault="00D0773E" w:rsidP="00D0773E">
            <w:pPr>
              <w:pStyle w:val="TableTextRight"/>
            </w:pPr>
          </w:p>
        </w:tc>
        <w:tc>
          <w:tcPr>
            <w:tcW w:w="1724" w:type="dxa"/>
          </w:tcPr>
          <w:p w14:paraId="4E656864" w14:textId="77777777" w:rsidR="00D0773E" w:rsidRPr="003F4DC2" w:rsidRDefault="00D0773E" w:rsidP="00D0773E">
            <w:pPr>
              <w:pStyle w:val="TableTextRight"/>
            </w:pPr>
          </w:p>
        </w:tc>
        <w:tc>
          <w:tcPr>
            <w:tcW w:w="1724" w:type="dxa"/>
          </w:tcPr>
          <w:p w14:paraId="236295B4" w14:textId="77777777" w:rsidR="00D0773E" w:rsidRPr="003F4DC2" w:rsidRDefault="00D0773E" w:rsidP="00D0773E">
            <w:pPr>
              <w:pStyle w:val="TableTextRight"/>
            </w:pPr>
          </w:p>
        </w:tc>
        <w:tc>
          <w:tcPr>
            <w:tcW w:w="1724" w:type="dxa"/>
          </w:tcPr>
          <w:p w14:paraId="1815D7E9" w14:textId="77777777" w:rsidR="00D0773E" w:rsidRPr="003F4DC2" w:rsidRDefault="00D0773E" w:rsidP="00D0773E">
            <w:pPr>
              <w:pStyle w:val="TableTextRight"/>
            </w:pPr>
          </w:p>
        </w:tc>
        <w:tc>
          <w:tcPr>
            <w:tcW w:w="1724" w:type="dxa"/>
          </w:tcPr>
          <w:p w14:paraId="1908BDFE" w14:textId="77777777" w:rsidR="00D0773E" w:rsidRPr="003F4DC2" w:rsidRDefault="00D0773E" w:rsidP="00D0773E">
            <w:pPr>
              <w:pStyle w:val="TableTextRight"/>
            </w:pPr>
          </w:p>
        </w:tc>
        <w:tc>
          <w:tcPr>
            <w:tcW w:w="1724" w:type="dxa"/>
          </w:tcPr>
          <w:p w14:paraId="7F6D8386"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59,834</w:t>
            </w:r>
          </w:p>
        </w:tc>
        <w:tc>
          <w:tcPr>
            <w:tcW w:w="1724" w:type="dxa"/>
          </w:tcPr>
          <w:p w14:paraId="275BAC1C" w14:textId="77777777" w:rsidR="00D0773E" w:rsidRPr="003F4DC2" w:rsidRDefault="00D0773E" w:rsidP="00D0773E">
            <w:pPr>
              <w:pStyle w:val="TableTextRight"/>
            </w:pPr>
          </w:p>
        </w:tc>
        <w:tc>
          <w:tcPr>
            <w:tcW w:w="1724" w:type="dxa"/>
          </w:tcPr>
          <w:p w14:paraId="02E66E8A"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59,834</w:t>
            </w:r>
          </w:p>
        </w:tc>
      </w:tr>
      <w:tr w:rsidR="00D0773E" w:rsidRPr="009C1F7F" w14:paraId="2029ECC8" w14:textId="77777777" w:rsidTr="00D0773E">
        <w:trPr>
          <w:trHeight w:val="300"/>
        </w:trPr>
        <w:tc>
          <w:tcPr>
            <w:tcW w:w="7471" w:type="dxa"/>
          </w:tcPr>
          <w:p w14:paraId="62F7EB68" w14:textId="77777777" w:rsidR="00D0773E" w:rsidRPr="003239FD" w:rsidRDefault="00D0773E" w:rsidP="00D0773E">
            <w:pPr>
              <w:pStyle w:val="TableText"/>
            </w:pPr>
            <w:r w:rsidRPr="003239FD">
              <w:t>Outsourced contracted costs</w:t>
            </w:r>
          </w:p>
        </w:tc>
        <w:tc>
          <w:tcPr>
            <w:tcW w:w="1724" w:type="dxa"/>
          </w:tcPr>
          <w:p w14:paraId="5C0ECDB8" w14:textId="77777777" w:rsidR="00D0773E" w:rsidRPr="003F4DC2" w:rsidRDefault="00D0773E" w:rsidP="00D0773E">
            <w:pPr>
              <w:pStyle w:val="TableTextRight"/>
            </w:pPr>
          </w:p>
        </w:tc>
        <w:tc>
          <w:tcPr>
            <w:tcW w:w="1724" w:type="dxa"/>
          </w:tcPr>
          <w:p w14:paraId="3EF6FCFC" w14:textId="77777777" w:rsidR="00D0773E" w:rsidRPr="003F4DC2" w:rsidRDefault="00D0773E" w:rsidP="00D0773E">
            <w:pPr>
              <w:pStyle w:val="TableTextRight"/>
            </w:pPr>
          </w:p>
        </w:tc>
        <w:tc>
          <w:tcPr>
            <w:tcW w:w="1724" w:type="dxa"/>
          </w:tcPr>
          <w:p w14:paraId="24543407" w14:textId="77777777" w:rsidR="00D0773E" w:rsidRPr="003F4DC2" w:rsidRDefault="00D0773E" w:rsidP="00D0773E">
            <w:pPr>
              <w:pStyle w:val="TableTextRight"/>
            </w:pPr>
          </w:p>
        </w:tc>
        <w:tc>
          <w:tcPr>
            <w:tcW w:w="1724" w:type="dxa"/>
          </w:tcPr>
          <w:p w14:paraId="4D5CBA46"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5,573,428</w:t>
            </w:r>
          </w:p>
        </w:tc>
        <w:tc>
          <w:tcPr>
            <w:tcW w:w="1724" w:type="dxa"/>
          </w:tcPr>
          <w:p w14:paraId="7962DF13" w14:textId="77777777" w:rsidR="00D0773E" w:rsidRPr="003F4DC2" w:rsidRDefault="00D0773E" w:rsidP="00D0773E">
            <w:pPr>
              <w:pStyle w:val="TableTextRight"/>
            </w:pPr>
          </w:p>
        </w:tc>
        <w:tc>
          <w:tcPr>
            <w:tcW w:w="1724" w:type="dxa"/>
          </w:tcPr>
          <w:p w14:paraId="6114DF53" w14:textId="77777777" w:rsidR="00D0773E" w:rsidRPr="003F4DC2" w:rsidRDefault="00D0773E" w:rsidP="00D0773E">
            <w:pPr>
              <w:pStyle w:val="TableTextRight"/>
            </w:pPr>
          </w:p>
        </w:tc>
        <w:tc>
          <w:tcPr>
            <w:tcW w:w="1724" w:type="dxa"/>
          </w:tcPr>
          <w:p w14:paraId="78C86411" w14:textId="77777777" w:rsidR="00D0773E" w:rsidRPr="003F4DC2" w:rsidRDefault="00D0773E" w:rsidP="00D0773E">
            <w:pPr>
              <w:pStyle w:val="TableTextRight"/>
            </w:pPr>
          </w:p>
        </w:tc>
        <w:tc>
          <w:tcPr>
            <w:tcW w:w="1724" w:type="dxa"/>
          </w:tcPr>
          <w:p w14:paraId="3AB3D61D" w14:textId="77777777" w:rsidR="00D0773E" w:rsidRPr="003F4DC2" w:rsidRDefault="00D0773E" w:rsidP="00D0773E">
            <w:pPr>
              <w:pStyle w:val="TableTextRight"/>
              <w:rPr>
                <w:rFonts w:eastAsia="Arial"/>
                <w:color w:val="000000" w:themeColor="text1"/>
              </w:rPr>
            </w:pPr>
            <w:r w:rsidRPr="003F4DC2">
              <w:rPr>
                <w:rFonts w:eastAsia="Arial"/>
                <w:color w:val="000000" w:themeColor="text1"/>
              </w:rPr>
              <w:t>5,573,428</w:t>
            </w:r>
          </w:p>
        </w:tc>
      </w:tr>
      <w:tr w:rsidR="00D0773E" w:rsidRPr="009C1F7F" w14:paraId="5C6431C9" w14:textId="77777777" w:rsidTr="00A02E61">
        <w:trPr>
          <w:trHeight w:val="300"/>
        </w:trPr>
        <w:tc>
          <w:tcPr>
            <w:tcW w:w="7471" w:type="dxa"/>
            <w:shd w:val="clear" w:color="auto" w:fill="D3DBEE"/>
          </w:tcPr>
          <w:p w14:paraId="036D6AC2" w14:textId="77777777" w:rsidR="00D0773E" w:rsidRPr="00452089" w:rsidRDefault="00D0773E" w:rsidP="00D0773E">
            <w:pPr>
              <w:pStyle w:val="TableTextBold"/>
            </w:pPr>
            <w:r w:rsidRPr="00452089">
              <w:t>Total CAV trust funds expenditure</w:t>
            </w:r>
          </w:p>
        </w:tc>
        <w:tc>
          <w:tcPr>
            <w:tcW w:w="1724" w:type="dxa"/>
            <w:shd w:val="clear" w:color="auto" w:fill="D3DBEE"/>
          </w:tcPr>
          <w:p w14:paraId="17A54D80" w14:textId="77777777" w:rsidR="00D0773E" w:rsidRPr="00452089" w:rsidRDefault="00D0773E" w:rsidP="00D0773E">
            <w:pPr>
              <w:pStyle w:val="TableTextRightBold"/>
            </w:pPr>
            <w:r w:rsidRPr="71DD4996">
              <w:t>0</w:t>
            </w:r>
          </w:p>
        </w:tc>
        <w:tc>
          <w:tcPr>
            <w:tcW w:w="1724" w:type="dxa"/>
            <w:shd w:val="clear" w:color="auto" w:fill="D3DBEE"/>
          </w:tcPr>
          <w:p w14:paraId="3B9AE3BE" w14:textId="77777777" w:rsidR="00D0773E" w:rsidRPr="00452089" w:rsidRDefault="00D0773E" w:rsidP="00D0773E">
            <w:pPr>
              <w:pStyle w:val="TableTextRightBold"/>
              <w:rPr>
                <w:szCs w:val="20"/>
              </w:rPr>
            </w:pPr>
            <w:r w:rsidRPr="00452089">
              <w:rPr>
                <w:szCs w:val="20"/>
              </w:rPr>
              <w:t>26,457,439</w:t>
            </w:r>
          </w:p>
        </w:tc>
        <w:tc>
          <w:tcPr>
            <w:tcW w:w="1724" w:type="dxa"/>
            <w:shd w:val="clear" w:color="auto" w:fill="D3DBEE"/>
          </w:tcPr>
          <w:p w14:paraId="401FCB5D" w14:textId="77777777" w:rsidR="00D0773E" w:rsidRPr="00452089" w:rsidRDefault="00D0773E" w:rsidP="00D0773E">
            <w:pPr>
              <w:pStyle w:val="TableTextRightBold"/>
              <w:rPr>
                <w:rFonts w:eastAsia="Arial"/>
                <w:color w:val="000000" w:themeColor="text1"/>
              </w:rPr>
            </w:pPr>
            <w:r w:rsidRPr="00452089">
              <w:rPr>
                <w:rFonts w:eastAsia="Arial"/>
                <w:color w:val="000000" w:themeColor="text1"/>
              </w:rPr>
              <w:t>4,291,276</w:t>
            </w:r>
          </w:p>
        </w:tc>
        <w:tc>
          <w:tcPr>
            <w:tcW w:w="1724" w:type="dxa"/>
            <w:shd w:val="clear" w:color="auto" w:fill="D3DBEE"/>
          </w:tcPr>
          <w:p w14:paraId="1EC9725F" w14:textId="77777777" w:rsidR="00D0773E" w:rsidRPr="00452089" w:rsidRDefault="00D0773E" w:rsidP="00D0773E">
            <w:pPr>
              <w:pStyle w:val="TableTextRightBold"/>
              <w:rPr>
                <w:rFonts w:eastAsia="Arial"/>
                <w:color w:val="000000" w:themeColor="text1"/>
              </w:rPr>
            </w:pPr>
            <w:r w:rsidRPr="00452089">
              <w:rPr>
                <w:rFonts w:eastAsia="Arial"/>
                <w:color w:val="000000" w:themeColor="text1"/>
              </w:rPr>
              <w:t>14,444,670</w:t>
            </w:r>
          </w:p>
        </w:tc>
        <w:tc>
          <w:tcPr>
            <w:tcW w:w="1724" w:type="dxa"/>
            <w:shd w:val="clear" w:color="auto" w:fill="D3DBEE"/>
          </w:tcPr>
          <w:p w14:paraId="31357A35" w14:textId="77777777" w:rsidR="00D0773E" w:rsidRPr="00452089" w:rsidRDefault="00D0773E" w:rsidP="00D0773E">
            <w:pPr>
              <w:pStyle w:val="TableTextRightBold"/>
              <w:rPr>
                <w:rFonts w:eastAsia="Arial"/>
                <w:color w:val="000000" w:themeColor="text1"/>
              </w:rPr>
            </w:pPr>
            <w:r w:rsidRPr="00452089">
              <w:rPr>
                <w:rFonts w:eastAsia="Arial"/>
                <w:color w:val="000000" w:themeColor="text1"/>
              </w:rPr>
              <w:t>25,434,674</w:t>
            </w:r>
          </w:p>
        </w:tc>
        <w:tc>
          <w:tcPr>
            <w:tcW w:w="1724" w:type="dxa"/>
            <w:shd w:val="clear" w:color="auto" w:fill="D3DBEE"/>
          </w:tcPr>
          <w:p w14:paraId="6B9E18F8" w14:textId="77777777" w:rsidR="00D0773E" w:rsidRPr="00452089" w:rsidRDefault="00D0773E" w:rsidP="00D0773E">
            <w:pPr>
              <w:pStyle w:val="TableTextRightBold"/>
              <w:rPr>
                <w:rFonts w:eastAsia="Arial"/>
                <w:color w:val="000000" w:themeColor="text1"/>
              </w:rPr>
            </w:pPr>
            <w:r w:rsidRPr="00452089">
              <w:rPr>
                <w:rFonts w:eastAsia="Arial"/>
                <w:color w:val="000000" w:themeColor="text1"/>
              </w:rPr>
              <w:t>59,834</w:t>
            </w:r>
          </w:p>
        </w:tc>
        <w:tc>
          <w:tcPr>
            <w:tcW w:w="1724" w:type="dxa"/>
            <w:shd w:val="clear" w:color="auto" w:fill="D3DBEE"/>
          </w:tcPr>
          <w:p w14:paraId="2B30DA81" w14:textId="77777777" w:rsidR="00D0773E" w:rsidRPr="00452089" w:rsidRDefault="00D0773E" w:rsidP="00D0773E">
            <w:pPr>
              <w:pStyle w:val="TableTextRightBold"/>
              <w:rPr>
                <w:rFonts w:eastAsia="Arial"/>
                <w:color w:val="000000" w:themeColor="text1"/>
              </w:rPr>
            </w:pPr>
            <w:r w:rsidRPr="00452089">
              <w:rPr>
                <w:rFonts w:eastAsia="Arial"/>
                <w:color w:val="000000" w:themeColor="text1"/>
              </w:rPr>
              <w:t>85,805,138</w:t>
            </w:r>
          </w:p>
        </w:tc>
        <w:tc>
          <w:tcPr>
            <w:tcW w:w="1724" w:type="dxa"/>
            <w:shd w:val="clear" w:color="auto" w:fill="D3DBEE"/>
          </w:tcPr>
          <w:p w14:paraId="0C3B5CCF" w14:textId="77777777" w:rsidR="00D0773E" w:rsidRPr="00452089" w:rsidRDefault="00D0773E" w:rsidP="00D0773E">
            <w:pPr>
              <w:pStyle w:val="TableTextRightBold"/>
              <w:rPr>
                <w:rFonts w:eastAsia="Arial"/>
                <w:color w:val="000000" w:themeColor="text1"/>
              </w:rPr>
            </w:pPr>
            <w:r w:rsidRPr="00452089">
              <w:rPr>
                <w:rFonts w:eastAsia="Arial"/>
                <w:color w:val="000000" w:themeColor="text1"/>
              </w:rPr>
              <w:t>156,493,031</w:t>
            </w:r>
          </w:p>
        </w:tc>
      </w:tr>
      <w:tr w:rsidR="00D0773E" w:rsidRPr="009C1F7F" w14:paraId="51D36801" w14:textId="77777777" w:rsidTr="00D0773E">
        <w:trPr>
          <w:trHeight w:val="300"/>
        </w:trPr>
        <w:tc>
          <w:tcPr>
            <w:tcW w:w="7471" w:type="dxa"/>
          </w:tcPr>
          <w:p w14:paraId="0AD6DBE4" w14:textId="77777777" w:rsidR="00D0773E" w:rsidRPr="003239FD" w:rsidRDefault="00D0773E" w:rsidP="00D0773E">
            <w:pPr>
              <w:pStyle w:val="TableText"/>
            </w:pPr>
            <w:r>
              <w:t>Trust Funds opening equity 1 July 2024</w:t>
            </w:r>
          </w:p>
        </w:tc>
        <w:tc>
          <w:tcPr>
            <w:tcW w:w="1724" w:type="dxa"/>
          </w:tcPr>
          <w:p w14:paraId="6FBE7492" w14:textId="77777777" w:rsidR="00D0773E" w:rsidRPr="003F4DC2" w:rsidRDefault="00D0773E" w:rsidP="00D0773E">
            <w:pPr>
              <w:pStyle w:val="TableTextRight"/>
            </w:pPr>
            <w:r w:rsidRPr="003F4DC2">
              <w:t>1,274,590</w:t>
            </w:r>
          </w:p>
        </w:tc>
        <w:tc>
          <w:tcPr>
            <w:tcW w:w="1724" w:type="dxa"/>
          </w:tcPr>
          <w:p w14:paraId="788AEE76" w14:textId="77777777" w:rsidR="00D0773E" w:rsidRPr="003F4DC2" w:rsidRDefault="00D0773E" w:rsidP="00D0773E">
            <w:pPr>
              <w:pStyle w:val="TableTextRight"/>
            </w:pPr>
            <w:r w:rsidRPr="003F4DC2">
              <w:t>40,067,662</w:t>
            </w:r>
          </w:p>
        </w:tc>
        <w:tc>
          <w:tcPr>
            <w:tcW w:w="1724" w:type="dxa"/>
          </w:tcPr>
          <w:p w14:paraId="04EB1497" w14:textId="77777777" w:rsidR="00D0773E" w:rsidRPr="005C3A1C" w:rsidRDefault="00D0773E" w:rsidP="00D0773E">
            <w:pPr>
              <w:pStyle w:val="TableTextRight"/>
              <w:rPr>
                <w:rFonts w:eastAsia="Times New Roman"/>
              </w:rPr>
            </w:pPr>
            <w:r w:rsidRPr="005C3A1C">
              <w:rPr>
                <w:rFonts w:eastAsia="Times New Roman"/>
              </w:rPr>
              <w:t>12,342,855</w:t>
            </w:r>
          </w:p>
        </w:tc>
        <w:tc>
          <w:tcPr>
            <w:tcW w:w="1724" w:type="dxa"/>
          </w:tcPr>
          <w:p w14:paraId="498191BD" w14:textId="77777777" w:rsidR="00D0773E" w:rsidRPr="005C3A1C" w:rsidRDefault="00D0773E" w:rsidP="00D0773E">
            <w:pPr>
              <w:pStyle w:val="TableTextRight"/>
              <w:rPr>
                <w:rFonts w:eastAsia="Times New Roman"/>
              </w:rPr>
            </w:pPr>
            <w:r w:rsidRPr="005C3A1C">
              <w:rPr>
                <w:rFonts w:eastAsia="Times New Roman"/>
              </w:rPr>
              <w:t>107,518,594</w:t>
            </w:r>
          </w:p>
        </w:tc>
        <w:tc>
          <w:tcPr>
            <w:tcW w:w="1724" w:type="dxa"/>
          </w:tcPr>
          <w:p w14:paraId="0AC0D1EF" w14:textId="77777777" w:rsidR="00D0773E" w:rsidRPr="005C3A1C" w:rsidRDefault="00D0773E" w:rsidP="00D0773E">
            <w:pPr>
              <w:pStyle w:val="TableTextRight"/>
              <w:rPr>
                <w:rFonts w:eastAsia="Times New Roman"/>
              </w:rPr>
            </w:pPr>
            <w:r w:rsidRPr="005C3A1C">
              <w:rPr>
                <w:rFonts w:eastAsia="Times New Roman"/>
              </w:rPr>
              <w:t>25,306,028</w:t>
            </w:r>
          </w:p>
        </w:tc>
        <w:tc>
          <w:tcPr>
            <w:tcW w:w="1724" w:type="dxa"/>
          </w:tcPr>
          <w:p w14:paraId="2242823C" w14:textId="77777777" w:rsidR="00D0773E" w:rsidRPr="005C3A1C" w:rsidRDefault="00D0773E" w:rsidP="00D0773E">
            <w:pPr>
              <w:pStyle w:val="TableTextRight"/>
              <w:rPr>
                <w:rFonts w:eastAsia="Times New Roman"/>
              </w:rPr>
            </w:pPr>
            <w:r w:rsidRPr="005C3A1C">
              <w:rPr>
                <w:rFonts w:eastAsia="Times New Roman"/>
              </w:rPr>
              <w:t>59,825</w:t>
            </w:r>
          </w:p>
        </w:tc>
        <w:tc>
          <w:tcPr>
            <w:tcW w:w="1724" w:type="dxa"/>
          </w:tcPr>
          <w:p w14:paraId="6C8B0B6A" w14:textId="77777777" w:rsidR="00D0773E" w:rsidRPr="005C3A1C" w:rsidRDefault="00D0773E" w:rsidP="00D0773E">
            <w:pPr>
              <w:pStyle w:val="TableTextRight"/>
              <w:rPr>
                <w:rFonts w:eastAsia="Times New Roman"/>
              </w:rPr>
            </w:pPr>
            <w:r w:rsidRPr="005C3A1C">
              <w:rPr>
                <w:rFonts w:eastAsia="Times New Roman"/>
              </w:rPr>
              <w:t>277,642,874</w:t>
            </w:r>
          </w:p>
        </w:tc>
        <w:tc>
          <w:tcPr>
            <w:tcW w:w="1724" w:type="dxa"/>
          </w:tcPr>
          <w:p w14:paraId="2D41D69F" w14:textId="77777777" w:rsidR="00D0773E" w:rsidRPr="005C3A1C" w:rsidRDefault="00D0773E" w:rsidP="00D0773E">
            <w:pPr>
              <w:pStyle w:val="TableTextRight"/>
              <w:rPr>
                <w:rFonts w:eastAsia="Arial"/>
                <w:color w:val="000000" w:themeColor="text1"/>
              </w:rPr>
            </w:pPr>
            <w:r w:rsidRPr="005C3A1C">
              <w:rPr>
                <w:rFonts w:eastAsia="Arial"/>
                <w:color w:val="000000" w:themeColor="text1"/>
              </w:rPr>
              <w:t>464,212,428</w:t>
            </w:r>
          </w:p>
        </w:tc>
      </w:tr>
      <w:tr w:rsidR="00D0773E" w:rsidRPr="009C1F7F" w14:paraId="251B6D3A" w14:textId="77777777" w:rsidTr="00D0773E">
        <w:trPr>
          <w:trHeight w:val="300"/>
        </w:trPr>
        <w:tc>
          <w:tcPr>
            <w:tcW w:w="7471" w:type="dxa"/>
          </w:tcPr>
          <w:p w14:paraId="3649CAD3" w14:textId="77777777" w:rsidR="00D0773E" w:rsidRPr="003239FD" w:rsidRDefault="00D0773E" w:rsidP="00D0773E">
            <w:pPr>
              <w:pStyle w:val="TableText"/>
            </w:pPr>
            <w:r w:rsidRPr="003239FD">
              <w:t>Current year operating surplus/(deficit)</w:t>
            </w:r>
          </w:p>
        </w:tc>
        <w:tc>
          <w:tcPr>
            <w:tcW w:w="1724" w:type="dxa"/>
          </w:tcPr>
          <w:p w14:paraId="47F6E009" w14:textId="77777777" w:rsidR="00D0773E" w:rsidRPr="003239FD" w:rsidRDefault="00D0773E" w:rsidP="00D0773E">
            <w:pPr>
              <w:pStyle w:val="TableTextRight"/>
            </w:pPr>
            <w:r w:rsidRPr="3B77C055">
              <w:t>74,106</w:t>
            </w:r>
          </w:p>
        </w:tc>
        <w:tc>
          <w:tcPr>
            <w:tcW w:w="1724" w:type="dxa"/>
          </w:tcPr>
          <w:p w14:paraId="64FD9BE0" w14:textId="77777777" w:rsidR="00D0773E" w:rsidRPr="3B77C055" w:rsidRDefault="00D0773E" w:rsidP="00D0773E">
            <w:pPr>
              <w:pStyle w:val="TableTextRight"/>
              <w:rPr>
                <w:rFonts w:eastAsia="Arial"/>
                <w:color w:val="000000" w:themeColor="text1"/>
                <w:szCs w:val="18"/>
              </w:rPr>
            </w:pPr>
            <w:r w:rsidRPr="3B77C055">
              <w:rPr>
                <w:rFonts w:eastAsia="Arial"/>
                <w:color w:val="000000" w:themeColor="text1"/>
                <w:szCs w:val="18"/>
              </w:rPr>
              <w:t>49,907</w:t>
            </w:r>
          </w:p>
        </w:tc>
        <w:tc>
          <w:tcPr>
            <w:tcW w:w="1724" w:type="dxa"/>
          </w:tcPr>
          <w:p w14:paraId="7051BBB6" w14:textId="77777777" w:rsidR="00D0773E" w:rsidRPr="3B77C055" w:rsidRDefault="00D0773E" w:rsidP="00D0773E">
            <w:pPr>
              <w:pStyle w:val="TableTextRight"/>
              <w:rPr>
                <w:rFonts w:eastAsia="Arial"/>
                <w:color w:val="000000" w:themeColor="text1"/>
                <w:szCs w:val="18"/>
              </w:rPr>
            </w:pPr>
            <w:r w:rsidRPr="3B77C055">
              <w:rPr>
                <w:rFonts w:eastAsia="Arial"/>
                <w:color w:val="000000" w:themeColor="text1"/>
                <w:szCs w:val="18"/>
              </w:rPr>
              <w:t>689,494</w:t>
            </w:r>
          </w:p>
        </w:tc>
        <w:tc>
          <w:tcPr>
            <w:tcW w:w="1724" w:type="dxa"/>
          </w:tcPr>
          <w:p w14:paraId="0A9B1F12" w14:textId="77777777" w:rsidR="00D0773E" w:rsidRPr="3B77C055" w:rsidRDefault="00D0773E" w:rsidP="00D0773E">
            <w:pPr>
              <w:pStyle w:val="TableTextRight"/>
              <w:rPr>
                <w:rFonts w:eastAsia="Arial"/>
                <w:color w:val="000000" w:themeColor="text1"/>
                <w:szCs w:val="18"/>
              </w:rPr>
            </w:pPr>
            <w:r w:rsidRPr="3B77C055">
              <w:rPr>
                <w:rFonts w:eastAsia="Arial"/>
                <w:color w:val="000000" w:themeColor="text1"/>
                <w:szCs w:val="18"/>
              </w:rPr>
              <w:t>64,113,424</w:t>
            </w:r>
          </w:p>
        </w:tc>
        <w:tc>
          <w:tcPr>
            <w:tcW w:w="1724" w:type="dxa"/>
          </w:tcPr>
          <w:p w14:paraId="7C03A304" w14:textId="77777777" w:rsidR="00D0773E" w:rsidRPr="3B77C055" w:rsidRDefault="00D0773E" w:rsidP="00D0773E">
            <w:pPr>
              <w:pStyle w:val="TableTextRight"/>
              <w:rPr>
                <w:rFonts w:eastAsia="Arial"/>
                <w:color w:val="000000" w:themeColor="text1"/>
                <w:szCs w:val="18"/>
              </w:rPr>
            </w:pPr>
            <w:r w:rsidRPr="3B77C055">
              <w:rPr>
                <w:rFonts w:eastAsia="Arial"/>
                <w:color w:val="000000" w:themeColor="text1"/>
                <w:szCs w:val="18"/>
              </w:rPr>
              <w:t xml:space="preserve"> (11,790,149)</w:t>
            </w:r>
          </w:p>
        </w:tc>
        <w:tc>
          <w:tcPr>
            <w:tcW w:w="1724" w:type="dxa"/>
          </w:tcPr>
          <w:p w14:paraId="3291DA79" w14:textId="77777777" w:rsidR="00D0773E" w:rsidRPr="3B77C055" w:rsidRDefault="00D0773E" w:rsidP="00D0773E">
            <w:pPr>
              <w:pStyle w:val="TableTextRight"/>
              <w:rPr>
                <w:rFonts w:eastAsia="Arial"/>
                <w:color w:val="000000" w:themeColor="text1"/>
                <w:szCs w:val="18"/>
              </w:rPr>
            </w:pPr>
            <w:r w:rsidRPr="3B77C055">
              <w:rPr>
                <w:rFonts w:eastAsia="Arial"/>
                <w:color w:val="000000" w:themeColor="text1"/>
                <w:szCs w:val="18"/>
              </w:rPr>
              <w:t>(59,825)</w:t>
            </w:r>
          </w:p>
        </w:tc>
        <w:tc>
          <w:tcPr>
            <w:tcW w:w="1724" w:type="dxa"/>
          </w:tcPr>
          <w:p w14:paraId="20771DEA" w14:textId="77777777" w:rsidR="00D0773E" w:rsidRPr="3B77C055" w:rsidRDefault="00D0773E" w:rsidP="00D0773E">
            <w:pPr>
              <w:pStyle w:val="TableTextRight"/>
              <w:rPr>
                <w:rFonts w:eastAsia="Arial"/>
                <w:color w:val="000000" w:themeColor="text1"/>
                <w:szCs w:val="18"/>
              </w:rPr>
            </w:pPr>
            <w:r w:rsidRPr="3B77C055">
              <w:rPr>
                <w:rFonts w:eastAsia="Arial"/>
                <w:color w:val="000000" w:themeColor="text1"/>
                <w:szCs w:val="18"/>
              </w:rPr>
              <w:t>78,418,010</w:t>
            </w:r>
          </w:p>
        </w:tc>
        <w:tc>
          <w:tcPr>
            <w:tcW w:w="1724" w:type="dxa"/>
          </w:tcPr>
          <w:p w14:paraId="14C35834" w14:textId="77777777" w:rsidR="00D0773E" w:rsidRPr="3B77C055" w:rsidRDefault="00D0773E" w:rsidP="00D0773E">
            <w:pPr>
              <w:pStyle w:val="TableTextRight"/>
              <w:rPr>
                <w:rFonts w:eastAsia="Arial"/>
                <w:color w:val="000000" w:themeColor="text1"/>
                <w:szCs w:val="18"/>
              </w:rPr>
            </w:pPr>
            <w:r w:rsidRPr="3B77C055">
              <w:rPr>
                <w:rFonts w:eastAsia="Arial"/>
                <w:color w:val="000000" w:themeColor="text1"/>
                <w:szCs w:val="18"/>
              </w:rPr>
              <w:t>131,494,968</w:t>
            </w:r>
          </w:p>
        </w:tc>
      </w:tr>
      <w:tr w:rsidR="00D0773E" w:rsidRPr="009C1F7F" w14:paraId="7199A6A4" w14:textId="77777777" w:rsidTr="00D0773E">
        <w:trPr>
          <w:trHeight w:val="300"/>
        </w:trPr>
        <w:tc>
          <w:tcPr>
            <w:tcW w:w="7471" w:type="dxa"/>
          </w:tcPr>
          <w:p w14:paraId="283A159A" w14:textId="77777777" w:rsidR="00D0773E" w:rsidRPr="007643D7" w:rsidRDefault="00D0773E" w:rsidP="00D0773E">
            <w:pPr>
              <w:pStyle w:val="TableTextBold"/>
            </w:pPr>
            <w:r w:rsidRPr="007643D7">
              <w:t>Trust funds closing equity 30 June 2025</w:t>
            </w:r>
          </w:p>
        </w:tc>
        <w:tc>
          <w:tcPr>
            <w:tcW w:w="1724" w:type="dxa"/>
          </w:tcPr>
          <w:p w14:paraId="575B6C04" w14:textId="77777777" w:rsidR="00D0773E" w:rsidRPr="007643D7" w:rsidRDefault="00D0773E" w:rsidP="00D0773E">
            <w:pPr>
              <w:pStyle w:val="TableTextRightBold"/>
            </w:pPr>
            <w:r w:rsidRPr="007643D7">
              <w:t>1,348,696</w:t>
            </w:r>
          </w:p>
        </w:tc>
        <w:tc>
          <w:tcPr>
            <w:tcW w:w="1724" w:type="dxa"/>
          </w:tcPr>
          <w:p w14:paraId="694BC2B2" w14:textId="77777777" w:rsidR="00D0773E" w:rsidRPr="007643D7" w:rsidRDefault="00D0773E" w:rsidP="00D0773E">
            <w:pPr>
              <w:pStyle w:val="TableTextRightBold"/>
            </w:pPr>
            <w:r w:rsidRPr="007643D7">
              <w:t>40,117,569</w:t>
            </w:r>
          </w:p>
        </w:tc>
        <w:tc>
          <w:tcPr>
            <w:tcW w:w="1724" w:type="dxa"/>
          </w:tcPr>
          <w:p w14:paraId="1A79206D" w14:textId="77777777" w:rsidR="00D0773E" w:rsidRPr="007643D7" w:rsidRDefault="00D0773E" w:rsidP="00D0773E">
            <w:pPr>
              <w:pStyle w:val="TableTextRightBold"/>
              <w:rPr>
                <w:rFonts w:eastAsia="Arial"/>
                <w:color w:val="000000" w:themeColor="text1"/>
                <w:szCs w:val="18"/>
              </w:rPr>
            </w:pPr>
            <w:r w:rsidRPr="007643D7">
              <w:rPr>
                <w:rFonts w:eastAsia="Arial"/>
                <w:color w:val="000000" w:themeColor="text1"/>
                <w:szCs w:val="18"/>
              </w:rPr>
              <w:t>13,032,349</w:t>
            </w:r>
          </w:p>
        </w:tc>
        <w:tc>
          <w:tcPr>
            <w:tcW w:w="1724" w:type="dxa"/>
          </w:tcPr>
          <w:p w14:paraId="33DDAF72" w14:textId="77777777" w:rsidR="00D0773E" w:rsidRPr="007643D7" w:rsidRDefault="00D0773E" w:rsidP="00D0773E">
            <w:pPr>
              <w:pStyle w:val="TableTextRightBold"/>
              <w:rPr>
                <w:rFonts w:eastAsia="Arial"/>
                <w:color w:val="000000" w:themeColor="text1"/>
                <w:szCs w:val="18"/>
              </w:rPr>
            </w:pPr>
            <w:r w:rsidRPr="007643D7">
              <w:rPr>
                <w:rFonts w:eastAsia="Arial"/>
                <w:color w:val="000000" w:themeColor="text1"/>
                <w:szCs w:val="18"/>
              </w:rPr>
              <w:t>171,632,018</w:t>
            </w:r>
          </w:p>
        </w:tc>
        <w:tc>
          <w:tcPr>
            <w:tcW w:w="1724" w:type="dxa"/>
          </w:tcPr>
          <w:p w14:paraId="5AA06495" w14:textId="77777777" w:rsidR="00D0773E" w:rsidRPr="007643D7" w:rsidRDefault="00D0773E" w:rsidP="00D0773E">
            <w:pPr>
              <w:pStyle w:val="TableTextRightBold"/>
              <w:rPr>
                <w:rFonts w:eastAsia="Arial"/>
                <w:color w:val="000000" w:themeColor="text1"/>
                <w:szCs w:val="18"/>
              </w:rPr>
            </w:pPr>
            <w:r w:rsidRPr="007643D7">
              <w:rPr>
                <w:rFonts w:eastAsia="Arial"/>
                <w:color w:val="000000" w:themeColor="text1"/>
                <w:szCs w:val="18"/>
              </w:rPr>
              <w:t>13,515,879</w:t>
            </w:r>
          </w:p>
        </w:tc>
        <w:tc>
          <w:tcPr>
            <w:tcW w:w="1724" w:type="dxa"/>
          </w:tcPr>
          <w:p w14:paraId="563F7C7F" w14:textId="77777777" w:rsidR="00D0773E" w:rsidRPr="007643D7" w:rsidRDefault="00D0773E" w:rsidP="00D0773E">
            <w:pPr>
              <w:pStyle w:val="TableTextRightBold"/>
            </w:pPr>
            <w:r w:rsidRPr="007643D7">
              <w:t>0</w:t>
            </w:r>
          </w:p>
        </w:tc>
        <w:tc>
          <w:tcPr>
            <w:tcW w:w="1724" w:type="dxa"/>
          </w:tcPr>
          <w:p w14:paraId="5C980234" w14:textId="77777777" w:rsidR="00D0773E" w:rsidRPr="007643D7" w:rsidRDefault="00D0773E" w:rsidP="00D0773E">
            <w:pPr>
              <w:pStyle w:val="TableTextRightBold"/>
              <w:rPr>
                <w:rFonts w:eastAsia="Arial"/>
                <w:color w:val="000000" w:themeColor="text1"/>
                <w:szCs w:val="18"/>
              </w:rPr>
            </w:pPr>
            <w:r w:rsidRPr="007643D7">
              <w:rPr>
                <w:rFonts w:eastAsia="Arial"/>
                <w:color w:val="000000" w:themeColor="text1"/>
                <w:szCs w:val="18"/>
              </w:rPr>
              <w:t>356,060,884</w:t>
            </w:r>
          </w:p>
        </w:tc>
        <w:tc>
          <w:tcPr>
            <w:tcW w:w="1724" w:type="dxa"/>
          </w:tcPr>
          <w:p w14:paraId="4E997E93" w14:textId="77777777" w:rsidR="00D0773E" w:rsidRPr="007643D7" w:rsidRDefault="00D0773E" w:rsidP="00D0773E">
            <w:pPr>
              <w:pStyle w:val="TableTextRightBold"/>
              <w:rPr>
                <w:rFonts w:eastAsia="Arial"/>
                <w:color w:val="000000" w:themeColor="text1"/>
                <w:szCs w:val="18"/>
              </w:rPr>
            </w:pPr>
            <w:r w:rsidRPr="007643D7">
              <w:rPr>
                <w:rFonts w:eastAsia="Arial"/>
                <w:color w:val="000000" w:themeColor="text1"/>
                <w:szCs w:val="18"/>
              </w:rPr>
              <w:t>595,707,396</w:t>
            </w:r>
          </w:p>
        </w:tc>
      </w:tr>
    </w:tbl>
    <w:p w14:paraId="5E61A621" w14:textId="77777777" w:rsidR="00D0773E" w:rsidRPr="00C4204E" w:rsidRDefault="00D0773E" w:rsidP="00C4204E">
      <w:pPr>
        <w:pStyle w:val="BodyText"/>
        <w:rPr>
          <w:highlight w:val="yellow"/>
        </w:rPr>
      </w:pPr>
    </w:p>
    <w:p w14:paraId="763A1A6F" w14:textId="77777777" w:rsidR="00F22B33" w:rsidRPr="00C4204E" w:rsidRDefault="00F22B33" w:rsidP="00C4204E">
      <w:pPr>
        <w:pStyle w:val="BodyText"/>
        <w:rPr>
          <w:highlight w:val="yellow"/>
        </w:rPr>
        <w:sectPr w:rsidR="00F22B33" w:rsidRPr="00C4204E" w:rsidSect="003C5B62">
          <w:footnotePr>
            <w:numRestart w:val="eachPage"/>
          </w:footnotePr>
          <w:pgSz w:w="23811" w:h="16838" w:orient="landscape" w:code="8"/>
          <w:pgMar w:top="1418" w:right="1418" w:bottom="1418" w:left="1134" w:header="510" w:footer="510" w:gutter="0"/>
          <w:cols w:space="708"/>
          <w:docGrid w:linePitch="360"/>
        </w:sectPr>
      </w:pPr>
    </w:p>
    <w:p w14:paraId="599AAECD" w14:textId="43BF753B" w:rsidR="007E2D54" w:rsidRPr="00351154" w:rsidRDefault="007E2D54" w:rsidP="00B71C68">
      <w:pPr>
        <w:pStyle w:val="Heading1"/>
      </w:pPr>
      <w:bookmarkStart w:id="72" w:name="_Toc211518580"/>
      <w:bookmarkStart w:id="73" w:name="_Toc212562066"/>
      <w:r w:rsidRPr="00351154">
        <w:t xml:space="preserve">Acts and regulations administered by CAV: passed, commenced, made and revoked in </w:t>
      </w:r>
      <w:r w:rsidR="00EE79C3">
        <w:t>2024–25</w:t>
      </w:r>
      <w:bookmarkEnd w:id="72"/>
      <w:bookmarkEnd w:id="73"/>
    </w:p>
    <w:p w14:paraId="7B72D6CE" w14:textId="34AE4547" w:rsidR="007E2D54" w:rsidRDefault="00D148FC" w:rsidP="00D148FC">
      <w:pPr>
        <w:pStyle w:val="Caption"/>
      </w:pPr>
      <w:bookmarkStart w:id="74" w:name="_Toc212562085"/>
      <w:r>
        <w:t xml:space="preserve">Table 18: </w:t>
      </w:r>
      <w:r w:rsidR="007E2D54">
        <w:t>Acts passed</w:t>
      </w:r>
      <w:bookmarkEnd w:id="74"/>
    </w:p>
    <w:tbl>
      <w:tblPr>
        <w:tblStyle w:val="TableGrid"/>
        <w:tblW w:w="0" w:type="auto"/>
        <w:tblLook w:val="06A0" w:firstRow="1" w:lastRow="0" w:firstColumn="1" w:lastColumn="0" w:noHBand="1" w:noVBand="1"/>
      </w:tblPr>
      <w:tblGrid>
        <w:gridCol w:w="4508"/>
        <w:gridCol w:w="4508"/>
      </w:tblGrid>
      <w:tr w:rsidR="007E2D54" w:rsidRPr="00987E4D" w14:paraId="5170662B" w14:textId="77777777" w:rsidTr="005B7969">
        <w:trPr>
          <w:cnfStyle w:val="100000000000" w:firstRow="1" w:lastRow="0" w:firstColumn="0" w:lastColumn="0" w:oddVBand="0" w:evenVBand="0" w:oddHBand="0" w:evenHBand="0" w:firstRowFirstColumn="0" w:firstRowLastColumn="0" w:lastRowFirstColumn="0" w:lastRowLastColumn="0"/>
          <w:tblHeader/>
        </w:trPr>
        <w:tc>
          <w:tcPr>
            <w:tcW w:w="4508" w:type="dxa"/>
          </w:tcPr>
          <w:p w14:paraId="7FA795D7" w14:textId="77777777" w:rsidR="007E2D54" w:rsidRPr="002B4F26" w:rsidRDefault="007E2D54" w:rsidP="002B4F26">
            <w:pPr>
              <w:pStyle w:val="TableColHead"/>
            </w:pPr>
            <w:r w:rsidRPr="002B4F26">
              <w:t>Name</w:t>
            </w:r>
          </w:p>
        </w:tc>
        <w:tc>
          <w:tcPr>
            <w:tcW w:w="4508" w:type="dxa"/>
          </w:tcPr>
          <w:p w14:paraId="5B2C66CB" w14:textId="77777777" w:rsidR="007E2D54" w:rsidRPr="002B4F26" w:rsidRDefault="007E2D54" w:rsidP="002B4F26">
            <w:pPr>
              <w:pStyle w:val="TableColHead"/>
            </w:pPr>
            <w:r w:rsidRPr="002B4F26">
              <w:t>Date of Royal Assent</w:t>
            </w:r>
          </w:p>
        </w:tc>
      </w:tr>
      <w:tr w:rsidR="007E2D54" w14:paraId="4D3BBFD1" w14:textId="77777777" w:rsidTr="005B7969">
        <w:tc>
          <w:tcPr>
            <w:tcW w:w="4508" w:type="dxa"/>
          </w:tcPr>
          <w:p w14:paraId="600C5317" w14:textId="77777777" w:rsidR="007E2D54" w:rsidRPr="002B4F26" w:rsidRDefault="007E2D54" w:rsidP="002B4F26">
            <w:pPr>
              <w:pStyle w:val="TableText"/>
              <w:rPr>
                <w:i/>
                <w:iCs/>
              </w:rPr>
            </w:pPr>
            <w:r w:rsidRPr="002B4F26">
              <w:rPr>
                <w:i/>
                <w:iCs/>
              </w:rPr>
              <w:t>Residential Tenancies and Funerals Amendment Act 2024</w:t>
            </w:r>
          </w:p>
        </w:tc>
        <w:tc>
          <w:tcPr>
            <w:tcW w:w="4508" w:type="dxa"/>
          </w:tcPr>
          <w:p w14:paraId="53DC8088" w14:textId="77777777" w:rsidR="007E2D54" w:rsidRDefault="007E2D54" w:rsidP="002B4F26">
            <w:pPr>
              <w:pStyle w:val="TableText"/>
            </w:pPr>
            <w:r>
              <w:t>17 September 2024</w:t>
            </w:r>
          </w:p>
        </w:tc>
      </w:tr>
      <w:tr w:rsidR="007E2D54" w14:paraId="14BD3834" w14:textId="77777777" w:rsidTr="005B7969">
        <w:tc>
          <w:tcPr>
            <w:tcW w:w="4508" w:type="dxa"/>
          </w:tcPr>
          <w:p w14:paraId="083A89AC" w14:textId="77777777" w:rsidR="007E2D54" w:rsidRPr="002B4F26" w:rsidRDefault="007E2D54" w:rsidP="002B4F26">
            <w:pPr>
              <w:pStyle w:val="TableText"/>
              <w:rPr>
                <w:i/>
                <w:iCs/>
              </w:rPr>
            </w:pPr>
            <w:r w:rsidRPr="002B4F26">
              <w:rPr>
                <w:i/>
                <w:iCs/>
              </w:rPr>
              <w:t>Consumer and Planning Legislation Amendment (Housing Statement Reform) Act 2025</w:t>
            </w:r>
          </w:p>
        </w:tc>
        <w:tc>
          <w:tcPr>
            <w:tcW w:w="4508" w:type="dxa"/>
          </w:tcPr>
          <w:p w14:paraId="48C04FAB" w14:textId="77777777" w:rsidR="007E2D54" w:rsidRDefault="007E2D54" w:rsidP="002B4F26">
            <w:pPr>
              <w:pStyle w:val="TableText"/>
            </w:pPr>
            <w:r>
              <w:t>18 March 2025</w:t>
            </w:r>
          </w:p>
        </w:tc>
      </w:tr>
      <w:tr w:rsidR="007E2D54" w14:paraId="0E784AD3" w14:textId="77777777" w:rsidTr="005B7969">
        <w:tc>
          <w:tcPr>
            <w:tcW w:w="4508" w:type="dxa"/>
          </w:tcPr>
          <w:p w14:paraId="3A21D7A4" w14:textId="77777777" w:rsidR="007E2D54" w:rsidRPr="002B4F26" w:rsidRDefault="007E2D54" w:rsidP="002B4F26">
            <w:pPr>
              <w:pStyle w:val="TableText"/>
              <w:rPr>
                <w:i/>
                <w:iCs/>
              </w:rPr>
            </w:pPr>
            <w:r w:rsidRPr="002B4F26">
              <w:rPr>
                <w:i/>
                <w:iCs/>
              </w:rPr>
              <w:t>Retirement Villages Amendment Act 2025</w:t>
            </w:r>
          </w:p>
        </w:tc>
        <w:tc>
          <w:tcPr>
            <w:tcW w:w="4508" w:type="dxa"/>
          </w:tcPr>
          <w:p w14:paraId="3F5A839F" w14:textId="77777777" w:rsidR="007E2D54" w:rsidRDefault="007E2D54" w:rsidP="002B4F26">
            <w:pPr>
              <w:pStyle w:val="TableText"/>
            </w:pPr>
            <w:r>
              <w:t>3 June 2025</w:t>
            </w:r>
          </w:p>
        </w:tc>
      </w:tr>
    </w:tbl>
    <w:p w14:paraId="37DB2EE2" w14:textId="3E88F57E" w:rsidR="007E2D54" w:rsidRDefault="00D148FC" w:rsidP="00D148FC">
      <w:pPr>
        <w:pStyle w:val="Caption"/>
      </w:pPr>
      <w:bookmarkStart w:id="75" w:name="_Toc212562086"/>
      <w:r>
        <w:t xml:space="preserve">Table 19: </w:t>
      </w:r>
      <w:r w:rsidR="007E2D54">
        <w:t>Acts commenced</w:t>
      </w:r>
      <w:bookmarkEnd w:id="75"/>
      <w:r w:rsidR="007E2D54">
        <w:t xml:space="preserve"> </w:t>
      </w:r>
    </w:p>
    <w:tbl>
      <w:tblPr>
        <w:tblStyle w:val="TableGrid"/>
        <w:tblW w:w="0" w:type="auto"/>
        <w:tblLook w:val="06A0" w:firstRow="1" w:lastRow="0" w:firstColumn="1" w:lastColumn="0" w:noHBand="1" w:noVBand="1"/>
      </w:tblPr>
      <w:tblGrid>
        <w:gridCol w:w="4508"/>
        <w:gridCol w:w="4508"/>
      </w:tblGrid>
      <w:tr w:rsidR="007E2D54" w:rsidRPr="00987E4D" w14:paraId="4A841A20" w14:textId="77777777" w:rsidTr="005B7969">
        <w:trPr>
          <w:cnfStyle w:val="100000000000" w:firstRow="1" w:lastRow="0" w:firstColumn="0" w:lastColumn="0" w:oddVBand="0" w:evenVBand="0" w:oddHBand="0" w:evenHBand="0" w:firstRowFirstColumn="0" w:firstRowLastColumn="0" w:lastRowFirstColumn="0" w:lastRowLastColumn="0"/>
          <w:tblHeader/>
        </w:trPr>
        <w:tc>
          <w:tcPr>
            <w:tcW w:w="4508" w:type="dxa"/>
          </w:tcPr>
          <w:p w14:paraId="6EA270B6" w14:textId="77777777" w:rsidR="007E2D54" w:rsidRPr="00987E4D" w:rsidRDefault="007E2D54" w:rsidP="002B4F26">
            <w:pPr>
              <w:pStyle w:val="TableColHead"/>
            </w:pPr>
            <w:r w:rsidRPr="00987E4D">
              <w:t>Name</w:t>
            </w:r>
          </w:p>
        </w:tc>
        <w:tc>
          <w:tcPr>
            <w:tcW w:w="4508" w:type="dxa"/>
          </w:tcPr>
          <w:p w14:paraId="68CAE36F" w14:textId="77777777" w:rsidR="007E2D54" w:rsidRPr="00987E4D" w:rsidRDefault="007E2D54" w:rsidP="002B4F26">
            <w:pPr>
              <w:pStyle w:val="TableColHead"/>
            </w:pPr>
            <w:r w:rsidRPr="00987E4D">
              <w:t>Date commenced</w:t>
            </w:r>
          </w:p>
        </w:tc>
      </w:tr>
      <w:tr w:rsidR="007E2D54" w14:paraId="775AB4DB" w14:textId="77777777" w:rsidTr="005B7969">
        <w:tc>
          <w:tcPr>
            <w:tcW w:w="4508" w:type="dxa"/>
          </w:tcPr>
          <w:p w14:paraId="48EB20AE" w14:textId="77777777" w:rsidR="007E2D54" w:rsidRPr="002B4F26" w:rsidRDefault="007E2D54" w:rsidP="002B4F26">
            <w:pPr>
              <w:pStyle w:val="TableText"/>
              <w:rPr>
                <w:i/>
                <w:iCs/>
              </w:rPr>
            </w:pPr>
            <w:r w:rsidRPr="002B4F26">
              <w:rPr>
                <w:i/>
                <w:iCs/>
              </w:rPr>
              <w:t>Residential Tenancies and Funerals Amendment Act 2024</w:t>
            </w:r>
          </w:p>
        </w:tc>
        <w:tc>
          <w:tcPr>
            <w:tcW w:w="4508" w:type="dxa"/>
          </w:tcPr>
          <w:p w14:paraId="7F5191FE" w14:textId="77777777" w:rsidR="007E2D54" w:rsidRDefault="007E2D54" w:rsidP="002B4F26">
            <w:pPr>
              <w:pStyle w:val="TableText"/>
            </w:pPr>
            <w:r>
              <w:t>Part 1 and section 6 on 17 September 2024</w:t>
            </w:r>
          </w:p>
        </w:tc>
      </w:tr>
    </w:tbl>
    <w:p w14:paraId="6DD931DD" w14:textId="7AE63495" w:rsidR="007E2D54" w:rsidRPr="00925013" w:rsidRDefault="00D148FC" w:rsidP="00D148FC">
      <w:pPr>
        <w:pStyle w:val="Caption"/>
      </w:pPr>
      <w:bookmarkStart w:id="76" w:name="_Toc212562087"/>
      <w:r>
        <w:t xml:space="preserve">Table 20: </w:t>
      </w:r>
      <w:r w:rsidR="007E2D54" w:rsidRPr="00925013">
        <w:t>Regulations made</w:t>
      </w:r>
      <w:bookmarkEnd w:id="76"/>
      <w:r w:rsidR="007E2D54" w:rsidRPr="00925013">
        <w:t xml:space="preserve"> </w:t>
      </w:r>
    </w:p>
    <w:tbl>
      <w:tblPr>
        <w:tblStyle w:val="TableGrid"/>
        <w:tblW w:w="0" w:type="auto"/>
        <w:tblLook w:val="06A0" w:firstRow="1" w:lastRow="0" w:firstColumn="1" w:lastColumn="0" w:noHBand="1" w:noVBand="1"/>
      </w:tblPr>
      <w:tblGrid>
        <w:gridCol w:w="4508"/>
        <w:gridCol w:w="4508"/>
      </w:tblGrid>
      <w:tr w:rsidR="007E2D54" w:rsidRPr="003F350E" w14:paraId="63ED9FA0" w14:textId="77777777" w:rsidTr="005B7969">
        <w:trPr>
          <w:cnfStyle w:val="100000000000" w:firstRow="1" w:lastRow="0" w:firstColumn="0" w:lastColumn="0" w:oddVBand="0" w:evenVBand="0" w:oddHBand="0" w:evenHBand="0" w:firstRowFirstColumn="0" w:firstRowLastColumn="0" w:lastRowFirstColumn="0" w:lastRowLastColumn="0"/>
          <w:tblHeader/>
        </w:trPr>
        <w:tc>
          <w:tcPr>
            <w:tcW w:w="4508" w:type="dxa"/>
          </w:tcPr>
          <w:p w14:paraId="405AD250" w14:textId="77777777" w:rsidR="007E2D54" w:rsidRPr="003F350E" w:rsidRDefault="007E2D54" w:rsidP="002B4F26">
            <w:pPr>
              <w:pStyle w:val="TableColHead"/>
            </w:pPr>
            <w:r w:rsidRPr="003F350E">
              <w:t>Name</w:t>
            </w:r>
          </w:p>
        </w:tc>
        <w:tc>
          <w:tcPr>
            <w:tcW w:w="4508" w:type="dxa"/>
          </w:tcPr>
          <w:p w14:paraId="7743179B" w14:textId="77777777" w:rsidR="007E2D54" w:rsidRPr="003F350E" w:rsidRDefault="007E2D54" w:rsidP="002B4F26">
            <w:pPr>
              <w:pStyle w:val="TableColHead"/>
            </w:pPr>
            <w:r w:rsidRPr="003F350E">
              <w:t>Date made</w:t>
            </w:r>
          </w:p>
        </w:tc>
      </w:tr>
      <w:tr w:rsidR="007E2D54" w14:paraId="5F639E50" w14:textId="77777777" w:rsidTr="005B7969">
        <w:tc>
          <w:tcPr>
            <w:tcW w:w="4508" w:type="dxa"/>
          </w:tcPr>
          <w:p w14:paraId="2E11A2F4" w14:textId="77777777" w:rsidR="007E2D54" w:rsidRPr="003F0C8C" w:rsidRDefault="007E2D54" w:rsidP="002B4F26">
            <w:pPr>
              <w:pStyle w:val="TableText"/>
              <w:rPr>
                <w:color w:val="000000" w:themeColor="text1"/>
              </w:rPr>
            </w:pPr>
            <w:r w:rsidRPr="003F0C8C">
              <w:t>Fundraising Amendment (National Fundraising Principles) Regulations 2024</w:t>
            </w:r>
          </w:p>
        </w:tc>
        <w:tc>
          <w:tcPr>
            <w:tcW w:w="4508" w:type="dxa"/>
          </w:tcPr>
          <w:p w14:paraId="75A53EB5" w14:textId="77777777" w:rsidR="007E2D54" w:rsidRPr="003F0C8C" w:rsidRDefault="007E2D54" w:rsidP="002B4F26">
            <w:pPr>
              <w:pStyle w:val="TableText"/>
              <w:rPr>
                <w:color w:val="000000" w:themeColor="text1"/>
              </w:rPr>
            </w:pPr>
            <w:r w:rsidRPr="003F0C8C">
              <w:t xml:space="preserve">2 </w:t>
            </w:r>
            <w:r w:rsidRPr="003F0C8C">
              <w:rPr>
                <w:color w:val="000000" w:themeColor="text1"/>
              </w:rPr>
              <w:t xml:space="preserve">July 2024 </w:t>
            </w:r>
          </w:p>
        </w:tc>
      </w:tr>
      <w:tr w:rsidR="007E2D54" w:rsidRPr="00925013" w14:paraId="6F945697" w14:textId="77777777" w:rsidTr="005B7969">
        <w:tc>
          <w:tcPr>
            <w:tcW w:w="4508" w:type="dxa"/>
          </w:tcPr>
          <w:p w14:paraId="0BBD46F2" w14:textId="77777777" w:rsidR="007E2D54" w:rsidRPr="00817985" w:rsidRDefault="007E2D54" w:rsidP="002B4F26">
            <w:pPr>
              <w:pStyle w:val="TableText"/>
            </w:pPr>
            <w:r w:rsidRPr="003F0C8C">
              <w:t>Sale of Land (Infringements) Regulations 2024</w:t>
            </w:r>
          </w:p>
        </w:tc>
        <w:tc>
          <w:tcPr>
            <w:tcW w:w="4508" w:type="dxa"/>
          </w:tcPr>
          <w:p w14:paraId="77576A42" w14:textId="77777777" w:rsidR="007E2D54" w:rsidRPr="003F0C8C" w:rsidRDefault="007E2D54" w:rsidP="002B4F26">
            <w:pPr>
              <w:pStyle w:val="TableText"/>
              <w:rPr>
                <w:color w:val="000000" w:themeColor="text1"/>
              </w:rPr>
            </w:pPr>
            <w:r w:rsidRPr="003F0C8C">
              <w:t xml:space="preserve">20 August 2024 </w:t>
            </w:r>
          </w:p>
        </w:tc>
      </w:tr>
      <w:tr w:rsidR="007E2D54" w14:paraId="14194A16" w14:textId="77777777" w:rsidTr="005B7969">
        <w:tc>
          <w:tcPr>
            <w:tcW w:w="4508" w:type="dxa"/>
          </w:tcPr>
          <w:p w14:paraId="28CADF5C" w14:textId="77777777" w:rsidR="007E2D54" w:rsidRPr="003F0C8C" w:rsidRDefault="007E2D54" w:rsidP="002B4F26">
            <w:pPr>
              <w:pStyle w:val="TableText"/>
              <w:rPr>
                <w:color w:val="000000" w:themeColor="text1"/>
              </w:rPr>
            </w:pPr>
            <w:r w:rsidRPr="003F0C8C">
              <w:t>Credit (Administration) Regulations 2024</w:t>
            </w:r>
          </w:p>
        </w:tc>
        <w:tc>
          <w:tcPr>
            <w:tcW w:w="4508" w:type="dxa"/>
          </w:tcPr>
          <w:p w14:paraId="09E793AF" w14:textId="77777777" w:rsidR="007E2D54" w:rsidRPr="003F0C8C" w:rsidRDefault="007E2D54" w:rsidP="002B4F26">
            <w:pPr>
              <w:pStyle w:val="TableText"/>
              <w:rPr>
                <w:color w:val="000000" w:themeColor="text1"/>
              </w:rPr>
            </w:pPr>
            <w:r w:rsidRPr="003F0C8C">
              <w:t xml:space="preserve">17 September 2024 </w:t>
            </w:r>
          </w:p>
        </w:tc>
      </w:tr>
      <w:tr w:rsidR="007E2D54" w14:paraId="30675CE3" w14:textId="77777777" w:rsidTr="005B7969">
        <w:tc>
          <w:tcPr>
            <w:tcW w:w="4508" w:type="dxa"/>
          </w:tcPr>
          <w:p w14:paraId="293BF999" w14:textId="77777777" w:rsidR="007E2D54" w:rsidRPr="003F0C8C" w:rsidRDefault="007E2D54" w:rsidP="002B4F26">
            <w:pPr>
              <w:pStyle w:val="TableText"/>
              <w:rPr>
                <w:color w:val="000000" w:themeColor="text1"/>
              </w:rPr>
            </w:pPr>
            <w:r w:rsidRPr="003F0C8C">
              <w:t>Credit Regulations 2024</w:t>
            </w:r>
          </w:p>
        </w:tc>
        <w:tc>
          <w:tcPr>
            <w:tcW w:w="4508" w:type="dxa"/>
          </w:tcPr>
          <w:p w14:paraId="7CE3209F" w14:textId="77777777" w:rsidR="007E2D54" w:rsidRPr="003F0C8C" w:rsidRDefault="007E2D54" w:rsidP="002B4F26">
            <w:pPr>
              <w:pStyle w:val="TableText"/>
              <w:rPr>
                <w:color w:val="000000" w:themeColor="text1"/>
              </w:rPr>
            </w:pPr>
            <w:r w:rsidRPr="003F0C8C">
              <w:t>17</w:t>
            </w:r>
            <w:r w:rsidRPr="003F0C8C">
              <w:rPr>
                <w:color w:val="000000" w:themeColor="text1"/>
              </w:rPr>
              <w:t xml:space="preserve"> September 2024 </w:t>
            </w:r>
          </w:p>
        </w:tc>
      </w:tr>
      <w:tr w:rsidR="007E2D54" w14:paraId="39D662DD" w14:textId="77777777" w:rsidTr="005B7969">
        <w:tc>
          <w:tcPr>
            <w:tcW w:w="4508" w:type="dxa"/>
          </w:tcPr>
          <w:p w14:paraId="08634450" w14:textId="77777777" w:rsidR="007E2D54" w:rsidRPr="003F0C8C" w:rsidRDefault="007E2D54" w:rsidP="002B4F26">
            <w:pPr>
              <w:pStyle w:val="TableText"/>
              <w:rPr>
                <w:color w:val="000000" w:themeColor="text1"/>
              </w:rPr>
            </w:pPr>
            <w:r w:rsidRPr="003F0C8C">
              <w:t>Estate Agents (Exemption) Regulations 2024</w:t>
            </w:r>
          </w:p>
        </w:tc>
        <w:tc>
          <w:tcPr>
            <w:tcW w:w="4508" w:type="dxa"/>
          </w:tcPr>
          <w:p w14:paraId="63406E5A" w14:textId="77777777" w:rsidR="007E2D54" w:rsidRPr="003F0C8C" w:rsidRDefault="007E2D54" w:rsidP="002B4F26">
            <w:pPr>
              <w:pStyle w:val="TableText"/>
              <w:rPr>
                <w:color w:val="000000" w:themeColor="text1"/>
              </w:rPr>
            </w:pPr>
            <w:r w:rsidRPr="003F0C8C">
              <w:t xml:space="preserve">22 October 2024 </w:t>
            </w:r>
          </w:p>
        </w:tc>
      </w:tr>
      <w:tr w:rsidR="007E2D54" w14:paraId="3AE81EC7" w14:textId="77777777" w:rsidTr="005B7969">
        <w:tc>
          <w:tcPr>
            <w:tcW w:w="4508" w:type="dxa"/>
          </w:tcPr>
          <w:p w14:paraId="709B8EE6" w14:textId="77777777" w:rsidR="007E2D54" w:rsidRPr="00817985" w:rsidRDefault="007E2D54" w:rsidP="002B4F26">
            <w:pPr>
              <w:pStyle w:val="TableText"/>
            </w:pPr>
            <w:r w:rsidRPr="003F0C8C">
              <w:t>Residential Tenancies and Residential Tenancies (Rooming House Standards) Amendment Regulations 2024</w:t>
            </w:r>
          </w:p>
        </w:tc>
        <w:tc>
          <w:tcPr>
            <w:tcW w:w="4508" w:type="dxa"/>
          </w:tcPr>
          <w:p w14:paraId="1AC60CDC" w14:textId="77777777" w:rsidR="007E2D54" w:rsidRPr="003F0C8C" w:rsidRDefault="007E2D54" w:rsidP="002B4F26">
            <w:pPr>
              <w:pStyle w:val="TableText"/>
              <w:rPr>
                <w:color w:val="000000" w:themeColor="text1"/>
              </w:rPr>
            </w:pPr>
            <w:r w:rsidRPr="003F0C8C">
              <w:t xml:space="preserve">26 November 2024 </w:t>
            </w:r>
          </w:p>
        </w:tc>
      </w:tr>
      <w:tr w:rsidR="007E2D54" w:rsidRPr="00925013" w14:paraId="2890CFEF" w14:textId="77777777" w:rsidTr="005B7969">
        <w:tc>
          <w:tcPr>
            <w:tcW w:w="4508" w:type="dxa"/>
          </w:tcPr>
          <w:p w14:paraId="75F17D60" w14:textId="77777777" w:rsidR="007E2D54" w:rsidRPr="00817985" w:rsidRDefault="007E2D54" w:rsidP="002B4F26">
            <w:pPr>
              <w:pStyle w:val="TableText"/>
            </w:pPr>
            <w:r w:rsidRPr="003F0C8C">
              <w:t>Partnership (Fees) Regulations 2025</w:t>
            </w:r>
          </w:p>
        </w:tc>
        <w:tc>
          <w:tcPr>
            <w:tcW w:w="4508" w:type="dxa"/>
          </w:tcPr>
          <w:p w14:paraId="4C63B7D9" w14:textId="77777777" w:rsidR="007E2D54" w:rsidRPr="003F0C8C" w:rsidRDefault="007E2D54" w:rsidP="002B4F26">
            <w:pPr>
              <w:pStyle w:val="TableText"/>
              <w:rPr>
                <w:color w:val="000000" w:themeColor="text1"/>
              </w:rPr>
            </w:pPr>
            <w:r w:rsidRPr="003F0C8C">
              <w:t xml:space="preserve">11 June 2025 </w:t>
            </w:r>
          </w:p>
        </w:tc>
      </w:tr>
    </w:tbl>
    <w:p w14:paraId="5685BDF8" w14:textId="2E366758" w:rsidR="007E2D54" w:rsidRDefault="00D148FC" w:rsidP="00D148FC">
      <w:pPr>
        <w:pStyle w:val="Caption"/>
      </w:pPr>
      <w:bookmarkStart w:id="77" w:name="_Toc212562088"/>
      <w:r>
        <w:t xml:space="preserve">Table 21: </w:t>
      </w:r>
      <w:r w:rsidR="007E2D54">
        <w:t>Regulations commenced</w:t>
      </w:r>
      <w:bookmarkEnd w:id="77"/>
    </w:p>
    <w:tbl>
      <w:tblPr>
        <w:tblStyle w:val="TableGrid"/>
        <w:tblW w:w="0" w:type="auto"/>
        <w:tblLook w:val="06A0" w:firstRow="1" w:lastRow="0" w:firstColumn="1" w:lastColumn="0" w:noHBand="1" w:noVBand="1"/>
      </w:tblPr>
      <w:tblGrid>
        <w:gridCol w:w="4508"/>
        <w:gridCol w:w="4508"/>
      </w:tblGrid>
      <w:tr w:rsidR="007E2D54" w:rsidRPr="000A6CAA" w14:paraId="53FCDA26" w14:textId="77777777" w:rsidTr="005B7969">
        <w:trPr>
          <w:cnfStyle w:val="100000000000" w:firstRow="1" w:lastRow="0" w:firstColumn="0" w:lastColumn="0" w:oddVBand="0" w:evenVBand="0" w:oddHBand="0" w:evenHBand="0" w:firstRowFirstColumn="0" w:firstRowLastColumn="0" w:lastRowFirstColumn="0" w:lastRowLastColumn="0"/>
          <w:tblHeader/>
        </w:trPr>
        <w:tc>
          <w:tcPr>
            <w:tcW w:w="4508" w:type="dxa"/>
          </w:tcPr>
          <w:p w14:paraId="63D5AB22" w14:textId="77777777" w:rsidR="007E2D54" w:rsidRPr="000A6CAA" w:rsidRDefault="007E2D54" w:rsidP="002B4F26">
            <w:pPr>
              <w:pStyle w:val="TableColHead"/>
            </w:pPr>
            <w:r w:rsidRPr="000A6CAA">
              <w:t>Name</w:t>
            </w:r>
          </w:p>
        </w:tc>
        <w:tc>
          <w:tcPr>
            <w:tcW w:w="4508" w:type="dxa"/>
          </w:tcPr>
          <w:p w14:paraId="1713219A" w14:textId="77777777" w:rsidR="007E2D54" w:rsidRPr="000A6CAA" w:rsidRDefault="007E2D54" w:rsidP="002B4F26">
            <w:pPr>
              <w:pStyle w:val="TableColHead"/>
            </w:pPr>
            <w:r w:rsidRPr="000A6CAA">
              <w:t>Date commenced</w:t>
            </w:r>
          </w:p>
        </w:tc>
      </w:tr>
      <w:tr w:rsidR="007E2D54" w14:paraId="25084C84" w14:textId="77777777" w:rsidTr="005B7969">
        <w:tc>
          <w:tcPr>
            <w:tcW w:w="4508" w:type="dxa"/>
          </w:tcPr>
          <w:p w14:paraId="2649CF67" w14:textId="77777777" w:rsidR="007E2D54" w:rsidRPr="00D436F6" w:rsidRDefault="007E2D54" w:rsidP="002B4F26">
            <w:pPr>
              <w:pStyle w:val="TableText"/>
            </w:pPr>
            <w:r w:rsidRPr="001E401D">
              <w:t>Fundraising Amendment (National Fundraising Principles) Regulations 2024</w:t>
            </w:r>
          </w:p>
        </w:tc>
        <w:tc>
          <w:tcPr>
            <w:tcW w:w="4508" w:type="dxa"/>
          </w:tcPr>
          <w:p w14:paraId="78A675F6" w14:textId="77777777" w:rsidR="007E2D54" w:rsidRPr="00D436F6" w:rsidRDefault="007E2D54" w:rsidP="002B4F26">
            <w:pPr>
              <w:pStyle w:val="TableText"/>
            </w:pPr>
            <w:r>
              <w:t>3 July 2024</w:t>
            </w:r>
          </w:p>
        </w:tc>
      </w:tr>
      <w:tr w:rsidR="007E2D54" w:rsidRPr="00925013" w14:paraId="2544775E" w14:textId="77777777" w:rsidTr="005B7969">
        <w:tc>
          <w:tcPr>
            <w:tcW w:w="4508" w:type="dxa"/>
          </w:tcPr>
          <w:p w14:paraId="4A6C1807" w14:textId="77777777" w:rsidR="007E2D54" w:rsidRPr="00D436F6" w:rsidRDefault="007E2D54" w:rsidP="002B4F26">
            <w:pPr>
              <w:pStyle w:val="TableText"/>
            </w:pPr>
            <w:r w:rsidRPr="001E401D">
              <w:t>Sale of Land (Infringements) Regulations 2024</w:t>
            </w:r>
          </w:p>
        </w:tc>
        <w:tc>
          <w:tcPr>
            <w:tcW w:w="4508" w:type="dxa"/>
          </w:tcPr>
          <w:p w14:paraId="2FE2A799" w14:textId="77777777" w:rsidR="007E2D54" w:rsidRPr="00D436F6" w:rsidRDefault="007E2D54" w:rsidP="002B4F26">
            <w:pPr>
              <w:pStyle w:val="TableText"/>
            </w:pPr>
            <w:r>
              <w:t>21 August 2024</w:t>
            </w:r>
          </w:p>
        </w:tc>
      </w:tr>
      <w:tr w:rsidR="007E2D54" w14:paraId="42988518" w14:textId="77777777" w:rsidTr="005B7969">
        <w:tc>
          <w:tcPr>
            <w:tcW w:w="4508" w:type="dxa"/>
          </w:tcPr>
          <w:p w14:paraId="4EA4225F" w14:textId="77777777" w:rsidR="007E2D54" w:rsidRPr="00D436F6" w:rsidRDefault="007E2D54" w:rsidP="002B4F26">
            <w:pPr>
              <w:pStyle w:val="TableText"/>
            </w:pPr>
            <w:r w:rsidRPr="00D436F6">
              <w:t>Credit (Administration) Regulations 2024</w:t>
            </w:r>
          </w:p>
        </w:tc>
        <w:tc>
          <w:tcPr>
            <w:tcW w:w="4508" w:type="dxa"/>
          </w:tcPr>
          <w:p w14:paraId="09C76C75" w14:textId="77777777" w:rsidR="007E2D54" w:rsidRPr="00D436F6" w:rsidRDefault="007E2D54" w:rsidP="002B4F26">
            <w:pPr>
              <w:pStyle w:val="TableText"/>
            </w:pPr>
            <w:r>
              <w:t>22 September 2024</w:t>
            </w:r>
          </w:p>
        </w:tc>
      </w:tr>
      <w:tr w:rsidR="007E2D54" w14:paraId="29EF7EFD" w14:textId="77777777" w:rsidTr="005B7969">
        <w:tc>
          <w:tcPr>
            <w:tcW w:w="4508" w:type="dxa"/>
          </w:tcPr>
          <w:p w14:paraId="7036B339" w14:textId="77777777" w:rsidR="007E2D54" w:rsidRPr="00D436F6" w:rsidRDefault="007E2D54" w:rsidP="002B4F26">
            <w:pPr>
              <w:pStyle w:val="TableText"/>
            </w:pPr>
            <w:r w:rsidRPr="001E401D">
              <w:t>Credit Regulations 2024</w:t>
            </w:r>
          </w:p>
        </w:tc>
        <w:tc>
          <w:tcPr>
            <w:tcW w:w="4508" w:type="dxa"/>
          </w:tcPr>
          <w:p w14:paraId="7D8672D0" w14:textId="77777777" w:rsidR="007E2D54" w:rsidRPr="00D436F6" w:rsidRDefault="007E2D54" w:rsidP="002B4F26">
            <w:pPr>
              <w:pStyle w:val="TableText"/>
            </w:pPr>
            <w:r>
              <w:t>22 September 2024</w:t>
            </w:r>
          </w:p>
        </w:tc>
      </w:tr>
      <w:tr w:rsidR="007E2D54" w14:paraId="790F74AD" w14:textId="77777777" w:rsidTr="005B7969">
        <w:tc>
          <w:tcPr>
            <w:tcW w:w="4508" w:type="dxa"/>
          </w:tcPr>
          <w:p w14:paraId="63E77943" w14:textId="77777777" w:rsidR="007E2D54" w:rsidRPr="00D436F6" w:rsidRDefault="007E2D54" w:rsidP="002B4F26">
            <w:pPr>
              <w:pStyle w:val="TableText"/>
            </w:pPr>
            <w:r w:rsidRPr="001E401D">
              <w:t>Estate Agents (Exemption) Regulations 2024</w:t>
            </w:r>
          </w:p>
        </w:tc>
        <w:tc>
          <w:tcPr>
            <w:tcW w:w="4508" w:type="dxa"/>
          </w:tcPr>
          <w:p w14:paraId="4223F8E0" w14:textId="77777777" w:rsidR="007E2D54" w:rsidRPr="00D436F6" w:rsidRDefault="007E2D54" w:rsidP="002B4F26">
            <w:pPr>
              <w:pStyle w:val="TableText"/>
            </w:pPr>
            <w:r>
              <w:t>23 October 2024</w:t>
            </w:r>
          </w:p>
        </w:tc>
      </w:tr>
      <w:tr w:rsidR="007E2D54" w:rsidRPr="00925013" w14:paraId="0C7DFC57" w14:textId="77777777" w:rsidTr="005B7969">
        <w:tc>
          <w:tcPr>
            <w:tcW w:w="4508" w:type="dxa"/>
          </w:tcPr>
          <w:p w14:paraId="60FBFFBD" w14:textId="77777777" w:rsidR="007E2D54" w:rsidRPr="00D436F6" w:rsidRDefault="007E2D54" w:rsidP="002B4F26">
            <w:pPr>
              <w:pStyle w:val="TableText"/>
            </w:pPr>
            <w:r w:rsidRPr="001E401D">
              <w:t>Residential Tenancies and Residential Tenancies (Rooming House Standards) Amendment Regulations 2024</w:t>
            </w:r>
          </w:p>
        </w:tc>
        <w:tc>
          <w:tcPr>
            <w:tcW w:w="4508" w:type="dxa"/>
          </w:tcPr>
          <w:p w14:paraId="3E8EEF45" w14:textId="77777777" w:rsidR="007E2D54" w:rsidRPr="00D436F6" w:rsidRDefault="007E2D54" w:rsidP="002B4F26">
            <w:pPr>
              <w:pStyle w:val="TableText"/>
            </w:pPr>
            <w:r>
              <w:t>1 December 2024</w:t>
            </w:r>
          </w:p>
        </w:tc>
      </w:tr>
      <w:tr w:rsidR="007E2D54" w14:paraId="52CCEAA7" w14:textId="77777777" w:rsidTr="005B7969">
        <w:tc>
          <w:tcPr>
            <w:tcW w:w="4508" w:type="dxa"/>
          </w:tcPr>
          <w:p w14:paraId="58465A04" w14:textId="77777777" w:rsidR="007E2D54" w:rsidRPr="00D436F6" w:rsidRDefault="007E2D54" w:rsidP="002B4F26">
            <w:pPr>
              <w:pStyle w:val="TableText"/>
            </w:pPr>
            <w:r w:rsidRPr="001E401D">
              <w:t>Partnership (Fees) Regulations 202</w:t>
            </w:r>
            <w:r w:rsidRPr="00A4404F">
              <w:t>5</w:t>
            </w:r>
          </w:p>
        </w:tc>
        <w:tc>
          <w:tcPr>
            <w:tcW w:w="4508" w:type="dxa"/>
          </w:tcPr>
          <w:p w14:paraId="1DF81F13" w14:textId="77777777" w:rsidR="007E2D54" w:rsidRPr="00D436F6" w:rsidRDefault="007E2D54" w:rsidP="002B4F26">
            <w:pPr>
              <w:pStyle w:val="TableText"/>
            </w:pPr>
            <w:r>
              <w:t>23 June 2025</w:t>
            </w:r>
          </w:p>
        </w:tc>
      </w:tr>
    </w:tbl>
    <w:p w14:paraId="1A52DED7" w14:textId="6D56251E" w:rsidR="007E2D54" w:rsidRPr="00051336" w:rsidRDefault="00D148FC" w:rsidP="00D148FC">
      <w:pPr>
        <w:pStyle w:val="Caption"/>
      </w:pPr>
      <w:bookmarkStart w:id="78" w:name="_Toc212562089"/>
      <w:r>
        <w:t xml:space="preserve">Table 22: </w:t>
      </w:r>
      <w:r w:rsidR="007E2D54" w:rsidRPr="00051336">
        <w:t>Regulations revoked</w:t>
      </w:r>
      <w:bookmarkEnd w:id="78"/>
    </w:p>
    <w:tbl>
      <w:tblPr>
        <w:tblStyle w:val="TableGrid"/>
        <w:tblW w:w="0" w:type="auto"/>
        <w:tblLook w:val="06A0" w:firstRow="1" w:lastRow="0" w:firstColumn="1" w:lastColumn="0" w:noHBand="1" w:noVBand="1"/>
      </w:tblPr>
      <w:tblGrid>
        <w:gridCol w:w="4508"/>
        <w:gridCol w:w="4508"/>
      </w:tblGrid>
      <w:tr w:rsidR="007E2D54" w:rsidRPr="00FF03BF" w14:paraId="424BDE34" w14:textId="77777777" w:rsidTr="005B7969">
        <w:trPr>
          <w:cnfStyle w:val="100000000000" w:firstRow="1" w:lastRow="0" w:firstColumn="0" w:lastColumn="0" w:oddVBand="0" w:evenVBand="0" w:oddHBand="0" w:evenHBand="0" w:firstRowFirstColumn="0" w:firstRowLastColumn="0" w:lastRowFirstColumn="0" w:lastRowLastColumn="0"/>
          <w:tblHeader/>
        </w:trPr>
        <w:tc>
          <w:tcPr>
            <w:tcW w:w="4508" w:type="dxa"/>
          </w:tcPr>
          <w:p w14:paraId="783B8D3B" w14:textId="77777777" w:rsidR="007E2D54" w:rsidRPr="00A4404F" w:rsidRDefault="007E2D54" w:rsidP="002B4F26">
            <w:pPr>
              <w:pStyle w:val="TableColHead"/>
            </w:pPr>
            <w:r w:rsidRPr="00A4404F">
              <w:t>Name</w:t>
            </w:r>
          </w:p>
        </w:tc>
        <w:tc>
          <w:tcPr>
            <w:tcW w:w="4508" w:type="dxa"/>
          </w:tcPr>
          <w:p w14:paraId="1FA61A4E" w14:textId="77777777" w:rsidR="007E2D54" w:rsidRPr="00A4404F" w:rsidRDefault="007E2D54" w:rsidP="002B4F26">
            <w:pPr>
              <w:pStyle w:val="TableColHead"/>
            </w:pPr>
            <w:r w:rsidRPr="00A4404F">
              <w:t>Date revoked</w:t>
            </w:r>
          </w:p>
        </w:tc>
      </w:tr>
      <w:tr w:rsidR="007E2D54" w14:paraId="4C85FF72" w14:textId="77777777" w:rsidTr="005B7969">
        <w:tc>
          <w:tcPr>
            <w:tcW w:w="4508" w:type="dxa"/>
          </w:tcPr>
          <w:p w14:paraId="73984FBF" w14:textId="77777777" w:rsidR="007E2D54" w:rsidRPr="0043016F" w:rsidRDefault="007E2D54" w:rsidP="002B4F26">
            <w:pPr>
              <w:pStyle w:val="TableText"/>
              <w:rPr>
                <w:color w:val="000000" w:themeColor="text1"/>
                <w:highlight w:val="yellow"/>
              </w:rPr>
            </w:pPr>
            <w:r w:rsidRPr="0043016F">
              <w:t>Sale of Land (Infringements</w:t>
            </w:r>
            <w:r>
              <w:t>)</w:t>
            </w:r>
            <w:r w:rsidRPr="0043016F">
              <w:t xml:space="preserve"> Regulations 2014</w:t>
            </w:r>
          </w:p>
        </w:tc>
        <w:tc>
          <w:tcPr>
            <w:tcW w:w="4508" w:type="dxa"/>
          </w:tcPr>
          <w:p w14:paraId="353850F1" w14:textId="77777777" w:rsidR="007E2D54" w:rsidRPr="0043016F" w:rsidRDefault="007E2D54" w:rsidP="002B4F26">
            <w:pPr>
              <w:pStyle w:val="TableText"/>
              <w:rPr>
                <w:color w:val="000000" w:themeColor="text1"/>
              </w:rPr>
            </w:pPr>
            <w:r w:rsidRPr="0043016F">
              <w:t xml:space="preserve">21 August 2024 </w:t>
            </w:r>
          </w:p>
        </w:tc>
      </w:tr>
      <w:tr w:rsidR="007E2D54" w14:paraId="74644B0F" w14:textId="77777777" w:rsidTr="005B7969">
        <w:tc>
          <w:tcPr>
            <w:tcW w:w="4508" w:type="dxa"/>
          </w:tcPr>
          <w:p w14:paraId="4BA5A6B5" w14:textId="77777777" w:rsidR="007E2D54" w:rsidRPr="00A4404F" w:rsidRDefault="007E2D54" w:rsidP="002B4F26">
            <w:pPr>
              <w:pStyle w:val="TableText"/>
              <w:rPr>
                <w:color w:val="000000" w:themeColor="text1"/>
                <w:highlight w:val="yellow"/>
              </w:rPr>
            </w:pPr>
            <w:r w:rsidRPr="00A4404F">
              <w:t>Credit Regulations 2014</w:t>
            </w:r>
          </w:p>
        </w:tc>
        <w:tc>
          <w:tcPr>
            <w:tcW w:w="4508" w:type="dxa"/>
          </w:tcPr>
          <w:p w14:paraId="2CF955FB" w14:textId="77777777" w:rsidR="007E2D54" w:rsidRPr="00A4404F" w:rsidRDefault="007E2D54" w:rsidP="002B4F26">
            <w:pPr>
              <w:pStyle w:val="TableText"/>
              <w:rPr>
                <w:color w:val="000000" w:themeColor="text1"/>
              </w:rPr>
            </w:pPr>
            <w:r w:rsidRPr="00A4404F">
              <w:t xml:space="preserve">22 September 2024 </w:t>
            </w:r>
          </w:p>
        </w:tc>
      </w:tr>
      <w:tr w:rsidR="007E2D54" w14:paraId="1B4A5083" w14:textId="77777777" w:rsidTr="005B7969">
        <w:tc>
          <w:tcPr>
            <w:tcW w:w="4508" w:type="dxa"/>
          </w:tcPr>
          <w:p w14:paraId="46A0663A" w14:textId="77777777" w:rsidR="007E2D54" w:rsidRPr="00A4404F" w:rsidRDefault="007E2D54" w:rsidP="002B4F26">
            <w:pPr>
              <w:pStyle w:val="TableText"/>
              <w:rPr>
                <w:color w:val="000000" w:themeColor="text1"/>
                <w:highlight w:val="yellow"/>
              </w:rPr>
            </w:pPr>
            <w:r w:rsidRPr="00A4404F">
              <w:t>Credit (Administration) Regulations 2014</w:t>
            </w:r>
          </w:p>
        </w:tc>
        <w:tc>
          <w:tcPr>
            <w:tcW w:w="4508" w:type="dxa"/>
          </w:tcPr>
          <w:p w14:paraId="127E8894" w14:textId="77777777" w:rsidR="007E2D54" w:rsidRPr="00A4404F" w:rsidRDefault="007E2D54" w:rsidP="002B4F26">
            <w:pPr>
              <w:pStyle w:val="TableText"/>
              <w:rPr>
                <w:color w:val="000000" w:themeColor="text1"/>
              </w:rPr>
            </w:pPr>
            <w:r w:rsidRPr="00A4404F">
              <w:t xml:space="preserve">22 September 2024 </w:t>
            </w:r>
          </w:p>
        </w:tc>
      </w:tr>
      <w:tr w:rsidR="007E2D54" w14:paraId="6DDD7D7A" w14:textId="77777777" w:rsidTr="005B7969">
        <w:tc>
          <w:tcPr>
            <w:tcW w:w="4508" w:type="dxa"/>
          </w:tcPr>
          <w:p w14:paraId="0CFF74A7" w14:textId="77777777" w:rsidR="007E2D54" w:rsidRPr="00A4404F" w:rsidRDefault="007E2D54" w:rsidP="002B4F26">
            <w:pPr>
              <w:pStyle w:val="TableText"/>
              <w:rPr>
                <w:color w:val="000000" w:themeColor="text1"/>
                <w:highlight w:val="yellow"/>
              </w:rPr>
            </w:pPr>
            <w:r w:rsidRPr="00A4404F">
              <w:t>Estate Agents (Exemption) Regulations 2014</w:t>
            </w:r>
          </w:p>
        </w:tc>
        <w:tc>
          <w:tcPr>
            <w:tcW w:w="4508" w:type="dxa"/>
          </w:tcPr>
          <w:p w14:paraId="3F2AF3F3" w14:textId="77777777" w:rsidR="007E2D54" w:rsidRPr="00A4404F" w:rsidRDefault="007E2D54" w:rsidP="002B4F26">
            <w:pPr>
              <w:pStyle w:val="TableText"/>
              <w:rPr>
                <w:color w:val="000000" w:themeColor="text1"/>
              </w:rPr>
            </w:pPr>
            <w:r w:rsidRPr="00A4404F">
              <w:t xml:space="preserve">23 </w:t>
            </w:r>
            <w:r w:rsidRPr="00A4404F">
              <w:rPr>
                <w:color w:val="000000" w:themeColor="text1"/>
              </w:rPr>
              <w:t xml:space="preserve">October 2024 </w:t>
            </w:r>
          </w:p>
        </w:tc>
      </w:tr>
      <w:tr w:rsidR="007E2D54" w:rsidDel="004E6EB0" w14:paraId="49A95E48" w14:textId="77777777" w:rsidTr="005B7969">
        <w:tc>
          <w:tcPr>
            <w:tcW w:w="4508" w:type="dxa"/>
          </w:tcPr>
          <w:p w14:paraId="6523A71B" w14:textId="77777777" w:rsidR="007E2D54" w:rsidRPr="00A4404F" w:rsidDel="004E6EB0" w:rsidRDefault="007E2D54" w:rsidP="002B4F26">
            <w:pPr>
              <w:pStyle w:val="TableText"/>
              <w:rPr>
                <w:color w:val="000000" w:themeColor="text1"/>
                <w:highlight w:val="yellow"/>
              </w:rPr>
            </w:pPr>
            <w:r w:rsidRPr="00A4404F" w:rsidDel="004E6EB0">
              <w:rPr>
                <w:rFonts w:asciiTheme="minorHAnsi" w:hAnsiTheme="minorHAnsi"/>
              </w:rPr>
              <w:t>Sale of Land (Infringements Regulations 2014</w:t>
            </w:r>
          </w:p>
        </w:tc>
        <w:tc>
          <w:tcPr>
            <w:tcW w:w="4508" w:type="dxa"/>
          </w:tcPr>
          <w:p w14:paraId="23CEA554" w14:textId="77777777" w:rsidR="007E2D54" w:rsidRPr="00A4404F" w:rsidDel="004E6EB0" w:rsidRDefault="007E2D54" w:rsidP="002B4F26">
            <w:pPr>
              <w:pStyle w:val="TableText"/>
              <w:rPr>
                <w:color w:val="000000" w:themeColor="text1"/>
              </w:rPr>
            </w:pPr>
            <w:r w:rsidRPr="00A4404F" w:rsidDel="004E6EB0">
              <w:rPr>
                <w:rFonts w:asciiTheme="minorHAnsi" w:hAnsiTheme="minorHAnsi"/>
              </w:rPr>
              <w:t xml:space="preserve">21 August 2024 </w:t>
            </w:r>
          </w:p>
        </w:tc>
      </w:tr>
      <w:tr w:rsidR="007E2D54" w14:paraId="15536211" w14:textId="77777777" w:rsidTr="005B7969">
        <w:tc>
          <w:tcPr>
            <w:tcW w:w="4508" w:type="dxa"/>
          </w:tcPr>
          <w:p w14:paraId="0192D709" w14:textId="77777777" w:rsidR="007E2D54" w:rsidRPr="00A4404F" w:rsidRDefault="007E2D54" w:rsidP="002B4F26">
            <w:pPr>
              <w:pStyle w:val="TableText"/>
              <w:rPr>
                <w:color w:val="000000" w:themeColor="text1"/>
                <w:highlight w:val="yellow"/>
              </w:rPr>
            </w:pPr>
            <w:r w:rsidRPr="00A4404F">
              <w:t>Partnership (Fees) Regulations 2023</w:t>
            </w:r>
          </w:p>
        </w:tc>
        <w:tc>
          <w:tcPr>
            <w:tcW w:w="4508" w:type="dxa"/>
          </w:tcPr>
          <w:p w14:paraId="795036CD" w14:textId="77777777" w:rsidR="007E2D54" w:rsidRPr="00A4404F" w:rsidRDefault="007E2D54" w:rsidP="002B4F26">
            <w:pPr>
              <w:pStyle w:val="TableText"/>
              <w:rPr>
                <w:color w:val="000000" w:themeColor="text1"/>
              </w:rPr>
            </w:pPr>
            <w:r w:rsidRPr="00A4404F">
              <w:t xml:space="preserve">23 June 2025 </w:t>
            </w:r>
          </w:p>
        </w:tc>
      </w:tr>
    </w:tbl>
    <w:p w14:paraId="22E0BF0B" w14:textId="1FD63BF2" w:rsidR="007E2D54" w:rsidRPr="000F16C6" w:rsidRDefault="007E2D54" w:rsidP="00B71C68">
      <w:pPr>
        <w:pStyle w:val="Heading1"/>
      </w:pPr>
      <w:bookmarkStart w:id="79" w:name="_Toc204243177"/>
      <w:bookmarkStart w:id="80" w:name="_Toc211518581"/>
      <w:bookmarkStart w:id="81" w:name="_Toc212562067"/>
      <w:r w:rsidRPr="000F16C6">
        <w:t>Legislation administered by CAV</w:t>
      </w:r>
      <w:r w:rsidR="002B4F26">
        <w:br/>
      </w:r>
      <w:r w:rsidRPr="000F16C6">
        <w:t xml:space="preserve">as at 30 June </w:t>
      </w:r>
      <w:bookmarkEnd w:id="79"/>
      <w:r w:rsidRPr="000F16C6">
        <w:t>2025</w:t>
      </w:r>
      <w:bookmarkEnd w:id="80"/>
      <w:bookmarkEnd w:id="81"/>
    </w:p>
    <w:p w14:paraId="37815942" w14:textId="77777777" w:rsidR="002B4F26" w:rsidRPr="002B4F26" w:rsidRDefault="002B4F26" w:rsidP="002B4F26">
      <w:pPr>
        <w:pStyle w:val="ListBullet"/>
        <w:rPr>
          <w:i/>
          <w:iCs/>
        </w:rPr>
      </w:pPr>
      <w:r w:rsidRPr="002B4F26">
        <w:rPr>
          <w:i/>
          <w:iCs/>
        </w:rPr>
        <w:t>Associations Incorporation Reform Act 2012</w:t>
      </w:r>
    </w:p>
    <w:p w14:paraId="784A0327" w14:textId="77777777" w:rsidR="002B4F26" w:rsidRPr="002B4F26" w:rsidRDefault="002B4F26" w:rsidP="002B4F26">
      <w:pPr>
        <w:pStyle w:val="ListBullet"/>
        <w:rPr>
          <w:i/>
          <w:iCs/>
        </w:rPr>
      </w:pPr>
      <w:r w:rsidRPr="002B4F26">
        <w:rPr>
          <w:i/>
          <w:iCs/>
        </w:rPr>
        <w:t>Australian Consumer Law and Fair Trading Act 2012</w:t>
      </w:r>
    </w:p>
    <w:p w14:paraId="4A67E8A0" w14:textId="77777777" w:rsidR="002B4F26" w:rsidRPr="002B4F26" w:rsidRDefault="002B4F26" w:rsidP="002B4F26">
      <w:pPr>
        <w:pStyle w:val="ListBullet"/>
        <w:rPr>
          <w:i/>
          <w:iCs/>
        </w:rPr>
      </w:pPr>
      <w:r w:rsidRPr="002B4F26">
        <w:rPr>
          <w:i/>
          <w:iCs/>
        </w:rPr>
        <w:t>Business Licensing Authority Act 1998</w:t>
      </w:r>
    </w:p>
    <w:p w14:paraId="0F542CE7" w14:textId="77777777" w:rsidR="002B4F26" w:rsidRPr="002B4F26" w:rsidRDefault="002B4F26" w:rsidP="002B4F26">
      <w:pPr>
        <w:pStyle w:val="ListBullet"/>
        <w:rPr>
          <w:i/>
          <w:iCs/>
        </w:rPr>
      </w:pPr>
      <w:r w:rsidRPr="002B4F26">
        <w:rPr>
          <w:i/>
          <w:iCs/>
        </w:rPr>
        <w:t>Business Names (Commonwealth Powers) Act 2011</w:t>
      </w:r>
    </w:p>
    <w:p w14:paraId="2B4B472D" w14:textId="77777777" w:rsidR="002B4F26" w:rsidRPr="002B4F26" w:rsidRDefault="002B4F26" w:rsidP="002B4F26">
      <w:pPr>
        <w:pStyle w:val="ListBullet"/>
        <w:rPr>
          <w:i/>
          <w:iCs/>
        </w:rPr>
      </w:pPr>
      <w:r w:rsidRPr="002B4F26">
        <w:rPr>
          <w:i/>
          <w:iCs/>
        </w:rPr>
        <w:t>Chattel Securities Act 1987</w:t>
      </w:r>
    </w:p>
    <w:p w14:paraId="01F6581A" w14:textId="77777777" w:rsidR="002B4F26" w:rsidRPr="002B4F26" w:rsidRDefault="002B4F26" w:rsidP="002B4F26">
      <w:pPr>
        <w:pStyle w:val="ListBullet"/>
        <w:rPr>
          <w:i/>
          <w:iCs/>
        </w:rPr>
      </w:pPr>
      <w:r w:rsidRPr="002B4F26">
        <w:rPr>
          <w:i/>
          <w:iCs/>
        </w:rPr>
        <w:t>Company Titles (Home Units) Act 2013</w:t>
      </w:r>
    </w:p>
    <w:p w14:paraId="629E8D3F" w14:textId="77777777" w:rsidR="002B4F26" w:rsidRPr="002B4F26" w:rsidRDefault="002B4F26" w:rsidP="002B4F26">
      <w:pPr>
        <w:pStyle w:val="ListBullet"/>
        <w:rPr>
          <w:i/>
          <w:iCs/>
        </w:rPr>
      </w:pPr>
      <w:r w:rsidRPr="002B4F26">
        <w:rPr>
          <w:i/>
          <w:iCs/>
        </w:rPr>
        <w:t>Consumer Credit (Victoria) Act 1995</w:t>
      </w:r>
    </w:p>
    <w:p w14:paraId="779DA5BE" w14:textId="77777777" w:rsidR="002B4F26" w:rsidRPr="002B4F26" w:rsidRDefault="002B4F26" w:rsidP="002B4F26">
      <w:pPr>
        <w:pStyle w:val="ListBullet"/>
        <w:rPr>
          <w:i/>
          <w:iCs/>
        </w:rPr>
      </w:pPr>
      <w:r w:rsidRPr="002B4F26">
        <w:rPr>
          <w:i/>
          <w:iCs/>
        </w:rPr>
        <w:t>Conveyancers Act 2006</w:t>
      </w:r>
    </w:p>
    <w:p w14:paraId="75EC6487" w14:textId="77777777" w:rsidR="002B4F26" w:rsidRPr="002B4F26" w:rsidRDefault="002B4F26" w:rsidP="002B4F26">
      <w:pPr>
        <w:pStyle w:val="ListBullet"/>
        <w:rPr>
          <w:i/>
          <w:iCs/>
        </w:rPr>
      </w:pPr>
      <w:r w:rsidRPr="002B4F26">
        <w:rPr>
          <w:i/>
          <w:iCs/>
        </w:rPr>
        <w:t>Co-operatives National Law Application Act 2013</w:t>
      </w:r>
    </w:p>
    <w:p w14:paraId="08D98EA6" w14:textId="77777777" w:rsidR="002B4F26" w:rsidRPr="002B4F26" w:rsidRDefault="002B4F26" w:rsidP="002B4F26">
      <w:pPr>
        <w:pStyle w:val="ListBullet"/>
        <w:rPr>
          <w:i/>
          <w:iCs/>
        </w:rPr>
      </w:pPr>
      <w:r w:rsidRPr="002B4F26">
        <w:rPr>
          <w:i/>
          <w:iCs/>
        </w:rPr>
        <w:t>Credit Act 1984</w:t>
      </w:r>
    </w:p>
    <w:p w14:paraId="1D4236AC" w14:textId="77777777" w:rsidR="002B4F26" w:rsidRPr="002B4F26" w:rsidRDefault="002B4F26" w:rsidP="002B4F26">
      <w:pPr>
        <w:pStyle w:val="ListBullet"/>
        <w:rPr>
          <w:i/>
          <w:iCs/>
        </w:rPr>
      </w:pPr>
      <w:r w:rsidRPr="002B4F26">
        <w:rPr>
          <w:i/>
          <w:iCs/>
        </w:rPr>
        <w:t>Credit (Administration) Act 1984</w:t>
      </w:r>
    </w:p>
    <w:p w14:paraId="10381916" w14:textId="77777777" w:rsidR="002B4F26" w:rsidRPr="002B4F26" w:rsidRDefault="002B4F26" w:rsidP="002B4F26">
      <w:pPr>
        <w:pStyle w:val="ListBullet"/>
        <w:rPr>
          <w:i/>
          <w:iCs/>
        </w:rPr>
      </w:pPr>
      <w:r w:rsidRPr="002B4F26">
        <w:rPr>
          <w:i/>
          <w:iCs/>
        </w:rPr>
        <w:t>Credit (Commonwealth Powers) Act 2010</w:t>
      </w:r>
    </w:p>
    <w:p w14:paraId="53272819" w14:textId="77777777" w:rsidR="002B4F26" w:rsidRPr="002B4F26" w:rsidRDefault="002B4F26" w:rsidP="002B4F26">
      <w:pPr>
        <w:pStyle w:val="ListBullet"/>
        <w:rPr>
          <w:i/>
          <w:iCs/>
        </w:rPr>
      </w:pPr>
      <w:r w:rsidRPr="002B4F26">
        <w:rPr>
          <w:i/>
          <w:iCs/>
        </w:rPr>
        <w:t>Domestic Building Contracts Act 1995</w:t>
      </w:r>
    </w:p>
    <w:p w14:paraId="203A2F62" w14:textId="77777777" w:rsidR="002B4F26" w:rsidRPr="002B4F26" w:rsidRDefault="002B4F26" w:rsidP="002B4F26">
      <w:pPr>
        <w:pStyle w:val="ListBullet"/>
        <w:rPr>
          <w:i/>
          <w:iCs/>
        </w:rPr>
      </w:pPr>
      <w:r w:rsidRPr="002B4F26">
        <w:rPr>
          <w:i/>
          <w:iCs/>
        </w:rPr>
        <w:t>Except Part 5 (administered by the Attorney-General)</w:t>
      </w:r>
    </w:p>
    <w:p w14:paraId="73389672" w14:textId="77777777" w:rsidR="002B4F26" w:rsidRPr="002B4F26" w:rsidRDefault="002B4F26" w:rsidP="002B4F26">
      <w:pPr>
        <w:pStyle w:val="ListBullet"/>
        <w:rPr>
          <w:i/>
          <w:iCs/>
        </w:rPr>
      </w:pPr>
      <w:r w:rsidRPr="002B4F26">
        <w:rPr>
          <w:i/>
          <w:iCs/>
        </w:rPr>
        <w:t>Estate Agents Act 1980</w:t>
      </w:r>
    </w:p>
    <w:p w14:paraId="5CF07711" w14:textId="77777777" w:rsidR="002B4F26" w:rsidRPr="002B4F26" w:rsidRDefault="002B4F26" w:rsidP="002B4F26">
      <w:pPr>
        <w:pStyle w:val="ListBullet"/>
        <w:rPr>
          <w:i/>
          <w:iCs/>
        </w:rPr>
      </w:pPr>
      <w:r w:rsidRPr="002B4F26">
        <w:rPr>
          <w:i/>
          <w:iCs/>
        </w:rPr>
        <w:t>Fundraising Act 1998</w:t>
      </w:r>
    </w:p>
    <w:p w14:paraId="1014B77F" w14:textId="77777777" w:rsidR="002B4F26" w:rsidRPr="002B4F26" w:rsidRDefault="002B4F26" w:rsidP="002B4F26">
      <w:pPr>
        <w:pStyle w:val="ListBullet"/>
        <w:rPr>
          <w:i/>
          <w:iCs/>
        </w:rPr>
      </w:pPr>
      <w:r w:rsidRPr="002B4F26">
        <w:rPr>
          <w:i/>
          <w:iCs/>
        </w:rPr>
        <w:t>Funerals Act 2006</w:t>
      </w:r>
    </w:p>
    <w:p w14:paraId="05D04155" w14:textId="77777777" w:rsidR="002B4F26" w:rsidRPr="002B4F26" w:rsidRDefault="002B4F26" w:rsidP="002B4F26">
      <w:pPr>
        <w:pStyle w:val="ListBullet"/>
        <w:rPr>
          <w:i/>
          <w:iCs/>
        </w:rPr>
      </w:pPr>
      <w:r w:rsidRPr="002B4F26">
        <w:rPr>
          <w:i/>
          <w:iCs/>
        </w:rPr>
        <w:t>Goods Act 1958</w:t>
      </w:r>
    </w:p>
    <w:p w14:paraId="21670437" w14:textId="77777777" w:rsidR="002B4F26" w:rsidRPr="002B4F26" w:rsidRDefault="002B4F26" w:rsidP="002B4F26">
      <w:pPr>
        <w:pStyle w:val="ListBullet"/>
        <w:rPr>
          <w:i/>
          <w:iCs/>
        </w:rPr>
      </w:pPr>
      <w:r w:rsidRPr="002B4F26">
        <w:rPr>
          <w:i/>
          <w:iCs/>
        </w:rPr>
        <w:t>Motor Car Traders Act 1986</w:t>
      </w:r>
    </w:p>
    <w:p w14:paraId="08197D83" w14:textId="77777777" w:rsidR="002B4F26" w:rsidRPr="002B4F26" w:rsidRDefault="002B4F26" w:rsidP="002B4F26">
      <w:pPr>
        <w:pStyle w:val="ListBullet"/>
        <w:rPr>
          <w:i/>
          <w:iCs/>
        </w:rPr>
      </w:pPr>
      <w:r w:rsidRPr="002B4F26">
        <w:rPr>
          <w:i/>
          <w:iCs/>
        </w:rPr>
        <w:t>Owners Corporations Act 2006</w:t>
      </w:r>
    </w:p>
    <w:p w14:paraId="54F0C1A9" w14:textId="77777777" w:rsidR="002B4F26" w:rsidRPr="002B4F26" w:rsidRDefault="002B4F26" w:rsidP="002B4F26">
      <w:pPr>
        <w:pStyle w:val="ListBullet"/>
        <w:rPr>
          <w:i/>
          <w:iCs/>
        </w:rPr>
      </w:pPr>
      <w:r w:rsidRPr="002B4F26">
        <w:rPr>
          <w:i/>
          <w:iCs/>
        </w:rPr>
        <w:t>Partnership Act 1958</w:t>
      </w:r>
    </w:p>
    <w:p w14:paraId="33425DA4" w14:textId="77777777" w:rsidR="002B4F26" w:rsidRPr="002B4F26" w:rsidRDefault="002B4F26" w:rsidP="002B4F26">
      <w:pPr>
        <w:pStyle w:val="ListBullet"/>
        <w:rPr>
          <w:i/>
          <w:iCs/>
        </w:rPr>
      </w:pPr>
      <w:r w:rsidRPr="002B4F26">
        <w:rPr>
          <w:i/>
          <w:iCs/>
        </w:rPr>
        <w:t>Professional Engineers Registration Act 2019</w:t>
      </w:r>
    </w:p>
    <w:p w14:paraId="140F2FFA" w14:textId="78C666C3" w:rsidR="002B4F26" w:rsidRPr="002B4F26" w:rsidRDefault="002B4F26" w:rsidP="002B4F26">
      <w:pPr>
        <w:pStyle w:val="ListBullet"/>
        <w:rPr>
          <w:i/>
          <w:iCs/>
        </w:rPr>
      </w:pPr>
      <w:r w:rsidRPr="002B4F26">
        <w:rPr>
          <w:i/>
          <w:iCs/>
        </w:rPr>
        <w:t>Residential Tenancies Act 1997</w:t>
      </w:r>
    </w:p>
    <w:p w14:paraId="25B043AB" w14:textId="468AA44F" w:rsidR="002B4F26" w:rsidRPr="00A4404F" w:rsidRDefault="002B4F26" w:rsidP="002B4F26">
      <w:pPr>
        <w:pStyle w:val="ListBullet2"/>
      </w:pPr>
      <w:r w:rsidRPr="00A4404F">
        <w:t>Sections 23A</w:t>
      </w:r>
      <w:r w:rsidR="00EE79C3">
        <w:t>–2</w:t>
      </w:r>
      <w:r w:rsidRPr="00A4404F">
        <w:t>5, 27, 32, 33, 45</w:t>
      </w:r>
      <w:r w:rsidR="00EE79C3">
        <w:t>–4</w:t>
      </w:r>
      <w:r w:rsidRPr="00A4404F">
        <w:t>8, 74</w:t>
      </w:r>
      <w:r w:rsidR="00EE79C3">
        <w:t>–7</w:t>
      </w:r>
      <w:r w:rsidRPr="00A4404F">
        <w:t>7, 82</w:t>
      </w:r>
      <w:r w:rsidR="005D7412">
        <w:t>,</w:t>
      </w:r>
      <w:r w:rsidRPr="00A4404F">
        <w:t xml:space="preserve"> 90, 91, 91A, 102, 102A, 103, 104(1), 104(4),104(5), 104(6), 105(2), 105(2A), 105(3), 124, 128, 130</w:t>
      </w:r>
      <w:r w:rsidR="00EE79C3">
        <w:t>–1</w:t>
      </w:r>
      <w:r w:rsidRPr="00A4404F">
        <w:t>34, 141</w:t>
      </w:r>
      <w:r w:rsidR="00EE79C3">
        <w:t>–1</w:t>
      </w:r>
      <w:r w:rsidRPr="00A4404F">
        <w:t>42B, 142D</w:t>
      </w:r>
      <w:r w:rsidR="00EE79C3">
        <w:t>–2</w:t>
      </w:r>
      <w:r w:rsidRPr="00A4404F">
        <w:t>12, 213AA</w:t>
      </w:r>
      <w:r w:rsidR="00EE79C3">
        <w:t>–2</w:t>
      </w:r>
      <w:r w:rsidRPr="00A4404F">
        <w:t>15, 230, 232</w:t>
      </w:r>
      <w:r w:rsidR="00EE79C3">
        <w:t>–2</w:t>
      </w:r>
      <w:r w:rsidRPr="00A4404F">
        <w:t>34, 241, 277, 289A, 291</w:t>
      </w:r>
      <w:r w:rsidR="00EE79C3">
        <w:t>–3</w:t>
      </w:r>
      <w:r w:rsidRPr="00A4404F">
        <w:t>27, 329</w:t>
      </w:r>
      <w:r w:rsidR="00EE79C3">
        <w:t>–3</w:t>
      </w:r>
      <w:r w:rsidRPr="00A4404F">
        <w:t>33, 335</w:t>
      </w:r>
      <w:r w:rsidR="00EE79C3">
        <w:t>–3</w:t>
      </w:r>
      <w:r w:rsidRPr="00A4404F">
        <w:t>39, 341, 343</w:t>
      </w:r>
      <w:r w:rsidR="00EE79C3">
        <w:t>–3</w:t>
      </w:r>
      <w:r w:rsidRPr="00A4404F">
        <w:t>66, 373</w:t>
      </w:r>
      <w:r w:rsidR="00EE79C3">
        <w:t>–3</w:t>
      </w:r>
      <w:r w:rsidRPr="00A4404F">
        <w:t>76, 385, 388, 388A, 390, 390A, 395</w:t>
      </w:r>
      <w:r w:rsidR="00EE79C3">
        <w:t>–3</w:t>
      </w:r>
      <w:r w:rsidRPr="00A4404F">
        <w:t>98, 399A</w:t>
      </w:r>
      <w:r w:rsidR="00EE79C3">
        <w:t>–4</w:t>
      </w:r>
      <w:r w:rsidRPr="00A4404F">
        <w:t>39M, 480, 486</w:t>
      </w:r>
      <w:r w:rsidR="00EE79C3">
        <w:t>–4</w:t>
      </w:r>
      <w:r w:rsidRPr="00A4404F">
        <w:t>99, 501</w:t>
      </w:r>
      <w:r w:rsidR="00EE79C3">
        <w:t>–5</w:t>
      </w:r>
      <w:r w:rsidRPr="00A4404F">
        <w:t>04, 505A</w:t>
      </w:r>
      <w:r w:rsidR="00EE79C3">
        <w:t>–5</w:t>
      </w:r>
      <w:r w:rsidRPr="00A4404F">
        <w:t>I</w:t>
      </w:r>
      <w:r w:rsidR="005D7412">
        <w:t>0</w:t>
      </w:r>
      <w:r w:rsidRPr="00A4404F">
        <w:t xml:space="preserve">C </w:t>
      </w:r>
    </w:p>
    <w:p w14:paraId="7620B349" w14:textId="77777777" w:rsidR="002B4F26" w:rsidRPr="00A4404F" w:rsidRDefault="002B4F26" w:rsidP="002B4F26">
      <w:pPr>
        <w:pStyle w:val="ListBullet2"/>
      </w:pPr>
      <w:r w:rsidRPr="00A4404F">
        <w:t>Section 66(1) this section is jointly administered with the Minister for Housing</w:t>
      </w:r>
    </w:p>
    <w:p w14:paraId="5F8AF240" w14:textId="77777777" w:rsidR="002B4F26" w:rsidRPr="00A4404F" w:rsidRDefault="002B4F26" w:rsidP="002B4F26">
      <w:pPr>
        <w:pStyle w:val="ListBullet2"/>
      </w:pPr>
      <w:r w:rsidRPr="00A4404F">
        <w:t>Section 142C jointly and severally administered with the Minister for Housing</w:t>
      </w:r>
    </w:p>
    <w:p w14:paraId="707C6F78" w14:textId="77777777" w:rsidR="002B4F26" w:rsidRPr="00A4404F" w:rsidRDefault="002B4F26" w:rsidP="002B4F26">
      <w:pPr>
        <w:pStyle w:val="ListBullet2"/>
      </w:pPr>
      <w:r w:rsidRPr="00A4404F">
        <w:t>Part 12A and section 511 jointly and severally administered with the Minister for Disability, Ageing and Carers, and the Minister for Housing</w:t>
      </w:r>
    </w:p>
    <w:p w14:paraId="70CD2FD9" w14:textId="77777777" w:rsidR="002B4F26" w:rsidRPr="00A4404F" w:rsidRDefault="002B4F26" w:rsidP="002B4F26">
      <w:pPr>
        <w:pStyle w:val="ListBullet2"/>
      </w:pPr>
      <w:r w:rsidRPr="00A4404F">
        <w:t xml:space="preserve">The Act is otherwise administered by the Attorney-General, the Minister for Housing and the Minister for Planning </w:t>
      </w:r>
    </w:p>
    <w:p w14:paraId="0AB18F59" w14:textId="77777777" w:rsidR="002B4F26" w:rsidRPr="002B4F26" w:rsidRDefault="002B4F26" w:rsidP="002B4F26">
      <w:pPr>
        <w:pStyle w:val="ListBullet"/>
        <w:rPr>
          <w:i/>
          <w:iCs/>
        </w:rPr>
      </w:pPr>
      <w:r w:rsidRPr="002B4F26">
        <w:rPr>
          <w:i/>
          <w:iCs/>
        </w:rPr>
        <w:t>Retirement Villages Act 1986</w:t>
      </w:r>
    </w:p>
    <w:p w14:paraId="58D4F204" w14:textId="77777777" w:rsidR="002B4F26" w:rsidRPr="002B4F26" w:rsidRDefault="002B4F26" w:rsidP="002B4F26">
      <w:pPr>
        <w:pStyle w:val="ListBullet"/>
        <w:rPr>
          <w:i/>
          <w:iCs/>
        </w:rPr>
      </w:pPr>
      <w:r w:rsidRPr="002B4F26">
        <w:rPr>
          <w:i/>
          <w:iCs/>
        </w:rPr>
        <w:t>Rooming House Operators Act 2016</w:t>
      </w:r>
    </w:p>
    <w:p w14:paraId="7C55757E" w14:textId="77777777" w:rsidR="002B4F26" w:rsidRPr="002B4F26" w:rsidRDefault="002B4F26" w:rsidP="002B4F26">
      <w:pPr>
        <w:pStyle w:val="ListBullet"/>
        <w:rPr>
          <w:i/>
          <w:iCs/>
        </w:rPr>
      </w:pPr>
      <w:r w:rsidRPr="002B4F26">
        <w:rPr>
          <w:i/>
          <w:iCs/>
        </w:rPr>
        <w:t>Sale of Land Act 1962</w:t>
      </w:r>
    </w:p>
    <w:p w14:paraId="75894E25" w14:textId="77777777" w:rsidR="002B4F26" w:rsidRPr="002B4F26" w:rsidRDefault="002B4F26" w:rsidP="002B4F26">
      <w:pPr>
        <w:pStyle w:val="ListBullet"/>
        <w:rPr>
          <w:i/>
          <w:iCs/>
        </w:rPr>
      </w:pPr>
      <w:r w:rsidRPr="002B4F26">
        <w:rPr>
          <w:i/>
          <w:iCs/>
        </w:rPr>
        <w:t>Second-Hand Dealers and Pawnbrokers Act 1989</w:t>
      </w:r>
    </w:p>
    <w:p w14:paraId="2F87C685" w14:textId="77777777" w:rsidR="002B4F26" w:rsidRPr="002B4F26" w:rsidRDefault="002B4F26" w:rsidP="002B4F26">
      <w:pPr>
        <w:pStyle w:val="ListBullet"/>
        <w:rPr>
          <w:i/>
          <w:iCs/>
        </w:rPr>
      </w:pPr>
      <w:r w:rsidRPr="002B4F26">
        <w:rPr>
          <w:i/>
          <w:iCs/>
        </w:rPr>
        <w:t>Subdivision Act 1988</w:t>
      </w:r>
    </w:p>
    <w:p w14:paraId="06D7B782" w14:textId="77777777" w:rsidR="002B4F26" w:rsidRPr="00A4404F" w:rsidRDefault="002B4F26" w:rsidP="002B4F26">
      <w:pPr>
        <w:pStyle w:val="ListBullet2"/>
      </w:pPr>
      <w:r w:rsidRPr="00A4404F">
        <w:t>Part 5</w:t>
      </w:r>
    </w:p>
    <w:p w14:paraId="1CA7ABE1" w14:textId="77777777" w:rsidR="002B4F26" w:rsidRPr="00A4404F" w:rsidRDefault="002B4F26" w:rsidP="002B4F26">
      <w:pPr>
        <w:pStyle w:val="ListBullet2"/>
      </w:pPr>
      <w:r w:rsidRPr="00A4404F">
        <w:t xml:space="preserve">Section 43 (in so far as it relates to Part 5) </w:t>
      </w:r>
    </w:p>
    <w:p w14:paraId="67798C4F" w14:textId="77777777" w:rsidR="002B4F26" w:rsidRPr="002B4F26" w:rsidRDefault="002B4F26" w:rsidP="002B4F26">
      <w:pPr>
        <w:pStyle w:val="ListBullet"/>
        <w:rPr>
          <w:i/>
          <w:iCs/>
        </w:rPr>
      </w:pPr>
      <w:r w:rsidRPr="002B4F26">
        <w:rPr>
          <w:i/>
          <w:iCs/>
        </w:rPr>
        <w:t>Travel Agents Repeal Act 2014</w:t>
      </w:r>
    </w:p>
    <w:p w14:paraId="3D08AE08" w14:textId="77777777" w:rsidR="002B4F26" w:rsidRPr="002B4F26" w:rsidRDefault="002B4F26" w:rsidP="002B4F26">
      <w:pPr>
        <w:pStyle w:val="ListBullet"/>
        <w:rPr>
          <w:i/>
          <w:iCs/>
        </w:rPr>
      </w:pPr>
      <w:r w:rsidRPr="002B4F26">
        <w:rPr>
          <w:i/>
          <w:iCs/>
        </w:rPr>
        <w:t>Veterans Act 2005</w:t>
      </w:r>
    </w:p>
    <w:p w14:paraId="11094200" w14:textId="77777777" w:rsidR="002B4F26" w:rsidRPr="00A4404F" w:rsidRDefault="002B4F26" w:rsidP="002B4F26">
      <w:pPr>
        <w:pStyle w:val="ListBullet2"/>
      </w:pPr>
      <w:r w:rsidRPr="00A4404F">
        <w:t>Part 4</w:t>
      </w:r>
    </w:p>
    <w:p w14:paraId="2B35AC5A" w14:textId="77777777" w:rsidR="002B4F26" w:rsidRPr="00A4404F" w:rsidRDefault="002B4F26" w:rsidP="002B4F26">
      <w:pPr>
        <w:pStyle w:val="ListBullet2"/>
      </w:pPr>
      <w:r w:rsidRPr="00A4404F">
        <w:t>The Act is otherwise administered by the Minister for Veterans</w:t>
      </w:r>
    </w:p>
    <w:p w14:paraId="4521D4EF" w14:textId="77777777" w:rsidR="002B4F26" w:rsidRPr="002B4F26" w:rsidRDefault="002B4F26" w:rsidP="002B4F26">
      <w:pPr>
        <w:pStyle w:val="ListBullet"/>
        <w:rPr>
          <w:i/>
          <w:iCs/>
        </w:rPr>
      </w:pPr>
      <w:r w:rsidRPr="002B4F26">
        <w:rPr>
          <w:i/>
          <w:iCs/>
        </w:rPr>
        <w:t>Warehousemen’s Liens Act 1958</w:t>
      </w:r>
    </w:p>
    <w:p w14:paraId="59B0C519" w14:textId="77777777" w:rsidR="002B4F26" w:rsidRDefault="002B4F26">
      <w:pPr>
        <w:spacing w:after="0" w:line="240" w:lineRule="auto"/>
        <w:rPr>
          <w:rFonts w:ascii="Arial" w:eastAsia="Times New Roman" w:hAnsi="Arial" w:cs="Arial"/>
          <w:sz w:val="20"/>
          <w:szCs w:val="24"/>
        </w:rPr>
      </w:pPr>
      <w:r>
        <w:br w:type="page"/>
      </w:r>
    </w:p>
    <w:p w14:paraId="62EB8ECB" w14:textId="45DA1051" w:rsidR="00B556A3" w:rsidRPr="00934136" w:rsidRDefault="00B556A3" w:rsidP="0018758D">
      <w:pPr>
        <w:pStyle w:val="BodyText"/>
      </w:pPr>
      <w:r w:rsidRPr="00934136">
        <w:t>Consumer Affairs Victoria (part of the Department of Government Services) acknowledges the Aboriginal and Torres Strait Islander people as the Traditional Custodians of the land. The department also acknowledges and pays respect to their Elders, past and present.</w:t>
      </w:r>
    </w:p>
    <w:p w14:paraId="01D1DC1D" w14:textId="43B6DCB0" w:rsidR="00B556A3" w:rsidRPr="00934136" w:rsidRDefault="00B556A3" w:rsidP="0018758D">
      <w:pPr>
        <w:pStyle w:val="BodyText"/>
      </w:pPr>
      <w:r w:rsidRPr="00934136">
        <w:t>Authorised and published by the Victorian Government, 1 Treasury Place, Melbourne.</w:t>
      </w:r>
    </w:p>
    <w:p w14:paraId="6AF5FA42" w14:textId="6172D90D" w:rsidR="00B556A3" w:rsidRPr="00934136" w:rsidRDefault="00624D29" w:rsidP="0018758D">
      <w:pPr>
        <w:pStyle w:val="BodyText"/>
      </w:pPr>
      <w:r>
        <w:t>October</w:t>
      </w:r>
      <w:r w:rsidR="00B556A3" w:rsidRPr="00934136">
        <w:t xml:space="preserve"> 202</w:t>
      </w:r>
      <w:r w:rsidR="002B4F26">
        <w:t>5</w:t>
      </w:r>
    </w:p>
    <w:p w14:paraId="798E98E2" w14:textId="7C2557A0" w:rsidR="00B556A3" w:rsidRPr="00934136" w:rsidRDefault="00B556A3" w:rsidP="0018758D">
      <w:pPr>
        <w:pStyle w:val="BodyText"/>
      </w:pPr>
      <w:r w:rsidRPr="00934136">
        <w:rPr>
          <w:rStyle w:val="Strong"/>
        </w:rPr>
        <w:t>ISSN</w:t>
      </w:r>
      <w:r w:rsidRPr="00934136">
        <w:t xml:space="preserve"> 2209-4768</w:t>
      </w:r>
      <w:r w:rsidR="00624D29">
        <w:t xml:space="preserve"> </w:t>
      </w:r>
      <w:r w:rsidR="00535712">
        <w:t>-</w:t>
      </w:r>
      <w:r w:rsidR="00624D29">
        <w:t xml:space="preserve"> </w:t>
      </w:r>
      <w:r w:rsidRPr="00934136">
        <w:rPr>
          <w:rStyle w:val="Strong"/>
        </w:rPr>
        <w:t>Online (pdf/word)</w:t>
      </w:r>
    </w:p>
    <w:p w14:paraId="6E8BFE06" w14:textId="2E6F161C" w:rsidR="00B556A3" w:rsidRPr="00934136" w:rsidRDefault="00B556A3" w:rsidP="0018758D">
      <w:pPr>
        <w:pStyle w:val="BodyText"/>
      </w:pPr>
      <w:r w:rsidRPr="00934136">
        <w:t>Unless indicated otherwise, this work is made available under the terms of the Creative Commons Attribution 4.0 International licence.</w:t>
      </w:r>
    </w:p>
    <w:p w14:paraId="1D66B5D4" w14:textId="77777777" w:rsidR="0075245A" w:rsidRDefault="0075245A" w:rsidP="0075245A">
      <w:pPr>
        <w:pStyle w:val="BodyText"/>
      </w:pPr>
      <w:r>
        <w:t xml:space="preserve">To view a copy of this licence, visit the </w:t>
      </w:r>
      <w:hyperlink r:id="rId17" w:history="1">
        <w:r w:rsidRPr="00BE26A8">
          <w:rPr>
            <w:rStyle w:val="Hyperlink"/>
          </w:rPr>
          <w:t>Creative Commons website</w:t>
        </w:r>
      </w:hyperlink>
      <w:r>
        <w:t xml:space="preserve"> &lt;</w:t>
      </w:r>
      <w:r w:rsidRPr="00BE26A8">
        <w:t>creativecommons.org/licenses/by/4.0</w:t>
      </w:r>
      <w:r>
        <w:t>&gt;.</w:t>
      </w:r>
    </w:p>
    <w:p w14:paraId="2760817D" w14:textId="16F7DB40" w:rsidR="00B556A3" w:rsidRPr="00934136" w:rsidRDefault="00B556A3" w:rsidP="0018758D">
      <w:pPr>
        <w:pStyle w:val="BodyText"/>
      </w:pPr>
      <w:r w:rsidRPr="00934136">
        <w:t>It is a condition of this Creative Commons Attribution 4.0 Licence that you give credit to the original author, who is the State of Victoria.</w:t>
      </w:r>
    </w:p>
    <w:p w14:paraId="3C546330" w14:textId="77777777" w:rsidR="00B556A3" w:rsidRPr="009A03ED" w:rsidRDefault="00B556A3" w:rsidP="009A03ED">
      <w:pPr>
        <w:pStyle w:val="Heading2small"/>
      </w:pPr>
      <w:r w:rsidRPr="009A03ED">
        <w:t>Accessibility</w:t>
      </w:r>
    </w:p>
    <w:p w14:paraId="0C6E0CEB" w14:textId="43E5028F" w:rsidR="00B556A3" w:rsidRPr="00934136" w:rsidRDefault="00B556A3" w:rsidP="0018758D">
      <w:pPr>
        <w:pStyle w:val="BodyText"/>
      </w:pPr>
      <w:r w:rsidRPr="00934136">
        <w:t xml:space="preserve">If you would like to receive this publication in an accessible format, </w:t>
      </w:r>
      <w:r w:rsidR="0075245A">
        <w:br/>
        <w:t xml:space="preserve">please visit the </w:t>
      </w:r>
      <w:hyperlink r:id="rId18" w:history="1">
        <w:r w:rsidR="0075245A" w:rsidRPr="004746BC">
          <w:rPr>
            <w:rStyle w:val="Hyperlink"/>
          </w:rPr>
          <w:t>Consumer</w:t>
        </w:r>
        <w:r w:rsidR="0075245A">
          <w:rPr>
            <w:rStyle w:val="Hyperlink"/>
          </w:rPr>
          <w:t xml:space="preserve"> </w:t>
        </w:r>
        <w:r w:rsidR="0075245A" w:rsidRPr="004746BC">
          <w:rPr>
            <w:rStyle w:val="Hyperlink"/>
          </w:rPr>
          <w:t>Affairs</w:t>
        </w:r>
        <w:r w:rsidR="0075245A">
          <w:rPr>
            <w:rStyle w:val="Hyperlink"/>
          </w:rPr>
          <w:t xml:space="preserve"> </w:t>
        </w:r>
        <w:r w:rsidR="0075245A" w:rsidRPr="004746BC">
          <w:rPr>
            <w:rStyle w:val="Hyperlink"/>
          </w:rPr>
          <w:t>Victoria</w:t>
        </w:r>
        <w:r w:rsidR="0075245A">
          <w:rPr>
            <w:rStyle w:val="Hyperlink"/>
          </w:rPr>
          <w:t xml:space="preserve"> </w:t>
        </w:r>
        <w:r w:rsidR="0075245A" w:rsidRPr="004746BC">
          <w:rPr>
            <w:rStyle w:val="Hyperlink"/>
          </w:rPr>
          <w:t>website</w:t>
        </w:r>
      </w:hyperlink>
      <w:r w:rsidR="0075245A">
        <w:t xml:space="preserve"> &lt;consumer.vic.gov.au&gt;.</w:t>
      </w:r>
    </w:p>
    <w:p w14:paraId="7598436C" w14:textId="6FF22156" w:rsidR="00B556A3" w:rsidRPr="00934136" w:rsidRDefault="00B556A3" w:rsidP="0018758D">
      <w:pPr>
        <w:pStyle w:val="BodyText"/>
      </w:pPr>
      <w:r w:rsidRPr="00934136">
        <w:t xml:space="preserve">Published by order, or under the authority, </w:t>
      </w:r>
      <w:r w:rsidRPr="00934136">
        <w:br/>
        <w:t>of</w:t>
      </w:r>
      <w:r w:rsidRPr="00934136">
        <w:rPr>
          <w:rFonts w:ascii="Cambria" w:hAnsi="Cambria" w:cs="Cambria"/>
        </w:rPr>
        <w:t xml:space="preserve"> </w:t>
      </w:r>
      <w:r w:rsidRPr="00934136">
        <w:t>the Parliament of Victoria</w:t>
      </w:r>
      <w:r w:rsidRPr="00934136">
        <w:br/>
      </w:r>
      <w:r w:rsidR="00624D29">
        <w:t>October</w:t>
      </w:r>
      <w:r w:rsidRPr="00934136">
        <w:t xml:space="preserve"> 202</w:t>
      </w:r>
      <w:r w:rsidR="002B4F26">
        <w:t>5</w:t>
      </w:r>
    </w:p>
    <w:p w14:paraId="2C767A3A" w14:textId="77777777" w:rsidR="005D12F7" w:rsidRPr="00934136" w:rsidRDefault="005D12F7" w:rsidP="009A03ED">
      <w:pPr>
        <w:pStyle w:val="Heading2small"/>
      </w:pPr>
      <w:r w:rsidRPr="00934136">
        <w:t>Consumer Affairs Victoria</w:t>
      </w:r>
    </w:p>
    <w:p w14:paraId="583BD4AB" w14:textId="77777777" w:rsidR="005D12F7" w:rsidRPr="00934136" w:rsidRDefault="005D12F7" w:rsidP="005D12F7">
      <w:pPr>
        <w:pStyle w:val="BodyText"/>
      </w:pPr>
      <w:hyperlink r:id="rId19" w:history="1">
        <w:r w:rsidRPr="00934136">
          <w:rPr>
            <w:rStyle w:val="Hyperlink"/>
          </w:rPr>
          <w:t>Consumer Affairs Victoria website</w:t>
        </w:r>
      </w:hyperlink>
      <w:r w:rsidRPr="00934136">
        <w:t xml:space="preserve"> &lt;consumer.vic.gov.au&gt;</w:t>
      </w:r>
    </w:p>
    <w:p w14:paraId="0F251E0F" w14:textId="68CB5551" w:rsidR="005D12F7" w:rsidRPr="00934136" w:rsidRDefault="00535712" w:rsidP="00535712">
      <w:pPr>
        <w:pStyle w:val="BodyText"/>
        <w:tabs>
          <w:tab w:val="right" w:pos="9072"/>
        </w:tabs>
        <w:spacing w:before="800"/>
      </w:pPr>
      <w:r w:rsidRPr="00934136">
        <w:rPr>
          <w:noProof/>
          <w:lang w:eastAsia="en-AU"/>
        </w:rPr>
        <w:drawing>
          <wp:inline distT="0" distB="0" distL="0" distR="0" wp14:anchorId="0232001D" wp14:editId="7F539D6B">
            <wp:extent cx="1889157" cy="525145"/>
            <wp:effectExtent l="0" t="0" r="0" b="8255"/>
            <wp:docPr id="1841432756" name="Picture 1841432756" descr="Consumer Affairs Victori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32756" name="Picture 1841432756" descr="Consumer Affairs Victori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89157" cy="525145"/>
                    </a:xfrm>
                    <a:prstGeom prst="rect">
                      <a:avLst/>
                    </a:prstGeom>
                    <a:noFill/>
                    <a:ln>
                      <a:noFill/>
                    </a:ln>
                  </pic:spPr>
                </pic:pic>
              </a:graphicData>
            </a:graphic>
          </wp:inline>
        </w:drawing>
      </w:r>
      <w:r>
        <w:tab/>
      </w:r>
      <w:r w:rsidR="005D12F7" w:rsidRPr="00934136">
        <w:rPr>
          <w:noProof/>
          <w:lang w:val="en-GB"/>
        </w:rPr>
        <w:drawing>
          <wp:inline distT="0" distB="0" distL="0" distR="0" wp14:anchorId="4B8284D8" wp14:editId="45CB1A2A">
            <wp:extent cx="1756800" cy="525240"/>
            <wp:effectExtent l="0" t="0" r="0" b="8255"/>
            <wp:docPr id="1558025786" name="Picture 1" descr="Victoria State Government - Government Servic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25786" name="Picture 1" descr="Victoria State Government - Government Services">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6800" cy="525240"/>
                    </a:xfrm>
                    <a:prstGeom prst="rect">
                      <a:avLst/>
                    </a:prstGeom>
                  </pic:spPr>
                </pic:pic>
              </a:graphicData>
            </a:graphic>
          </wp:inline>
        </w:drawing>
      </w:r>
    </w:p>
    <w:sectPr w:rsidR="005D12F7" w:rsidRPr="00934136" w:rsidSect="00783BEE">
      <w:footnotePr>
        <w:numRestart w:val="eachPage"/>
      </w:footnotePr>
      <w:pgSz w:w="11906" w:h="16838" w:code="9"/>
      <w:pgMar w:top="1418" w:right="1418" w:bottom="1134"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EF4C" w14:textId="0CC42314" w:rsidR="006F187D" w:rsidRDefault="006F187D" w:rsidP="00C71F11">
      <w:pPr>
        <w:spacing w:after="0" w:line="240" w:lineRule="auto"/>
      </w:pPr>
      <w:r>
        <w:separator/>
      </w:r>
    </w:p>
    <w:p w14:paraId="6BCC1970" w14:textId="77777777" w:rsidR="006F187D" w:rsidRDefault="006F187D"/>
    <w:p w14:paraId="53145404" w14:textId="77777777" w:rsidR="006F187D" w:rsidRDefault="006F187D"/>
    <w:p w14:paraId="2B67FF8B" w14:textId="77777777" w:rsidR="006F187D" w:rsidRDefault="006F187D"/>
    <w:p w14:paraId="3DE7BBCF" w14:textId="77777777" w:rsidR="006F187D" w:rsidRDefault="006F187D"/>
  </w:endnote>
  <w:endnote w:type="continuationSeparator" w:id="0">
    <w:p w14:paraId="5703E0FE" w14:textId="2C270545" w:rsidR="006F187D" w:rsidRDefault="006F187D" w:rsidP="00C71F11">
      <w:pPr>
        <w:spacing w:after="0" w:line="240" w:lineRule="auto"/>
      </w:pPr>
      <w:r>
        <w:continuationSeparator/>
      </w:r>
    </w:p>
    <w:p w14:paraId="4ADB47F0" w14:textId="77777777" w:rsidR="006F187D" w:rsidRDefault="006F187D"/>
    <w:p w14:paraId="39C3E3F3" w14:textId="77777777" w:rsidR="006F187D" w:rsidRDefault="006F187D"/>
    <w:p w14:paraId="067C890F" w14:textId="77777777" w:rsidR="006F187D" w:rsidRDefault="006F187D"/>
    <w:p w14:paraId="3602B039" w14:textId="77777777" w:rsidR="006F187D" w:rsidRDefault="006F187D"/>
  </w:endnote>
  <w:endnote w:type="continuationNotice" w:id="1">
    <w:p w14:paraId="606227D0" w14:textId="21A2EE76" w:rsidR="006F187D" w:rsidRDefault="006F187D">
      <w:pPr>
        <w:spacing w:after="0" w:line="240" w:lineRule="auto"/>
      </w:pPr>
    </w:p>
    <w:p w14:paraId="309E404A" w14:textId="77777777" w:rsidR="006F187D" w:rsidRDefault="006F187D"/>
    <w:p w14:paraId="42DC8DBF" w14:textId="77777777" w:rsidR="006F187D" w:rsidRDefault="006F187D"/>
    <w:p w14:paraId="7C2A1C5E" w14:textId="77777777" w:rsidR="006F187D" w:rsidRDefault="006F187D"/>
    <w:p w14:paraId="00A32585" w14:textId="77777777" w:rsidR="006F187D" w:rsidRDefault="006F1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C7D0" w14:textId="4CC5D04B" w:rsidR="006F187D" w:rsidRDefault="006F187D" w:rsidP="00006DE3">
    <w:pPr>
      <w:pStyle w:val="Footer"/>
    </w:pPr>
    <w:r w:rsidRPr="00783BEE">
      <w:t>Consumer</w:t>
    </w:r>
    <w:r w:rsidR="00B556A3">
      <w:t xml:space="preserve"> </w:t>
    </w:r>
    <w:r w:rsidRPr="00783BEE">
      <w:t>Affairs</w:t>
    </w:r>
    <w:r w:rsidR="00B556A3">
      <w:t xml:space="preserve"> </w:t>
    </w:r>
    <w:r>
      <w:t>Victoria:</w:t>
    </w:r>
    <w:r w:rsidR="00B556A3">
      <w:t xml:space="preserve"> </w:t>
    </w:r>
    <w:r>
      <w:t>Annual</w:t>
    </w:r>
    <w:r w:rsidR="00B556A3">
      <w:t xml:space="preserve"> </w:t>
    </w:r>
    <w:r>
      <w:t>Report</w:t>
    </w:r>
    <w:r w:rsidR="00B556A3">
      <w:t xml:space="preserve"> </w:t>
    </w:r>
    <w:r>
      <w:t>20</w:t>
    </w:r>
    <w:r w:rsidR="00D56D64">
      <w:t>2</w:t>
    </w:r>
    <w:r w:rsidR="004D24A6">
      <w:t>4</w:t>
    </w:r>
    <w:r w:rsidR="00D56D64">
      <w:t>–2</w:t>
    </w:r>
    <w:r w:rsidR="004D24A6">
      <w:t>5</w:t>
    </w:r>
    <w:r>
      <w:ptab w:relativeTo="margin" w:alignment="right" w:leader="none"/>
    </w:r>
    <w:r w:rsidRPr="00783BEE">
      <w:fldChar w:fldCharType="begin"/>
    </w:r>
    <w:r w:rsidRPr="00783BEE">
      <w:instrText xml:space="preserve"> PAGE   \* MERGEFORMAT </w:instrText>
    </w:r>
    <w:r w:rsidRPr="00783BEE">
      <w:fldChar w:fldCharType="separate"/>
    </w:r>
    <w:r>
      <w:rPr>
        <w:noProof/>
      </w:rPr>
      <w:t>41</w:t>
    </w:r>
    <w:r w:rsidRPr="00783B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5652" w14:textId="5993A42D" w:rsidR="006F187D" w:rsidRPr="00856AFB" w:rsidRDefault="00856AFB" w:rsidP="00856AFB">
      <w:pPr>
        <w:spacing w:before="200" w:after="120" w:line="240" w:lineRule="auto"/>
        <w:rPr>
          <w:rFonts w:ascii="Arial" w:hAnsi="Arial" w:cs="Arial"/>
          <w:sz w:val="8"/>
          <w:szCs w:val="8"/>
        </w:rPr>
      </w:pPr>
      <w:r w:rsidRPr="00856AFB">
        <w:rPr>
          <w:rFonts w:ascii="Arial" w:hAnsi="Arial" w:cs="Arial"/>
          <w:sz w:val="8"/>
          <w:szCs w:val="8"/>
        </w:rPr>
        <w:separator/>
      </w:r>
    </w:p>
  </w:footnote>
  <w:footnote w:type="continuationSeparator" w:id="0">
    <w:p w14:paraId="7D728B39" w14:textId="327CB8A8" w:rsidR="006F187D" w:rsidRDefault="006F187D" w:rsidP="00C71F11">
      <w:pPr>
        <w:spacing w:after="0" w:line="240" w:lineRule="auto"/>
      </w:pPr>
      <w:r>
        <w:continuationSeparator/>
      </w:r>
    </w:p>
    <w:p w14:paraId="2E540BA2" w14:textId="77777777" w:rsidR="006F187D" w:rsidRDefault="006F187D"/>
    <w:p w14:paraId="544502F1" w14:textId="77777777" w:rsidR="006F187D" w:rsidRDefault="006F187D"/>
    <w:p w14:paraId="2EBE0AE3" w14:textId="77777777" w:rsidR="006F187D" w:rsidRDefault="006F187D"/>
    <w:p w14:paraId="5935D54E" w14:textId="77777777" w:rsidR="006F187D" w:rsidRDefault="006F187D"/>
  </w:footnote>
  <w:footnote w:type="continuationNotice" w:id="1">
    <w:p w14:paraId="1B519D0B" w14:textId="775395A6" w:rsidR="006F187D" w:rsidRDefault="006F187D">
      <w:pPr>
        <w:spacing w:after="0" w:line="240" w:lineRule="auto"/>
      </w:pPr>
    </w:p>
    <w:p w14:paraId="25027D99" w14:textId="77777777" w:rsidR="006F187D" w:rsidRDefault="006F187D"/>
    <w:p w14:paraId="061B29B1" w14:textId="77777777" w:rsidR="006F187D" w:rsidRDefault="006F187D"/>
    <w:p w14:paraId="75742922" w14:textId="77777777" w:rsidR="006F187D" w:rsidRDefault="006F187D"/>
    <w:p w14:paraId="1546F981" w14:textId="77777777" w:rsidR="006F187D" w:rsidRDefault="006F187D"/>
  </w:footnote>
  <w:footnote w:id="2">
    <w:p w14:paraId="0A5A2E24" w14:textId="544A61E1" w:rsidR="00856406" w:rsidRDefault="00856406" w:rsidP="00856406">
      <w:pPr>
        <w:pStyle w:val="FootnoteText"/>
      </w:pPr>
      <w:r w:rsidRPr="00EE79C3">
        <w:footnoteRef/>
      </w:r>
      <w:r w:rsidR="008838D7" w:rsidRPr="00EE79C3">
        <w:tab/>
      </w:r>
      <w:r w:rsidRPr="00254EFB">
        <w:t>The</w:t>
      </w:r>
      <w:r>
        <w:t xml:space="preserve"> 2024–25 </w:t>
      </w:r>
      <w:r w:rsidRPr="00254EFB">
        <w:t>actual</w:t>
      </w:r>
      <w:r>
        <w:t xml:space="preserve"> </w:t>
      </w:r>
      <w:r w:rsidRPr="00254EFB">
        <w:t>is</w:t>
      </w:r>
      <w:r>
        <w:t xml:space="preserve"> </w:t>
      </w:r>
      <w:r w:rsidRPr="00254EFB">
        <w:t>higher</w:t>
      </w:r>
      <w:r>
        <w:t xml:space="preserve"> </w:t>
      </w:r>
      <w:r w:rsidRPr="00254EFB">
        <w:t>than</w:t>
      </w:r>
      <w:r>
        <w:t xml:space="preserve"> </w:t>
      </w:r>
      <w:r w:rsidRPr="00254EFB">
        <w:t>target</w:t>
      </w:r>
      <w:r>
        <w:t xml:space="preserve"> </w:t>
      </w:r>
      <w:r w:rsidRPr="00254EFB">
        <w:t>due</w:t>
      </w:r>
      <w:r>
        <w:t xml:space="preserve"> </w:t>
      </w:r>
      <w:r w:rsidRPr="00254EFB">
        <w:t>to</w:t>
      </w:r>
      <w:r>
        <w:t xml:space="preserve"> </w:t>
      </w:r>
      <w:r w:rsidRPr="00254EFB">
        <w:t>an</w:t>
      </w:r>
      <w:r>
        <w:t xml:space="preserve"> </w:t>
      </w:r>
      <w:r w:rsidRPr="00254EFB">
        <w:t>increase</w:t>
      </w:r>
      <w:r>
        <w:t xml:space="preserve"> </w:t>
      </w:r>
      <w:r w:rsidRPr="00254EFB">
        <w:t>in</w:t>
      </w:r>
      <w:r>
        <w:t xml:space="preserve"> </w:t>
      </w:r>
      <w:r w:rsidRPr="00254EFB">
        <w:t>compliance</w:t>
      </w:r>
      <w:r>
        <w:t xml:space="preserve"> </w:t>
      </w:r>
      <w:r w:rsidRPr="00254EFB">
        <w:t>inspections</w:t>
      </w:r>
      <w:r>
        <w:t xml:space="preserve"> </w:t>
      </w:r>
      <w:r w:rsidRPr="00254EFB">
        <w:t>and</w:t>
      </w:r>
      <w:r>
        <w:t xml:space="preserve"> </w:t>
      </w:r>
      <w:r w:rsidRPr="00254EFB">
        <w:t>investigations</w:t>
      </w:r>
      <w:r>
        <w:t xml:space="preserve"> </w:t>
      </w:r>
      <w:r w:rsidRPr="00254EFB">
        <w:t>(including</w:t>
      </w:r>
      <w:r>
        <w:t xml:space="preserve"> </w:t>
      </w:r>
      <w:r w:rsidRPr="00254EFB">
        <w:t>product</w:t>
      </w:r>
      <w:r>
        <w:t xml:space="preserve"> </w:t>
      </w:r>
      <w:r w:rsidRPr="00254EFB">
        <w:t>safety</w:t>
      </w:r>
      <w:r>
        <w:t xml:space="preserve"> </w:t>
      </w:r>
      <w:r w:rsidRPr="00254EFB">
        <w:t>inspections)</w:t>
      </w:r>
      <w:r>
        <w:t>.</w:t>
      </w:r>
    </w:p>
  </w:footnote>
  <w:footnote w:id="3">
    <w:p w14:paraId="40A8D393" w14:textId="4499C9B5" w:rsidR="00856406" w:rsidRDefault="00856406" w:rsidP="00856406">
      <w:pPr>
        <w:pStyle w:val="FootnoteText"/>
      </w:pPr>
      <w:r w:rsidRPr="00EE79C3">
        <w:footnoteRef/>
      </w:r>
      <w:r w:rsidR="008838D7" w:rsidRPr="00EE79C3">
        <w:tab/>
      </w:r>
      <w:r>
        <w:t>Note that the total output cost covers activities (and their costs) under the ‘Regulation of the Victorian Consumer marketplace’ output, which incorporates other funded areas in addition to CAV.</w:t>
      </w:r>
    </w:p>
  </w:footnote>
  <w:footnote w:id="4">
    <w:p w14:paraId="27C98698" w14:textId="1F4CF136" w:rsidR="00856406" w:rsidRDefault="00856406" w:rsidP="00856406">
      <w:pPr>
        <w:pStyle w:val="FootnoteText"/>
      </w:pPr>
      <w:r w:rsidRPr="00EE79C3">
        <w:footnoteRef/>
      </w:r>
      <w:r w:rsidR="008838D7" w:rsidRPr="00EE79C3">
        <w:tab/>
      </w:r>
      <w:r w:rsidR="00016492" w:rsidRPr="00016492">
        <w:t>The 2024–25 actual is higher than the target, which is predominantly due to increased grants provided from the Victorian Property Fund to the Victorian Civil and Administrative Tribunal to assist with the backlog in Residential Tenancies, and Domestic Building matters.</w:t>
      </w:r>
    </w:p>
  </w:footnote>
  <w:footnote w:id="5">
    <w:p w14:paraId="793D470A" w14:textId="1D761292" w:rsidR="00856406" w:rsidRDefault="00856406" w:rsidP="00856406">
      <w:pPr>
        <w:pStyle w:val="FootnoteText"/>
      </w:pPr>
      <w:r w:rsidRPr="00A831DB">
        <w:footnoteRef/>
      </w:r>
      <w:r w:rsidR="00962057" w:rsidRPr="00A831DB">
        <w:tab/>
      </w:r>
      <w:r>
        <w:t>Includes both licensed individuals and licensed companies.</w:t>
      </w:r>
    </w:p>
  </w:footnote>
  <w:footnote w:id="6">
    <w:p w14:paraId="3EDB31F6" w14:textId="54C312D2" w:rsidR="00856406" w:rsidRDefault="00856406" w:rsidP="00856406">
      <w:pPr>
        <w:pStyle w:val="FootnoteText"/>
      </w:pPr>
      <w:r w:rsidRPr="00A831DB">
        <w:footnoteRef/>
      </w:r>
      <w:r w:rsidR="00962057" w:rsidRPr="00A831DB">
        <w:tab/>
      </w:r>
      <w:r w:rsidRPr="00717004">
        <w:t>Agents</w:t>
      </w:r>
      <w:r>
        <w:t xml:space="preserve"> </w:t>
      </w:r>
      <w:r w:rsidRPr="00717004">
        <w:t>representatives</w:t>
      </w:r>
      <w:r>
        <w:t xml:space="preserve"> </w:t>
      </w:r>
      <w:r w:rsidRPr="00717004">
        <w:t>are</w:t>
      </w:r>
      <w:r>
        <w:t xml:space="preserve"> </w:t>
      </w:r>
      <w:r w:rsidRPr="00717004">
        <w:t>not</w:t>
      </w:r>
      <w:r>
        <w:t xml:space="preserve"> </w:t>
      </w:r>
      <w:r w:rsidRPr="00717004">
        <w:t>registered</w:t>
      </w:r>
      <w:r>
        <w:t xml:space="preserve"> </w:t>
      </w:r>
      <w:r w:rsidRPr="00717004">
        <w:t>directly;</w:t>
      </w:r>
      <w:r>
        <w:t xml:space="preserve"> </w:t>
      </w:r>
      <w:r w:rsidRPr="00717004">
        <w:t>instead,</w:t>
      </w:r>
      <w:r>
        <w:t xml:space="preserve"> </w:t>
      </w:r>
      <w:r w:rsidRPr="00717004">
        <w:t>licensed</w:t>
      </w:r>
      <w:r>
        <w:t xml:space="preserve"> </w:t>
      </w:r>
      <w:r w:rsidRPr="00717004">
        <w:t>estate</w:t>
      </w:r>
      <w:r>
        <w:t xml:space="preserve"> </w:t>
      </w:r>
      <w:r w:rsidRPr="00717004">
        <w:t>agents</w:t>
      </w:r>
      <w:r>
        <w:t xml:space="preserve"> </w:t>
      </w:r>
      <w:r w:rsidRPr="00717004">
        <w:t>notify</w:t>
      </w:r>
      <w:r>
        <w:t xml:space="preserve"> </w:t>
      </w:r>
      <w:r w:rsidRPr="00717004">
        <w:t>the</w:t>
      </w:r>
      <w:r>
        <w:t xml:space="preserve"> </w:t>
      </w:r>
      <w:r w:rsidRPr="00717004">
        <w:t>Business</w:t>
      </w:r>
      <w:r>
        <w:t xml:space="preserve"> </w:t>
      </w:r>
      <w:r w:rsidRPr="00717004">
        <w:t>Licensing</w:t>
      </w:r>
      <w:r>
        <w:t xml:space="preserve"> </w:t>
      </w:r>
      <w:r w:rsidRPr="00717004">
        <w:t>Authority</w:t>
      </w:r>
      <w:r>
        <w:t xml:space="preserve"> </w:t>
      </w:r>
      <w:r w:rsidRPr="00717004">
        <w:t>when</w:t>
      </w:r>
      <w:r>
        <w:t xml:space="preserve"> </w:t>
      </w:r>
      <w:r w:rsidRPr="00717004">
        <w:t>a</w:t>
      </w:r>
      <w:r>
        <w:t xml:space="preserve"> </w:t>
      </w:r>
      <w:r w:rsidRPr="00717004">
        <w:t>representative</w:t>
      </w:r>
      <w:r>
        <w:t xml:space="preserve"> </w:t>
      </w:r>
      <w:r w:rsidRPr="00717004">
        <w:t>commences</w:t>
      </w:r>
      <w:r>
        <w:t xml:space="preserve"> </w:t>
      </w:r>
      <w:r w:rsidRPr="00717004">
        <w:t>employment.</w:t>
      </w:r>
      <w:r>
        <w:t xml:space="preserve"> </w:t>
      </w:r>
      <w:r w:rsidRPr="00717004">
        <w:t>This</w:t>
      </w:r>
      <w:r>
        <w:t xml:space="preserve"> </w:t>
      </w:r>
      <w:r w:rsidRPr="00717004">
        <w:t>figure</w:t>
      </w:r>
      <w:r>
        <w:t xml:space="preserve"> </w:t>
      </w:r>
      <w:r w:rsidRPr="00717004">
        <w:t>is</w:t>
      </w:r>
      <w:r>
        <w:t xml:space="preserve"> </w:t>
      </w:r>
      <w:r w:rsidRPr="00717004">
        <w:t>based</w:t>
      </w:r>
      <w:r>
        <w:t xml:space="preserve"> </w:t>
      </w:r>
      <w:r w:rsidRPr="00717004">
        <w:t>on</w:t>
      </w:r>
      <w:r>
        <w:t xml:space="preserve"> </w:t>
      </w:r>
      <w:r w:rsidRPr="00717004">
        <w:t>these</w:t>
      </w:r>
      <w:r>
        <w:t xml:space="preserve"> </w:t>
      </w:r>
      <w:r w:rsidRPr="00717004">
        <w:t>notifications.</w:t>
      </w:r>
    </w:p>
  </w:footnote>
  <w:footnote w:id="7">
    <w:p w14:paraId="4BFCDEDE" w14:textId="2CDBDF69" w:rsidR="005F6712" w:rsidRPr="005F6712" w:rsidRDefault="005F6712">
      <w:pPr>
        <w:pStyle w:val="FootnoteText"/>
        <w:rPr>
          <w:lang w:val="en-US"/>
        </w:rPr>
      </w:pPr>
      <w:r w:rsidRPr="005F6712">
        <w:footnoteRef/>
      </w:r>
      <w:r w:rsidRPr="005F6712">
        <w:tab/>
      </w:r>
      <w:r w:rsidRPr="005F6712">
        <w:rPr>
          <w:lang w:val="en-US"/>
        </w:rPr>
        <w:t>Figures in the tables and in the text have been rounded. Discrepancies in tables between totals and sums of components reflect rounding.</w:t>
      </w:r>
    </w:p>
  </w:footnote>
  <w:footnote w:id="8">
    <w:p w14:paraId="2ADE7ADA" w14:textId="18A686F0" w:rsidR="00D0773E" w:rsidRDefault="00D0773E" w:rsidP="00D0773E">
      <w:pPr>
        <w:pStyle w:val="FootnoteText"/>
      </w:pPr>
      <w:r w:rsidRPr="00EC1589">
        <w:footnoteRef/>
      </w:r>
      <w:r w:rsidRPr="00EC1589">
        <w:tab/>
      </w:r>
      <w:r>
        <w:t xml:space="preserve">The Sex Work Regulation Fund was closed in </w:t>
      </w:r>
      <w:r w:rsidR="00EE79C3">
        <w:t>2024–25</w:t>
      </w:r>
    </w:p>
  </w:footnote>
  <w:footnote w:id="9">
    <w:p w14:paraId="341BBA1D" w14:textId="33EDBE85" w:rsidR="00D0773E" w:rsidRPr="008A4391" w:rsidRDefault="00D0773E" w:rsidP="00D0773E">
      <w:pPr>
        <w:pStyle w:val="FootnoteText"/>
      </w:pPr>
      <w:r w:rsidRPr="00EC1589">
        <w:footnoteRef/>
      </w:r>
      <w:r w:rsidRPr="00EC1589">
        <w:tab/>
      </w:r>
      <w:r>
        <w:t>Domestic building dispute levy and registration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B74D7EE"/>
    <w:lvl w:ilvl="0">
      <w:start w:val="1"/>
      <w:numFmt w:val="decimal"/>
      <w:pStyle w:val="ListNumber"/>
      <w:lvlText w:val="%1."/>
      <w:lvlJc w:val="left"/>
      <w:pPr>
        <w:tabs>
          <w:tab w:val="num" w:pos="360"/>
        </w:tabs>
        <w:ind w:left="360" w:hanging="360"/>
      </w:pPr>
    </w:lvl>
  </w:abstractNum>
  <w:abstractNum w:abstractNumId="1" w15:restartNumberingAfterBreak="0">
    <w:nsid w:val="00916393"/>
    <w:multiLevelType w:val="multilevel"/>
    <w:tmpl w:val="8B9C5D6A"/>
    <w:styleLink w:val="CAVListStyleBullets"/>
    <w:lvl w:ilvl="0">
      <w:start w:val="1"/>
      <w:numFmt w:val="bullet"/>
      <w:lvlText w:val="•"/>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27B2D52"/>
    <w:multiLevelType w:val="hybridMultilevel"/>
    <w:tmpl w:val="11241626"/>
    <w:lvl w:ilvl="0" w:tplc="27CE5944">
      <w:start w:val="2024"/>
      <w:numFmt w:val="bullet"/>
      <w:lvlText w:val="-"/>
      <w:lvlJc w:val="left"/>
      <w:pPr>
        <w:ind w:left="720" w:hanging="360"/>
      </w:pPr>
      <w:rPr>
        <w:rFonts w:ascii="Arial" w:eastAsia="Apto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9F6608"/>
    <w:multiLevelType w:val="hybridMultilevel"/>
    <w:tmpl w:val="1A906878"/>
    <w:lvl w:ilvl="0" w:tplc="4AF29746">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A15129"/>
    <w:multiLevelType w:val="hybridMultilevel"/>
    <w:tmpl w:val="87CE7A0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AA45F1"/>
    <w:multiLevelType w:val="hybridMultilevel"/>
    <w:tmpl w:val="4678D8B8"/>
    <w:lvl w:ilvl="0" w:tplc="BC72DE12">
      <w:start w:val="1"/>
      <w:numFmt w:val="bullet"/>
      <w:pStyle w:val="Bodytextbulletlist"/>
      <w:lvlText w:val=""/>
      <w:lvlJc w:val="left"/>
      <w:pPr>
        <w:tabs>
          <w:tab w:val="num" w:pos="482"/>
        </w:tabs>
        <w:ind w:left="482" w:hanging="34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7BF8"/>
    <w:multiLevelType w:val="hybridMultilevel"/>
    <w:tmpl w:val="6A128A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B61156"/>
    <w:multiLevelType w:val="multilevel"/>
    <w:tmpl w:val="8ABE064E"/>
    <w:styleLink w:val="ZZListBullets"/>
    <w:lvl w:ilvl="0">
      <w:start w:val="1"/>
      <w:numFmt w:val="bullet"/>
      <w:pStyle w:val="ListBullet"/>
      <w:lvlText w:val="•"/>
      <w:lvlJc w:val="left"/>
      <w:pPr>
        <w:ind w:left="284" w:hanging="284"/>
      </w:pPr>
      <w:rPr>
        <w:rFonts w:ascii="Calibri" w:hAnsi="Calibri" w:hint="default"/>
      </w:rPr>
    </w:lvl>
    <w:lvl w:ilvl="1">
      <w:numFmt w:val="bullet"/>
      <w:lvlRestart w:val="0"/>
      <w:pStyle w:val="ListBullet2"/>
      <w:lvlText w:val="–"/>
      <w:lvlJc w:val="left"/>
      <w:pPr>
        <w:ind w:left="567" w:hanging="283"/>
      </w:pPr>
      <w:rPr>
        <w:rFonts w:ascii="Calibri" w:hAnsi="Calibri"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8" w15:restartNumberingAfterBreak="0">
    <w:nsid w:val="5D1821B8"/>
    <w:multiLevelType w:val="hybridMultilevel"/>
    <w:tmpl w:val="AC327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E3260A"/>
    <w:multiLevelType w:val="hybridMultilevel"/>
    <w:tmpl w:val="E12860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9366875">
    <w:abstractNumId w:val="1"/>
  </w:num>
  <w:num w:numId="2" w16cid:durableId="353923576">
    <w:abstractNumId w:val="0"/>
  </w:num>
  <w:num w:numId="3" w16cid:durableId="941497078">
    <w:abstractNumId w:val="7"/>
  </w:num>
  <w:num w:numId="4" w16cid:durableId="287662936">
    <w:abstractNumId w:val="3"/>
  </w:num>
  <w:num w:numId="5" w16cid:durableId="148642033">
    <w:abstractNumId w:val="5"/>
  </w:num>
  <w:num w:numId="6" w16cid:durableId="798450404">
    <w:abstractNumId w:val="2"/>
  </w:num>
  <w:num w:numId="7" w16cid:durableId="791636086">
    <w:abstractNumId w:val="6"/>
  </w:num>
  <w:num w:numId="8" w16cid:durableId="68433092">
    <w:abstractNumId w:val="9"/>
  </w:num>
  <w:num w:numId="9" w16cid:durableId="1743797039">
    <w:abstractNumId w:val="4"/>
  </w:num>
  <w:num w:numId="10" w16cid:durableId="144981827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stylePaneSortMethod w:val="0000"/>
  <w:defaultTabStop w:val="720"/>
  <w:characterSpacingControl w:val="doNotCompress"/>
  <w:hdrShapeDefaults>
    <o:shapedefaults v:ext="edit" spidmax="197633"/>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80"/>
    <w:rsid w:val="000067F2"/>
    <w:rsid w:val="00006DE3"/>
    <w:rsid w:val="000113E0"/>
    <w:rsid w:val="00012D80"/>
    <w:rsid w:val="00016492"/>
    <w:rsid w:val="00020B2C"/>
    <w:rsid w:val="00021DA6"/>
    <w:rsid w:val="00023337"/>
    <w:rsid w:val="0002752D"/>
    <w:rsid w:val="00030169"/>
    <w:rsid w:val="00031B1C"/>
    <w:rsid w:val="00035675"/>
    <w:rsid w:val="000359C2"/>
    <w:rsid w:val="000406ED"/>
    <w:rsid w:val="00040AF8"/>
    <w:rsid w:val="00041B76"/>
    <w:rsid w:val="00042358"/>
    <w:rsid w:val="00045784"/>
    <w:rsid w:val="00050E63"/>
    <w:rsid w:val="00052A73"/>
    <w:rsid w:val="00052AFF"/>
    <w:rsid w:val="00055A0B"/>
    <w:rsid w:val="00056D7F"/>
    <w:rsid w:val="000575CA"/>
    <w:rsid w:val="0006192A"/>
    <w:rsid w:val="00062049"/>
    <w:rsid w:val="00064594"/>
    <w:rsid w:val="00064C94"/>
    <w:rsid w:val="0006613F"/>
    <w:rsid w:val="000662A2"/>
    <w:rsid w:val="00076AA6"/>
    <w:rsid w:val="000772C6"/>
    <w:rsid w:val="00077DCC"/>
    <w:rsid w:val="00080476"/>
    <w:rsid w:val="00082EC2"/>
    <w:rsid w:val="0008360A"/>
    <w:rsid w:val="00084111"/>
    <w:rsid w:val="00084F8C"/>
    <w:rsid w:val="00086AF2"/>
    <w:rsid w:val="00091597"/>
    <w:rsid w:val="000965E1"/>
    <w:rsid w:val="000A16BF"/>
    <w:rsid w:val="000A4BC7"/>
    <w:rsid w:val="000A4D4B"/>
    <w:rsid w:val="000A74E4"/>
    <w:rsid w:val="000A7D79"/>
    <w:rsid w:val="000B151C"/>
    <w:rsid w:val="000B176A"/>
    <w:rsid w:val="000B7932"/>
    <w:rsid w:val="000C1F95"/>
    <w:rsid w:val="000C2B36"/>
    <w:rsid w:val="000C5AA2"/>
    <w:rsid w:val="000C7BFD"/>
    <w:rsid w:val="000D0E83"/>
    <w:rsid w:val="000D3108"/>
    <w:rsid w:val="000D3E79"/>
    <w:rsid w:val="000D42DF"/>
    <w:rsid w:val="000D4FAE"/>
    <w:rsid w:val="000E344B"/>
    <w:rsid w:val="000F3E1B"/>
    <w:rsid w:val="000F504E"/>
    <w:rsid w:val="000F5315"/>
    <w:rsid w:val="000F63E3"/>
    <w:rsid w:val="000F719D"/>
    <w:rsid w:val="00103213"/>
    <w:rsid w:val="001034D1"/>
    <w:rsid w:val="001035E3"/>
    <w:rsid w:val="0010370A"/>
    <w:rsid w:val="00104254"/>
    <w:rsid w:val="00107B62"/>
    <w:rsid w:val="00110D4C"/>
    <w:rsid w:val="00112400"/>
    <w:rsid w:val="0011415A"/>
    <w:rsid w:val="00120E5A"/>
    <w:rsid w:val="00122E20"/>
    <w:rsid w:val="00122EB0"/>
    <w:rsid w:val="00122F87"/>
    <w:rsid w:val="00124014"/>
    <w:rsid w:val="00132675"/>
    <w:rsid w:val="00134625"/>
    <w:rsid w:val="00134A2A"/>
    <w:rsid w:val="001369DC"/>
    <w:rsid w:val="0014134E"/>
    <w:rsid w:val="0014204E"/>
    <w:rsid w:val="0014272B"/>
    <w:rsid w:val="00142DE7"/>
    <w:rsid w:val="00143662"/>
    <w:rsid w:val="0014701D"/>
    <w:rsid w:val="00150C87"/>
    <w:rsid w:val="001510E8"/>
    <w:rsid w:val="00151EF4"/>
    <w:rsid w:val="00155192"/>
    <w:rsid w:val="001556C0"/>
    <w:rsid w:val="00155B9A"/>
    <w:rsid w:val="00156239"/>
    <w:rsid w:val="00156617"/>
    <w:rsid w:val="00160E40"/>
    <w:rsid w:val="00163339"/>
    <w:rsid w:val="0016680E"/>
    <w:rsid w:val="00171D5F"/>
    <w:rsid w:val="0017389E"/>
    <w:rsid w:val="00177DC1"/>
    <w:rsid w:val="001809C5"/>
    <w:rsid w:val="00181631"/>
    <w:rsid w:val="001864FB"/>
    <w:rsid w:val="00187474"/>
    <w:rsid w:val="0018758D"/>
    <w:rsid w:val="0019153A"/>
    <w:rsid w:val="00192B14"/>
    <w:rsid w:val="00194F1B"/>
    <w:rsid w:val="001A1A0A"/>
    <w:rsid w:val="001A3474"/>
    <w:rsid w:val="001B12D8"/>
    <w:rsid w:val="001B2499"/>
    <w:rsid w:val="001B3300"/>
    <w:rsid w:val="001B396A"/>
    <w:rsid w:val="001B4898"/>
    <w:rsid w:val="001C0A36"/>
    <w:rsid w:val="001C330C"/>
    <w:rsid w:val="001C3C79"/>
    <w:rsid w:val="001C410E"/>
    <w:rsid w:val="001C50E6"/>
    <w:rsid w:val="001C56C0"/>
    <w:rsid w:val="001D0D7C"/>
    <w:rsid w:val="001D144A"/>
    <w:rsid w:val="001E0DD0"/>
    <w:rsid w:val="001E5B35"/>
    <w:rsid w:val="001F6E72"/>
    <w:rsid w:val="00201270"/>
    <w:rsid w:val="00201342"/>
    <w:rsid w:val="00204AE7"/>
    <w:rsid w:val="00211EFF"/>
    <w:rsid w:val="00215056"/>
    <w:rsid w:val="00217576"/>
    <w:rsid w:val="00224C4B"/>
    <w:rsid w:val="002255C8"/>
    <w:rsid w:val="00225994"/>
    <w:rsid w:val="00226FBE"/>
    <w:rsid w:val="00232A4C"/>
    <w:rsid w:val="002334B6"/>
    <w:rsid w:val="0023482B"/>
    <w:rsid w:val="00234A5D"/>
    <w:rsid w:val="002352A5"/>
    <w:rsid w:val="00244EF7"/>
    <w:rsid w:val="002457A3"/>
    <w:rsid w:val="0024584B"/>
    <w:rsid w:val="0024724B"/>
    <w:rsid w:val="002478C8"/>
    <w:rsid w:val="002515E1"/>
    <w:rsid w:val="0025416A"/>
    <w:rsid w:val="00256840"/>
    <w:rsid w:val="002718C7"/>
    <w:rsid w:val="00271A02"/>
    <w:rsid w:val="0027382E"/>
    <w:rsid w:val="00275C07"/>
    <w:rsid w:val="00275D03"/>
    <w:rsid w:val="0027662D"/>
    <w:rsid w:val="002776C0"/>
    <w:rsid w:val="0027789E"/>
    <w:rsid w:val="00281B8A"/>
    <w:rsid w:val="002853DB"/>
    <w:rsid w:val="002875FA"/>
    <w:rsid w:val="002876F2"/>
    <w:rsid w:val="00295CF5"/>
    <w:rsid w:val="002A0546"/>
    <w:rsid w:val="002A3CA6"/>
    <w:rsid w:val="002A5ECC"/>
    <w:rsid w:val="002B3B90"/>
    <w:rsid w:val="002B4F26"/>
    <w:rsid w:val="002B7224"/>
    <w:rsid w:val="002B74E5"/>
    <w:rsid w:val="002C08C6"/>
    <w:rsid w:val="002C0AA0"/>
    <w:rsid w:val="002C3944"/>
    <w:rsid w:val="002C3B92"/>
    <w:rsid w:val="002C5076"/>
    <w:rsid w:val="002D316F"/>
    <w:rsid w:val="002D4081"/>
    <w:rsid w:val="002D477F"/>
    <w:rsid w:val="002D7EB3"/>
    <w:rsid w:val="002E4FF0"/>
    <w:rsid w:val="002F063F"/>
    <w:rsid w:val="002F22DF"/>
    <w:rsid w:val="002F48D7"/>
    <w:rsid w:val="002F5743"/>
    <w:rsid w:val="002F5F13"/>
    <w:rsid w:val="002F6DD5"/>
    <w:rsid w:val="003055D0"/>
    <w:rsid w:val="00306289"/>
    <w:rsid w:val="00306DAE"/>
    <w:rsid w:val="003118E2"/>
    <w:rsid w:val="00311EE4"/>
    <w:rsid w:val="00312562"/>
    <w:rsid w:val="00314ABC"/>
    <w:rsid w:val="003151CE"/>
    <w:rsid w:val="00315661"/>
    <w:rsid w:val="00320590"/>
    <w:rsid w:val="00320BE0"/>
    <w:rsid w:val="0032140C"/>
    <w:rsid w:val="00321A0C"/>
    <w:rsid w:val="00321B25"/>
    <w:rsid w:val="00323337"/>
    <w:rsid w:val="00323F40"/>
    <w:rsid w:val="00323FD5"/>
    <w:rsid w:val="0032485B"/>
    <w:rsid w:val="00325C37"/>
    <w:rsid w:val="0032615F"/>
    <w:rsid w:val="00330156"/>
    <w:rsid w:val="00332305"/>
    <w:rsid w:val="00332BF3"/>
    <w:rsid w:val="00333E76"/>
    <w:rsid w:val="003346A8"/>
    <w:rsid w:val="00334E0D"/>
    <w:rsid w:val="00336935"/>
    <w:rsid w:val="003369A3"/>
    <w:rsid w:val="00336D25"/>
    <w:rsid w:val="003379FA"/>
    <w:rsid w:val="00342EAB"/>
    <w:rsid w:val="00344045"/>
    <w:rsid w:val="00347F6C"/>
    <w:rsid w:val="003544EC"/>
    <w:rsid w:val="00355028"/>
    <w:rsid w:val="003641AB"/>
    <w:rsid w:val="0036577F"/>
    <w:rsid w:val="00366166"/>
    <w:rsid w:val="00370249"/>
    <w:rsid w:val="003719B9"/>
    <w:rsid w:val="003725FC"/>
    <w:rsid w:val="00372D46"/>
    <w:rsid w:val="00373B3B"/>
    <w:rsid w:val="00376E0E"/>
    <w:rsid w:val="003802F6"/>
    <w:rsid w:val="00380D27"/>
    <w:rsid w:val="003833C8"/>
    <w:rsid w:val="0038367D"/>
    <w:rsid w:val="00383C48"/>
    <w:rsid w:val="00384747"/>
    <w:rsid w:val="00384BF6"/>
    <w:rsid w:val="003913BB"/>
    <w:rsid w:val="003932B1"/>
    <w:rsid w:val="0039426F"/>
    <w:rsid w:val="003A2203"/>
    <w:rsid w:val="003A23B1"/>
    <w:rsid w:val="003A2F75"/>
    <w:rsid w:val="003A6263"/>
    <w:rsid w:val="003A7516"/>
    <w:rsid w:val="003B43FE"/>
    <w:rsid w:val="003B47C4"/>
    <w:rsid w:val="003B545A"/>
    <w:rsid w:val="003B6722"/>
    <w:rsid w:val="003B79FA"/>
    <w:rsid w:val="003C1B11"/>
    <w:rsid w:val="003C4F38"/>
    <w:rsid w:val="003C5053"/>
    <w:rsid w:val="003C53F3"/>
    <w:rsid w:val="003C5B62"/>
    <w:rsid w:val="003C78F2"/>
    <w:rsid w:val="003D009B"/>
    <w:rsid w:val="003D3259"/>
    <w:rsid w:val="003D4D1D"/>
    <w:rsid w:val="003D521F"/>
    <w:rsid w:val="003D666F"/>
    <w:rsid w:val="003E061F"/>
    <w:rsid w:val="003E3F2D"/>
    <w:rsid w:val="003E4C99"/>
    <w:rsid w:val="003E5E4C"/>
    <w:rsid w:val="003F183F"/>
    <w:rsid w:val="003F25B0"/>
    <w:rsid w:val="003F327D"/>
    <w:rsid w:val="003F5D67"/>
    <w:rsid w:val="003F5F99"/>
    <w:rsid w:val="003F6265"/>
    <w:rsid w:val="00400AFE"/>
    <w:rsid w:val="00402906"/>
    <w:rsid w:val="00405DA7"/>
    <w:rsid w:val="004104CB"/>
    <w:rsid w:val="00410D44"/>
    <w:rsid w:val="00410EF4"/>
    <w:rsid w:val="0041175F"/>
    <w:rsid w:val="004166EA"/>
    <w:rsid w:val="00416A25"/>
    <w:rsid w:val="004211EB"/>
    <w:rsid w:val="0042297C"/>
    <w:rsid w:val="00422C46"/>
    <w:rsid w:val="00430D03"/>
    <w:rsid w:val="004311F8"/>
    <w:rsid w:val="00431A7C"/>
    <w:rsid w:val="00433461"/>
    <w:rsid w:val="00433859"/>
    <w:rsid w:val="00433A4A"/>
    <w:rsid w:val="00435045"/>
    <w:rsid w:val="00435C2C"/>
    <w:rsid w:val="0044031A"/>
    <w:rsid w:val="00440488"/>
    <w:rsid w:val="00444135"/>
    <w:rsid w:val="004442B1"/>
    <w:rsid w:val="00447322"/>
    <w:rsid w:val="00452669"/>
    <w:rsid w:val="00452C50"/>
    <w:rsid w:val="0045425D"/>
    <w:rsid w:val="004555A8"/>
    <w:rsid w:val="00455A12"/>
    <w:rsid w:val="004603E1"/>
    <w:rsid w:val="00461D0C"/>
    <w:rsid w:val="004641BD"/>
    <w:rsid w:val="00464373"/>
    <w:rsid w:val="004645C0"/>
    <w:rsid w:val="00464A7E"/>
    <w:rsid w:val="004657E1"/>
    <w:rsid w:val="004702BE"/>
    <w:rsid w:val="0047465C"/>
    <w:rsid w:val="00476A12"/>
    <w:rsid w:val="0048011B"/>
    <w:rsid w:val="004804BA"/>
    <w:rsid w:val="00483EF3"/>
    <w:rsid w:val="004840FA"/>
    <w:rsid w:val="004842F6"/>
    <w:rsid w:val="00484D0A"/>
    <w:rsid w:val="004851FB"/>
    <w:rsid w:val="00486872"/>
    <w:rsid w:val="00486A5D"/>
    <w:rsid w:val="00492B18"/>
    <w:rsid w:val="004967EC"/>
    <w:rsid w:val="00496AB9"/>
    <w:rsid w:val="004A02E4"/>
    <w:rsid w:val="004A4969"/>
    <w:rsid w:val="004B411F"/>
    <w:rsid w:val="004B59DF"/>
    <w:rsid w:val="004B67E1"/>
    <w:rsid w:val="004B6CD0"/>
    <w:rsid w:val="004C0801"/>
    <w:rsid w:val="004C0ADA"/>
    <w:rsid w:val="004C2D08"/>
    <w:rsid w:val="004C66BC"/>
    <w:rsid w:val="004D0490"/>
    <w:rsid w:val="004D0BA4"/>
    <w:rsid w:val="004D24A6"/>
    <w:rsid w:val="004D56A7"/>
    <w:rsid w:val="004D744A"/>
    <w:rsid w:val="004D7DD4"/>
    <w:rsid w:val="004D7E60"/>
    <w:rsid w:val="004E05CC"/>
    <w:rsid w:val="004E0BCF"/>
    <w:rsid w:val="004E1927"/>
    <w:rsid w:val="004E4902"/>
    <w:rsid w:val="004E6BE4"/>
    <w:rsid w:val="004F0321"/>
    <w:rsid w:val="004F061C"/>
    <w:rsid w:val="004F75BD"/>
    <w:rsid w:val="004F765E"/>
    <w:rsid w:val="005003AA"/>
    <w:rsid w:val="005020E1"/>
    <w:rsid w:val="005038A8"/>
    <w:rsid w:val="00506885"/>
    <w:rsid w:val="00512FB0"/>
    <w:rsid w:val="00513074"/>
    <w:rsid w:val="00513318"/>
    <w:rsid w:val="0051734E"/>
    <w:rsid w:val="005222D9"/>
    <w:rsid w:val="00524553"/>
    <w:rsid w:val="00524BC8"/>
    <w:rsid w:val="00526DF1"/>
    <w:rsid w:val="00527D52"/>
    <w:rsid w:val="005349ED"/>
    <w:rsid w:val="00535227"/>
    <w:rsid w:val="00535712"/>
    <w:rsid w:val="00537FC6"/>
    <w:rsid w:val="005419C2"/>
    <w:rsid w:val="00542656"/>
    <w:rsid w:val="00543299"/>
    <w:rsid w:val="00543432"/>
    <w:rsid w:val="00552098"/>
    <w:rsid w:val="00552326"/>
    <w:rsid w:val="00555997"/>
    <w:rsid w:val="00555B77"/>
    <w:rsid w:val="005567D4"/>
    <w:rsid w:val="00556DF5"/>
    <w:rsid w:val="00562C43"/>
    <w:rsid w:val="005638A4"/>
    <w:rsid w:val="00564D6C"/>
    <w:rsid w:val="00570715"/>
    <w:rsid w:val="00570982"/>
    <w:rsid w:val="00570CAD"/>
    <w:rsid w:val="00573381"/>
    <w:rsid w:val="00575180"/>
    <w:rsid w:val="0058055D"/>
    <w:rsid w:val="0058291E"/>
    <w:rsid w:val="00587380"/>
    <w:rsid w:val="005915F2"/>
    <w:rsid w:val="00597C5A"/>
    <w:rsid w:val="005A21FA"/>
    <w:rsid w:val="005A6618"/>
    <w:rsid w:val="005B1D31"/>
    <w:rsid w:val="005B35AF"/>
    <w:rsid w:val="005B7969"/>
    <w:rsid w:val="005C0C79"/>
    <w:rsid w:val="005C2B48"/>
    <w:rsid w:val="005C3DB0"/>
    <w:rsid w:val="005C51B2"/>
    <w:rsid w:val="005C6CCD"/>
    <w:rsid w:val="005C7DB4"/>
    <w:rsid w:val="005C7EDC"/>
    <w:rsid w:val="005D12A7"/>
    <w:rsid w:val="005D12F7"/>
    <w:rsid w:val="005D2771"/>
    <w:rsid w:val="005D5646"/>
    <w:rsid w:val="005D7412"/>
    <w:rsid w:val="005E393E"/>
    <w:rsid w:val="005F13E6"/>
    <w:rsid w:val="005F1BCD"/>
    <w:rsid w:val="005F562C"/>
    <w:rsid w:val="005F58AA"/>
    <w:rsid w:val="005F6712"/>
    <w:rsid w:val="006018AB"/>
    <w:rsid w:val="00604689"/>
    <w:rsid w:val="00605CF0"/>
    <w:rsid w:val="00607163"/>
    <w:rsid w:val="00607734"/>
    <w:rsid w:val="00610391"/>
    <w:rsid w:val="006136D4"/>
    <w:rsid w:val="006157B7"/>
    <w:rsid w:val="00616491"/>
    <w:rsid w:val="00621D83"/>
    <w:rsid w:val="00624207"/>
    <w:rsid w:val="0062480A"/>
    <w:rsid w:val="00624929"/>
    <w:rsid w:val="00624CAA"/>
    <w:rsid w:val="00624D29"/>
    <w:rsid w:val="00625180"/>
    <w:rsid w:val="00631074"/>
    <w:rsid w:val="0063325E"/>
    <w:rsid w:val="0063411C"/>
    <w:rsid w:val="0063446F"/>
    <w:rsid w:val="0063768F"/>
    <w:rsid w:val="0064116B"/>
    <w:rsid w:val="00641860"/>
    <w:rsid w:val="00644683"/>
    <w:rsid w:val="00646284"/>
    <w:rsid w:val="00646671"/>
    <w:rsid w:val="00647A02"/>
    <w:rsid w:val="00647CC3"/>
    <w:rsid w:val="006524E8"/>
    <w:rsid w:val="00653983"/>
    <w:rsid w:val="00654297"/>
    <w:rsid w:val="00654592"/>
    <w:rsid w:val="006546F2"/>
    <w:rsid w:val="00654C98"/>
    <w:rsid w:val="0066310A"/>
    <w:rsid w:val="006674B6"/>
    <w:rsid w:val="00671F59"/>
    <w:rsid w:val="0067302D"/>
    <w:rsid w:val="00673898"/>
    <w:rsid w:val="006746D5"/>
    <w:rsid w:val="00674866"/>
    <w:rsid w:val="00675216"/>
    <w:rsid w:val="00676450"/>
    <w:rsid w:val="00676836"/>
    <w:rsid w:val="00676BE9"/>
    <w:rsid w:val="0068108F"/>
    <w:rsid w:val="00682029"/>
    <w:rsid w:val="00682042"/>
    <w:rsid w:val="006832C1"/>
    <w:rsid w:val="006960B9"/>
    <w:rsid w:val="006A2117"/>
    <w:rsid w:val="006A447C"/>
    <w:rsid w:val="006A44B1"/>
    <w:rsid w:val="006B09DF"/>
    <w:rsid w:val="006B0F6A"/>
    <w:rsid w:val="006B4C92"/>
    <w:rsid w:val="006B51F3"/>
    <w:rsid w:val="006C3CC1"/>
    <w:rsid w:val="006D6A04"/>
    <w:rsid w:val="006D76BE"/>
    <w:rsid w:val="006E0D11"/>
    <w:rsid w:val="006E113C"/>
    <w:rsid w:val="006E194B"/>
    <w:rsid w:val="006E2DB8"/>
    <w:rsid w:val="006F0C9B"/>
    <w:rsid w:val="006F187D"/>
    <w:rsid w:val="006F4C0B"/>
    <w:rsid w:val="006F57E8"/>
    <w:rsid w:val="006F608E"/>
    <w:rsid w:val="006F7BE3"/>
    <w:rsid w:val="00700C5E"/>
    <w:rsid w:val="00701A7C"/>
    <w:rsid w:val="00711FF9"/>
    <w:rsid w:val="00713E14"/>
    <w:rsid w:val="00716A03"/>
    <w:rsid w:val="007174AB"/>
    <w:rsid w:val="00720DB8"/>
    <w:rsid w:val="00722D2C"/>
    <w:rsid w:val="00724BD6"/>
    <w:rsid w:val="00725630"/>
    <w:rsid w:val="0072626D"/>
    <w:rsid w:val="00731D68"/>
    <w:rsid w:val="00732553"/>
    <w:rsid w:val="00733F03"/>
    <w:rsid w:val="007350A4"/>
    <w:rsid w:val="00735775"/>
    <w:rsid w:val="00735A3B"/>
    <w:rsid w:val="00742620"/>
    <w:rsid w:val="00742A5C"/>
    <w:rsid w:val="00743C19"/>
    <w:rsid w:val="00743E4B"/>
    <w:rsid w:val="00744281"/>
    <w:rsid w:val="007470E2"/>
    <w:rsid w:val="0075245A"/>
    <w:rsid w:val="00753B06"/>
    <w:rsid w:val="0075486A"/>
    <w:rsid w:val="0075750A"/>
    <w:rsid w:val="00767BD4"/>
    <w:rsid w:val="00770601"/>
    <w:rsid w:val="0077304F"/>
    <w:rsid w:val="00773AA7"/>
    <w:rsid w:val="00773D96"/>
    <w:rsid w:val="00777C8E"/>
    <w:rsid w:val="0078191F"/>
    <w:rsid w:val="00783BEE"/>
    <w:rsid w:val="00785126"/>
    <w:rsid w:val="0078661E"/>
    <w:rsid w:val="0079033F"/>
    <w:rsid w:val="00792F91"/>
    <w:rsid w:val="007935D2"/>
    <w:rsid w:val="00793BF9"/>
    <w:rsid w:val="00794DF4"/>
    <w:rsid w:val="0079591B"/>
    <w:rsid w:val="007959A9"/>
    <w:rsid w:val="00796CC5"/>
    <w:rsid w:val="00797D7C"/>
    <w:rsid w:val="007A0FAA"/>
    <w:rsid w:val="007A1BCD"/>
    <w:rsid w:val="007A2137"/>
    <w:rsid w:val="007A2663"/>
    <w:rsid w:val="007A3757"/>
    <w:rsid w:val="007A3786"/>
    <w:rsid w:val="007A404D"/>
    <w:rsid w:val="007A49A6"/>
    <w:rsid w:val="007A4B26"/>
    <w:rsid w:val="007A5331"/>
    <w:rsid w:val="007A655A"/>
    <w:rsid w:val="007A66C2"/>
    <w:rsid w:val="007A75A8"/>
    <w:rsid w:val="007B053F"/>
    <w:rsid w:val="007B1576"/>
    <w:rsid w:val="007B200E"/>
    <w:rsid w:val="007B6433"/>
    <w:rsid w:val="007B6E26"/>
    <w:rsid w:val="007C1C7B"/>
    <w:rsid w:val="007C1EED"/>
    <w:rsid w:val="007C34FA"/>
    <w:rsid w:val="007C37DD"/>
    <w:rsid w:val="007D188A"/>
    <w:rsid w:val="007D235B"/>
    <w:rsid w:val="007D39F7"/>
    <w:rsid w:val="007D59ED"/>
    <w:rsid w:val="007D750A"/>
    <w:rsid w:val="007E2D54"/>
    <w:rsid w:val="007E4229"/>
    <w:rsid w:val="007E454A"/>
    <w:rsid w:val="007F21DE"/>
    <w:rsid w:val="007F620E"/>
    <w:rsid w:val="007F7301"/>
    <w:rsid w:val="00802CE4"/>
    <w:rsid w:val="00804AB6"/>
    <w:rsid w:val="00805CBE"/>
    <w:rsid w:val="008150FD"/>
    <w:rsid w:val="00817D14"/>
    <w:rsid w:val="008225EF"/>
    <w:rsid w:val="0082547B"/>
    <w:rsid w:val="00830E55"/>
    <w:rsid w:val="00834159"/>
    <w:rsid w:val="00834561"/>
    <w:rsid w:val="0083734C"/>
    <w:rsid w:val="0084359B"/>
    <w:rsid w:val="008451CB"/>
    <w:rsid w:val="00846760"/>
    <w:rsid w:val="00856406"/>
    <w:rsid w:val="00856AFB"/>
    <w:rsid w:val="008570CA"/>
    <w:rsid w:val="0086119C"/>
    <w:rsid w:val="008621E5"/>
    <w:rsid w:val="00863663"/>
    <w:rsid w:val="00865C50"/>
    <w:rsid w:val="008661E1"/>
    <w:rsid w:val="00867443"/>
    <w:rsid w:val="00867E8A"/>
    <w:rsid w:val="0087028F"/>
    <w:rsid w:val="00870802"/>
    <w:rsid w:val="00872738"/>
    <w:rsid w:val="008734EB"/>
    <w:rsid w:val="00876740"/>
    <w:rsid w:val="008800C6"/>
    <w:rsid w:val="00880587"/>
    <w:rsid w:val="00883165"/>
    <w:rsid w:val="008838D7"/>
    <w:rsid w:val="00885906"/>
    <w:rsid w:val="008962BD"/>
    <w:rsid w:val="00896A7C"/>
    <w:rsid w:val="0089767F"/>
    <w:rsid w:val="008A134C"/>
    <w:rsid w:val="008A1B58"/>
    <w:rsid w:val="008A2567"/>
    <w:rsid w:val="008A5248"/>
    <w:rsid w:val="008A66FE"/>
    <w:rsid w:val="008A75EF"/>
    <w:rsid w:val="008B12F9"/>
    <w:rsid w:val="008B141D"/>
    <w:rsid w:val="008B1747"/>
    <w:rsid w:val="008B53D8"/>
    <w:rsid w:val="008C1BE0"/>
    <w:rsid w:val="008C3AD5"/>
    <w:rsid w:val="008C5A12"/>
    <w:rsid w:val="008C6D11"/>
    <w:rsid w:val="008D7EFA"/>
    <w:rsid w:val="008E1660"/>
    <w:rsid w:val="008E44BD"/>
    <w:rsid w:val="008E6B10"/>
    <w:rsid w:val="008F07FE"/>
    <w:rsid w:val="008F2BD9"/>
    <w:rsid w:val="008F4AB1"/>
    <w:rsid w:val="00901484"/>
    <w:rsid w:val="00901F97"/>
    <w:rsid w:val="00902C22"/>
    <w:rsid w:val="009031C0"/>
    <w:rsid w:val="009055D9"/>
    <w:rsid w:val="0090722D"/>
    <w:rsid w:val="009114B7"/>
    <w:rsid w:val="0091162E"/>
    <w:rsid w:val="00911E04"/>
    <w:rsid w:val="00912E0E"/>
    <w:rsid w:val="00914245"/>
    <w:rsid w:val="00916163"/>
    <w:rsid w:val="00921F95"/>
    <w:rsid w:val="009229EE"/>
    <w:rsid w:val="00922A21"/>
    <w:rsid w:val="00923264"/>
    <w:rsid w:val="00925FF5"/>
    <w:rsid w:val="00930316"/>
    <w:rsid w:val="00934136"/>
    <w:rsid w:val="00935175"/>
    <w:rsid w:val="009368F4"/>
    <w:rsid w:val="00940BF1"/>
    <w:rsid w:val="00941062"/>
    <w:rsid w:val="009421C7"/>
    <w:rsid w:val="00942470"/>
    <w:rsid w:val="0094275C"/>
    <w:rsid w:val="0094409D"/>
    <w:rsid w:val="00945164"/>
    <w:rsid w:val="00955130"/>
    <w:rsid w:val="009564E9"/>
    <w:rsid w:val="009569B2"/>
    <w:rsid w:val="00962057"/>
    <w:rsid w:val="00965DC0"/>
    <w:rsid w:val="00973A16"/>
    <w:rsid w:val="00973EC1"/>
    <w:rsid w:val="00974789"/>
    <w:rsid w:val="009750F4"/>
    <w:rsid w:val="009812F7"/>
    <w:rsid w:val="00984EE2"/>
    <w:rsid w:val="009860BF"/>
    <w:rsid w:val="00986354"/>
    <w:rsid w:val="00986E1E"/>
    <w:rsid w:val="00990899"/>
    <w:rsid w:val="009913D8"/>
    <w:rsid w:val="009932A1"/>
    <w:rsid w:val="00995B04"/>
    <w:rsid w:val="0099615E"/>
    <w:rsid w:val="009A0383"/>
    <w:rsid w:val="009A03ED"/>
    <w:rsid w:val="009A28FC"/>
    <w:rsid w:val="009A5322"/>
    <w:rsid w:val="009A58E3"/>
    <w:rsid w:val="009A5D08"/>
    <w:rsid w:val="009A7231"/>
    <w:rsid w:val="009B0FC1"/>
    <w:rsid w:val="009B2409"/>
    <w:rsid w:val="009B302A"/>
    <w:rsid w:val="009B4066"/>
    <w:rsid w:val="009B4514"/>
    <w:rsid w:val="009B486B"/>
    <w:rsid w:val="009C1064"/>
    <w:rsid w:val="009C1266"/>
    <w:rsid w:val="009C226D"/>
    <w:rsid w:val="009C46FB"/>
    <w:rsid w:val="009C4C18"/>
    <w:rsid w:val="009C5F00"/>
    <w:rsid w:val="009C77A0"/>
    <w:rsid w:val="009D153A"/>
    <w:rsid w:val="009D1A57"/>
    <w:rsid w:val="009D64E4"/>
    <w:rsid w:val="009D6CDF"/>
    <w:rsid w:val="009E527F"/>
    <w:rsid w:val="009F0D4B"/>
    <w:rsid w:val="009F40AB"/>
    <w:rsid w:val="009F69D8"/>
    <w:rsid w:val="009F76FB"/>
    <w:rsid w:val="009F79CB"/>
    <w:rsid w:val="00A01A33"/>
    <w:rsid w:val="00A02E61"/>
    <w:rsid w:val="00A03F43"/>
    <w:rsid w:val="00A048DA"/>
    <w:rsid w:val="00A0641C"/>
    <w:rsid w:val="00A10A1B"/>
    <w:rsid w:val="00A11832"/>
    <w:rsid w:val="00A178C0"/>
    <w:rsid w:val="00A17D48"/>
    <w:rsid w:val="00A22F65"/>
    <w:rsid w:val="00A231D9"/>
    <w:rsid w:val="00A2510C"/>
    <w:rsid w:val="00A25171"/>
    <w:rsid w:val="00A25744"/>
    <w:rsid w:val="00A26139"/>
    <w:rsid w:val="00A27A3B"/>
    <w:rsid w:val="00A30ADD"/>
    <w:rsid w:val="00A37095"/>
    <w:rsid w:val="00A3768B"/>
    <w:rsid w:val="00A41E9C"/>
    <w:rsid w:val="00A4311B"/>
    <w:rsid w:val="00A433D9"/>
    <w:rsid w:val="00A4444B"/>
    <w:rsid w:val="00A446E5"/>
    <w:rsid w:val="00A46E9E"/>
    <w:rsid w:val="00A47141"/>
    <w:rsid w:val="00A509E4"/>
    <w:rsid w:val="00A54548"/>
    <w:rsid w:val="00A548EF"/>
    <w:rsid w:val="00A55D56"/>
    <w:rsid w:val="00A560FA"/>
    <w:rsid w:val="00A60484"/>
    <w:rsid w:val="00A61C24"/>
    <w:rsid w:val="00A61C76"/>
    <w:rsid w:val="00A61DA5"/>
    <w:rsid w:val="00A61E43"/>
    <w:rsid w:val="00A63191"/>
    <w:rsid w:val="00A6563E"/>
    <w:rsid w:val="00A660B5"/>
    <w:rsid w:val="00A66856"/>
    <w:rsid w:val="00A66C4F"/>
    <w:rsid w:val="00A66F3D"/>
    <w:rsid w:val="00A73103"/>
    <w:rsid w:val="00A73820"/>
    <w:rsid w:val="00A75F3C"/>
    <w:rsid w:val="00A762B1"/>
    <w:rsid w:val="00A765B2"/>
    <w:rsid w:val="00A76634"/>
    <w:rsid w:val="00A80A93"/>
    <w:rsid w:val="00A81648"/>
    <w:rsid w:val="00A82BDC"/>
    <w:rsid w:val="00A831DB"/>
    <w:rsid w:val="00A8331C"/>
    <w:rsid w:val="00A83F96"/>
    <w:rsid w:val="00A9006E"/>
    <w:rsid w:val="00A9379F"/>
    <w:rsid w:val="00A95B5B"/>
    <w:rsid w:val="00A95E63"/>
    <w:rsid w:val="00AA5C2C"/>
    <w:rsid w:val="00AB0C30"/>
    <w:rsid w:val="00AB2468"/>
    <w:rsid w:val="00AB3F8F"/>
    <w:rsid w:val="00AB40B8"/>
    <w:rsid w:val="00AB5289"/>
    <w:rsid w:val="00AB5EBE"/>
    <w:rsid w:val="00AB604F"/>
    <w:rsid w:val="00AB72A6"/>
    <w:rsid w:val="00AC11EC"/>
    <w:rsid w:val="00AC142D"/>
    <w:rsid w:val="00AC7BCD"/>
    <w:rsid w:val="00AC7C0D"/>
    <w:rsid w:val="00AD1B0A"/>
    <w:rsid w:val="00AD2B07"/>
    <w:rsid w:val="00AD429A"/>
    <w:rsid w:val="00AD45E8"/>
    <w:rsid w:val="00AD49B7"/>
    <w:rsid w:val="00AE0408"/>
    <w:rsid w:val="00AE374E"/>
    <w:rsid w:val="00AE4B06"/>
    <w:rsid w:val="00AF1C8B"/>
    <w:rsid w:val="00AF252C"/>
    <w:rsid w:val="00AF5E57"/>
    <w:rsid w:val="00B00608"/>
    <w:rsid w:val="00B0122B"/>
    <w:rsid w:val="00B04B74"/>
    <w:rsid w:val="00B14F5B"/>
    <w:rsid w:val="00B17387"/>
    <w:rsid w:val="00B20526"/>
    <w:rsid w:val="00B20F92"/>
    <w:rsid w:val="00B33030"/>
    <w:rsid w:val="00B33F3A"/>
    <w:rsid w:val="00B34E68"/>
    <w:rsid w:val="00B35A06"/>
    <w:rsid w:val="00B434B7"/>
    <w:rsid w:val="00B45028"/>
    <w:rsid w:val="00B4504C"/>
    <w:rsid w:val="00B4559F"/>
    <w:rsid w:val="00B46CB4"/>
    <w:rsid w:val="00B4776C"/>
    <w:rsid w:val="00B47AE6"/>
    <w:rsid w:val="00B5056D"/>
    <w:rsid w:val="00B5207C"/>
    <w:rsid w:val="00B556A3"/>
    <w:rsid w:val="00B6073B"/>
    <w:rsid w:val="00B61B3E"/>
    <w:rsid w:val="00B63D30"/>
    <w:rsid w:val="00B65A4B"/>
    <w:rsid w:val="00B67745"/>
    <w:rsid w:val="00B71611"/>
    <w:rsid w:val="00B71C68"/>
    <w:rsid w:val="00B72FE5"/>
    <w:rsid w:val="00B74A1F"/>
    <w:rsid w:val="00B75A3A"/>
    <w:rsid w:val="00B8015C"/>
    <w:rsid w:val="00B8137B"/>
    <w:rsid w:val="00B840D0"/>
    <w:rsid w:val="00B92DA9"/>
    <w:rsid w:val="00BA1C6E"/>
    <w:rsid w:val="00BA4037"/>
    <w:rsid w:val="00BA5EC4"/>
    <w:rsid w:val="00BA73CD"/>
    <w:rsid w:val="00BB1712"/>
    <w:rsid w:val="00BB1C65"/>
    <w:rsid w:val="00BB54D5"/>
    <w:rsid w:val="00BC0C25"/>
    <w:rsid w:val="00BC0F49"/>
    <w:rsid w:val="00BC1A18"/>
    <w:rsid w:val="00BC2848"/>
    <w:rsid w:val="00BC3086"/>
    <w:rsid w:val="00BC3AA7"/>
    <w:rsid w:val="00BC710E"/>
    <w:rsid w:val="00BD3E39"/>
    <w:rsid w:val="00BE26A8"/>
    <w:rsid w:val="00BE2991"/>
    <w:rsid w:val="00BE38F4"/>
    <w:rsid w:val="00BE6921"/>
    <w:rsid w:val="00BF1C17"/>
    <w:rsid w:val="00BF1DDE"/>
    <w:rsid w:val="00BF2582"/>
    <w:rsid w:val="00BF3355"/>
    <w:rsid w:val="00BF4177"/>
    <w:rsid w:val="00BF4C8D"/>
    <w:rsid w:val="00C0225A"/>
    <w:rsid w:val="00C02F22"/>
    <w:rsid w:val="00C04AF5"/>
    <w:rsid w:val="00C076AD"/>
    <w:rsid w:val="00C1109D"/>
    <w:rsid w:val="00C119F0"/>
    <w:rsid w:val="00C126D7"/>
    <w:rsid w:val="00C1318E"/>
    <w:rsid w:val="00C14083"/>
    <w:rsid w:val="00C168AB"/>
    <w:rsid w:val="00C21B29"/>
    <w:rsid w:val="00C21CCC"/>
    <w:rsid w:val="00C21F93"/>
    <w:rsid w:val="00C23DEB"/>
    <w:rsid w:val="00C24CCD"/>
    <w:rsid w:val="00C26742"/>
    <w:rsid w:val="00C33158"/>
    <w:rsid w:val="00C343DC"/>
    <w:rsid w:val="00C344CE"/>
    <w:rsid w:val="00C4204E"/>
    <w:rsid w:val="00C4593F"/>
    <w:rsid w:val="00C459D9"/>
    <w:rsid w:val="00C46399"/>
    <w:rsid w:val="00C47290"/>
    <w:rsid w:val="00C50534"/>
    <w:rsid w:val="00C55852"/>
    <w:rsid w:val="00C6201E"/>
    <w:rsid w:val="00C659AA"/>
    <w:rsid w:val="00C65EA8"/>
    <w:rsid w:val="00C66D4D"/>
    <w:rsid w:val="00C70E98"/>
    <w:rsid w:val="00C71F11"/>
    <w:rsid w:val="00C720E1"/>
    <w:rsid w:val="00C72669"/>
    <w:rsid w:val="00C74C37"/>
    <w:rsid w:val="00C75A9B"/>
    <w:rsid w:val="00C77B2D"/>
    <w:rsid w:val="00C80444"/>
    <w:rsid w:val="00C84E51"/>
    <w:rsid w:val="00C90E80"/>
    <w:rsid w:val="00C931D0"/>
    <w:rsid w:val="00C950E5"/>
    <w:rsid w:val="00C968C2"/>
    <w:rsid w:val="00C969DE"/>
    <w:rsid w:val="00CA2659"/>
    <w:rsid w:val="00CA292C"/>
    <w:rsid w:val="00CA3A3D"/>
    <w:rsid w:val="00CA4CBC"/>
    <w:rsid w:val="00CA51C7"/>
    <w:rsid w:val="00CA6435"/>
    <w:rsid w:val="00CB56D1"/>
    <w:rsid w:val="00CB60E1"/>
    <w:rsid w:val="00CC0AD3"/>
    <w:rsid w:val="00CC2D56"/>
    <w:rsid w:val="00CC2DB9"/>
    <w:rsid w:val="00CC5298"/>
    <w:rsid w:val="00CC71B2"/>
    <w:rsid w:val="00CD1FD7"/>
    <w:rsid w:val="00CD3C2E"/>
    <w:rsid w:val="00CE0746"/>
    <w:rsid w:val="00CE2CE5"/>
    <w:rsid w:val="00CE2ED4"/>
    <w:rsid w:val="00CE659C"/>
    <w:rsid w:val="00CE79C3"/>
    <w:rsid w:val="00CE7A30"/>
    <w:rsid w:val="00CF0935"/>
    <w:rsid w:val="00CF1401"/>
    <w:rsid w:val="00CF4293"/>
    <w:rsid w:val="00CF66CA"/>
    <w:rsid w:val="00D0059A"/>
    <w:rsid w:val="00D0096D"/>
    <w:rsid w:val="00D03A6F"/>
    <w:rsid w:val="00D06633"/>
    <w:rsid w:val="00D074DB"/>
    <w:rsid w:val="00D0773E"/>
    <w:rsid w:val="00D0795D"/>
    <w:rsid w:val="00D13EEA"/>
    <w:rsid w:val="00D148FC"/>
    <w:rsid w:val="00D1678F"/>
    <w:rsid w:val="00D172EB"/>
    <w:rsid w:val="00D20883"/>
    <w:rsid w:val="00D2163E"/>
    <w:rsid w:val="00D21863"/>
    <w:rsid w:val="00D2321D"/>
    <w:rsid w:val="00D23ECC"/>
    <w:rsid w:val="00D25C43"/>
    <w:rsid w:val="00D261F8"/>
    <w:rsid w:val="00D272EB"/>
    <w:rsid w:val="00D30C2C"/>
    <w:rsid w:val="00D31BFE"/>
    <w:rsid w:val="00D365B6"/>
    <w:rsid w:val="00D366EA"/>
    <w:rsid w:val="00D3688B"/>
    <w:rsid w:val="00D371D1"/>
    <w:rsid w:val="00D4289C"/>
    <w:rsid w:val="00D47362"/>
    <w:rsid w:val="00D473C9"/>
    <w:rsid w:val="00D51FF2"/>
    <w:rsid w:val="00D524F2"/>
    <w:rsid w:val="00D54B9E"/>
    <w:rsid w:val="00D55621"/>
    <w:rsid w:val="00D56D64"/>
    <w:rsid w:val="00D56F91"/>
    <w:rsid w:val="00D57116"/>
    <w:rsid w:val="00D6001A"/>
    <w:rsid w:val="00D600AA"/>
    <w:rsid w:val="00D60893"/>
    <w:rsid w:val="00D62EFC"/>
    <w:rsid w:val="00D65A12"/>
    <w:rsid w:val="00D666F6"/>
    <w:rsid w:val="00D6675A"/>
    <w:rsid w:val="00D72B9A"/>
    <w:rsid w:val="00D733E1"/>
    <w:rsid w:val="00D73F9D"/>
    <w:rsid w:val="00D76798"/>
    <w:rsid w:val="00D771F4"/>
    <w:rsid w:val="00D7722E"/>
    <w:rsid w:val="00D86219"/>
    <w:rsid w:val="00D86254"/>
    <w:rsid w:val="00D8797C"/>
    <w:rsid w:val="00D90A2F"/>
    <w:rsid w:val="00D92653"/>
    <w:rsid w:val="00D933A2"/>
    <w:rsid w:val="00D9667B"/>
    <w:rsid w:val="00D967BB"/>
    <w:rsid w:val="00D969C7"/>
    <w:rsid w:val="00D96D58"/>
    <w:rsid w:val="00D97603"/>
    <w:rsid w:val="00DA1B8D"/>
    <w:rsid w:val="00DA3262"/>
    <w:rsid w:val="00DA3E9A"/>
    <w:rsid w:val="00DA50C0"/>
    <w:rsid w:val="00DA685F"/>
    <w:rsid w:val="00DB2D0C"/>
    <w:rsid w:val="00DC0D3F"/>
    <w:rsid w:val="00DC3B96"/>
    <w:rsid w:val="00DC4139"/>
    <w:rsid w:val="00DD7CF3"/>
    <w:rsid w:val="00DE084A"/>
    <w:rsid w:val="00DE3B0D"/>
    <w:rsid w:val="00DE629A"/>
    <w:rsid w:val="00DE723C"/>
    <w:rsid w:val="00DF0BE8"/>
    <w:rsid w:val="00DF586C"/>
    <w:rsid w:val="00DF6358"/>
    <w:rsid w:val="00DF73E7"/>
    <w:rsid w:val="00E0180B"/>
    <w:rsid w:val="00E0216D"/>
    <w:rsid w:val="00E02D71"/>
    <w:rsid w:val="00E12FF0"/>
    <w:rsid w:val="00E15E1B"/>
    <w:rsid w:val="00E15F69"/>
    <w:rsid w:val="00E20138"/>
    <w:rsid w:val="00E21774"/>
    <w:rsid w:val="00E22FCC"/>
    <w:rsid w:val="00E26D06"/>
    <w:rsid w:val="00E316E3"/>
    <w:rsid w:val="00E320F3"/>
    <w:rsid w:val="00E324F1"/>
    <w:rsid w:val="00E33D24"/>
    <w:rsid w:val="00E3430A"/>
    <w:rsid w:val="00E3488C"/>
    <w:rsid w:val="00E3598E"/>
    <w:rsid w:val="00E35F92"/>
    <w:rsid w:val="00E44B22"/>
    <w:rsid w:val="00E44BB1"/>
    <w:rsid w:val="00E5265B"/>
    <w:rsid w:val="00E52787"/>
    <w:rsid w:val="00E56F47"/>
    <w:rsid w:val="00E611C5"/>
    <w:rsid w:val="00E623E3"/>
    <w:rsid w:val="00E63928"/>
    <w:rsid w:val="00E64C56"/>
    <w:rsid w:val="00E72BDE"/>
    <w:rsid w:val="00E769DC"/>
    <w:rsid w:val="00E8019B"/>
    <w:rsid w:val="00E871C1"/>
    <w:rsid w:val="00E87BCB"/>
    <w:rsid w:val="00E93D80"/>
    <w:rsid w:val="00E953DB"/>
    <w:rsid w:val="00E96742"/>
    <w:rsid w:val="00EA01CD"/>
    <w:rsid w:val="00EA166A"/>
    <w:rsid w:val="00EA1DE2"/>
    <w:rsid w:val="00EA437D"/>
    <w:rsid w:val="00EA4A06"/>
    <w:rsid w:val="00EA541C"/>
    <w:rsid w:val="00EA58F3"/>
    <w:rsid w:val="00EA67A5"/>
    <w:rsid w:val="00EB1889"/>
    <w:rsid w:val="00EB465D"/>
    <w:rsid w:val="00EB6E61"/>
    <w:rsid w:val="00EC1589"/>
    <w:rsid w:val="00EC2E30"/>
    <w:rsid w:val="00EC47EE"/>
    <w:rsid w:val="00EC5022"/>
    <w:rsid w:val="00EC5A1F"/>
    <w:rsid w:val="00ED133B"/>
    <w:rsid w:val="00ED345C"/>
    <w:rsid w:val="00ED4864"/>
    <w:rsid w:val="00ED5657"/>
    <w:rsid w:val="00ED6A34"/>
    <w:rsid w:val="00ED78BD"/>
    <w:rsid w:val="00EE29E7"/>
    <w:rsid w:val="00EE2EF2"/>
    <w:rsid w:val="00EE3875"/>
    <w:rsid w:val="00EE5B1B"/>
    <w:rsid w:val="00EE79C3"/>
    <w:rsid w:val="00EF0311"/>
    <w:rsid w:val="00EF1095"/>
    <w:rsid w:val="00EF1C6B"/>
    <w:rsid w:val="00EF2417"/>
    <w:rsid w:val="00EF5823"/>
    <w:rsid w:val="00F001C0"/>
    <w:rsid w:val="00F00CF3"/>
    <w:rsid w:val="00F019A5"/>
    <w:rsid w:val="00F03D10"/>
    <w:rsid w:val="00F04442"/>
    <w:rsid w:val="00F04806"/>
    <w:rsid w:val="00F10516"/>
    <w:rsid w:val="00F130EB"/>
    <w:rsid w:val="00F14BC0"/>
    <w:rsid w:val="00F16268"/>
    <w:rsid w:val="00F164E0"/>
    <w:rsid w:val="00F22B33"/>
    <w:rsid w:val="00F23412"/>
    <w:rsid w:val="00F2784E"/>
    <w:rsid w:val="00F301EA"/>
    <w:rsid w:val="00F3485C"/>
    <w:rsid w:val="00F3632D"/>
    <w:rsid w:val="00F36802"/>
    <w:rsid w:val="00F400E9"/>
    <w:rsid w:val="00F4149E"/>
    <w:rsid w:val="00F41A61"/>
    <w:rsid w:val="00F42046"/>
    <w:rsid w:val="00F420A4"/>
    <w:rsid w:val="00F421E8"/>
    <w:rsid w:val="00F42D0F"/>
    <w:rsid w:val="00F45F3A"/>
    <w:rsid w:val="00F51FB8"/>
    <w:rsid w:val="00F532E2"/>
    <w:rsid w:val="00F55B08"/>
    <w:rsid w:val="00F55E4C"/>
    <w:rsid w:val="00F568B3"/>
    <w:rsid w:val="00F56DD5"/>
    <w:rsid w:val="00F6299A"/>
    <w:rsid w:val="00F657D2"/>
    <w:rsid w:val="00F663C9"/>
    <w:rsid w:val="00F71DC9"/>
    <w:rsid w:val="00F7724B"/>
    <w:rsid w:val="00F828EC"/>
    <w:rsid w:val="00F86F41"/>
    <w:rsid w:val="00F87043"/>
    <w:rsid w:val="00F90055"/>
    <w:rsid w:val="00F91196"/>
    <w:rsid w:val="00FA03AD"/>
    <w:rsid w:val="00FA1D02"/>
    <w:rsid w:val="00FA2FB5"/>
    <w:rsid w:val="00FB00B6"/>
    <w:rsid w:val="00FB2F9B"/>
    <w:rsid w:val="00FB35C3"/>
    <w:rsid w:val="00FB38BE"/>
    <w:rsid w:val="00FB4DA0"/>
    <w:rsid w:val="00FB4DDA"/>
    <w:rsid w:val="00FB7AB9"/>
    <w:rsid w:val="00FC025D"/>
    <w:rsid w:val="00FC2CA1"/>
    <w:rsid w:val="00FC31F0"/>
    <w:rsid w:val="00FC5621"/>
    <w:rsid w:val="00FC56D9"/>
    <w:rsid w:val="00FD3DDC"/>
    <w:rsid w:val="00FE08DA"/>
    <w:rsid w:val="00FE12BA"/>
    <w:rsid w:val="00FE3D90"/>
    <w:rsid w:val="00FE6587"/>
    <w:rsid w:val="00FE7C21"/>
    <w:rsid w:val="00FF0EE1"/>
    <w:rsid w:val="00FF14A3"/>
    <w:rsid w:val="00FF22A3"/>
    <w:rsid w:val="00FF30B8"/>
    <w:rsid w:val="00FF7A3C"/>
    <w:rsid w:val="00FF7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4A24B676"/>
  <w15:docId w15:val="{046EB9A6-F3E4-4945-BB38-85519CA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9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21" w:qFormat="1"/>
    <w:lsdException w:name="Subtle Reference" w:semiHidden="1" w:uiPriority="98" w:qFormat="1"/>
    <w:lsdException w:name="Intense Reference" w:semiHidden="1" w:uiPriority="32" w:qFormat="1"/>
    <w:lsdException w:name="Book Title" w:semiHidden="1"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3F"/>
    <w:pPr>
      <w:spacing w:after="160" w:line="259" w:lineRule="auto"/>
    </w:pPr>
    <w:rPr>
      <w:sz w:val="22"/>
      <w:szCs w:val="22"/>
      <w:lang w:eastAsia="en-US"/>
    </w:rPr>
  </w:style>
  <w:style w:type="paragraph" w:styleId="Heading1">
    <w:name w:val="heading 1"/>
    <w:basedOn w:val="Normal"/>
    <w:next w:val="BodyText"/>
    <w:link w:val="Heading1Char"/>
    <w:uiPriority w:val="9"/>
    <w:qFormat/>
    <w:rsid w:val="00447322"/>
    <w:pPr>
      <w:pageBreakBefore/>
      <w:spacing w:after="400" w:line="240" w:lineRule="auto"/>
      <w:outlineLvl w:val="0"/>
    </w:pPr>
    <w:rPr>
      <w:rFonts w:ascii="Arial" w:hAnsi="Arial" w:cs="Arial"/>
      <w:sz w:val="48"/>
      <w:szCs w:val="48"/>
    </w:rPr>
  </w:style>
  <w:style w:type="paragraph" w:styleId="Heading2">
    <w:name w:val="heading 2"/>
    <w:basedOn w:val="Heading3"/>
    <w:next w:val="BodyText"/>
    <w:link w:val="Heading2Char"/>
    <w:uiPriority w:val="9"/>
    <w:unhideWhenUsed/>
    <w:qFormat/>
    <w:rsid w:val="00B71C68"/>
    <w:pPr>
      <w:outlineLvl w:val="1"/>
    </w:pPr>
    <w:rPr>
      <w:color w:val="2464AB"/>
      <w:sz w:val="30"/>
    </w:rPr>
  </w:style>
  <w:style w:type="paragraph" w:styleId="Heading3">
    <w:name w:val="heading 3"/>
    <w:next w:val="BodyText"/>
    <w:link w:val="Heading3Char"/>
    <w:uiPriority w:val="9"/>
    <w:unhideWhenUsed/>
    <w:qFormat/>
    <w:rsid w:val="00447322"/>
    <w:pPr>
      <w:keepNext/>
      <w:keepLines/>
      <w:spacing w:before="300" w:after="120"/>
      <w:outlineLvl w:val="2"/>
    </w:pPr>
    <w:rPr>
      <w:rFonts w:ascii="Arial" w:eastAsia="Times New Roman" w:hAnsi="Arial"/>
      <w:b/>
      <w:bCs/>
      <w:sz w:val="26"/>
      <w:szCs w:val="22"/>
      <w:lang w:eastAsia="en-US"/>
    </w:rPr>
  </w:style>
  <w:style w:type="paragraph" w:styleId="Heading4">
    <w:name w:val="heading 4"/>
    <w:basedOn w:val="Normal"/>
    <w:next w:val="BodyText"/>
    <w:link w:val="Heading4Char"/>
    <w:uiPriority w:val="9"/>
    <w:unhideWhenUsed/>
    <w:qFormat/>
    <w:rsid w:val="00447322"/>
    <w:pPr>
      <w:keepNext/>
      <w:keepLines/>
      <w:spacing w:before="300" w:after="120" w:line="240" w:lineRule="auto"/>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D03A6F"/>
    <w:pPr>
      <w:keepNext/>
      <w:keepLines/>
      <w:spacing w:before="300" w:after="120" w:line="240" w:lineRule="auto"/>
      <w:outlineLvl w:val="4"/>
    </w:pPr>
    <w:rPr>
      <w:rFonts w:ascii="Arial" w:eastAsia="Times New Roman" w:hAnsi="Arial"/>
      <w:b/>
      <w:bCs/>
      <w:iCs/>
      <w:szCs w:val="26"/>
    </w:rPr>
  </w:style>
  <w:style w:type="paragraph" w:styleId="Heading6">
    <w:name w:val="heading 6"/>
    <w:basedOn w:val="Normal"/>
    <w:next w:val="Normal"/>
    <w:link w:val="Heading6Char"/>
    <w:uiPriority w:val="9"/>
    <w:unhideWhenUsed/>
    <w:qFormat/>
    <w:rsid w:val="00DF73E7"/>
    <w:pPr>
      <w:keepNext/>
      <w:keepLines/>
      <w:spacing w:before="240" w:after="60"/>
      <w:outlineLvl w:val="5"/>
    </w:pPr>
    <w:rPr>
      <w:rFonts w:ascii="Arial" w:eastAsia="Times New Roman" w:hAnsi="Arial"/>
      <w:b/>
      <w:bCs/>
      <w:sz w:val="20"/>
    </w:rPr>
  </w:style>
  <w:style w:type="paragraph" w:styleId="Heading7">
    <w:name w:val="heading 7"/>
    <w:basedOn w:val="Normal"/>
    <w:next w:val="Normal"/>
    <w:link w:val="Heading7Char"/>
    <w:uiPriority w:val="9"/>
    <w:semiHidden/>
    <w:unhideWhenUsed/>
    <w:qFormat/>
    <w:rsid w:val="00856406"/>
    <w:pPr>
      <w:keepNext/>
      <w:keepLines/>
      <w:spacing w:before="40" w:after="0" w:line="240" w:lineRule="auto"/>
      <w:outlineLvl w:val="6"/>
    </w:pPr>
    <w:rPr>
      <w:rFonts w:ascii="Arial" w:eastAsiaTheme="majorEastAsia" w:hAnsi="Arial" w:cstheme="majorBidi"/>
      <w:color w:val="595959" w:themeColor="text1" w:themeTint="A6"/>
      <w:lang w:eastAsia="en-AU"/>
    </w:rPr>
  </w:style>
  <w:style w:type="paragraph" w:styleId="Heading8">
    <w:name w:val="heading 8"/>
    <w:basedOn w:val="Normal"/>
    <w:next w:val="Normal"/>
    <w:link w:val="Heading8Char"/>
    <w:uiPriority w:val="9"/>
    <w:semiHidden/>
    <w:unhideWhenUsed/>
    <w:qFormat/>
    <w:rsid w:val="00856406"/>
    <w:pPr>
      <w:keepNext/>
      <w:keepLines/>
      <w:spacing w:before="240" w:after="0" w:line="240" w:lineRule="auto"/>
      <w:outlineLvl w:val="7"/>
    </w:pPr>
    <w:rPr>
      <w:rFonts w:ascii="Arial" w:eastAsiaTheme="majorEastAsia" w:hAnsi="Arial" w:cstheme="majorBidi"/>
      <w:i/>
      <w:iCs/>
      <w:color w:val="272727" w:themeColor="text1" w:themeTint="D8"/>
      <w:lang w:eastAsia="en-AU"/>
    </w:rPr>
  </w:style>
  <w:style w:type="paragraph" w:styleId="Heading9">
    <w:name w:val="heading 9"/>
    <w:basedOn w:val="Normal"/>
    <w:next w:val="Normal"/>
    <w:link w:val="Heading9Char"/>
    <w:uiPriority w:val="9"/>
    <w:semiHidden/>
    <w:unhideWhenUsed/>
    <w:qFormat/>
    <w:rsid w:val="00856406"/>
    <w:pPr>
      <w:keepNext/>
      <w:keepLines/>
      <w:spacing w:before="240" w:after="0" w:line="240" w:lineRule="auto"/>
      <w:outlineLvl w:val="8"/>
    </w:pPr>
    <w:rPr>
      <w:rFonts w:ascii="Arial" w:eastAsiaTheme="majorEastAsia" w:hAnsi="Arial" w:cstheme="majorBidi"/>
      <w:color w:val="272727" w:themeColor="text1" w:themeTint="D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7322"/>
    <w:rPr>
      <w:rFonts w:ascii="Arial" w:hAnsi="Arial" w:cs="Arial"/>
      <w:sz w:val="48"/>
      <w:szCs w:val="48"/>
      <w:lang w:eastAsia="en-US"/>
    </w:rPr>
  </w:style>
  <w:style w:type="paragraph" w:customStyle="1" w:styleId="TableText">
    <w:name w:val="Table Text"/>
    <w:basedOn w:val="Normal"/>
    <w:uiPriority w:val="11"/>
    <w:qFormat/>
    <w:rsid w:val="00A178C0"/>
    <w:pPr>
      <w:spacing w:before="80" w:after="60" w:line="240" w:lineRule="auto"/>
    </w:pPr>
    <w:rPr>
      <w:rFonts w:ascii="Arial" w:hAnsi="Arial"/>
      <w:sz w:val="18"/>
    </w:rPr>
  </w:style>
  <w:style w:type="character" w:customStyle="1" w:styleId="Heading2Char">
    <w:name w:val="Heading 2 Char"/>
    <w:link w:val="Heading2"/>
    <w:uiPriority w:val="9"/>
    <w:rsid w:val="00B71C68"/>
    <w:rPr>
      <w:rFonts w:ascii="Arial" w:eastAsia="Times New Roman" w:hAnsi="Arial"/>
      <w:b/>
      <w:bCs/>
      <w:color w:val="2464AB"/>
      <w:sz w:val="30"/>
      <w:szCs w:val="26"/>
      <w:lang w:eastAsia="en-US"/>
    </w:rPr>
  </w:style>
  <w:style w:type="character" w:customStyle="1" w:styleId="Heading3Char">
    <w:name w:val="Heading 3 Char"/>
    <w:link w:val="Heading3"/>
    <w:uiPriority w:val="9"/>
    <w:rsid w:val="00447322"/>
    <w:rPr>
      <w:rFonts w:ascii="Arial" w:eastAsia="Times New Roman" w:hAnsi="Arial"/>
      <w:b/>
      <w:bCs/>
      <w:sz w:val="26"/>
      <w:szCs w:val="22"/>
      <w:lang w:eastAsia="en-US"/>
    </w:rPr>
  </w:style>
  <w:style w:type="paragraph" w:styleId="TOC1">
    <w:name w:val="toc 1"/>
    <w:basedOn w:val="Normal"/>
    <w:next w:val="Normal"/>
    <w:autoRedefine/>
    <w:uiPriority w:val="39"/>
    <w:unhideWhenUsed/>
    <w:rsid w:val="00122E20"/>
    <w:pPr>
      <w:tabs>
        <w:tab w:val="right" w:leader="dot" w:pos="9072"/>
      </w:tabs>
      <w:spacing w:before="200" w:after="80"/>
    </w:pPr>
    <w:rPr>
      <w:rFonts w:ascii="Arial" w:hAnsi="Arial"/>
      <w:b/>
      <w:sz w:val="20"/>
    </w:rPr>
  </w:style>
  <w:style w:type="paragraph" w:styleId="TOC2">
    <w:name w:val="toc 2"/>
    <w:basedOn w:val="Normal"/>
    <w:next w:val="Normal"/>
    <w:autoRedefine/>
    <w:uiPriority w:val="39"/>
    <w:unhideWhenUsed/>
    <w:rsid w:val="004B59DF"/>
    <w:pPr>
      <w:tabs>
        <w:tab w:val="right" w:leader="dot" w:pos="9072"/>
      </w:tabs>
      <w:spacing w:before="120" w:after="120" w:line="240" w:lineRule="auto"/>
    </w:pPr>
    <w:rPr>
      <w:rFonts w:ascii="Arial" w:hAnsi="Arial"/>
      <w:noProof/>
      <w:sz w:val="20"/>
    </w:rPr>
  </w:style>
  <w:style w:type="paragraph" w:styleId="TOC3">
    <w:name w:val="toc 3"/>
    <w:basedOn w:val="Normal"/>
    <w:next w:val="Normal"/>
    <w:autoRedefine/>
    <w:uiPriority w:val="39"/>
    <w:unhideWhenUsed/>
    <w:rsid w:val="00C90E80"/>
    <w:pPr>
      <w:ind w:left="440"/>
    </w:pPr>
  </w:style>
  <w:style w:type="character" w:styleId="Hyperlink">
    <w:name w:val="Hyperlink"/>
    <w:uiPriority w:val="99"/>
    <w:unhideWhenUsed/>
    <w:rsid w:val="00B4559F"/>
    <w:rPr>
      <w:color w:val="2464AB"/>
      <w:u w:val="single"/>
    </w:rPr>
  </w:style>
  <w:style w:type="paragraph" w:styleId="BodyText">
    <w:name w:val="Body Text"/>
    <w:link w:val="BodyTextChar"/>
    <w:uiPriority w:val="99"/>
    <w:rsid w:val="00D51FF2"/>
    <w:pPr>
      <w:spacing w:before="160" w:after="160" w:line="312" w:lineRule="auto"/>
    </w:pPr>
    <w:rPr>
      <w:rFonts w:ascii="Arial" w:eastAsia="Times New Roman" w:hAnsi="Arial" w:cs="Arial"/>
      <w:szCs w:val="24"/>
      <w:lang w:eastAsia="en-US"/>
    </w:rPr>
  </w:style>
  <w:style w:type="character" w:customStyle="1" w:styleId="BodyTextChar">
    <w:name w:val="Body Text Char"/>
    <w:link w:val="BodyText"/>
    <w:uiPriority w:val="99"/>
    <w:rsid w:val="00D51FF2"/>
    <w:rPr>
      <w:rFonts w:ascii="Arial" w:eastAsia="Times New Roman" w:hAnsi="Arial" w:cs="Arial"/>
      <w:szCs w:val="24"/>
      <w:lang w:eastAsia="en-US"/>
    </w:rPr>
  </w:style>
  <w:style w:type="paragraph" w:customStyle="1" w:styleId="TableColHead">
    <w:name w:val="Table Col Head"/>
    <w:basedOn w:val="Normal"/>
    <w:uiPriority w:val="11"/>
    <w:qFormat/>
    <w:rsid w:val="00934136"/>
    <w:pPr>
      <w:spacing w:before="80" w:after="60" w:line="240" w:lineRule="auto"/>
    </w:pPr>
    <w:rPr>
      <w:rFonts w:ascii="Arial" w:hAnsi="Arial" w:cs="Arial"/>
      <w:b/>
      <w:color w:val="FFFFFF"/>
      <w:sz w:val="18"/>
      <w:szCs w:val="18"/>
    </w:rPr>
  </w:style>
  <w:style w:type="paragraph" w:customStyle="1" w:styleId="TableTextRight">
    <w:name w:val="Table Text Right"/>
    <w:basedOn w:val="TableText"/>
    <w:qFormat/>
    <w:rsid w:val="008C1BE0"/>
    <w:pPr>
      <w:jc w:val="right"/>
    </w:pPr>
  </w:style>
  <w:style w:type="table" w:styleId="TableGrid">
    <w:name w:val="Table Grid"/>
    <w:basedOn w:val="TableNormal"/>
    <w:uiPriority w:val="39"/>
    <w:rsid w:val="006674B6"/>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EF1F9"/>
    </w:tcPr>
    <w:tblStylePr w:type="firstRow">
      <w:tblPr/>
      <w:tcPr>
        <w:shd w:val="clear" w:color="auto" w:fill="2464AB"/>
        <w:vAlign w:val="bottom"/>
      </w:tcPr>
    </w:tblStylePr>
  </w:style>
  <w:style w:type="paragraph" w:styleId="Header">
    <w:name w:val="header"/>
    <w:basedOn w:val="Normal"/>
    <w:link w:val="HeaderChar"/>
    <w:uiPriority w:val="99"/>
    <w:unhideWhenUsed/>
    <w:rsid w:val="00C71F11"/>
    <w:pPr>
      <w:tabs>
        <w:tab w:val="center" w:pos="4513"/>
        <w:tab w:val="right" w:pos="9026"/>
      </w:tabs>
    </w:pPr>
  </w:style>
  <w:style w:type="character" w:customStyle="1" w:styleId="HeaderChar">
    <w:name w:val="Header Char"/>
    <w:link w:val="Header"/>
    <w:uiPriority w:val="99"/>
    <w:rsid w:val="00C71F11"/>
    <w:rPr>
      <w:sz w:val="22"/>
      <w:szCs w:val="22"/>
      <w:lang w:eastAsia="en-US"/>
    </w:rPr>
  </w:style>
  <w:style w:type="paragraph" w:styleId="Footer">
    <w:name w:val="footer"/>
    <w:basedOn w:val="Normal"/>
    <w:link w:val="FooterChar"/>
    <w:uiPriority w:val="99"/>
    <w:unhideWhenUsed/>
    <w:rsid w:val="00783BEE"/>
    <w:pPr>
      <w:tabs>
        <w:tab w:val="right" w:pos="9072"/>
      </w:tabs>
      <w:spacing w:after="0" w:line="240" w:lineRule="auto"/>
    </w:pPr>
    <w:rPr>
      <w:rFonts w:ascii="Arial" w:hAnsi="Arial"/>
      <w:sz w:val="18"/>
    </w:rPr>
  </w:style>
  <w:style w:type="character" w:customStyle="1" w:styleId="FooterChar">
    <w:name w:val="Footer Char"/>
    <w:link w:val="Footer"/>
    <w:uiPriority w:val="99"/>
    <w:rsid w:val="00783BEE"/>
    <w:rPr>
      <w:rFonts w:ascii="Arial" w:hAnsi="Arial"/>
      <w:sz w:val="18"/>
      <w:szCs w:val="22"/>
      <w:lang w:eastAsia="en-US"/>
    </w:rPr>
  </w:style>
  <w:style w:type="paragraph" w:styleId="Caption">
    <w:name w:val="caption"/>
    <w:basedOn w:val="Normal"/>
    <w:next w:val="Normal"/>
    <w:uiPriority w:val="35"/>
    <w:unhideWhenUsed/>
    <w:qFormat/>
    <w:rsid w:val="003544EC"/>
    <w:pPr>
      <w:keepNext/>
      <w:keepLines/>
      <w:spacing w:before="300" w:after="120" w:line="240" w:lineRule="auto"/>
    </w:pPr>
    <w:rPr>
      <w:rFonts w:ascii="Arial" w:hAnsi="Arial" w:cs="Arial"/>
      <w:b/>
      <w:bCs/>
      <w:szCs w:val="20"/>
    </w:rPr>
  </w:style>
  <w:style w:type="paragraph" w:styleId="TOC4">
    <w:name w:val="toc 4"/>
    <w:basedOn w:val="Normal"/>
    <w:next w:val="Normal"/>
    <w:autoRedefine/>
    <w:uiPriority w:val="39"/>
    <w:rsid w:val="004F0321"/>
    <w:pPr>
      <w:spacing w:after="100"/>
      <w:ind w:left="660"/>
    </w:pPr>
    <w:rPr>
      <w:rFonts w:eastAsia="Times New Roman"/>
      <w:lang w:eastAsia="en-AU"/>
    </w:rPr>
  </w:style>
  <w:style w:type="paragraph" w:styleId="TOC5">
    <w:name w:val="toc 5"/>
    <w:basedOn w:val="Normal"/>
    <w:next w:val="Normal"/>
    <w:autoRedefine/>
    <w:uiPriority w:val="39"/>
    <w:rsid w:val="004F0321"/>
    <w:pPr>
      <w:spacing w:after="100"/>
      <w:ind w:left="880"/>
    </w:pPr>
    <w:rPr>
      <w:rFonts w:eastAsia="Times New Roman"/>
      <w:lang w:eastAsia="en-AU"/>
    </w:rPr>
  </w:style>
  <w:style w:type="paragraph" w:styleId="TOC6">
    <w:name w:val="toc 6"/>
    <w:basedOn w:val="Normal"/>
    <w:next w:val="Normal"/>
    <w:autoRedefine/>
    <w:uiPriority w:val="39"/>
    <w:rsid w:val="004F0321"/>
    <w:pPr>
      <w:spacing w:after="100"/>
      <w:ind w:left="1100"/>
    </w:pPr>
    <w:rPr>
      <w:rFonts w:eastAsia="Times New Roman"/>
      <w:lang w:eastAsia="en-AU"/>
    </w:rPr>
  </w:style>
  <w:style w:type="paragraph" w:styleId="TOC7">
    <w:name w:val="toc 7"/>
    <w:basedOn w:val="Normal"/>
    <w:next w:val="Normal"/>
    <w:autoRedefine/>
    <w:uiPriority w:val="39"/>
    <w:rsid w:val="004F0321"/>
    <w:pPr>
      <w:spacing w:after="100"/>
      <w:ind w:left="1320"/>
    </w:pPr>
    <w:rPr>
      <w:rFonts w:eastAsia="Times New Roman"/>
      <w:lang w:eastAsia="en-AU"/>
    </w:rPr>
  </w:style>
  <w:style w:type="paragraph" w:styleId="TOC8">
    <w:name w:val="toc 8"/>
    <w:basedOn w:val="Normal"/>
    <w:next w:val="Normal"/>
    <w:autoRedefine/>
    <w:uiPriority w:val="39"/>
    <w:rsid w:val="004F0321"/>
    <w:pPr>
      <w:spacing w:after="100"/>
      <w:ind w:left="1540"/>
    </w:pPr>
    <w:rPr>
      <w:rFonts w:eastAsia="Times New Roman"/>
      <w:lang w:eastAsia="en-AU"/>
    </w:rPr>
  </w:style>
  <w:style w:type="paragraph" w:styleId="TOC9">
    <w:name w:val="toc 9"/>
    <w:basedOn w:val="Normal"/>
    <w:next w:val="Normal"/>
    <w:autoRedefine/>
    <w:uiPriority w:val="39"/>
    <w:rsid w:val="004F0321"/>
    <w:pPr>
      <w:spacing w:after="100"/>
      <w:ind w:left="1760"/>
    </w:pPr>
    <w:rPr>
      <w:rFonts w:eastAsia="Times New Roman"/>
      <w:lang w:eastAsia="en-AU"/>
    </w:rPr>
  </w:style>
  <w:style w:type="paragraph" w:styleId="NoSpacing">
    <w:name w:val="No Spacing"/>
    <w:uiPriority w:val="1"/>
    <w:qFormat/>
    <w:rsid w:val="004F0321"/>
    <w:rPr>
      <w:sz w:val="22"/>
      <w:szCs w:val="22"/>
      <w:lang w:eastAsia="en-US"/>
    </w:rPr>
  </w:style>
  <w:style w:type="paragraph" w:styleId="NormalWeb">
    <w:name w:val="Normal (Web)"/>
    <w:basedOn w:val="Normal"/>
    <w:uiPriority w:val="99"/>
    <w:rsid w:val="00B74A1F"/>
    <w:rPr>
      <w:rFonts w:ascii="Times New Roman" w:hAnsi="Times New Roman"/>
      <w:sz w:val="24"/>
      <w:szCs w:val="24"/>
    </w:rPr>
  </w:style>
  <w:style w:type="paragraph" w:styleId="ListParagraph">
    <w:name w:val="List Paragraph"/>
    <w:basedOn w:val="Normal"/>
    <w:uiPriority w:val="34"/>
    <w:qFormat/>
    <w:rsid w:val="00A26139"/>
    <w:pPr>
      <w:spacing w:after="200" w:line="276" w:lineRule="auto"/>
      <w:ind w:left="720"/>
      <w:contextualSpacing/>
    </w:pPr>
  </w:style>
  <w:style w:type="paragraph" w:customStyle="1" w:styleId="TableColHeadRight">
    <w:name w:val="Table Col Head Right"/>
    <w:basedOn w:val="TableColHead"/>
    <w:qFormat/>
    <w:rsid w:val="008C1BE0"/>
    <w:pPr>
      <w:jc w:val="right"/>
    </w:pPr>
  </w:style>
  <w:style w:type="paragraph" w:customStyle="1" w:styleId="TableTextBold">
    <w:name w:val="Table Text Bold"/>
    <w:basedOn w:val="TableText"/>
    <w:qFormat/>
    <w:rsid w:val="00CE2CE5"/>
    <w:rPr>
      <w:b/>
    </w:rPr>
  </w:style>
  <w:style w:type="paragraph" w:styleId="ListBullet2">
    <w:name w:val="List Bullet 2"/>
    <w:basedOn w:val="BodyText"/>
    <w:uiPriority w:val="99"/>
    <w:rsid w:val="009C77A0"/>
    <w:pPr>
      <w:numPr>
        <w:ilvl w:val="1"/>
        <w:numId w:val="3"/>
      </w:numPr>
      <w:spacing w:before="0" w:after="40"/>
      <w:ind w:left="568" w:hanging="284"/>
    </w:pPr>
  </w:style>
  <w:style w:type="numbering" w:customStyle="1" w:styleId="CAVListStyleBullets">
    <w:name w:val="CAV List Style: Bullets"/>
    <w:uiPriority w:val="99"/>
    <w:rsid w:val="00C659AA"/>
    <w:pPr>
      <w:numPr>
        <w:numId w:val="1"/>
      </w:numPr>
    </w:pPr>
  </w:style>
  <w:style w:type="paragraph" w:styleId="BlockText">
    <w:name w:val="Block Text"/>
    <w:basedOn w:val="Normal"/>
    <w:semiHidden/>
    <w:rsid w:val="00C04AF5"/>
    <w:pPr>
      <w:spacing w:before="240" w:after="120" w:line="240" w:lineRule="auto"/>
      <w:ind w:left="1440" w:right="1440"/>
    </w:pPr>
    <w:rPr>
      <w:rFonts w:ascii="Arial" w:hAnsi="Arial" w:cs="Arial"/>
      <w:color w:val="FF0000"/>
      <w:u w:val="single"/>
      <w:lang w:eastAsia="en-AU"/>
    </w:rPr>
  </w:style>
  <w:style w:type="paragraph" w:styleId="FootnoteText">
    <w:name w:val="footnote text"/>
    <w:basedOn w:val="Normal"/>
    <w:link w:val="FootnoteTextChar"/>
    <w:uiPriority w:val="8"/>
    <w:rsid w:val="00A54548"/>
    <w:pPr>
      <w:spacing w:before="60" w:after="60" w:line="264" w:lineRule="auto"/>
      <w:ind w:left="340" w:hanging="340"/>
    </w:pPr>
    <w:rPr>
      <w:rFonts w:ascii="Arial" w:hAnsi="Arial" w:cs="Arial"/>
      <w:sz w:val="18"/>
      <w:szCs w:val="16"/>
    </w:rPr>
  </w:style>
  <w:style w:type="character" w:styleId="Emphasis">
    <w:name w:val="Emphasis"/>
    <w:uiPriority w:val="20"/>
    <w:qFormat/>
    <w:rsid w:val="00422C46"/>
    <w:rPr>
      <w:i/>
      <w:iCs/>
    </w:rPr>
  </w:style>
  <w:style w:type="character" w:styleId="Strong">
    <w:name w:val="Strong"/>
    <w:uiPriority w:val="22"/>
    <w:qFormat/>
    <w:rsid w:val="008A5248"/>
    <w:rPr>
      <w:b/>
      <w:bCs/>
    </w:rPr>
  </w:style>
  <w:style w:type="character" w:styleId="CommentReference">
    <w:name w:val="annotation reference"/>
    <w:uiPriority w:val="99"/>
    <w:semiHidden/>
    <w:unhideWhenUsed/>
    <w:rsid w:val="00E44B22"/>
    <w:rPr>
      <w:sz w:val="16"/>
      <w:szCs w:val="16"/>
    </w:rPr>
  </w:style>
  <w:style w:type="paragraph" w:styleId="CommentText">
    <w:name w:val="annotation text"/>
    <w:basedOn w:val="Normal"/>
    <w:link w:val="CommentTextChar"/>
    <w:uiPriority w:val="99"/>
    <w:unhideWhenUsed/>
    <w:rsid w:val="00E44B22"/>
    <w:rPr>
      <w:sz w:val="20"/>
      <w:szCs w:val="20"/>
    </w:rPr>
  </w:style>
  <w:style w:type="character" w:customStyle="1" w:styleId="CommentTextChar">
    <w:name w:val="Comment Text Char"/>
    <w:link w:val="CommentText"/>
    <w:uiPriority w:val="99"/>
    <w:rsid w:val="00E44B22"/>
    <w:rPr>
      <w:lang w:eastAsia="en-US"/>
    </w:rPr>
  </w:style>
  <w:style w:type="paragraph" w:styleId="CommentSubject">
    <w:name w:val="annotation subject"/>
    <w:basedOn w:val="CommentText"/>
    <w:next w:val="CommentText"/>
    <w:link w:val="CommentSubjectChar"/>
    <w:uiPriority w:val="99"/>
    <w:semiHidden/>
    <w:unhideWhenUsed/>
    <w:rsid w:val="00E44B22"/>
    <w:rPr>
      <w:b/>
      <w:bCs/>
    </w:rPr>
  </w:style>
  <w:style w:type="character" w:customStyle="1" w:styleId="CommentSubjectChar">
    <w:name w:val="Comment Subject Char"/>
    <w:link w:val="CommentSubject"/>
    <w:uiPriority w:val="99"/>
    <w:semiHidden/>
    <w:rsid w:val="00E44B22"/>
    <w:rPr>
      <w:b/>
      <w:bCs/>
      <w:lang w:eastAsia="en-US"/>
    </w:rPr>
  </w:style>
  <w:style w:type="paragraph" w:styleId="BalloonText">
    <w:name w:val="Balloon Text"/>
    <w:basedOn w:val="Normal"/>
    <w:link w:val="BalloonTextChar"/>
    <w:uiPriority w:val="99"/>
    <w:semiHidden/>
    <w:unhideWhenUsed/>
    <w:rsid w:val="00E44B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4B22"/>
    <w:rPr>
      <w:rFonts w:ascii="Segoe UI" w:hAnsi="Segoe UI" w:cs="Segoe UI"/>
      <w:sz w:val="18"/>
      <w:szCs w:val="18"/>
      <w:lang w:eastAsia="en-US"/>
    </w:rPr>
  </w:style>
  <w:style w:type="character" w:customStyle="1" w:styleId="Heading4Char">
    <w:name w:val="Heading 4 Char"/>
    <w:link w:val="Heading4"/>
    <w:uiPriority w:val="9"/>
    <w:rsid w:val="00447322"/>
    <w:rPr>
      <w:rFonts w:ascii="Arial" w:eastAsia="Times New Roman" w:hAnsi="Arial"/>
      <w:b/>
      <w:bCs/>
      <w:sz w:val="22"/>
      <w:szCs w:val="22"/>
      <w:lang w:eastAsia="en-US"/>
    </w:rPr>
  </w:style>
  <w:style w:type="paragraph" w:styleId="Revision">
    <w:name w:val="Revision"/>
    <w:hidden/>
    <w:uiPriority w:val="99"/>
    <w:semiHidden/>
    <w:rsid w:val="00A73820"/>
    <w:rPr>
      <w:sz w:val="22"/>
      <w:szCs w:val="22"/>
      <w:lang w:eastAsia="en-US"/>
    </w:rPr>
  </w:style>
  <w:style w:type="character" w:customStyle="1" w:styleId="FootnoteTextChar">
    <w:name w:val="Footnote Text Char"/>
    <w:link w:val="FootnoteText"/>
    <w:uiPriority w:val="8"/>
    <w:rsid w:val="00A54548"/>
    <w:rPr>
      <w:rFonts w:ascii="Arial" w:hAnsi="Arial" w:cs="Arial"/>
      <w:sz w:val="18"/>
      <w:szCs w:val="16"/>
      <w:lang w:eastAsia="en-US"/>
    </w:rPr>
  </w:style>
  <w:style w:type="character" w:styleId="FootnoteReference">
    <w:name w:val="footnote reference"/>
    <w:uiPriority w:val="99"/>
    <w:rsid w:val="003D521F"/>
    <w:rPr>
      <w:vertAlign w:val="superscript"/>
    </w:rPr>
  </w:style>
  <w:style w:type="paragraph" w:styleId="TableofFigures">
    <w:name w:val="table of figures"/>
    <w:basedOn w:val="Normal"/>
    <w:next w:val="Normal"/>
    <w:uiPriority w:val="99"/>
    <w:unhideWhenUsed/>
    <w:qFormat/>
    <w:rsid w:val="00624207"/>
  </w:style>
  <w:style w:type="character" w:styleId="FollowedHyperlink">
    <w:name w:val="FollowedHyperlink"/>
    <w:uiPriority w:val="99"/>
    <w:rsid w:val="004F061C"/>
    <w:rPr>
      <w:color w:val="954F72"/>
      <w:u w:val="single"/>
    </w:rPr>
  </w:style>
  <w:style w:type="paragraph" w:styleId="ListBullet">
    <w:name w:val="List Bullet"/>
    <w:basedOn w:val="BodyText"/>
    <w:uiPriority w:val="99"/>
    <w:rsid w:val="009C77A0"/>
    <w:pPr>
      <w:numPr>
        <w:numId w:val="3"/>
      </w:numPr>
      <w:spacing w:before="0" w:after="40"/>
    </w:pPr>
  </w:style>
  <w:style w:type="character" w:customStyle="1" w:styleId="Heading5Char">
    <w:name w:val="Heading 5 Char"/>
    <w:link w:val="Heading5"/>
    <w:uiPriority w:val="9"/>
    <w:rsid w:val="00D03A6F"/>
    <w:rPr>
      <w:rFonts w:ascii="Arial" w:eastAsia="Times New Roman" w:hAnsi="Arial"/>
      <w:b/>
      <w:bCs/>
      <w:iCs/>
      <w:sz w:val="22"/>
      <w:szCs w:val="26"/>
      <w:lang w:eastAsia="en-US"/>
    </w:rPr>
  </w:style>
  <w:style w:type="paragraph" w:styleId="ListNumber">
    <w:name w:val="List Number"/>
    <w:basedOn w:val="Normal"/>
    <w:uiPriority w:val="99"/>
    <w:rsid w:val="00896A7C"/>
    <w:pPr>
      <w:numPr>
        <w:numId w:val="2"/>
      </w:numPr>
      <w:spacing w:line="312" w:lineRule="auto"/>
      <w:ind w:left="357" w:hanging="357"/>
      <w:contextualSpacing/>
    </w:pPr>
    <w:rPr>
      <w:rFonts w:ascii="Arial" w:hAnsi="Arial"/>
      <w:sz w:val="20"/>
    </w:rPr>
  </w:style>
  <w:style w:type="character" w:customStyle="1" w:styleId="UnresolvedMention1">
    <w:name w:val="Unresolved Mention1"/>
    <w:uiPriority w:val="99"/>
    <w:semiHidden/>
    <w:unhideWhenUsed/>
    <w:rsid w:val="003B545A"/>
    <w:rPr>
      <w:color w:val="808080"/>
      <w:shd w:val="clear" w:color="auto" w:fill="E6E6E6"/>
    </w:rPr>
  </w:style>
  <w:style w:type="character" w:customStyle="1" w:styleId="Heading6Char">
    <w:name w:val="Heading 6 Char"/>
    <w:link w:val="Heading6"/>
    <w:uiPriority w:val="9"/>
    <w:rsid w:val="00DF73E7"/>
    <w:rPr>
      <w:rFonts w:ascii="Arial" w:eastAsia="Times New Roman" w:hAnsi="Arial"/>
      <w:b/>
      <w:bCs/>
      <w:szCs w:val="22"/>
      <w:lang w:eastAsia="en-US"/>
    </w:rPr>
  </w:style>
  <w:style w:type="paragraph" w:customStyle="1" w:styleId="TableTextRightBold">
    <w:name w:val="Table Text Right Bold"/>
    <w:basedOn w:val="TableTextRight"/>
    <w:qFormat/>
    <w:rsid w:val="00006DE3"/>
    <w:rPr>
      <w:b/>
    </w:rPr>
  </w:style>
  <w:style w:type="paragraph" w:styleId="TOCHeading">
    <w:name w:val="TOC Heading"/>
    <w:basedOn w:val="Heading1"/>
    <w:next w:val="BodyText"/>
    <w:uiPriority w:val="39"/>
    <w:qFormat/>
    <w:rsid w:val="00EB6E61"/>
  </w:style>
  <w:style w:type="numbering" w:customStyle="1" w:styleId="ZZListBullets">
    <w:name w:val="ZZ List Bullets"/>
    <w:uiPriority w:val="99"/>
    <w:rsid w:val="00E320F3"/>
    <w:pPr>
      <w:numPr>
        <w:numId w:val="3"/>
      </w:numPr>
    </w:pPr>
  </w:style>
  <w:style w:type="paragraph" w:customStyle="1" w:styleId="Heading2small">
    <w:name w:val="Heading 2 small"/>
    <w:basedOn w:val="Heading2"/>
    <w:qFormat/>
    <w:rsid w:val="009A03ED"/>
    <w:pPr>
      <w:spacing w:before="280"/>
    </w:pPr>
    <w:rPr>
      <w:color w:val="auto"/>
      <w:sz w:val="22"/>
    </w:rPr>
  </w:style>
  <w:style w:type="character" w:customStyle="1" w:styleId="Heading7Char">
    <w:name w:val="Heading 7 Char"/>
    <w:basedOn w:val="DefaultParagraphFont"/>
    <w:link w:val="Heading7"/>
    <w:uiPriority w:val="9"/>
    <w:semiHidden/>
    <w:rsid w:val="00856406"/>
    <w:rPr>
      <w:rFonts w:ascii="Arial" w:eastAsiaTheme="majorEastAsia" w:hAnsi="Arial"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856406"/>
    <w:rPr>
      <w:rFonts w:ascii="Arial" w:eastAsiaTheme="majorEastAsia" w:hAnsi="Arial"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856406"/>
    <w:rPr>
      <w:rFonts w:ascii="Arial" w:eastAsiaTheme="majorEastAsia" w:hAnsi="Arial" w:cstheme="majorBidi"/>
      <w:color w:val="272727" w:themeColor="text1" w:themeTint="D8"/>
      <w:sz w:val="22"/>
      <w:szCs w:val="22"/>
    </w:rPr>
  </w:style>
  <w:style w:type="paragraph" w:styleId="Title">
    <w:name w:val="Title"/>
    <w:basedOn w:val="Heading1"/>
    <w:next w:val="Normal"/>
    <w:link w:val="TitleChar"/>
    <w:uiPriority w:val="10"/>
    <w:qFormat/>
    <w:rsid w:val="00B71C68"/>
    <w:pPr>
      <w:spacing w:before="4400" w:after="8400"/>
      <w:jc w:val="center"/>
      <w:outlineLvl w:val="9"/>
    </w:pPr>
  </w:style>
  <w:style w:type="character" w:customStyle="1" w:styleId="TitleChar">
    <w:name w:val="Title Char"/>
    <w:basedOn w:val="DefaultParagraphFont"/>
    <w:link w:val="Title"/>
    <w:uiPriority w:val="10"/>
    <w:rsid w:val="00B71C68"/>
    <w:rPr>
      <w:rFonts w:ascii="Arial" w:hAnsi="Arial" w:cs="Arial"/>
      <w:sz w:val="48"/>
      <w:szCs w:val="48"/>
      <w:lang w:eastAsia="en-US"/>
    </w:rPr>
  </w:style>
  <w:style w:type="paragraph" w:styleId="Subtitle">
    <w:name w:val="Subtitle"/>
    <w:basedOn w:val="Normal"/>
    <w:next w:val="Normal"/>
    <w:link w:val="SubtitleChar"/>
    <w:uiPriority w:val="11"/>
    <w:qFormat/>
    <w:rsid w:val="00856406"/>
    <w:pPr>
      <w:numPr>
        <w:ilvl w:val="1"/>
      </w:numPr>
      <w:spacing w:before="240" w:after="240" w:line="240" w:lineRule="auto"/>
    </w:pPr>
    <w:rPr>
      <w:rFonts w:ascii="Arial" w:eastAsiaTheme="majorEastAsia" w:hAnsi="Arial" w:cstheme="majorBidi"/>
      <w:color w:val="595959" w:themeColor="text1" w:themeTint="A6"/>
      <w:spacing w:val="15"/>
      <w:sz w:val="28"/>
      <w:szCs w:val="28"/>
      <w:lang w:eastAsia="en-AU"/>
    </w:rPr>
  </w:style>
  <w:style w:type="character" w:customStyle="1" w:styleId="SubtitleChar">
    <w:name w:val="Subtitle Char"/>
    <w:basedOn w:val="DefaultParagraphFont"/>
    <w:link w:val="Subtitle"/>
    <w:uiPriority w:val="11"/>
    <w:rsid w:val="00856406"/>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856406"/>
    <w:pPr>
      <w:spacing w:before="160" w:after="240" w:line="240" w:lineRule="auto"/>
      <w:jc w:val="center"/>
    </w:pPr>
    <w:rPr>
      <w:rFonts w:ascii="Arial" w:hAnsi="Arial" w:cs="Arial"/>
      <w:i/>
      <w:iCs/>
      <w:color w:val="404040" w:themeColor="text1" w:themeTint="BF"/>
      <w:lang w:eastAsia="en-AU"/>
    </w:rPr>
  </w:style>
  <w:style w:type="character" w:customStyle="1" w:styleId="QuoteChar">
    <w:name w:val="Quote Char"/>
    <w:basedOn w:val="DefaultParagraphFont"/>
    <w:link w:val="Quote"/>
    <w:uiPriority w:val="29"/>
    <w:rsid w:val="00856406"/>
    <w:rPr>
      <w:rFonts w:ascii="Arial" w:hAnsi="Arial" w:cs="Arial"/>
      <w:i/>
      <w:iCs/>
      <w:color w:val="404040" w:themeColor="text1" w:themeTint="BF"/>
      <w:sz w:val="22"/>
      <w:szCs w:val="22"/>
    </w:rPr>
  </w:style>
  <w:style w:type="character" w:styleId="IntenseEmphasis">
    <w:name w:val="Intense Emphasis"/>
    <w:basedOn w:val="DefaultParagraphFont"/>
    <w:uiPriority w:val="21"/>
    <w:qFormat/>
    <w:rsid w:val="00856406"/>
    <w:rPr>
      <w:i/>
      <w:iCs/>
      <w:color w:val="365F91" w:themeColor="accent1" w:themeShade="BF"/>
    </w:rPr>
  </w:style>
  <w:style w:type="paragraph" w:styleId="IntenseQuote">
    <w:name w:val="Intense Quote"/>
    <w:basedOn w:val="Normal"/>
    <w:next w:val="Normal"/>
    <w:link w:val="IntenseQuoteChar"/>
    <w:uiPriority w:val="30"/>
    <w:qFormat/>
    <w:rsid w:val="00856406"/>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Arial" w:hAnsi="Arial" w:cs="Arial"/>
      <w:i/>
      <w:iCs/>
      <w:color w:val="365F91" w:themeColor="accent1" w:themeShade="BF"/>
      <w:lang w:eastAsia="en-AU"/>
    </w:rPr>
  </w:style>
  <w:style w:type="character" w:customStyle="1" w:styleId="IntenseQuoteChar">
    <w:name w:val="Intense Quote Char"/>
    <w:basedOn w:val="DefaultParagraphFont"/>
    <w:link w:val="IntenseQuote"/>
    <w:uiPriority w:val="30"/>
    <w:rsid w:val="00856406"/>
    <w:rPr>
      <w:rFonts w:ascii="Arial" w:hAnsi="Arial" w:cs="Arial"/>
      <w:i/>
      <w:iCs/>
      <w:color w:val="365F91" w:themeColor="accent1" w:themeShade="BF"/>
      <w:sz w:val="22"/>
      <w:szCs w:val="22"/>
    </w:rPr>
  </w:style>
  <w:style w:type="character" w:styleId="IntenseReference">
    <w:name w:val="Intense Reference"/>
    <w:basedOn w:val="DefaultParagraphFont"/>
    <w:uiPriority w:val="32"/>
    <w:qFormat/>
    <w:rsid w:val="00856406"/>
    <w:rPr>
      <w:b/>
      <w:bCs/>
      <w:smallCaps/>
      <w:color w:val="365F91" w:themeColor="accent1" w:themeShade="BF"/>
      <w:spacing w:val="5"/>
    </w:rPr>
  </w:style>
  <w:style w:type="character" w:styleId="Mention">
    <w:name w:val="Mention"/>
    <w:basedOn w:val="DefaultParagraphFont"/>
    <w:uiPriority w:val="99"/>
    <w:unhideWhenUsed/>
    <w:rsid w:val="00856406"/>
    <w:rPr>
      <w:color w:val="2B579A"/>
      <w:shd w:val="clear" w:color="auto" w:fill="E1DFDD"/>
    </w:rPr>
  </w:style>
  <w:style w:type="paragraph" w:customStyle="1" w:styleId="Bodytextbulletlist">
    <w:name w:val="Body text bullet list"/>
    <w:basedOn w:val="Normal"/>
    <w:uiPriority w:val="1"/>
    <w:qFormat/>
    <w:rsid w:val="00856406"/>
    <w:pPr>
      <w:numPr>
        <w:numId w:val="5"/>
      </w:numPr>
      <w:tabs>
        <w:tab w:val="clear" w:pos="482"/>
      </w:tabs>
      <w:spacing w:after="120" w:line="240" w:lineRule="auto"/>
      <w:ind w:left="0" w:firstLine="0"/>
      <w:contextualSpacing/>
    </w:pPr>
    <w:rPr>
      <w:rFonts w:asciiTheme="minorHAnsi" w:eastAsia="Times New Roman" w:hAnsiTheme="minorHAnsi"/>
      <w:sz w:val="20"/>
      <w:szCs w:val="20"/>
    </w:rPr>
  </w:style>
  <w:style w:type="table" w:styleId="ListTable1Light-Accent4">
    <w:name w:val="List Table 1 Light Accent 4"/>
    <w:basedOn w:val="TableNormal"/>
    <w:uiPriority w:val="46"/>
    <w:rsid w:val="00856406"/>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EndnoteText">
    <w:name w:val="endnote text"/>
    <w:basedOn w:val="Normal"/>
    <w:link w:val="EndnoteTextChar"/>
    <w:uiPriority w:val="99"/>
    <w:semiHidden/>
    <w:unhideWhenUsed/>
    <w:rsid w:val="00856406"/>
    <w:pPr>
      <w:spacing w:after="0" w:line="240" w:lineRule="auto"/>
    </w:pPr>
    <w:rPr>
      <w:rFonts w:ascii="Arial" w:hAnsi="Arial" w:cs="Arial"/>
      <w:sz w:val="20"/>
      <w:szCs w:val="20"/>
      <w:lang w:eastAsia="en-AU"/>
    </w:rPr>
  </w:style>
  <w:style w:type="character" w:customStyle="1" w:styleId="EndnoteTextChar">
    <w:name w:val="Endnote Text Char"/>
    <w:basedOn w:val="DefaultParagraphFont"/>
    <w:link w:val="EndnoteText"/>
    <w:uiPriority w:val="99"/>
    <w:semiHidden/>
    <w:rsid w:val="00856406"/>
    <w:rPr>
      <w:rFonts w:ascii="Arial" w:hAnsi="Arial" w:cs="Arial"/>
    </w:rPr>
  </w:style>
  <w:style w:type="character" w:styleId="EndnoteReference">
    <w:name w:val="endnote reference"/>
    <w:basedOn w:val="DefaultParagraphFont"/>
    <w:uiPriority w:val="99"/>
    <w:semiHidden/>
    <w:unhideWhenUsed/>
    <w:rsid w:val="00856406"/>
    <w:rPr>
      <w:vertAlign w:val="superscript"/>
    </w:rPr>
  </w:style>
  <w:style w:type="table" w:customStyle="1" w:styleId="DJRReporttablestyleNavy">
    <w:name w:val="DJR Report table style Navy"/>
    <w:basedOn w:val="TableNormal"/>
    <w:uiPriority w:val="99"/>
    <w:rsid w:val="00856406"/>
    <w:pPr>
      <w:spacing w:before="80" w:after="60"/>
    </w:pPr>
    <w:rPr>
      <w:rFonts w:ascii="Arial" w:eastAsia="Times New Roman" w:hAnsi="Arial"/>
    </w:rPr>
    <w:tblPr>
      <w:tblInd w:w="68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
    <w:tblStylePr w:type="firstRow">
      <w:rPr>
        <w:rFonts w:ascii="Arial" w:hAnsi="Arial"/>
        <w:b/>
        <w:sz w:val="22"/>
      </w:rPr>
      <w:tblPr/>
      <w:tcPr>
        <w:tcBorders>
          <w:insideV w:val="single" w:sz="4" w:space="0" w:color="FFFFFF" w:themeColor="background1"/>
        </w:tcBorders>
        <w:shd w:val="clear" w:color="auto" w:fill="1F497D" w:themeFill="text2"/>
      </w:tcPr>
    </w:tblStylePr>
  </w:style>
  <w:style w:type="table" w:styleId="TableGridLight">
    <w:name w:val="Grid Table Light"/>
    <w:basedOn w:val="TableNormal"/>
    <w:uiPriority w:val="40"/>
    <w:rsid w:val="00856406"/>
    <w:rPr>
      <w:rFonts w:ascii="Times New Roman" w:eastAsia="Times New Roman" w:hAnsi="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856406"/>
    <w:rPr>
      <w:rFonts w:ascii="Times New Roman" w:eastAsia="Times New Roman" w:hAnsi="Times New Roman"/>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Heading2notforTOC">
    <w:name w:val="Heading 2 not for TOC"/>
    <w:basedOn w:val="Heading2"/>
    <w:qFormat/>
    <w:rsid w:val="005F6712"/>
  </w:style>
  <w:style w:type="character" w:styleId="UnresolvedMention">
    <w:name w:val="Unresolved Mention"/>
    <w:basedOn w:val="DefaultParagraphFont"/>
    <w:uiPriority w:val="99"/>
    <w:semiHidden/>
    <w:unhideWhenUsed/>
    <w:rsid w:val="00247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724">
      <w:bodyDiv w:val="1"/>
      <w:marLeft w:val="0"/>
      <w:marRight w:val="0"/>
      <w:marTop w:val="0"/>
      <w:marBottom w:val="0"/>
      <w:divBdr>
        <w:top w:val="none" w:sz="0" w:space="0" w:color="auto"/>
        <w:left w:val="none" w:sz="0" w:space="0" w:color="auto"/>
        <w:bottom w:val="none" w:sz="0" w:space="0" w:color="auto"/>
        <w:right w:val="none" w:sz="0" w:space="0" w:color="auto"/>
      </w:divBdr>
    </w:div>
    <w:div w:id="67700473">
      <w:bodyDiv w:val="1"/>
      <w:marLeft w:val="0"/>
      <w:marRight w:val="0"/>
      <w:marTop w:val="0"/>
      <w:marBottom w:val="0"/>
      <w:divBdr>
        <w:top w:val="none" w:sz="0" w:space="0" w:color="auto"/>
        <w:left w:val="none" w:sz="0" w:space="0" w:color="auto"/>
        <w:bottom w:val="none" w:sz="0" w:space="0" w:color="auto"/>
        <w:right w:val="none" w:sz="0" w:space="0" w:color="auto"/>
      </w:divBdr>
    </w:div>
    <w:div w:id="78991551">
      <w:bodyDiv w:val="1"/>
      <w:marLeft w:val="0"/>
      <w:marRight w:val="0"/>
      <w:marTop w:val="0"/>
      <w:marBottom w:val="0"/>
      <w:divBdr>
        <w:top w:val="none" w:sz="0" w:space="0" w:color="auto"/>
        <w:left w:val="none" w:sz="0" w:space="0" w:color="auto"/>
        <w:bottom w:val="none" w:sz="0" w:space="0" w:color="auto"/>
        <w:right w:val="none" w:sz="0" w:space="0" w:color="auto"/>
      </w:divBdr>
    </w:div>
    <w:div w:id="94137366">
      <w:bodyDiv w:val="1"/>
      <w:marLeft w:val="0"/>
      <w:marRight w:val="0"/>
      <w:marTop w:val="0"/>
      <w:marBottom w:val="0"/>
      <w:divBdr>
        <w:top w:val="none" w:sz="0" w:space="0" w:color="auto"/>
        <w:left w:val="none" w:sz="0" w:space="0" w:color="auto"/>
        <w:bottom w:val="none" w:sz="0" w:space="0" w:color="auto"/>
        <w:right w:val="none" w:sz="0" w:space="0" w:color="auto"/>
      </w:divBdr>
    </w:div>
    <w:div w:id="119108128">
      <w:bodyDiv w:val="1"/>
      <w:marLeft w:val="0"/>
      <w:marRight w:val="0"/>
      <w:marTop w:val="0"/>
      <w:marBottom w:val="0"/>
      <w:divBdr>
        <w:top w:val="none" w:sz="0" w:space="0" w:color="auto"/>
        <w:left w:val="none" w:sz="0" w:space="0" w:color="auto"/>
        <w:bottom w:val="none" w:sz="0" w:space="0" w:color="auto"/>
        <w:right w:val="none" w:sz="0" w:space="0" w:color="auto"/>
      </w:divBdr>
    </w:div>
    <w:div w:id="177160737">
      <w:bodyDiv w:val="1"/>
      <w:marLeft w:val="0"/>
      <w:marRight w:val="0"/>
      <w:marTop w:val="0"/>
      <w:marBottom w:val="0"/>
      <w:divBdr>
        <w:top w:val="none" w:sz="0" w:space="0" w:color="auto"/>
        <w:left w:val="none" w:sz="0" w:space="0" w:color="auto"/>
        <w:bottom w:val="none" w:sz="0" w:space="0" w:color="auto"/>
        <w:right w:val="none" w:sz="0" w:space="0" w:color="auto"/>
      </w:divBdr>
    </w:div>
    <w:div w:id="179854712">
      <w:bodyDiv w:val="1"/>
      <w:marLeft w:val="0"/>
      <w:marRight w:val="0"/>
      <w:marTop w:val="0"/>
      <w:marBottom w:val="0"/>
      <w:divBdr>
        <w:top w:val="none" w:sz="0" w:space="0" w:color="auto"/>
        <w:left w:val="none" w:sz="0" w:space="0" w:color="auto"/>
        <w:bottom w:val="none" w:sz="0" w:space="0" w:color="auto"/>
        <w:right w:val="none" w:sz="0" w:space="0" w:color="auto"/>
      </w:divBdr>
    </w:div>
    <w:div w:id="246889497">
      <w:bodyDiv w:val="1"/>
      <w:marLeft w:val="0"/>
      <w:marRight w:val="0"/>
      <w:marTop w:val="0"/>
      <w:marBottom w:val="0"/>
      <w:divBdr>
        <w:top w:val="none" w:sz="0" w:space="0" w:color="auto"/>
        <w:left w:val="none" w:sz="0" w:space="0" w:color="auto"/>
        <w:bottom w:val="none" w:sz="0" w:space="0" w:color="auto"/>
        <w:right w:val="none" w:sz="0" w:space="0" w:color="auto"/>
      </w:divBdr>
    </w:div>
    <w:div w:id="248735409">
      <w:bodyDiv w:val="1"/>
      <w:marLeft w:val="0"/>
      <w:marRight w:val="0"/>
      <w:marTop w:val="0"/>
      <w:marBottom w:val="0"/>
      <w:divBdr>
        <w:top w:val="none" w:sz="0" w:space="0" w:color="auto"/>
        <w:left w:val="none" w:sz="0" w:space="0" w:color="auto"/>
        <w:bottom w:val="none" w:sz="0" w:space="0" w:color="auto"/>
        <w:right w:val="none" w:sz="0" w:space="0" w:color="auto"/>
      </w:divBdr>
    </w:div>
    <w:div w:id="269624268">
      <w:bodyDiv w:val="1"/>
      <w:marLeft w:val="0"/>
      <w:marRight w:val="0"/>
      <w:marTop w:val="0"/>
      <w:marBottom w:val="0"/>
      <w:divBdr>
        <w:top w:val="none" w:sz="0" w:space="0" w:color="auto"/>
        <w:left w:val="none" w:sz="0" w:space="0" w:color="auto"/>
        <w:bottom w:val="none" w:sz="0" w:space="0" w:color="auto"/>
        <w:right w:val="none" w:sz="0" w:space="0" w:color="auto"/>
      </w:divBdr>
    </w:div>
    <w:div w:id="306325682">
      <w:bodyDiv w:val="1"/>
      <w:marLeft w:val="0"/>
      <w:marRight w:val="0"/>
      <w:marTop w:val="0"/>
      <w:marBottom w:val="0"/>
      <w:divBdr>
        <w:top w:val="none" w:sz="0" w:space="0" w:color="auto"/>
        <w:left w:val="none" w:sz="0" w:space="0" w:color="auto"/>
        <w:bottom w:val="none" w:sz="0" w:space="0" w:color="auto"/>
        <w:right w:val="none" w:sz="0" w:space="0" w:color="auto"/>
      </w:divBdr>
    </w:div>
    <w:div w:id="324090989">
      <w:bodyDiv w:val="1"/>
      <w:marLeft w:val="0"/>
      <w:marRight w:val="0"/>
      <w:marTop w:val="0"/>
      <w:marBottom w:val="0"/>
      <w:divBdr>
        <w:top w:val="none" w:sz="0" w:space="0" w:color="auto"/>
        <w:left w:val="none" w:sz="0" w:space="0" w:color="auto"/>
        <w:bottom w:val="none" w:sz="0" w:space="0" w:color="auto"/>
        <w:right w:val="none" w:sz="0" w:space="0" w:color="auto"/>
      </w:divBdr>
    </w:div>
    <w:div w:id="447622962">
      <w:bodyDiv w:val="1"/>
      <w:marLeft w:val="0"/>
      <w:marRight w:val="0"/>
      <w:marTop w:val="0"/>
      <w:marBottom w:val="0"/>
      <w:divBdr>
        <w:top w:val="none" w:sz="0" w:space="0" w:color="auto"/>
        <w:left w:val="none" w:sz="0" w:space="0" w:color="auto"/>
        <w:bottom w:val="none" w:sz="0" w:space="0" w:color="auto"/>
        <w:right w:val="none" w:sz="0" w:space="0" w:color="auto"/>
      </w:divBdr>
    </w:div>
    <w:div w:id="602615279">
      <w:bodyDiv w:val="1"/>
      <w:marLeft w:val="0"/>
      <w:marRight w:val="0"/>
      <w:marTop w:val="0"/>
      <w:marBottom w:val="0"/>
      <w:divBdr>
        <w:top w:val="none" w:sz="0" w:space="0" w:color="auto"/>
        <w:left w:val="none" w:sz="0" w:space="0" w:color="auto"/>
        <w:bottom w:val="none" w:sz="0" w:space="0" w:color="auto"/>
        <w:right w:val="none" w:sz="0" w:space="0" w:color="auto"/>
      </w:divBdr>
    </w:div>
    <w:div w:id="604195287">
      <w:bodyDiv w:val="1"/>
      <w:marLeft w:val="0"/>
      <w:marRight w:val="0"/>
      <w:marTop w:val="0"/>
      <w:marBottom w:val="0"/>
      <w:divBdr>
        <w:top w:val="none" w:sz="0" w:space="0" w:color="auto"/>
        <w:left w:val="none" w:sz="0" w:space="0" w:color="auto"/>
        <w:bottom w:val="none" w:sz="0" w:space="0" w:color="auto"/>
        <w:right w:val="none" w:sz="0" w:space="0" w:color="auto"/>
      </w:divBdr>
    </w:div>
    <w:div w:id="615451468">
      <w:bodyDiv w:val="1"/>
      <w:marLeft w:val="0"/>
      <w:marRight w:val="0"/>
      <w:marTop w:val="0"/>
      <w:marBottom w:val="0"/>
      <w:divBdr>
        <w:top w:val="none" w:sz="0" w:space="0" w:color="auto"/>
        <w:left w:val="none" w:sz="0" w:space="0" w:color="auto"/>
        <w:bottom w:val="none" w:sz="0" w:space="0" w:color="auto"/>
        <w:right w:val="none" w:sz="0" w:space="0" w:color="auto"/>
      </w:divBdr>
    </w:div>
    <w:div w:id="687145850">
      <w:bodyDiv w:val="1"/>
      <w:marLeft w:val="0"/>
      <w:marRight w:val="0"/>
      <w:marTop w:val="0"/>
      <w:marBottom w:val="0"/>
      <w:divBdr>
        <w:top w:val="none" w:sz="0" w:space="0" w:color="auto"/>
        <w:left w:val="none" w:sz="0" w:space="0" w:color="auto"/>
        <w:bottom w:val="none" w:sz="0" w:space="0" w:color="auto"/>
        <w:right w:val="none" w:sz="0" w:space="0" w:color="auto"/>
      </w:divBdr>
    </w:div>
    <w:div w:id="719675233">
      <w:bodyDiv w:val="1"/>
      <w:marLeft w:val="0"/>
      <w:marRight w:val="0"/>
      <w:marTop w:val="0"/>
      <w:marBottom w:val="0"/>
      <w:divBdr>
        <w:top w:val="none" w:sz="0" w:space="0" w:color="auto"/>
        <w:left w:val="none" w:sz="0" w:space="0" w:color="auto"/>
        <w:bottom w:val="none" w:sz="0" w:space="0" w:color="auto"/>
        <w:right w:val="none" w:sz="0" w:space="0" w:color="auto"/>
      </w:divBdr>
    </w:div>
    <w:div w:id="756513019">
      <w:bodyDiv w:val="1"/>
      <w:marLeft w:val="0"/>
      <w:marRight w:val="0"/>
      <w:marTop w:val="0"/>
      <w:marBottom w:val="0"/>
      <w:divBdr>
        <w:top w:val="none" w:sz="0" w:space="0" w:color="auto"/>
        <w:left w:val="none" w:sz="0" w:space="0" w:color="auto"/>
        <w:bottom w:val="none" w:sz="0" w:space="0" w:color="auto"/>
        <w:right w:val="none" w:sz="0" w:space="0" w:color="auto"/>
      </w:divBdr>
    </w:div>
    <w:div w:id="1287397041">
      <w:bodyDiv w:val="1"/>
      <w:marLeft w:val="0"/>
      <w:marRight w:val="0"/>
      <w:marTop w:val="0"/>
      <w:marBottom w:val="0"/>
      <w:divBdr>
        <w:top w:val="none" w:sz="0" w:space="0" w:color="auto"/>
        <w:left w:val="none" w:sz="0" w:space="0" w:color="auto"/>
        <w:bottom w:val="none" w:sz="0" w:space="0" w:color="auto"/>
        <w:right w:val="none" w:sz="0" w:space="0" w:color="auto"/>
      </w:divBdr>
    </w:div>
    <w:div w:id="1322276776">
      <w:bodyDiv w:val="1"/>
      <w:marLeft w:val="0"/>
      <w:marRight w:val="0"/>
      <w:marTop w:val="0"/>
      <w:marBottom w:val="0"/>
      <w:divBdr>
        <w:top w:val="none" w:sz="0" w:space="0" w:color="auto"/>
        <w:left w:val="none" w:sz="0" w:space="0" w:color="auto"/>
        <w:bottom w:val="none" w:sz="0" w:space="0" w:color="auto"/>
        <w:right w:val="none" w:sz="0" w:space="0" w:color="auto"/>
      </w:divBdr>
    </w:div>
    <w:div w:id="1328286301">
      <w:bodyDiv w:val="1"/>
      <w:marLeft w:val="0"/>
      <w:marRight w:val="0"/>
      <w:marTop w:val="0"/>
      <w:marBottom w:val="0"/>
      <w:divBdr>
        <w:top w:val="none" w:sz="0" w:space="0" w:color="auto"/>
        <w:left w:val="none" w:sz="0" w:space="0" w:color="auto"/>
        <w:bottom w:val="none" w:sz="0" w:space="0" w:color="auto"/>
        <w:right w:val="none" w:sz="0" w:space="0" w:color="auto"/>
      </w:divBdr>
    </w:div>
    <w:div w:id="1437676124">
      <w:bodyDiv w:val="1"/>
      <w:marLeft w:val="0"/>
      <w:marRight w:val="0"/>
      <w:marTop w:val="0"/>
      <w:marBottom w:val="0"/>
      <w:divBdr>
        <w:top w:val="none" w:sz="0" w:space="0" w:color="auto"/>
        <w:left w:val="none" w:sz="0" w:space="0" w:color="auto"/>
        <w:bottom w:val="none" w:sz="0" w:space="0" w:color="auto"/>
        <w:right w:val="none" w:sz="0" w:space="0" w:color="auto"/>
      </w:divBdr>
    </w:div>
    <w:div w:id="1467624668">
      <w:bodyDiv w:val="1"/>
      <w:marLeft w:val="0"/>
      <w:marRight w:val="0"/>
      <w:marTop w:val="0"/>
      <w:marBottom w:val="0"/>
      <w:divBdr>
        <w:top w:val="none" w:sz="0" w:space="0" w:color="auto"/>
        <w:left w:val="none" w:sz="0" w:space="0" w:color="auto"/>
        <w:bottom w:val="none" w:sz="0" w:space="0" w:color="auto"/>
        <w:right w:val="none" w:sz="0" w:space="0" w:color="auto"/>
      </w:divBdr>
    </w:div>
    <w:div w:id="1484932626">
      <w:bodyDiv w:val="1"/>
      <w:marLeft w:val="0"/>
      <w:marRight w:val="0"/>
      <w:marTop w:val="0"/>
      <w:marBottom w:val="0"/>
      <w:divBdr>
        <w:top w:val="none" w:sz="0" w:space="0" w:color="auto"/>
        <w:left w:val="none" w:sz="0" w:space="0" w:color="auto"/>
        <w:bottom w:val="none" w:sz="0" w:space="0" w:color="auto"/>
        <w:right w:val="none" w:sz="0" w:space="0" w:color="auto"/>
      </w:divBdr>
      <w:divsChild>
        <w:div w:id="1172337714">
          <w:marLeft w:val="0"/>
          <w:marRight w:val="0"/>
          <w:marTop w:val="0"/>
          <w:marBottom w:val="0"/>
          <w:divBdr>
            <w:top w:val="none" w:sz="0" w:space="0" w:color="auto"/>
            <w:left w:val="none" w:sz="0" w:space="0" w:color="auto"/>
            <w:bottom w:val="none" w:sz="0" w:space="0" w:color="auto"/>
            <w:right w:val="none" w:sz="0" w:space="0" w:color="auto"/>
          </w:divBdr>
        </w:div>
      </w:divsChild>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13640862">
      <w:bodyDiv w:val="1"/>
      <w:marLeft w:val="0"/>
      <w:marRight w:val="0"/>
      <w:marTop w:val="0"/>
      <w:marBottom w:val="0"/>
      <w:divBdr>
        <w:top w:val="none" w:sz="0" w:space="0" w:color="auto"/>
        <w:left w:val="none" w:sz="0" w:space="0" w:color="auto"/>
        <w:bottom w:val="none" w:sz="0" w:space="0" w:color="auto"/>
        <w:right w:val="none" w:sz="0" w:space="0" w:color="auto"/>
      </w:divBdr>
    </w:div>
    <w:div w:id="1525553732">
      <w:bodyDiv w:val="1"/>
      <w:marLeft w:val="0"/>
      <w:marRight w:val="0"/>
      <w:marTop w:val="0"/>
      <w:marBottom w:val="0"/>
      <w:divBdr>
        <w:top w:val="none" w:sz="0" w:space="0" w:color="auto"/>
        <w:left w:val="none" w:sz="0" w:space="0" w:color="auto"/>
        <w:bottom w:val="none" w:sz="0" w:space="0" w:color="auto"/>
        <w:right w:val="none" w:sz="0" w:space="0" w:color="auto"/>
      </w:divBdr>
      <w:divsChild>
        <w:div w:id="372467232">
          <w:marLeft w:val="274"/>
          <w:marRight w:val="0"/>
          <w:marTop w:val="86"/>
          <w:marBottom w:val="0"/>
          <w:divBdr>
            <w:top w:val="none" w:sz="0" w:space="0" w:color="auto"/>
            <w:left w:val="none" w:sz="0" w:space="0" w:color="auto"/>
            <w:bottom w:val="none" w:sz="0" w:space="0" w:color="auto"/>
            <w:right w:val="none" w:sz="0" w:space="0" w:color="auto"/>
          </w:divBdr>
        </w:div>
        <w:div w:id="1300647180">
          <w:marLeft w:val="274"/>
          <w:marRight w:val="0"/>
          <w:marTop w:val="86"/>
          <w:marBottom w:val="0"/>
          <w:divBdr>
            <w:top w:val="none" w:sz="0" w:space="0" w:color="auto"/>
            <w:left w:val="none" w:sz="0" w:space="0" w:color="auto"/>
            <w:bottom w:val="none" w:sz="0" w:space="0" w:color="auto"/>
            <w:right w:val="none" w:sz="0" w:space="0" w:color="auto"/>
          </w:divBdr>
        </w:div>
        <w:div w:id="1693341467">
          <w:marLeft w:val="274"/>
          <w:marRight w:val="0"/>
          <w:marTop w:val="86"/>
          <w:marBottom w:val="0"/>
          <w:divBdr>
            <w:top w:val="none" w:sz="0" w:space="0" w:color="auto"/>
            <w:left w:val="none" w:sz="0" w:space="0" w:color="auto"/>
            <w:bottom w:val="none" w:sz="0" w:space="0" w:color="auto"/>
            <w:right w:val="none" w:sz="0" w:space="0" w:color="auto"/>
          </w:divBdr>
        </w:div>
      </w:divsChild>
    </w:div>
    <w:div w:id="1697073557">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806922394">
      <w:bodyDiv w:val="1"/>
      <w:marLeft w:val="0"/>
      <w:marRight w:val="0"/>
      <w:marTop w:val="0"/>
      <w:marBottom w:val="0"/>
      <w:divBdr>
        <w:top w:val="none" w:sz="0" w:space="0" w:color="auto"/>
        <w:left w:val="none" w:sz="0" w:space="0" w:color="auto"/>
        <w:bottom w:val="none" w:sz="0" w:space="0" w:color="auto"/>
        <w:right w:val="none" w:sz="0" w:space="0" w:color="auto"/>
      </w:divBdr>
    </w:div>
    <w:div w:id="1813980390">
      <w:bodyDiv w:val="1"/>
      <w:marLeft w:val="0"/>
      <w:marRight w:val="0"/>
      <w:marTop w:val="0"/>
      <w:marBottom w:val="0"/>
      <w:divBdr>
        <w:top w:val="none" w:sz="0" w:space="0" w:color="auto"/>
        <w:left w:val="none" w:sz="0" w:space="0" w:color="auto"/>
        <w:bottom w:val="none" w:sz="0" w:space="0" w:color="auto"/>
        <w:right w:val="none" w:sz="0" w:space="0" w:color="auto"/>
      </w:divBdr>
    </w:div>
    <w:div w:id="1816216685">
      <w:bodyDiv w:val="1"/>
      <w:marLeft w:val="0"/>
      <w:marRight w:val="0"/>
      <w:marTop w:val="0"/>
      <w:marBottom w:val="0"/>
      <w:divBdr>
        <w:top w:val="none" w:sz="0" w:space="0" w:color="auto"/>
        <w:left w:val="none" w:sz="0" w:space="0" w:color="auto"/>
        <w:bottom w:val="none" w:sz="0" w:space="0" w:color="auto"/>
        <w:right w:val="none" w:sz="0" w:space="0" w:color="auto"/>
      </w:divBdr>
    </w:div>
    <w:div w:id="1874076455">
      <w:bodyDiv w:val="1"/>
      <w:marLeft w:val="0"/>
      <w:marRight w:val="0"/>
      <w:marTop w:val="0"/>
      <w:marBottom w:val="0"/>
      <w:divBdr>
        <w:top w:val="none" w:sz="0" w:space="0" w:color="auto"/>
        <w:left w:val="none" w:sz="0" w:space="0" w:color="auto"/>
        <w:bottom w:val="none" w:sz="0" w:space="0" w:color="auto"/>
        <w:right w:val="none" w:sz="0" w:space="0" w:color="auto"/>
      </w:divBdr>
    </w:div>
    <w:div w:id="1911038311">
      <w:bodyDiv w:val="1"/>
      <w:marLeft w:val="0"/>
      <w:marRight w:val="0"/>
      <w:marTop w:val="0"/>
      <w:marBottom w:val="0"/>
      <w:divBdr>
        <w:top w:val="none" w:sz="0" w:space="0" w:color="auto"/>
        <w:left w:val="none" w:sz="0" w:space="0" w:color="auto"/>
        <w:bottom w:val="none" w:sz="0" w:space="0" w:color="auto"/>
        <w:right w:val="none" w:sz="0" w:space="0" w:color="auto"/>
      </w:divBdr>
    </w:div>
    <w:div w:id="1934164282">
      <w:bodyDiv w:val="1"/>
      <w:marLeft w:val="0"/>
      <w:marRight w:val="0"/>
      <w:marTop w:val="0"/>
      <w:marBottom w:val="0"/>
      <w:divBdr>
        <w:top w:val="none" w:sz="0" w:space="0" w:color="auto"/>
        <w:left w:val="none" w:sz="0" w:space="0" w:color="auto"/>
        <w:bottom w:val="none" w:sz="0" w:space="0" w:color="auto"/>
        <w:right w:val="none" w:sz="0" w:space="0" w:color="auto"/>
      </w:divBdr>
    </w:div>
    <w:div w:id="1949459399">
      <w:bodyDiv w:val="1"/>
      <w:marLeft w:val="0"/>
      <w:marRight w:val="0"/>
      <w:marTop w:val="0"/>
      <w:marBottom w:val="0"/>
      <w:divBdr>
        <w:top w:val="none" w:sz="0" w:space="0" w:color="auto"/>
        <w:left w:val="none" w:sz="0" w:space="0" w:color="auto"/>
        <w:bottom w:val="none" w:sz="0" w:space="0" w:color="auto"/>
        <w:right w:val="none" w:sz="0" w:space="0" w:color="auto"/>
      </w:divBdr>
    </w:div>
    <w:div w:id="2026129576">
      <w:bodyDiv w:val="1"/>
      <w:marLeft w:val="0"/>
      <w:marRight w:val="0"/>
      <w:marTop w:val="0"/>
      <w:marBottom w:val="0"/>
      <w:divBdr>
        <w:top w:val="none" w:sz="0" w:space="0" w:color="auto"/>
        <w:left w:val="none" w:sz="0" w:space="0" w:color="auto"/>
        <w:bottom w:val="none" w:sz="0" w:space="0" w:color="auto"/>
        <w:right w:val="none" w:sz="0" w:space="0" w:color="auto"/>
      </w:divBdr>
    </w:div>
    <w:div w:id="2066440490">
      <w:bodyDiv w:val="1"/>
      <w:marLeft w:val="0"/>
      <w:marRight w:val="0"/>
      <w:marTop w:val="0"/>
      <w:marBottom w:val="0"/>
      <w:divBdr>
        <w:top w:val="none" w:sz="0" w:space="0" w:color="auto"/>
        <w:left w:val="none" w:sz="0" w:space="0" w:color="auto"/>
        <w:bottom w:val="none" w:sz="0" w:space="0" w:color="auto"/>
        <w:right w:val="none" w:sz="0" w:space="0" w:color="auto"/>
      </w:divBdr>
    </w:div>
    <w:div w:id="2089302896">
      <w:bodyDiv w:val="1"/>
      <w:marLeft w:val="0"/>
      <w:marRight w:val="0"/>
      <w:marTop w:val="0"/>
      <w:marBottom w:val="0"/>
      <w:divBdr>
        <w:top w:val="none" w:sz="0" w:space="0" w:color="auto"/>
        <w:left w:val="none" w:sz="0" w:space="0" w:color="auto"/>
        <w:bottom w:val="none" w:sz="0" w:space="0" w:color="auto"/>
        <w:right w:val="none" w:sz="0" w:space="0" w:color="auto"/>
      </w:divBdr>
    </w:div>
    <w:div w:id="2128087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consumer.vic.gov.au/" TargetMode="Externa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ic.gov.au/department-government-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consumer.vic.gov.a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onsumer.vic.gov.au/" TargetMode="External"/><Relationship Id="rId4" Type="http://schemas.openxmlformats.org/officeDocument/2006/relationships/styles" Target="styles.xml"/><Relationship Id="rId9" Type="http://schemas.openxmlformats.org/officeDocument/2006/relationships/hyperlink" Target="https://www.consumer.vic.gov.au"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D2FBC-62FC-444A-A0D0-E2A3A33B2AA5}">
  <ds:schemaRefs>
    <ds:schemaRef ds:uri="http://schemas.openxmlformats.org/officeDocument/2006/bibliography"/>
  </ds:schemaRefs>
</ds:datastoreItem>
</file>

<file path=customXml/itemProps2.xml><?xml version="1.0" encoding="utf-8"?>
<ds:datastoreItem xmlns:ds="http://schemas.openxmlformats.org/officeDocument/2006/customXml" ds:itemID="{70313A83-F3EF-4BC5-B324-F68E5B17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46</Pages>
  <Words>15187</Words>
  <Characters>86567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Consumer Affairs Victoria Annual Report 2024-25</vt:lpstr>
    </vt:vector>
  </TitlesOfParts>
  <Company>Victorian Department of Government Services</Company>
  <LinksUpToDate>false</LinksUpToDate>
  <CharactersWithSpaces>101551</CharactersWithSpaces>
  <SharedDoc>false</SharedDoc>
  <HLinks>
    <vt:vector size="132" baseType="variant">
      <vt:variant>
        <vt:i4>3211309</vt:i4>
      </vt:variant>
      <vt:variant>
        <vt:i4>120</vt:i4>
      </vt:variant>
      <vt:variant>
        <vt:i4>0</vt:i4>
      </vt:variant>
      <vt:variant>
        <vt:i4>5</vt:i4>
      </vt:variant>
      <vt:variant>
        <vt:lpwstr>http://www.youtube.com/consumervic</vt:lpwstr>
      </vt:variant>
      <vt:variant>
        <vt:lpwstr/>
      </vt:variant>
      <vt:variant>
        <vt:i4>7536702</vt:i4>
      </vt:variant>
      <vt:variant>
        <vt:i4>117</vt:i4>
      </vt:variant>
      <vt:variant>
        <vt:i4>0</vt:i4>
      </vt:variant>
      <vt:variant>
        <vt:i4>5</vt:i4>
      </vt:variant>
      <vt:variant>
        <vt:lpwstr>https://twitter.com/consumervic</vt:lpwstr>
      </vt:variant>
      <vt:variant>
        <vt:lpwstr/>
      </vt:variant>
      <vt:variant>
        <vt:i4>4718659</vt:i4>
      </vt:variant>
      <vt:variant>
        <vt:i4>114</vt:i4>
      </vt:variant>
      <vt:variant>
        <vt:i4>0</vt:i4>
      </vt:variant>
      <vt:variant>
        <vt:i4>5</vt:i4>
      </vt:variant>
      <vt:variant>
        <vt:lpwstr>https://www.facebook.com/ConsumerAffairsVictoria</vt:lpwstr>
      </vt:variant>
      <vt:variant>
        <vt:lpwstr/>
      </vt:variant>
      <vt:variant>
        <vt:i4>65536</vt:i4>
      </vt:variant>
      <vt:variant>
        <vt:i4>111</vt:i4>
      </vt:variant>
      <vt:variant>
        <vt:i4>0</vt:i4>
      </vt:variant>
      <vt:variant>
        <vt:i4>5</vt:i4>
      </vt:variant>
      <vt:variant>
        <vt:lpwstr>https://www.consumer.vic.gov.au/</vt:lpwstr>
      </vt:variant>
      <vt:variant>
        <vt:lpwstr/>
      </vt:variant>
      <vt:variant>
        <vt:i4>1900594</vt:i4>
      </vt:variant>
      <vt:variant>
        <vt:i4>104</vt:i4>
      </vt:variant>
      <vt:variant>
        <vt:i4>0</vt:i4>
      </vt:variant>
      <vt:variant>
        <vt:i4>5</vt:i4>
      </vt:variant>
      <vt:variant>
        <vt:lpwstr/>
      </vt:variant>
      <vt:variant>
        <vt:lpwstr>_Toc524534097</vt:lpwstr>
      </vt:variant>
      <vt:variant>
        <vt:i4>1900594</vt:i4>
      </vt:variant>
      <vt:variant>
        <vt:i4>98</vt:i4>
      </vt:variant>
      <vt:variant>
        <vt:i4>0</vt:i4>
      </vt:variant>
      <vt:variant>
        <vt:i4>5</vt:i4>
      </vt:variant>
      <vt:variant>
        <vt:lpwstr/>
      </vt:variant>
      <vt:variant>
        <vt:lpwstr>_Toc524534096</vt:lpwstr>
      </vt:variant>
      <vt:variant>
        <vt:i4>1900594</vt:i4>
      </vt:variant>
      <vt:variant>
        <vt:i4>92</vt:i4>
      </vt:variant>
      <vt:variant>
        <vt:i4>0</vt:i4>
      </vt:variant>
      <vt:variant>
        <vt:i4>5</vt:i4>
      </vt:variant>
      <vt:variant>
        <vt:lpwstr/>
      </vt:variant>
      <vt:variant>
        <vt:lpwstr>_Toc524534095</vt:lpwstr>
      </vt:variant>
      <vt:variant>
        <vt:i4>1900594</vt:i4>
      </vt:variant>
      <vt:variant>
        <vt:i4>86</vt:i4>
      </vt:variant>
      <vt:variant>
        <vt:i4>0</vt:i4>
      </vt:variant>
      <vt:variant>
        <vt:i4>5</vt:i4>
      </vt:variant>
      <vt:variant>
        <vt:lpwstr/>
      </vt:variant>
      <vt:variant>
        <vt:lpwstr>_Toc524534094</vt:lpwstr>
      </vt:variant>
      <vt:variant>
        <vt:i4>1900594</vt:i4>
      </vt:variant>
      <vt:variant>
        <vt:i4>80</vt:i4>
      </vt:variant>
      <vt:variant>
        <vt:i4>0</vt:i4>
      </vt:variant>
      <vt:variant>
        <vt:i4>5</vt:i4>
      </vt:variant>
      <vt:variant>
        <vt:lpwstr/>
      </vt:variant>
      <vt:variant>
        <vt:lpwstr>_Toc524534093</vt:lpwstr>
      </vt:variant>
      <vt:variant>
        <vt:i4>1900594</vt:i4>
      </vt:variant>
      <vt:variant>
        <vt:i4>74</vt:i4>
      </vt:variant>
      <vt:variant>
        <vt:i4>0</vt:i4>
      </vt:variant>
      <vt:variant>
        <vt:i4>5</vt:i4>
      </vt:variant>
      <vt:variant>
        <vt:lpwstr/>
      </vt:variant>
      <vt:variant>
        <vt:lpwstr>_Toc524534092</vt:lpwstr>
      </vt:variant>
      <vt:variant>
        <vt:i4>1900594</vt:i4>
      </vt:variant>
      <vt:variant>
        <vt:i4>68</vt:i4>
      </vt:variant>
      <vt:variant>
        <vt:i4>0</vt:i4>
      </vt:variant>
      <vt:variant>
        <vt:i4>5</vt:i4>
      </vt:variant>
      <vt:variant>
        <vt:lpwstr/>
      </vt:variant>
      <vt:variant>
        <vt:lpwstr>_Toc524534091</vt:lpwstr>
      </vt:variant>
      <vt:variant>
        <vt:i4>1900594</vt:i4>
      </vt:variant>
      <vt:variant>
        <vt:i4>62</vt:i4>
      </vt:variant>
      <vt:variant>
        <vt:i4>0</vt:i4>
      </vt:variant>
      <vt:variant>
        <vt:i4>5</vt:i4>
      </vt:variant>
      <vt:variant>
        <vt:lpwstr/>
      </vt:variant>
      <vt:variant>
        <vt:lpwstr>_Toc524534090</vt:lpwstr>
      </vt:variant>
      <vt:variant>
        <vt:i4>1835058</vt:i4>
      </vt:variant>
      <vt:variant>
        <vt:i4>56</vt:i4>
      </vt:variant>
      <vt:variant>
        <vt:i4>0</vt:i4>
      </vt:variant>
      <vt:variant>
        <vt:i4>5</vt:i4>
      </vt:variant>
      <vt:variant>
        <vt:lpwstr/>
      </vt:variant>
      <vt:variant>
        <vt:lpwstr>_Toc524534089</vt:lpwstr>
      </vt:variant>
      <vt:variant>
        <vt:i4>1835058</vt:i4>
      </vt:variant>
      <vt:variant>
        <vt:i4>50</vt:i4>
      </vt:variant>
      <vt:variant>
        <vt:i4>0</vt:i4>
      </vt:variant>
      <vt:variant>
        <vt:i4>5</vt:i4>
      </vt:variant>
      <vt:variant>
        <vt:lpwstr/>
      </vt:variant>
      <vt:variant>
        <vt:lpwstr>_Toc524534088</vt:lpwstr>
      </vt:variant>
      <vt:variant>
        <vt:i4>1835058</vt:i4>
      </vt:variant>
      <vt:variant>
        <vt:i4>44</vt:i4>
      </vt:variant>
      <vt:variant>
        <vt:i4>0</vt:i4>
      </vt:variant>
      <vt:variant>
        <vt:i4>5</vt:i4>
      </vt:variant>
      <vt:variant>
        <vt:lpwstr/>
      </vt:variant>
      <vt:variant>
        <vt:lpwstr>_Toc524534087</vt:lpwstr>
      </vt:variant>
      <vt:variant>
        <vt:i4>1835058</vt:i4>
      </vt:variant>
      <vt:variant>
        <vt:i4>38</vt:i4>
      </vt:variant>
      <vt:variant>
        <vt:i4>0</vt:i4>
      </vt:variant>
      <vt:variant>
        <vt:i4>5</vt:i4>
      </vt:variant>
      <vt:variant>
        <vt:lpwstr/>
      </vt:variant>
      <vt:variant>
        <vt:lpwstr>_Toc524534086</vt:lpwstr>
      </vt:variant>
      <vt:variant>
        <vt:i4>1835058</vt:i4>
      </vt:variant>
      <vt:variant>
        <vt:i4>32</vt:i4>
      </vt:variant>
      <vt:variant>
        <vt:i4>0</vt:i4>
      </vt:variant>
      <vt:variant>
        <vt:i4>5</vt:i4>
      </vt:variant>
      <vt:variant>
        <vt:lpwstr/>
      </vt:variant>
      <vt:variant>
        <vt:lpwstr>_Toc524534085</vt:lpwstr>
      </vt:variant>
      <vt:variant>
        <vt:i4>1835058</vt:i4>
      </vt:variant>
      <vt:variant>
        <vt:i4>26</vt:i4>
      </vt:variant>
      <vt:variant>
        <vt:i4>0</vt:i4>
      </vt:variant>
      <vt:variant>
        <vt:i4>5</vt:i4>
      </vt:variant>
      <vt:variant>
        <vt:lpwstr/>
      </vt:variant>
      <vt:variant>
        <vt:lpwstr>_Toc524534084</vt:lpwstr>
      </vt:variant>
      <vt:variant>
        <vt:i4>1835058</vt:i4>
      </vt:variant>
      <vt:variant>
        <vt:i4>20</vt:i4>
      </vt:variant>
      <vt:variant>
        <vt:i4>0</vt:i4>
      </vt:variant>
      <vt:variant>
        <vt:i4>5</vt:i4>
      </vt:variant>
      <vt:variant>
        <vt:lpwstr/>
      </vt:variant>
      <vt:variant>
        <vt:lpwstr>_Toc524534083</vt:lpwstr>
      </vt:variant>
      <vt:variant>
        <vt:i4>1835058</vt:i4>
      </vt:variant>
      <vt:variant>
        <vt:i4>14</vt:i4>
      </vt:variant>
      <vt:variant>
        <vt:i4>0</vt:i4>
      </vt:variant>
      <vt:variant>
        <vt:i4>5</vt:i4>
      </vt:variant>
      <vt:variant>
        <vt:lpwstr/>
      </vt:variant>
      <vt:variant>
        <vt:lpwstr>_Toc524534082</vt:lpwstr>
      </vt:variant>
      <vt:variant>
        <vt:i4>1835058</vt:i4>
      </vt:variant>
      <vt:variant>
        <vt:i4>8</vt:i4>
      </vt:variant>
      <vt:variant>
        <vt:i4>0</vt:i4>
      </vt:variant>
      <vt:variant>
        <vt:i4>5</vt:i4>
      </vt:variant>
      <vt:variant>
        <vt:lpwstr/>
      </vt:variant>
      <vt:variant>
        <vt:lpwstr>_Toc524534081</vt:lpwstr>
      </vt:variant>
      <vt:variant>
        <vt:i4>1835058</vt:i4>
      </vt:variant>
      <vt:variant>
        <vt:i4>2</vt:i4>
      </vt:variant>
      <vt:variant>
        <vt:i4>0</vt:i4>
      </vt:variant>
      <vt:variant>
        <vt:i4>5</vt:i4>
      </vt:variant>
      <vt:variant>
        <vt:lpwstr/>
      </vt:variant>
      <vt:variant>
        <vt:lpwstr>_Toc524534080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Affairs Victoria Annual Report 2024-25</dc:title>
  <dc:subject/>
  <dc:creator>Consumer Affairs Victoria</dc:creator>
  <cp:keywords/>
  <dc:description/>
  <cp:lastModifiedBy>Robert Di Renzo</cp:lastModifiedBy>
  <cp:revision>203</cp:revision>
  <cp:lastPrinted>2024-10-24T23:50:00Z</cp:lastPrinted>
  <dcterms:created xsi:type="dcterms:W3CDTF">2021-10-18T04:17:00Z</dcterms:created>
  <dcterms:modified xsi:type="dcterms:W3CDTF">2025-10-29T23:16:00Z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