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4FA1" w14:textId="1F40864C" w:rsidR="00C90E80" w:rsidRPr="00062049" w:rsidRDefault="00C90E80" w:rsidP="00E15E1B">
      <w:pPr>
        <w:pStyle w:val="Heading1"/>
        <w:spacing w:before="4400" w:after="8400"/>
      </w:pPr>
      <w:r w:rsidRPr="001B396A">
        <w:t>Annual</w:t>
      </w:r>
      <w:r w:rsidR="00D733E1">
        <w:t xml:space="preserve"> </w:t>
      </w:r>
      <w:r w:rsidRPr="001B396A">
        <w:t>Report</w:t>
      </w:r>
      <w:r w:rsidR="00D733E1">
        <w:t xml:space="preserve"> </w:t>
      </w:r>
      <w:r w:rsidRPr="001B396A">
        <w:t>20</w:t>
      </w:r>
      <w:r w:rsidR="00DE3B0D">
        <w:t>2</w:t>
      </w:r>
      <w:r w:rsidR="00150C87">
        <w:t>2</w:t>
      </w:r>
      <w:r w:rsidR="00A66C4F">
        <w:t>–2</w:t>
      </w:r>
      <w:r w:rsidR="00150C87">
        <w:t>3</w:t>
      </w:r>
    </w:p>
    <w:p w14:paraId="1564C41C" w14:textId="77777777" w:rsidR="00062049" w:rsidRPr="003D521F" w:rsidRDefault="002D316F" w:rsidP="00FF30B8">
      <w:pPr>
        <w:pStyle w:val="BodyText"/>
        <w:jc w:val="right"/>
      </w:pPr>
      <w:r>
        <w:rPr>
          <w:noProof/>
          <w:lang w:eastAsia="en-AU"/>
        </w:rPr>
        <w:drawing>
          <wp:inline distT="0" distB="0" distL="0" distR="0" wp14:anchorId="0DE8F0AD" wp14:editId="15A39AE9">
            <wp:extent cx="1889157" cy="525145"/>
            <wp:effectExtent l="0" t="0" r="0" b="8255"/>
            <wp:docPr id="1" name="Picture 1"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mer Affairs Victoria"/>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89157" cy="525145"/>
                    </a:xfrm>
                    <a:prstGeom prst="rect">
                      <a:avLst/>
                    </a:prstGeom>
                    <a:noFill/>
                    <a:ln>
                      <a:noFill/>
                    </a:ln>
                  </pic:spPr>
                </pic:pic>
              </a:graphicData>
            </a:graphic>
          </wp:inline>
        </w:drawing>
      </w:r>
    </w:p>
    <w:p w14:paraId="7F0B3FD9" w14:textId="77777777" w:rsidR="008E1660" w:rsidRDefault="008E1660" w:rsidP="008E1660">
      <w:pPr>
        <w:pStyle w:val="Heading2"/>
      </w:pPr>
      <w:bookmarkStart w:id="0" w:name="_Toc149678425"/>
      <w:r>
        <w:t>Contents</w:t>
      </w:r>
      <w:bookmarkEnd w:id="0"/>
    </w:p>
    <w:p w14:paraId="17333E8F" w14:textId="644F8EF2" w:rsidR="00BE26A8" w:rsidRDefault="009569B2">
      <w:pPr>
        <w:pStyle w:val="TOC1"/>
        <w:rPr>
          <w:rFonts w:asciiTheme="minorHAnsi" w:eastAsiaTheme="minorEastAsia" w:hAnsiTheme="minorHAnsi" w:cstheme="minorBidi"/>
          <w:b w:val="0"/>
          <w:noProof/>
          <w:kern w:val="2"/>
          <w:sz w:val="22"/>
          <w:lang w:eastAsia="en-AU"/>
          <w14:ligatures w14:val="standardContextual"/>
        </w:rPr>
      </w:pPr>
      <w:r>
        <w:fldChar w:fldCharType="begin"/>
      </w:r>
      <w:r>
        <w:instrText xml:space="preserve"> TOC \h \z \u \t "Heading 2,1,Heading 3,2,TOC heading,2" </w:instrText>
      </w:r>
      <w:r>
        <w:fldChar w:fldCharType="separate"/>
      </w:r>
      <w:hyperlink w:anchor="_Toc149678425" w:history="1">
        <w:r w:rsidR="00BE26A8" w:rsidRPr="00F132CC">
          <w:rPr>
            <w:rStyle w:val="Hyperlink"/>
            <w:noProof/>
          </w:rPr>
          <w:t>Contents</w:t>
        </w:r>
        <w:r w:rsidR="00BE26A8">
          <w:rPr>
            <w:noProof/>
            <w:webHidden/>
          </w:rPr>
          <w:tab/>
        </w:r>
        <w:r w:rsidR="00BE26A8">
          <w:rPr>
            <w:noProof/>
            <w:webHidden/>
          </w:rPr>
          <w:fldChar w:fldCharType="begin"/>
        </w:r>
        <w:r w:rsidR="00BE26A8">
          <w:rPr>
            <w:noProof/>
            <w:webHidden/>
          </w:rPr>
          <w:instrText xml:space="preserve"> PAGEREF _Toc149678425 \h </w:instrText>
        </w:r>
        <w:r w:rsidR="00BE26A8">
          <w:rPr>
            <w:noProof/>
            <w:webHidden/>
          </w:rPr>
        </w:r>
        <w:r w:rsidR="00BE26A8">
          <w:rPr>
            <w:noProof/>
            <w:webHidden/>
          </w:rPr>
          <w:fldChar w:fldCharType="separate"/>
        </w:r>
        <w:r w:rsidR="00BE26A8">
          <w:rPr>
            <w:noProof/>
            <w:webHidden/>
          </w:rPr>
          <w:t>2</w:t>
        </w:r>
        <w:r w:rsidR="00BE26A8">
          <w:rPr>
            <w:noProof/>
            <w:webHidden/>
          </w:rPr>
          <w:fldChar w:fldCharType="end"/>
        </w:r>
      </w:hyperlink>
    </w:p>
    <w:p w14:paraId="23F3A6E7" w14:textId="31AAC5EC" w:rsidR="00BE26A8" w:rsidRDefault="00802064">
      <w:pPr>
        <w:pStyle w:val="TOC1"/>
        <w:rPr>
          <w:rFonts w:asciiTheme="minorHAnsi" w:eastAsiaTheme="minorEastAsia" w:hAnsiTheme="minorHAnsi" w:cstheme="minorBidi"/>
          <w:b w:val="0"/>
          <w:noProof/>
          <w:kern w:val="2"/>
          <w:sz w:val="22"/>
          <w:lang w:eastAsia="en-AU"/>
          <w14:ligatures w14:val="standardContextual"/>
        </w:rPr>
      </w:pPr>
      <w:hyperlink w:anchor="_Toc149678426" w:history="1">
        <w:r w:rsidR="00BE26A8" w:rsidRPr="00F132CC">
          <w:rPr>
            <w:rStyle w:val="Hyperlink"/>
            <w:noProof/>
          </w:rPr>
          <w:t>Letter to the Minister</w:t>
        </w:r>
        <w:r w:rsidR="00BE26A8">
          <w:rPr>
            <w:noProof/>
            <w:webHidden/>
          </w:rPr>
          <w:tab/>
        </w:r>
        <w:r w:rsidR="00BE26A8">
          <w:rPr>
            <w:noProof/>
            <w:webHidden/>
          </w:rPr>
          <w:fldChar w:fldCharType="begin"/>
        </w:r>
        <w:r w:rsidR="00BE26A8">
          <w:rPr>
            <w:noProof/>
            <w:webHidden/>
          </w:rPr>
          <w:instrText xml:space="preserve"> PAGEREF _Toc149678426 \h </w:instrText>
        </w:r>
        <w:r w:rsidR="00BE26A8">
          <w:rPr>
            <w:noProof/>
            <w:webHidden/>
          </w:rPr>
        </w:r>
        <w:r w:rsidR="00BE26A8">
          <w:rPr>
            <w:noProof/>
            <w:webHidden/>
          </w:rPr>
          <w:fldChar w:fldCharType="separate"/>
        </w:r>
        <w:r w:rsidR="00BE26A8">
          <w:rPr>
            <w:noProof/>
            <w:webHidden/>
          </w:rPr>
          <w:t>3</w:t>
        </w:r>
        <w:r w:rsidR="00BE26A8">
          <w:rPr>
            <w:noProof/>
            <w:webHidden/>
          </w:rPr>
          <w:fldChar w:fldCharType="end"/>
        </w:r>
      </w:hyperlink>
    </w:p>
    <w:p w14:paraId="5556B32C" w14:textId="179D19D3" w:rsidR="00BE26A8" w:rsidRDefault="00802064">
      <w:pPr>
        <w:pStyle w:val="TOC1"/>
        <w:rPr>
          <w:rFonts w:asciiTheme="minorHAnsi" w:eastAsiaTheme="minorEastAsia" w:hAnsiTheme="minorHAnsi" w:cstheme="minorBidi"/>
          <w:b w:val="0"/>
          <w:noProof/>
          <w:kern w:val="2"/>
          <w:sz w:val="22"/>
          <w:lang w:eastAsia="en-AU"/>
          <w14:ligatures w14:val="standardContextual"/>
        </w:rPr>
      </w:pPr>
      <w:hyperlink w:anchor="_Toc149678427" w:history="1">
        <w:r w:rsidR="00BE26A8" w:rsidRPr="00F132CC">
          <w:rPr>
            <w:rStyle w:val="Hyperlink"/>
            <w:noProof/>
          </w:rPr>
          <w:t>Director’s foreword</w:t>
        </w:r>
        <w:r w:rsidR="00BE26A8">
          <w:rPr>
            <w:noProof/>
            <w:webHidden/>
          </w:rPr>
          <w:tab/>
        </w:r>
        <w:r w:rsidR="00BE26A8">
          <w:rPr>
            <w:noProof/>
            <w:webHidden/>
          </w:rPr>
          <w:fldChar w:fldCharType="begin"/>
        </w:r>
        <w:r w:rsidR="00BE26A8">
          <w:rPr>
            <w:noProof/>
            <w:webHidden/>
          </w:rPr>
          <w:instrText xml:space="preserve"> PAGEREF _Toc149678427 \h </w:instrText>
        </w:r>
        <w:r w:rsidR="00BE26A8">
          <w:rPr>
            <w:noProof/>
            <w:webHidden/>
          </w:rPr>
        </w:r>
        <w:r w:rsidR="00BE26A8">
          <w:rPr>
            <w:noProof/>
            <w:webHidden/>
          </w:rPr>
          <w:fldChar w:fldCharType="separate"/>
        </w:r>
        <w:r w:rsidR="00BE26A8">
          <w:rPr>
            <w:noProof/>
            <w:webHidden/>
          </w:rPr>
          <w:t>4</w:t>
        </w:r>
        <w:r w:rsidR="00BE26A8">
          <w:rPr>
            <w:noProof/>
            <w:webHidden/>
          </w:rPr>
          <w:fldChar w:fldCharType="end"/>
        </w:r>
      </w:hyperlink>
    </w:p>
    <w:p w14:paraId="7A249538" w14:textId="0452F1D9" w:rsidR="00BE26A8" w:rsidRDefault="00802064">
      <w:pPr>
        <w:pStyle w:val="TOC1"/>
        <w:rPr>
          <w:rFonts w:asciiTheme="minorHAnsi" w:eastAsiaTheme="minorEastAsia" w:hAnsiTheme="minorHAnsi" w:cstheme="minorBidi"/>
          <w:b w:val="0"/>
          <w:noProof/>
          <w:kern w:val="2"/>
          <w:sz w:val="22"/>
          <w:lang w:eastAsia="en-AU"/>
          <w14:ligatures w14:val="standardContextual"/>
        </w:rPr>
      </w:pPr>
      <w:hyperlink w:anchor="_Toc149678428" w:history="1">
        <w:r w:rsidR="00BE26A8" w:rsidRPr="00F132CC">
          <w:rPr>
            <w:rStyle w:val="Hyperlink"/>
            <w:noProof/>
          </w:rPr>
          <w:t>About us</w:t>
        </w:r>
        <w:r w:rsidR="00BE26A8">
          <w:rPr>
            <w:noProof/>
            <w:webHidden/>
          </w:rPr>
          <w:tab/>
        </w:r>
        <w:r w:rsidR="00BE26A8">
          <w:rPr>
            <w:noProof/>
            <w:webHidden/>
          </w:rPr>
          <w:fldChar w:fldCharType="begin"/>
        </w:r>
        <w:r w:rsidR="00BE26A8">
          <w:rPr>
            <w:noProof/>
            <w:webHidden/>
          </w:rPr>
          <w:instrText xml:space="preserve"> PAGEREF _Toc149678428 \h </w:instrText>
        </w:r>
        <w:r w:rsidR="00BE26A8">
          <w:rPr>
            <w:noProof/>
            <w:webHidden/>
          </w:rPr>
        </w:r>
        <w:r w:rsidR="00BE26A8">
          <w:rPr>
            <w:noProof/>
            <w:webHidden/>
          </w:rPr>
          <w:fldChar w:fldCharType="separate"/>
        </w:r>
        <w:r w:rsidR="00BE26A8">
          <w:rPr>
            <w:noProof/>
            <w:webHidden/>
          </w:rPr>
          <w:t>7</w:t>
        </w:r>
        <w:r w:rsidR="00BE26A8">
          <w:rPr>
            <w:noProof/>
            <w:webHidden/>
          </w:rPr>
          <w:fldChar w:fldCharType="end"/>
        </w:r>
      </w:hyperlink>
    </w:p>
    <w:p w14:paraId="687D774F" w14:textId="25EAEA6D" w:rsidR="00BE26A8" w:rsidRDefault="00802064">
      <w:pPr>
        <w:pStyle w:val="TOC2"/>
        <w:rPr>
          <w:rFonts w:asciiTheme="minorHAnsi" w:eastAsiaTheme="minorEastAsia" w:hAnsiTheme="minorHAnsi" w:cstheme="minorBidi"/>
          <w:kern w:val="2"/>
          <w:sz w:val="22"/>
          <w:lang w:eastAsia="en-AU"/>
          <w14:ligatures w14:val="standardContextual"/>
        </w:rPr>
      </w:pPr>
      <w:hyperlink w:anchor="_Toc149678429" w:history="1">
        <w:r w:rsidR="00BE26A8" w:rsidRPr="00F132CC">
          <w:rPr>
            <w:rStyle w:val="Hyperlink"/>
          </w:rPr>
          <w:t>Our values</w:t>
        </w:r>
        <w:r w:rsidR="00BE26A8">
          <w:rPr>
            <w:webHidden/>
          </w:rPr>
          <w:tab/>
        </w:r>
        <w:r w:rsidR="00BE26A8">
          <w:rPr>
            <w:webHidden/>
          </w:rPr>
          <w:fldChar w:fldCharType="begin"/>
        </w:r>
        <w:r w:rsidR="00BE26A8">
          <w:rPr>
            <w:webHidden/>
          </w:rPr>
          <w:instrText xml:space="preserve"> PAGEREF _Toc149678429 \h </w:instrText>
        </w:r>
        <w:r w:rsidR="00BE26A8">
          <w:rPr>
            <w:webHidden/>
          </w:rPr>
        </w:r>
        <w:r w:rsidR="00BE26A8">
          <w:rPr>
            <w:webHidden/>
          </w:rPr>
          <w:fldChar w:fldCharType="separate"/>
        </w:r>
        <w:r w:rsidR="00BE26A8">
          <w:rPr>
            <w:webHidden/>
          </w:rPr>
          <w:t>7</w:t>
        </w:r>
        <w:r w:rsidR="00BE26A8">
          <w:rPr>
            <w:webHidden/>
          </w:rPr>
          <w:fldChar w:fldCharType="end"/>
        </w:r>
      </w:hyperlink>
    </w:p>
    <w:p w14:paraId="3056F62E" w14:textId="4F58CDDA" w:rsidR="00BE26A8" w:rsidRDefault="00802064">
      <w:pPr>
        <w:pStyle w:val="TOC2"/>
        <w:rPr>
          <w:rFonts w:asciiTheme="minorHAnsi" w:eastAsiaTheme="minorEastAsia" w:hAnsiTheme="minorHAnsi" w:cstheme="minorBidi"/>
          <w:kern w:val="2"/>
          <w:sz w:val="22"/>
          <w:lang w:eastAsia="en-AU"/>
          <w14:ligatures w14:val="standardContextual"/>
        </w:rPr>
      </w:pPr>
      <w:hyperlink w:anchor="_Toc149678430" w:history="1">
        <w:r w:rsidR="00BE26A8" w:rsidRPr="00F132CC">
          <w:rPr>
            <w:rStyle w:val="Hyperlink"/>
          </w:rPr>
          <w:t>Our vision</w:t>
        </w:r>
        <w:r w:rsidR="00BE26A8">
          <w:rPr>
            <w:webHidden/>
          </w:rPr>
          <w:tab/>
        </w:r>
        <w:r w:rsidR="00BE26A8">
          <w:rPr>
            <w:webHidden/>
          </w:rPr>
          <w:fldChar w:fldCharType="begin"/>
        </w:r>
        <w:r w:rsidR="00BE26A8">
          <w:rPr>
            <w:webHidden/>
          </w:rPr>
          <w:instrText xml:space="preserve"> PAGEREF _Toc149678430 \h </w:instrText>
        </w:r>
        <w:r w:rsidR="00BE26A8">
          <w:rPr>
            <w:webHidden/>
          </w:rPr>
        </w:r>
        <w:r w:rsidR="00BE26A8">
          <w:rPr>
            <w:webHidden/>
          </w:rPr>
          <w:fldChar w:fldCharType="separate"/>
        </w:r>
        <w:r w:rsidR="00BE26A8">
          <w:rPr>
            <w:webHidden/>
          </w:rPr>
          <w:t>7</w:t>
        </w:r>
        <w:r w:rsidR="00BE26A8">
          <w:rPr>
            <w:webHidden/>
          </w:rPr>
          <w:fldChar w:fldCharType="end"/>
        </w:r>
      </w:hyperlink>
    </w:p>
    <w:p w14:paraId="132F0C72" w14:textId="0E7EDA22" w:rsidR="00BE26A8" w:rsidRDefault="00802064">
      <w:pPr>
        <w:pStyle w:val="TOC2"/>
        <w:rPr>
          <w:rFonts w:asciiTheme="minorHAnsi" w:eastAsiaTheme="minorEastAsia" w:hAnsiTheme="minorHAnsi" w:cstheme="minorBidi"/>
          <w:kern w:val="2"/>
          <w:sz w:val="22"/>
          <w:lang w:eastAsia="en-AU"/>
          <w14:ligatures w14:val="standardContextual"/>
        </w:rPr>
      </w:pPr>
      <w:hyperlink w:anchor="_Toc149678431" w:history="1">
        <w:r w:rsidR="00BE26A8" w:rsidRPr="00F132CC">
          <w:rPr>
            <w:rStyle w:val="Hyperlink"/>
          </w:rPr>
          <w:t>Our outcomes</w:t>
        </w:r>
        <w:r w:rsidR="00BE26A8">
          <w:rPr>
            <w:webHidden/>
          </w:rPr>
          <w:tab/>
        </w:r>
        <w:r w:rsidR="00BE26A8">
          <w:rPr>
            <w:webHidden/>
          </w:rPr>
          <w:fldChar w:fldCharType="begin"/>
        </w:r>
        <w:r w:rsidR="00BE26A8">
          <w:rPr>
            <w:webHidden/>
          </w:rPr>
          <w:instrText xml:space="preserve"> PAGEREF _Toc149678431 \h </w:instrText>
        </w:r>
        <w:r w:rsidR="00BE26A8">
          <w:rPr>
            <w:webHidden/>
          </w:rPr>
        </w:r>
        <w:r w:rsidR="00BE26A8">
          <w:rPr>
            <w:webHidden/>
          </w:rPr>
          <w:fldChar w:fldCharType="separate"/>
        </w:r>
        <w:r w:rsidR="00BE26A8">
          <w:rPr>
            <w:webHidden/>
          </w:rPr>
          <w:t>7</w:t>
        </w:r>
        <w:r w:rsidR="00BE26A8">
          <w:rPr>
            <w:webHidden/>
          </w:rPr>
          <w:fldChar w:fldCharType="end"/>
        </w:r>
      </w:hyperlink>
    </w:p>
    <w:p w14:paraId="0EFD1AB4" w14:textId="02203F39" w:rsidR="00BE26A8" w:rsidRDefault="00802064">
      <w:pPr>
        <w:pStyle w:val="TOC2"/>
        <w:rPr>
          <w:rFonts w:asciiTheme="minorHAnsi" w:eastAsiaTheme="minorEastAsia" w:hAnsiTheme="minorHAnsi" w:cstheme="minorBidi"/>
          <w:kern w:val="2"/>
          <w:sz w:val="22"/>
          <w:lang w:eastAsia="en-AU"/>
          <w14:ligatures w14:val="standardContextual"/>
        </w:rPr>
      </w:pPr>
      <w:hyperlink w:anchor="_Toc149678432" w:history="1">
        <w:r w:rsidR="00BE26A8" w:rsidRPr="00F132CC">
          <w:rPr>
            <w:rStyle w:val="Hyperlink"/>
          </w:rPr>
          <w:t>Our functions</w:t>
        </w:r>
        <w:r w:rsidR="00BE26A8">
          <w:rPr>
            <w:webHidden/>
          </w:rPr>
          <w:tab/>
        </w:r>
        <w:r w:rsidR="00BE26A8">
          <w:rPr>
            <w:webHidden/>
          </w:rPr>
          <w:fldChar w:fldCharType="begin"/>
        </w:r>
        <w:r w:rsidR="00BE26A8">
          <w:rPr>
            <w:webHidden/>
          </w:rPr>
          <w:instrText xml:space="preserve"> PAGEREF _Toc149678432 \h </w:instrText>
        </w:r>
        <w:r w:rsidR="00BE26A8">
          <w:rPr>
            <w:webHidden/>
          </w:rPr>
        </w:r>
        <w:r w:rsidR="00BE26A8">
          <w:rPr>
            <w:webHidden/>
          </w:rPr>
          <w:fldChar w:fldCharType="separate"/>
        </w:r>
        <w:r w:rsidR="00BE26A8">
          <w:rPr>
            <w:webHidden/>
          </w:rPr>
          <w:t>7</w:t>
        </w:r>
        <w:r w:rsidR="00BE26A8">
          <w:rPr>
            <w:webHidden/>
          </w:rPr>
          <w:fldChar w:fldCharType="end"/>
        </w:r>
      </w:hyperlink>
    </w:p>
    <w:p w14:paraId="1EF62217" w14:textId="7C17B630" w:rsidR="00BE26A8" w:rsidRDefault="00802064">
      <w:pPr>
        <w:pStyle w:val="TOC2"/>
        <w:rPr>
          <w:rFonts w:asciiTheme="minorHAnsi" w:eastAsiaTheme="minorEastAsia" w:hAnsiTheme="minorHAnsi" w:cstheme="minorBidi"/>
          <w:kern w:val="2"/>
          <w:sz w:val="22"/>
          <w:lang w:eastAsia="en-AU"/>
          <w14:ligatures w14:val="standardContextual"/>
        </w:rPr>
      </w:pPr>
      <w:hyperlink w:anchor="_Toc149678433" w:history="1">
        <w:r w:rsidR="00BE26A8" w:rsidRPr="00F132CC">
          <w:rPr>
            <w:rStyle w:val="Hyperlink"/>
          </w:rPr>
          <w:t>Our regulatory approach</w:t>
        </w:r>
        <w:r w:rsidR="00BE26A8">
          <w:rPr>
            <w:webHidden/>
          </w:rPr>
          <w:tab/>
        </w:r>
        <w:r w:rsidR="00BE26A8">
          <w:rPr>
            <w:webHidden/>
          </w:rPr>
          <w:fldChar w:fldCharType="begin"/>
        </w:r>
        <w:r w:rsidR="00BE26A8">
          <w:rPr>
            <w:webHidden/>
          </w:rPr>
          <w:instrText xml:space="preserve"> PAGEREF _Toc149678433 \h </w:instrText>
        </w:r>
        <w:r w:rsidR="00BE26A8">
          <w:rPr>
            <w:webHidden/>
          </w:rPr>
        </w:r>
        <w:r w:rsidR="00BE26A8">
          <w:rPr>
            <w:webHidden/>
          </w:rPr>
          <w:fldChar w:fldCharType="separate"/>
        </w:r>
        <w:r w:rsidR="00BE26A8">
          <w:rPr>
            <w:webHidden/>
          </w:rPr>
          <w:t>8</w:t>
        </w:r>
        <w:r w:rsidR="00BE26A8">
          <w:rPr>
            <w:webHidden/>
          </w:rPr>
          <w:fldChar w:fldCharType="end"/>
        </w:r>
      </w:hyperlink>
    </w:p>
    <w:p w14:paraId="638696C2" w14:textId="6868ADBB" w:rsidR="00BE26A8" w:rsidRDefault="00802064">
      <w:pPr>
        <w:pStyle w:val="TOC2"/>
        <w:rPr>
          <w:rFonts w:asciiTheme="minorHAnsi" w:eastAsiaTheme="minorEastAsia" w:hAnsiTheme="minorHAnsi" w:cstheme="minorBidi"/>
          <w:kern w:val="2"/>
          <w:sz w:val="22"/>
          <w:lang w:eastAsia="en-AU"/>
          <w14:ligatures w14:val="standardContextual"/>
        </w:rPr>
      </w:pPr>
      <w:hyperlink w:anchor="_Toc149678434" w:history="1">
        <w:r w:rsidR="00BE26A8" w:rsidRPr="00F132CC">
          <w:rPr>
            <w:rStyle w:val="Hyperlink"/>
          </w:rPr>
          <w:t>Machinery of Government changes</w:t>
        </w:r>
        <w:r w:rsidR="00BE26A8">
          <w:rPr>
            <w:webHidden/>
          </w:rPr>
          <w:tab/>
        </w:r>
        <w:r w:rsidR="00BE26A8">
          <w:rPr>
            <w:webHidden/>
          </w:rPr>
          <w:fldChar w:fldCharType="begin"/>
        </w:r>
        <w:r w:rsidR="00BE26A8">
          <w:rPr>
            <w:webHidden/>
          </w:rPr>
          <w:instrText xml:space="preserve"> PAGEREF _Toc149678434 \h </w:instrText>
        </w:r>
        <w:r w:rsidR="00BE26A8">
          <w:rPr>
            <w:webHidden/>
          </w:rPr>
        </w:r>
        <w:r w:rsidR="00BE26A8">
          <w:rPr>
            <w:webHidden/>
          </w:rPr>
          <w:fldChar w:fldCharType="separate"/>
        </w:r>
        <w:r w:rsidR="00BE26A8">
          <w:rPr>
            <w:webHidden/>
          </w:rPr>
          <w:t>9</w:t>
        </w:r>
        <w:r w:rsidR="00BE26A8">
          <w:rPr>
            <w:webHidden/>
          </w:rPr>
          <w:fldChar w:fldCharType="end"/>
        </w:r>
      </w:hyperlink>
    </w:p>
    <w:p w14:paraId="3D52787A" w14:textId="24902B67" w:rsidR="00BE26A8" w:rsidRDefault="00802064">
      <w:pPr>
        <w:pStyle w:val="TOC2"/>
        <w:rPr>
          <w:rFonts w:asciiTheme="minorHAnsi" w:eastAsiaTheme="minorEastAsia" w:hAnsiTheme="minorHAnsi" w:cstheme="minorBidi"/>
          <w:kern w:val="2"/>
          <w:sz w:val="22"/>
          <w:lang w:eastAsia="en-AU"/>
          <w14:ligatures w14:val="standardContextual"/>
        </w:rPr>
      </w:pPr>
      <w:hyperlink w:anchor="_Toc149678435" w:history="1">
        <w:r w:rsidR="00BE26A8" w:rsidRPr="00F132CC">
          <w:rPr>
            <w:rStyle w:val="Hyperlink"/>
          </w:rPr>
          <w:t>2023–26 Strategic Plan</w:t>
        </w:r>
        <w:r w:rsidR="00BE26A8">
          <w:rPr>
            <w:webHidden/>
          </w:rPr>
          <w:tab/>
        </w:r>
        <w:r w:rsidR="00BE26A8">
          <w:rPr>
            <w:webHidden/>
          </w:rPr>
          <w:fldChar w:fldCharType="begin"/>
        </w:r>
        <w:r w:rsidR="00BE26A8">
          <w:rPr>
            <w:webHidden/>
          </w:rPr>
          <w:instrText xml:space="preserve"> PAGEREF _Toc149678435 \h </w:instrText>
        </w:r>
        <w:r w:rsidR="00BE26A8">
          <w:rPr>
            <w:webHidden/>
          </w:rPr>
        </w:r>
        <w:r w:rsidR="00BE26A8">
          <w:rPr>
            <w:webHidden/>
          </w:rPr>
          <w:fldChar w:fldCharType="separate"/>
        </w:r>
        <w:r w:rsidR="00BE26A8">
          <w:rPr>
            <w:webHidden/>
          </w:rPr>
          <w:t>10</w:t>
        </w:r>
        <w:r w:rsidR="00BE26A8">
          <w:rPr>
            <w:webHidden/>
          </w:rPr>
          <w:fldChar w:fldCharType="end"/>
        </w:r>
      </w:hyperlink>
    </w:p>
    <w:p w14:paraId="1FE4BEA8" w14:textId="4CD78EF4" w:rsidR="00BE26A8" w:rsidRDefault="00802064">
      <w:pPr>
        <w:pStyle w:val="TOC2"/>
        <w:rPr>
          <w:rFonts w:asciiTheme="minorHAnsi" w:eastAsiaTheme="minorEastAsia" w:hAnsiTheme="minorHAnsi" w:cstheme="minorBidi"/>
          <w:kern w:val="2"/>
          <w:sz w:val="22"/>
          <w:lang w:eastAsia="en-AU"/>
          <w14:ligatures w14:val="standardContextual"/>
        </w:rPr>
      </w:pPr>
      <w:hyperlink w:anchor="_Toc149678436" w:history="1">
        <w:r w:rsidR="00BE26A8" w:rsidRPr="00F132CC">
          <w:rPr>
            <w:rStyle w:val="Hyperlink"/>
          </w:rPr>
          <w:t>Regulatory priorities 2023–24</w:t>
        </w:r>
        <w:r w:rsidR="00BE26A8">
          <w:rPr>
            <w:webHidden/>
          </w:rPr>
          <w:tab/>
        </w:r>
        <w:r w:rsidR="00BE26A8">
          <w:rPr>
            <w:webHidden/>
          </w:rPr>
          <w:fldChar w:fldCharType="begin"/>
        </w:r>
        <w:r w:rsidR="00BE26A8">
          <w:rPr>
            <w:webHidden/>
          </w:rPr>
          <w:instrText xml:space="preserve"> PAGEREF _Toc149678436 \h </w:instrText>
        </w:r>
        <w:r w:rsidR="00BE26A8">
          <w:rPr>
            <w:webHidden/>
          </w:rPr>
        </w:r>
        <w:r w:rsidR="00BE26A8">
          <w:rPr>
            <w:webHidden/>
          </w:rPr>
          <w:fldChar w:fldCharType="separate"/>
        </w:r>
        <w:r w:rsidR="00BE26A8">
          <w:rPr>
            <w:webHidden/>
          </w:rPr>
          <w:t>10</w:t>
        </w:r>
        <w:r w:rsidR="00BE26A8">
          <w:rPr>
            <w:webHidden/>
          </w:rPr>
          <w:fldChar w:fldCharType="end"/>
        </w:r>
      </w:hyperlink>
    </w:p>
    <w:p w14:paraId="257300CF" w14:textId="1A82CCBC" w:rsidR="00BE26A8" w:rsidRDefault="00802064">
      <w:pPr>
        <w:pStyle w:val="TOC1"/>
        <w:rPr>
          <w:rFonts w:asciiTheme="minorHAnsi" w:eastAsiaTheme="minorEastAsia" w:hAnsiTheme="minorHAnsi" w:cstheme="minorBidi"/>
          <w:b w:val="0"/>
          <w:noProof/>
          <w:kern w:val="2"/>
          <w:sz w:val="22"/>
          <w:lang w:eastAsia="en-AU"/>
          <w14:ligatures w14:val="standardContextual"/>
        </w:rPr>
      </w:pPr>
      <w:hyperlink w:anchor="_Toc149678437" w:history="1">
        <w:r w:rsidR="00BE26A8" w:rsidRPr="00F132CC">
          <w:rPr>
            <w:rStyle w:val="Hyperlink"/>
            <w:noProof/>
          </w:rPr>
          <w:t>Our performance</w:t>
        </w:r>
        <w:r w:rsidR="00BE26A8">
          <w:rPr>
            <w:noProof/>
            <w:webHidden/>
          </w:rPr>
          <w:tab/>
        </w:r>
        <w:r w:rsidR="00BE26A8">
          <w:rPr>
            <w:noProof/>
            <w:webHidden/>
          </w:rPr>
          <w:fldChar w:fldCharType="begin"/>
        </w:r>
        <w:r w:rsidR="00BE26A8">
          <w:rPr>
            <w:noProof/>
            <w:webHidden/>
          </w:rPr>
          <w:instrText xml:space="preserve"> PAGEREF _Toc149678437 \h </w:instrText>
        </w:r>
        <w:r w:rsidR="00BE26A8">
          <w:rPr>
            <w:noProof/>
            <w:webHidden/>
          </w:rPr>
        </w:r>
        <w:r w:rsidR="00BE26A8">
          <w:rPr>
            <w:noProof/>
            <w:webHidden/>
          </w:rPr>
          <w:fldChar w:fldCharType="separate"/>
        </w:r>
        <w:r w:rsidR="00BE26A8">
          <w:rPr>
            <w:noProof/>
            <w:webHidden/>
          </w:rPr>
          <w:t>11</w:t>
        </w:r>
        <w:r w:rsidR="00BE26A8">
          <w:rPr>
            <w:noProof/>
            <w:webHidden/>
          </w:rPr>
          <w:fldChar w:fldCharType="end"/>
        </w:r>
      </w:hyperlink>
    </w:p>
    <w:p w14:paraId="47F2CD81" w14:textId="76E99DB1" w:rsidR="00BE26A8" w:rsidRDefault="00802064">
      <w:pPr>
        <w:pStyle w:val="TOC1"/>
        <w:rPr>
          <w:rFonts w:asciiTheme="minorHAnsi" w:eastAsiaTheme="minorEastAsia" w:hAnsiTheme="minorHAnsi" w:cstheme="minorBidi"/>
          <w:b w:val="0"/>
          <w:noProof/>
          <w:kern w:val="2"/>
          <w:sz w:val="22"/>
          <w:lang w:eastAsia="en-AU"/>
          <w14:ligatures w14:val="standardContextual"/>
        </w:rPr>
      </w:pPr>
      <w:hyperlink w:anchor="_Toc149678438" w:history="1">
        <w:r w:rsidR="00BE26A8" w:rsidRPr="00F132CC">
          <w:rPr>
            <w:rStyle w:val="Hyperlink"/>
            <w:noProof/>
          </w:rPr>
          <w:t>Our achievements</w:t>
        </w:r>
        <w:r w:rsidR="00BE26A8">
          <w:rPr>
            <w:noProof/>
            <w:webHidden/>
          </w:rPr>
          <w:tab/>
        </w:r>
        <w:r w:rsidR="00BE26A8">
          <w:rPr>
            <w:noProof/>
            <w:webHidden/>
          </w:rPr>
          <w:fldChar w:fldCharType="begin"/>
        </w:r>
        <w:r w:rsidR="00BE26A8">
          <w:rPr>
            <w:noProof/>
            <w:webHidden/>
          </w:rPr>
          <w:instrText xml:space="preserve"> PAGEREF _Toc149678438 \h </w:instrText>
        </w:r>
        <w:r w:rsidR="00BE26A8">
          <w:rPr>
            <w:noProof/>
            <w:webHidden/>
          </w:rPr>
        </w:r>
        <w:r w:rsidR="00BE26A8">
          <w:rPr>
            <w:noProof/>
            <w:webHidden/>
          </w:rPr>
          <w:fldChar w:fldCharType="separate"/>
        </w:r>
        <w:r w:rsidR="00BE26A8">
          <w:rPr>
            <w:noProof/>
            <w:webHidden/>
          </w:rPr>
          <w:t>13</w:t>
        </w:r>
        <w:r w:rsidR="00BE26A8">
          <w:rPr>
            <w:noProof/>
            <w:webHidden/>
          </w:rPr>
          <w:fldChar w:fldCharType="end"/>
        </w:r>
      </w:hyperlink>
    </w:p>
    <w:p w14:paraId="48C2B291" w14:textId="7BA33ED9" w:rsidR="00BE26A8" w:rsidRDefault="00802064">
      <w:pPr>
        <w:pStyle w:val="TOC2"/>
        <w:rPr>
          <w:rFonts w:asciiTheme="minorHAnsi" w:eastAsiaTheme="minorEastAsia" w:hAnsiTheme="minorHAnsi" w:cstheme="minorBidi"/>
          <w:kern w:val="2"/>
          <w:sz w:val="22"/>
          <w:lang w:eastAsia="en-AU"/>
          <w14:ligatures w14:val="standardContextual"/>
        </w:rPr>
      </w:pPr>
      <w:hyperlink w:anchor="_Toc149678439" w:history="1">
        <w:r w:rsidR="00BE26A8" w:rsidRPr="00F132CC">
          <w:rPr>
            <w:rStyle w:val="Hyperlink"/>
          </w:rPr>
          <w:t>Businesses comply with consumer laws</w:t>
        </w:r>
        <w:r w:rsidR="00BE26A8">
          <w:rPr>
            <w:webHidden/>
          </w:rPr>
          <w:tab/>
        </w:r>
        <w:r w:rsidR="00BE26A8">
          <w:rPr>
            <w:webHidden/>
          </w:rPr>
          <w:fldChar w:fldCharType="begin"/>
        </w:r>
        <w:r w:rsidR="00BE26A8">
          <w:rPr>
            <w:webHidden/>
          </w:rPr>
          <w:instrText xml:space="preserve"> PAGEREF _Toc149678439 \h </w:instrText>
        </w:r>
        <w:r w:rsidR="00BE26A8">
          <w:rPr>
            <w:webHidden/>
          </w:rPr>
        </w:r>
        <w:r w:rsidR="00BE26A8">
          <w:rPr>
            <w:webHidden/>
          </w:rPr>
          <w:fldChar w:fldCharType="separate"/>
        </w:r>
        <w:r w:rsidR="00BE26A8">
          <w:rPr>
            <w:webHidden/>
          </w:rPr>
          <w:t>13</w:t>
        </w:r>
        <w:r w:rsidR="00BE26A8">
          <w:rPr>
            <w:webHidden/>
          </w:rPr>
          <w:fldChar w:fldCharType="end"/>
        </w:r>
      </w:hyperlink>
    </w:p>
    <w:p w14:paraId="7049434F" w14:textId="1BC68A3B" w:rsidR="00BE26A8" w:rsidRDefault="00802064">
      <w:pPr>
        <w:pStyle w:val="TOC2"/>
        <w:rPr>
          <w:rFonts w:asciiTheme="minorHAnsi" w:eastAsiaTheme="minorEastAsia" w:hAnsiTheme="minorHAnsi" w:cstheme="minorBidi"/>
          <w:kern w:val="2"/>
          <w:sz w:val="22"/>
          <w:lang w:eastAsia="en-AU"/>
          <w14:ligatures w14:val="standardContextual"/>
        </w:rPr>
      </w:pPr>
      <w:hyperlink w:anchor="_Toc149678440" w:history="1">
        <w:r w:rsidR="00BE26A8" w:rsidRPr="00F132CC">
          <w:rPr>
            <w:rStyle w:val="Hyperlink"/>
          </w:rPr>
          <w:t>Victorians exercise their consumer rights</w:t>
        </w:r>
        <w:r w:rsidR="00BE26A8">
          <w:rPr>
            <w:webHidden/>
          </w:rPr>
          <w:tab/>
        </w:r>
        <w:r w:rsidR="00BE26A8">
          <w:rPr>
            <w:webHidden/>
          </w:rPr>
          <w:fldChar w:fldCharType="begin"/>
        </w:r>
        <w:r w:rsidR="00BE26A8">
          <w:rPr>
            <w:webHidden/>
          </w:rPr>
          <w:instrText xml:space="preserve"> PAGEREF _Toc149678440 \h </w:instrText>
        </w:r>
        <w:r w:rsidR="00BE26A8">
          <w:rPr>
            <w:webHidden/>
          </w:rPr>
        </w:r>
        <w:r w:rsidR="00BE26A8">
          <w:rPr>
            <w:webHidden/>
          </w:rPr>
          <w:fldChar w:fldCharType="separate"/>
        </w:r>
        <w:r w:rsidR="00BE26A8">
          <w:rPr>
            <w:webHidden/>
          </w:rPr>
          <w:t>20</w:t>
        </w:r>
        <w:r w:rsidR="00BE26A8">
          <w:rPr>
            <w:webHidden/>
          </w:rPr>
          <w:fldChar w:fldCharType="end"/>
        </w:r>
      </w:hyperlink>
    </w:p>
    <w:p w14:paraId="45A81759" w14:textId="37E4288B" w:rsidR="00BE26A8" w:rsidRDefault="00802064">
      <w:pPr>
        <w:pStyle w:val="TOC2"/>
        <w:rPr>
          <w:rFonts w:asciiTheme="minorHAnsi" w:eastAsiaTheme="minorEastAsia" w:hAnsiTheme="minorHAnsi" w:cstheme="minorBidi"/>
          <w:kern w:val="2"/>
          <w:sz w:val="22"/>
          <w:lang w:eastAsia="en-AU"/>
          <w14:ligatures w14:val="standardContextual"/>
        </w:rPr>
      </w:pPr>
      <w:hyperlink w:anchor="_Toc149678441" w:history="1">
        <w:r w:rsidR="00BE26A8" w:rsidRPr="00F132CC">
          <w:rPr>
            <w:rStyle w:val="Hyperlink"/>
          </w:rPr>
          <w:t>A fair and safe rental market</w:t>
        </w:r>
        <w:r w:rsidR="00BE26A8">
          <w:rPr>
            <w:webHidden/>
          </w:rPr>
          <w:tab/>
        </w:r>
        <w:r w:rsidR="00BE26A8">
          <w:rPr>
            <w:webHidden/>
          </w:rPr>
          <w:fldChar w:fldCharType="begin"/>
        </w:r>
        <w:r w:rsidR="00BE26A8">
          <w:rPr>
            <w:webHidden/>
          </w:rPr>
          <w:instrText xml:space="preserve"> PAGEREF _Toc149678441 \h </w:instrText>
        </w:r>
        <w:r w:rsidR="00BE26A8">
          <w:rPr>
            <w:webHidden/>
          </w:rPr>
        </w:r>
        <w:r w:rsidR="00BE26A8">
          <w:rPr>
            <w:webHidden/>
          </w:rPr>
          <w:fldChar w:fldCharType="separate"/>
        </w:r>
        <w:r w:rsidR="00BE26A8">
          <w:rPr>
            <w:webHidden/>
          </w:rPr>
          <w:t>23</w:t>
        </w:r>
        <w:r w:rsidR="00BE26A8">
          <w:rPr>
            <w:webHidden/>
          </w:rPr>
          <w:fldChar w:fldCharType="end"/>
        </w:r>
      </w:hyperlink>
    </w:p>
    <w:p w14:paraId="5C948FAA" w14:textId="452693D5" w:rsidR="00BE26A8" w:rsidRDefault="00802064">
      <w:pPr>
        <w:pStyle w:val="TOC2"/>
        <w:rPr>
          <w:rFonts w:asciiTheme="minorHAnsi" w:eastAsiaTheme="minorEastAsia" w:hAnsiTheme="minorHAnsi" w:cstheme="minorBidi"/>
          <w:kern w:val="2"/>
          <w:sz w:val="22"/>
          <w:lang w:eastAsia="en-AU"/>
          <w14:ligatures w14:val="standardContextual"/>
        </w:rPr>
      </w:pPr>
      <w:hyperlink w:anchor="_Toc149678442" w:history="1">
        <w:r w:rsidR="00BE26A8" w:rsidRPr="00F132CC">
          <w:rPr>
            <w:rStyle w:val="Hyperlink"/>
          </w:rPr>
          <w:t>Other</w:t>
        </w:r>
        <w:r w:rsidR="00BE26A8">
          <w:rPr>
            <w:webHidden/>
          </w:rPr>
          <w:tab/>
        </w:r>
        <w:r w:rsidR="00BE26A8">
          <w:rPr>
            <w:webHidden/>
          </w:rPr>
          <w:fldChar w:fldCharType="begin"/>
        </w:r>
        <w:r w:rsidR="00BE26A8">
          <w:rPr>
            <w:webHidden/>
          </w:rPr>
          <w:instrText xml:space="preserve"> PAGEREF _Toc149678442 \h </w:instrText>
        </w:r>
        <w:r w:rsidR="00BE26A8">
          <w:rPr>
            <w:webHidden/>
          </w:rPr>
        </w:r>
        <w:r w:rsidR="00BE26A8">
          <w:rPr>
            <w:webHidden/>
          </w:rPr>
          <w:fldChar w:fldCharType="separate"/>
        </w:r>
        <w:r w:rsidR="00BE26A8">
          <w:rPr>
            <w:webHidden/>
          </w:rPr>
          <w:t>27</w:t>
        </w:r>
        <w:r w:rsidR="00BE26A8">
          <w:rPr>
            <w:webHidden/>
          </w:rPr>
          <w:fldChar w:fldCharType="end"/>
        </w:r>
      </w:hyperlink>
    </w:p>
    <w:p w14:paraId="4A5860E5" w14:textId="6EA3A50E" w:rsidR="00BE26A8" w:rsidRDefault="00802064">
      <w:pPr>
        <w:pStyle w:val="TOC1"/>
        <w:rPr>
          <w:rFonts w:asciiTheme="minorHAnsi" w:eastAsiaTheme="minorEastAsia" w:hAnsiTheme="minorHAnsi" w:cstheme="minorBidi"/>
          <w:b w:val="0"/>
          <w:noProof/>
          <w:kern w:val="2"/>
          <w:sz w:val="22"/>
          <w:lang w:eastAsia="en-AU"/>
          <w14:ligatures w14:val="standardContextual"/>
        </w:rPr>
      </w:pPr>
      <w:hyperlink w:anchor="_Toc149678443" w:history="1">
        <w:r w:rsidR="00BE26A8" w:rsidRPr="00F132CC">
          <w:rPr>
            <w:rStyle w:val="Hyperlink"/>
            <w:noProof/>
          </w:rPr>
          <w:t>Financial information 2022–23</w:t>
        </w:r>
        <w:r w:rsidR="00BE26A8">
          <w:rPr>
            <w:noProof/>
            <w:webHidden/>
          </w:rPr>
          <w:tab/>
        </w:r>
        <w:r w:rsidR="00BE26A8">
          <w:rPr>
            <w:noProof/>
            <w:webHidden/>
          </w:rPr>
          <w:fldChar w:fldCharType="begin"/>
        </w:r>
        <w:r w:rsidR="00BE26A8">
          <w:rPr>
            <w:noProof/>
            <w:webHidden/>
          </w:rPr>
          <w:instrText xml:space="preserve"> PAGEREF _Toc149678443 \h </w:instrText>
        </w:r>
        <w:r w:rsidR="00BE26A8">
          <w:rPr>
            <w:noProof/>
            <w:webHidden/>
          </w:rPr>
        </w:r>
        <w:r w:rsidR="00BE26A8">
          <w:rPr>
            <w:noProof/>
            <w:webHidden/>
          </w:rPr>
          <w:fldChar w:fldCharType="separate"/>
        </w:r>
        <w:r w:rsidR="00BE26A8">
          <w:rPr>
            <w:noProof/>
            <w:webHidden/>
          </w:rPr>
          <w:t>31</w:t>
        </w:r>
        <w:r w:rsidR="00BE26A8">
          <w:rPr>
            <w:noProof/>
            <w:webHidden/>
          </w:rPr>
          <w:fldChar w:fldCharType="end"/>
        </w:r>
      </w:hyperlink>
    </w:p>
    <w:p w14:paraId="3B8A1FDC" w14:textId="74048633" w:rsidR="00BE26A8" w:rsidRDefault="00802064">
      <w:pPr>
        <w:pStyle w:val="TOC1"/>
        <w:rPr>
          <w:rFonts w:asciiTheme="minorHAnsi" w:eastAsiaTheme="minorEastAsia" w:hAnsiTheme="minorHAnsi" w:cstheme="minorBidi"/>
          <w:b w:val="0"/>
          <w:noProof/>
          <w:kern w:val="2"/>
          <w:sz w:val="22"/>
          <w:lang w:eastAsia="en-AU"/>
          <w14:ligatures w14:val="standardContextual"/>
        </w:rPr>
      </w:pPr>
      <w:hyperlink w:anchor="_Toc149678444" w:history="1">
        <w:r w:rsidR="00BE26A8" w:rsidRPr="00F132CC">
          <w:rPr>
            <w:rStyle w:val="Hyperlink"/>
            <w:noProof/>
          </w:rPr>
          <w:t>Regulations made, commenced, revoked in 2022–23</w:t>
        </w:r>
        <w:r w:rsidR="00BE26A8">
          <w:rPr>
            <w:noProof/>
            <w:webHidden/>
          </w:rPr>
          <w:tab/>
        </w:r>
        <w:r w:rsidR="00BE26A8">
          <w:rPr>
            <w:noProof/>
            <w:webHidden/>
          </w:rPr>
          <w:fldChar w:fldCharType="begin"/>
        </w:r>
        <w:r w:rsidR="00BE26A8">
          <w:rPr>
            <w:noProof/>
            <w:webHidden/>
          </w:rPr>
          <w:instrText xml:space="preserve"> PAGEREF _Toc149678444 \h </w:instrText>
        </w:r>
        <w:r w:rsidR="00BE26A8">
          <w:rPr>
            <w:noProof/>
            <w:webHidden/>
          </w:rPr>
        </w:r>
        <w:r w:rsidR="00BE26A8">
          <w:rPr>
            <w:noProof/>
            <w:webHidden/>
          </w:rPr>
          <w:fldChar w:fldCharType="separate"/>
        </w:r>
        <w:r w:rsidR="00BE26A8">
          <w:rPr>
            <w:noProof/>
            <w:webHidden/>
          </w:rPr>
          <w:t>32</w:t>
        </w:r>
        <w:r w:rsidR="00BE26A8">
          <w:rPr>
            <w:noProof/>
            <w:webHidden/>
          </w:rPr>
          <w:fldChar w:fldCharType="end"/>
        </w:r>
      </w:hyperlink>
    </w:p>
    <w:p w14:paraId="3CF51FA0" w14:textId="634138D3" w:rsidR="00BE26A8" w:rsidRDefault="00802064">
      <w:pPr>
        <w:pStyle w:val="TOC2"/>
        <w:rPr>
          <w:rFonts w:asciiTheme="minorHAnsi" w:eastAsiaTheme="minorEastAsia" w:hAnsiTheme="minorHAnsi" w:cstheme="minorBidi"/>
          <w:kern w:val="2"/>
          <w:sz w:val="22"/>
          <w:lang w:eastAsia="en-AU"/>
          <w14:ligatures w14:val="standardContextual"/>
        </w:rPr>
      </w:pPr>
      <w:hyperlink w:anchor="_Toc149678445" w:history="1">
        <w:r w:rsidR="00BE26A8" w:rsidRPr="00F132CC">
          <w:rPr>
            <w:rStyle w:val="Hyperlink"/>
          </w:rPr>
          <w:t>Regulations made</w:t>
        </w:r>
        <w:r w:rsidR="00BE26A8">
          <w:rPr>
            <w:webHidden/>
          </w:rPr>
          <w:tab/>
        </w:r>
        <w:r w:rsidR="00BE26A8">
          <w:rPr>
            <w:webHidden/>
          </w:rPr>
          <w:fldChar w:fldCharType="begin"/>
        </w:r>
        <w:r w:rsidR="00BE26A8">
          <w:rPr>
            <w:webHidden/>
          </w:rPr>
          <w:instrText xml:space="preserve"> PAGEREF _Toc149678445 \h </w:instrText>
        </w:r>
        <w:r w:rsidR="00BE26A8">
          <w:rPr>
            <w:webHidden/>
          </w:rPr>
        </w:r>
        <w:r w:rsidR="00BE26A8">
          <w:rPr>
            <w:webHidden/>
          </w:rPr>
          <w:fldChar w:fldCharType="separate"/>
        </w:r>
        <w:r w:rsidR="00BE26A8">
          <w:rPr>
            <w:webHidden/>
          </w:rPr>
          <w:t>32</w:t>
        </w:r>
        <w:r w:rsidR="00BE26A8">
          <w:rPr>
            <w:webHidden/>
          </w:rPr>
          <w:fldChar w:fldCharType="end"/>
        </w:r>
      </w:hyperlink>
    </w:p>
    <w:p w14:paraId="22CB1BC3" w14:textId="58AB598B" w:rsidR="00BE26A8" w:rsidRDefault="00802064">
      <w:pPr>
        <w:pStyle w:val="TOC2"/>
        <w:rPr>
          <w:rFonts w:asciiTheme="minorHAnsi" w:eastAsiaTheme="minorEastAsia" w:hAnsiTheme="minorHAnsi" w:cstheme="minorBidi"/>
          <w:kern w:val="2"/>
          <w:sz w:val="22"/>
          <w:lang w:eastAsia="en-AU"/>
          <w14:ligatures w14:val="standardContextual"/>
        </w:rPr>
      </w:pPr>
      <w:hyperlink w:anchor="_Toc149678446" w:history="1">
        <w:r w:rsidR="00BE26A8" w:rsidRPr="00F132CC">
          <w:rPr>
            <w:rStyle w:val="Hyperlink"/>
          </w:rPr>
          <w:t>Regulations commenced</w:t>
        </w:r>
        <w:r w:rsidR="00BE26A8">
          <w:rPr>
            <w:webHidden/>
          </w:rPr>
          <w:tab/>
        </w:r>
        <w:r w:rsidR="00BE26A8">
          <w:rPr>
            <w:webHidden/>
          </w:rPr>
          <w:fldChar w:fldCharType="begin"/>
        </w:r>
        <w:r w:rsidR="00BE26A8">
          <w:rPr>
            <w:webHidden/>
          </w:rPr>
          <w:instrText xml:space="preserve"> PAGEREF _Toc149678446 \h </w:instrText>
        </w:r>
        <w:r w:rsidR="00BE26A8">
          <w:rPr>
            <w:webHidden/>
          </w:rPr>
        </w:r>
        <w:r w:rsidR="00BE26A8">
          <w:rPr>
            <w:webHidden/>
          </w:rPr>
          <w:fldChar w:fldCharType="separate"/>
        </w:r>
        <w:r w:rsidR="00BE26A8">
          <w:rPr>
            <w:webHidden/>
          </w:rPr>
          <w:t>32</w:t>
        </w:r>
        <w:r w:rsidR="00BE26A8">
          <w:rPr>
            <w:webHidden/>
          </w:rPr>
          <w:fldChar w:fldCharType="end"/>
        </w:r>
      </w:hyperlink>
    </w:p>
    <w:p w14:paraId="64F4CB20" w14:textId="133C2708" w:rsidR="00BE26A8" w:rsidRDefault="00802064">
      <w:pPr>
        <w:pStyle w:val="TOC2"/>
        <w:rPr>
          <w:rFonts w:asciiTheme="minorHAnsi" w:eastAsiaTheme="minorEastAsia" w:hAnsiTheme="minorHAnsi" w:cstheme="minorBidi"/>
          <w:kern w:val="2"/>
          <w:sz w:val="22"/>
          <w:lang w:eastAsia="en-AU"/>
          <w14:ligatures w14:val="standardContextual"/>
        </w:rPr>
      </w:pPr>
      <w:hyperlink w:anchor="_Toc149678447" w:history="1">
        <w:r w:rsidR="00BE26A8" w:rsidRPr="00F132CC">
          <w:rPr>
            <w:rStyle w:val="Hyperlink"/>
          </w:rPr>
          <w:t>Regulations revoked</w:t>
        </w:r>
        <w:r w:rsidR="00BE26A8">
          <w:rPr>
            <w:webHidden/>
          </w:rPr>
          <w:tab/>
        </w:r>
        <w:r w:rsidR="00BE26A8">
          <w:rPr>
            <w:webHidden/>
          </w:rPr>
          <w:fldChar w:fldCharType="begin"/>
        </w:r>
        <w:r w:rsidR="00BE26A8">
          <w:rPr>
            <w:webHidden/>
          </w:rPr>
          <w:instrText xml:space="preserve"> PAGEREF _Toc149678447 \h </w:instrText>
        </w:r>
        <w:r w:rsidR="00BE26A8">
          <w:rPr>
            <w:webHidden/>
          </w:rPr>
        </w:r>
        <w:r w:rsidR="00BE26A8">
          <w:rPr>
            <w:webHidden/>
          </w:rPr>
          <w:fldChar w:fldCharType="separate"/>
        </w:r>
        <w:r w:rsidR="00BE26A8">
          <w:rPr>
            <w:webHidden/>
          </w:rPr>
          <w:t>32</w:t>
        </w:r>
        <w:r w:rsidR="00BE26A8">
          <w:rPr>
            <w:webHidden/>
          </w:rPr>
          <w:fldChar w:fldCharType="end"/>
        </w:r>
      </w:hyperlink>
    </w:p>
    <w:p w14:paraId="1E2168D0" w14:textId="1B7385CC" w:rsidR="00BE26A8" w:rsidRDefault="00802064">
      <w:pPr>
        <w:pStyle w:val="TOC1"/>
        <w:rPr>
          <w:rFonts w:asciiTheme="minorHAnsi" w:eastAsiaTheme="minorEastAsia" w:hAnsiTheme="minorHAnsi" w:cstheme="minorBidi"/>
          <w:b w:val="0"/>
          <w:noProof/>
          <w:kern w:val="2"/>
          <w:sz w:val="22"/>
          <w:lang w:eastAsia="en-AU"/>
          <w14:ligatures w14:val="standardContextual"/>
        </w:rPr>
      </w:pPr>
      <w:hyperlink w:anchor="_Toc149678448" w:history="1">
        <w:r w:rsidR="00BE26A8" w:rsidRPr="00F132CC">
          <w:rPr>
            <w:rStyle w:val="Hyperlink"/>
            <w:noProof/>
          </w:rPr>
          <w:t>Legislation administered by CAV as at 30 June 2023</w:t>
        </w:r>
        <w:r w:rsidR="00BE26A8">
          <w:rPr>
            <w:noProof/>
            <w:webHidden/>
          </w:rPr>
          <w:tab/>
        </w:r>
        <w:r w:rsidR="00BE26A8">
          <w:rPr>
            <w:noProof/>
            <w:webHidden/>
          </w:rPr>
          <w:fldChar w:fldCharType="begin"/>
        </w:r>
        <w:r w:rsidR="00BE26A8">
          <w:rPr>
            <w:noProof/>
            <w:webHidden/>
          </w:rPr>
          <w:instrText xml:space="preserve"> PAGEREF _Toc149678448 \h </w:instrText>
        </w:r>
        <w:r w:rsidR="00BE26A8">
          <w:rPr>
            <w:noProof/>
            <w:webHidden/>
          </w:rPr>
        </w:r>
        <w:r w:rsidR="00BE26A8">
          <w:rPr>
            <w:noProof/>
            <w:webHidden/>
          </w:rPr>
          <w:fldChar w:fldCharType="separate"/>
        </w:r>
        <w:r w:rsidR="00BE26A8">
          <w:rPr>
            <w:noProof/>
            <w:webHidden/>
          </w:rPr>
          <w:t>33</w:t>
        </w:r>
        <w:r w:rsidR="00BE26A8">
          <w:rPr>
            <w:noProof/>
            <w:webHidden/>
          </w:rPr>
          <w:fldChar w:fldCharType="end"/>
        </w:r>
      </w:hyperlink>
    </w:p>
    <w:p w14:paraId="6779D866" w14:textId="02BEB368" w:rsidR="008E1660" w:rsidRDefault="009569B2" w:rsidP="008E1660">
      <w:pPr>
        <w:pStyle w:val="BodyText"/>
      </w:pPr>
      <w:r>
        <w:fldChar w:fldCharType="end"/>
      </w:r>
    </w:p>
    <w:p w14:paraId="7CB5E86D" w14:textId="2C3B3141" w:rsidR="00D31BFE" w:rsidRDefault="00D31BFE" w:rsidP="00D31BFE">
      <w:pPr>
        <w:pStyle w:val="Heading2"/>
      </w:pPr>
      <w:bookmarkStart w:id="1" w:name="_Toc149678426"/>
      <w:r>
        <w:t>Letter</w:t>
      </w:r>
      <w:r w:rsidR="00D733E1">
        <w:t xml:space="preserve"> </w:t>
      </w:r>
      <w:r>
        <w:t>to</w:t>
      </w:r>
      <w:r w:rsidR="00D733E1">
        <w:t xml:space="preserve"> </w:t>
      </w:r>
      <w:r>
        <w:t>the</w:t>
      </w:r>
      <w:r w:rsidR="00D733E1">
        <w:t xml:space="preserve"> </w:t>
      </w:r>
      <w:r>
        <w:t>Minister</w:t>
      </w:r>
      <w:bookmarkEnd w:id="1"/>
    </w:p>
    <w:p w14:paraId="3FE45683" w14:textId="0F3DD070" w:rsidR="00020B2C" w:rsidRDefault="008B53D8" w:rsidP="00020B2C">
      <w:pPr>
        <w:pStyle w:val="BodyText"/>
      </w:pPr>
      <w:r>
        <w:rPr>
          <w:noProof/>
        </w:rPr>
        <w:drawing>
          <wp:inline distT="0" distB="0" distL="0" distR="0" wp14:anchorId="51720FAF" wp14:editId="04218467">
            <wp:extent cx="1800000" cy="1800000"/>
            <wp:effectExtent l="0" t="0" r="0" b="0"/>
            <wp:docPr id="2018093500" name="Picture 1" descr="Photo of the Hon Gabrielle Williams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093500" name="Picture 1" descr="Photo of the Hon Gabrielle Williams 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6AB6E52E" w14:textId="4738A4B9" w:rsidR="00925FF5" w:rsidRPr="00020B2C" w:rsidRDefault="00311EE4" w:rsidP="000D3108">
      <w:pPr>
        <w:pStyle w:val="BodyText"/>
        <w:spacing w:before="60" w:after="60"/>
      </w:pPr>
      <w:r w:rsidRPr="00311EE4">
        <w:rPr>
          <w:rStyle w:val="Strong"/>
        </w:rPr>
        <w:t>The</w:t>
      </w:r>
      <w:r w:rsidR="00D733E1">
        <w:rPr>
          <w:rStyle w:val="Strong"/>
        </w:rPr>
        <w:t xml:space="preserve"> </w:t>
      </w:r>
      <w:r w:rsidRPr="00311EE4">
        <w:rPr>
          <w:rStyle w:val="Strong"/>
        </w:rPr>
        <w:t>Hon</w:t>
      </w:r>
      <w:r w:rsidR="00D733E1">
        <w:rPr>
          <w:rStyle w:val="Strong"/>
        </w:rPr>
        <w:t xml:space="preserve"> </w:t>
      </w:r>
      <w:r w:rsidR="00020B2C">
        <w:rPr>
          <w:rStyle w:val="Strong"/>
        </w:rPr>
        <w:t>Gabrielle Williams</w:t>
      </w:r>
      <w:r w:rsidR="00D733E1">
        <w:rPr>
          <w:rStyle w:val="Strong"/>
        </w:rPr>
        <w:t xml:space="preserve"> </w:t>
      </w:r>
      <w:r w:rsidRPr="00311EE4">
        <w:rPr>
          <w:rStyle w:val="Strong"/>
        </w:rPr>
        <w:t>MP</w:t>
      </w:r>
      <w:r w:rsidR="000D3108">
        <w:rPr>
          <w:rStyle w:val="Strong"/>
        </w:rPr>
        <w:br/>
      </w:r>
      <w:r w:rsidRPr="00020B2C">
        <w:t>Minister</w:t>
      </w:r>
      <w:r w:rsidR="00D733E1" w:rsidRPr="00020B2C">
        <w:t xml:space="preserve"> </w:t>
      </w:r>
      <w:r w:rsidRPr="00020B2C">
        <w:t>for</w:t>
      </w:r>
      <w:r w:rsidR="00D733E1" w:rsidRPr="00020B2C">
        <w:t xml:space="preserve"> </w:t>
      </w:r>
      <w:r w:rsidRPr="00020B2C">
        <w:t>Consumer</w:t>
      </w:r>
      <w:r w:rsidR="00D733E1" w:rsidRPr="00020B2C">
        <w:t xml:space="preserve"> </w:t>
      </w:r>
      <w:r w:rsidRPr="00020B2C">
        <w:t>Affairs</w:t>
      </w:r>
    </w:p>
    <w:p w14:paraId="4FF93DC0" w14:textId="38D37271" w:rsidR="00D31BFE" w:rsidRDefault="00D31BFE" w:rsidP="00187474">
      <w:pPr>
        <w:pStyle w:val="BodyText"/>
        <w:spacing w:before="1000"/>
      </w:pPr>
      <w:r>
        <w:t>Dear</w:t>
      </w:r>
      <w:r w:rsidR="00D733E1">
        <w:t xml:space="preserve"> </w:t>
      </w:r>
      <w:r>
        <w:t>Minister,</w:t>
      </w:r>
    </w:p>
    <w:p w14:paraId="76EA6F07" w14:textId="77777777" w:rsidR="00020B2C" w:rsidRDefault="00020B2C" w:rsidP="00384BF6">
      <w:pPr>
        <w:pStyle w:val="BodyText"/>
        <w:ind w:right="1418"/>
      </w:pPr>
      <w:r>
        <w:t xml:space="preserve">In accordance with the </w:t>
      </w:r>
      <w:r w:rsidRPr="008A66FE">
        <w:rPr>
          <w:rStyle w:val="Emphasis"/>
        </w:rPr>
        <w:t>Australian Consumer Law and Fair Trading Act 2012</w:t>
      </w:r>
      <w:r>
        <w:t xml:space="preserve">, the </w:t>
      </w:r>
      <w:r w:rsidRPr="008A66FE">
        <w:rPr>
          <w:rStyle w:val="Emphasis"/>
        </w:rPr>
        <w:t>Credit (Administration) Act 1984</w:t>
      </w:r>
      <w:r>
        <w:t xml:space="preserve"> and the </w:t>
      </w:r>
      <w:r w:rsidRPr="008A66FE">
        <w:rPr>
          <w:rStyle w:val="Emphasis"/>
        </w:rPr>
        <w:t>Veterans Act 2005</w:t>
      </w:r>
      <w:r>
        <w:t>, I am pleased to present the Consumer Affairs Victoria Annual Report for the year ending 30 June 2023.</w:t>
      </w:r>
    </w:p>
    <w:p w14:paraId="1AB25183" w14:textId="77777777" w:rsidR="00020B2C" w:rsidRDefault="00020B2C" w:rsidP="00020B2C">
      <w:pPr>
        <w:pStyle w:val="BodyText"/>
      </w:pPr>
      <w:r>
        <w:t>Yours sincerely,</w:t>
      </w:r>
    </w:p>
    <w:p w14:paraId="71C4DAF8" w14:textId="77777777" w:rsidR="00020B2C" w:rsidRDefault="00020B2C" w:rsidP="00020B2C">
      <w:pPr>
        <w:pStyle w:val="BodyText"/>
        <w:spacing w:after="80"/>
      </w:pPr>
      <w:r>
        <w:rPr>
          <w:noProof/>
        </w:rPr>
        <w:drawing>
          <wp:inline distT="0" distB="0" distL="0" distR="0" wp14:anchorId="28114106" wp14:editId="38F8506E">
            <wp:extent cx="847725" cy="333375"/>
            <wp:effectExtent l="0" t="0" r="9525" b="9525"/>
            <wp:docPr id="71250772" name="Picture 71250772" descr="Nicole Rich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Nicole Rich signature"/>
                    <pic:cNvPicPr/>
                  </pic:nvPicPr>
                  <pic:blipFill>
                    <a:blip r:embed="rId11">
                      <a:extLst>
                        <a:ext uri="{28A0092B-C50C-407E-A947-70E740481C1C}">
                          <a14:useLocalDpi xmlns:a14="http://schemas.microsoft.com/office/drawing/2010/main" val="0"/>
                        </a:ext>
                      </a:extLst>
                    </a:blip>
                    <a:stretch>
                      <a:fillRect/>
                    </a:stretch>
                  </pic:blipFill>
                  <pic:spPr>
                    <a:xfrm>
                      <a:off x="0" y="0"/>
                      <a:ext cx="847725" cy="333375"/>
                    </a:xfrm>
                    <a:prstGeom prst="rect">
                      <a:avLst/>
                    </a:prstGeom>
                  </pic:spPr>
                </pic:pic>
              </a:graphicData>
            </a:graphic>
          </wp:inline>
        </w:drawing>
      </w:r>
    </w:p>
    <w:p w14:paraId="4ED3057C" w14:textId="77777777" w:rsidR="00020B2C" w:rsidRDefault="00020B2C" w:rsidP="00020B2C">
      <w:pPr>
        <w:pStyle w:val="BodyText"/>
      </w:pPr>
      <w:r w:rsidRPr="002515E1">
        <w:rPr>
          <w:rStyle w:val="Strong"/>
        </w:rPr>
        <w:t>Nicole Rich</w:t>
      </w:r>
      <w:r>
        <w:br/>
        <w:t xml:space="preserve">Executive Director, Regulatory Services &amp; </w:t>
      </w:r>
      <w:r>
        <w:br/>
        <w:t>Director, Consumer Affairs Victoria</w:t>
      </w:r>
    </w:p>
    <w:p w14:paraId="795ECEFC" w14:textId="56DDC078" w:rsidR="00D31BFE" w:rsidRDefault="00D31BFE" w:rsidP="00D31BFE">
      <w:pPr>
        <w:pStyle w:val="Heading2"/>
      </w:pPr>
      <w:bookmarkStart w:id="2" w:name="_Toc149678427"/>
      <w:r>
        <w:t>Director’s</w:t>
      </w:r>
      <w:r w:rsidR="00D733E1">
        <w:t xml:space="preserve"> </w:t>
      </w:r>
      <w:r>
        <w:t>foreword</w:t>
      </w:r>
      <w:bookmarkEnd w:id="2"/>
    </w:p>
    <w:p w14:paraId="4537842B" w14:textId="64C3047C" w:rsidR="00D31BFE" w:rsidRDefault="00F16268" w:rsidP="00D31BFE">
      <w:pPr>
        <w:pStyle w:val="BodyText"/>
      </w:pPr>
      <w:r>
        <w:rPr>
          <w:noProof/>
        </w:rPr>
        <w:drawing>
          <wp:inline distT="0" distB="0" distL="0" distR="0" wp14:anchorId="288FF9F7" wp14:editId="7113FA20">
            <wp:extent cx="1800000" cy="1804680"/>
            <wp:effectExtent l="0" t="0" r="0" b="5080"/>
            <wp:docPr id="11" name="Picture 11" descr="Photo of Nicole 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hoto of Nicole Rich"/>
                    <pic:cNvPicPr/>
                  </pic:nvPicPr>
                  <pic:blipFill>
                    <a:blip r:embed="rId12">
                      <a:extLst>
                        <a:ext uri="{28A0092B-C50C-407E-A947-70E740481C1C}">
                          <a14:useLocalDpi xmlns:a14="http://schemas.microsoft.com/office/drawing/2010/main" val="0"/>
                        </a:ext>
                      </a:extLst>
                    </a:blip>
                    <a:stretch>
                      <a:fillRect/>
                    </a:stretch>
                  </pic:blipFill>
                  <pic:spPr>
                    <a:xfrm>
                      <a:off x="0" y="0"/>
                      <a:ext cx="1800000" cy="1804680"/>
                    </a:xfrm>
                    <a:prstGeom prst="rect">
                      <a:avLst/>
                    </a:prstGeom>
                  </pic:spPr>
                </pic:pic>
              </a:graphicData>
            </a:graphic>
          </wp:inline>
        </w:drawing>
      </w:r>
    </w:p>
    <w:p w14:paraId="3B5FC5EE" w14:textId="77777777" w:rsidR="00020B2C" w:rsidRDefault="00020B2C" w:rsidP="00020B2C">
      <w:pPr>
        <w:pStyle w:val="BodyText"/>
      </w:pPr>
      <w:r>
        <w:t>In 2022–23, Consumer Affairs Victoria focused on supporting Victorians through a year of significant economic pressures.</w:t>
      </w:r>
    </w:p>
    <w:p w14:paraId="643919B8" w14:textId="77777777" w:rsidR="00020B2C" w:rsidRDefault="00020B2C" w:rsidP="00020B2C">
      <w:pPr>
        <w:pStyle w:val="BodyText"/>
      </w:pPr>
      <w:r>
        <w:t>Victorians grappled with limited rental supply and rising rental costs. CAV provided important support in key areas, undertaking a record number of excessive rent reviews in cases where renters felt that rental increases were unreasonable. We also funded state-wide, place-based renter assistance and financial counselling services to support Victorians in need.</w:t>
      </w:r>
    </w:p>
    <w:p w14:paraId="7D9C9503" w14:textId="0171177F" w:rsidR="00020B2C" w:rsidRDefault="00020B2C" w:rsidP="00020B2C">
      <w:pPr>
        <w:pStyle w:val="BodyText"/>
      </w:pPr>
      <w:r>
        <w:t>Rooming houses are the often the last resort for some of the most vulnerable Victorians, and CAV is committed to their effective regulation. In 2023 the department developed new regulations to make rooming houses safer and more comfortable, and CAV actively monitors the rooming house sector for</w:t>
      </w:r>
      <w:r w:rsidR="00384BF6">
        <w:t> </w:t>
      </w:r>
      <w:r>
        <w:t>regulation compliance.</w:t>
      </w:r>
    </w:p>
    <w:p w14:paraId="7B0D86E0" w14:textId="77777777" w:rsidR="00020B2C" w:rsidRDefault="00020B2C" w:rsidP="00020B2C">
      <w:pPr>
        <w:pStyle w:val="BodyText"/>
      </w:pPr>
      <w:r>
        <w:t>Many Victorians were impacted by the collapse of domestic home builders in 2022–23 and needed support to navigate consumer processes at a time when they were under significant stress. In response CAV undertook activities to inform consumers about their rights and where to go with any questions. Information was provided via CAV’s Building Information phone line, dedicated website content and social media. CAV also worked closely with other agencies such as the Victorian Building Authority, including issuing a joint communication to builders about their obligations under Victorian building legislation, and we continue to assess the situation for any regulatory concerns.</w:t>
      </w:r>
    </w:p>
    <w:p w14:paraId="50FC4A11" w14:textId="77777777" w:rsidR="00020B2C" w:rsidRDefault="00020B2C" w:rsidP="00020B2C">
      <w:pPr>
        <w:pStyle w:val="BodyText"/>
      </w:pPr>
      <w:r>
        <w:t>The October 2022 floods impacted many Victorian families in 2022–23 and CAV responded with several important supports. We established a dedicated floods phone hotline and updated the CAV website to provide clear information on rights and CAV’s relief services available. A large number of our frontline staff were also seconded to assist other government agencies get immediate emergency assistance to impacted Victorians.</w:t>
      </w:r>
    </w:p>
    <w:p w14:paraId="79B25067" w14:textId="77777777" w:rsidR="00020B2C" w:rsidRDefault="00020B2C" w:rsidP="00020B2C">
      <w:pPr>
        <w:pStyle w:val="BodyText"/>
      </w:pPr>
      <w:r>
        <w:t>We also administered additional financial counselling services, supporting clients to negotiate with banks and insurance agencies, and to access grants. Tenancy Stress Victoria was also established to provide affected renters with access to integrated legal, social work and financial counselling support.</w:t>
      </w:r>
    </w:p>
    <w:p w14:paraId="48C384A4" w14:textId="7A17B05A" w:rsidR="00020B2C" w:rsidRDefault="00020B2C" w:rsidP="00020B2C">
      <w:pPr>
        <w:pStyle w:val="BodyText"/>
      </w:pPr>
      <w:r>
        <w:t>In September 2022 the Victorian Government announced a new underquoting taskforce to be embedded within CAV. As we have scaled up the taskforce’s resources and activities, it has taken a</w:t>
      </w:r>
      <w:r w:rsidR="00384BF6">
        <w:t> </w:t>
      </w:r>
      <w:r>
        <w:t>zero-tolerance approach to agents failing to comply with their obligations. By the end of June 202</w:t>
      </w:r>
      <w:r w:rsidR="00F400E9">
        <w:t>3</w:t>
      </w:r>
      <w:r>
        <w:t xml:space="preserve"> we had reviewed 375 sales files to identify instances of non-compliance and issued 48 infringements (totalling more than $520,000) and 37 official warnings, using targeted activities based on market intelligence. The taskforce will continue its work to increase education and enforce compliance with Victoria’s laws outlawing underquoting in 2023–24, to ensure Victorians don’t waste time and money when looking to buy a home.</w:t>
      </w:r>
    </w:p>
    <w:p w14:paraId="0FC45FEC" w14:textId="77777777" w:rsidR="00020B2C" w:rsidRDefault="00020B2C" w:rsidP="00020B2C">
      <w:pPr>
        <w:pStyle w:val="BodyText"/>
      </w:pPr>
      <w:r>
        <w:t>In early 2023, CAV joined the newly formed Department of Government Services (DGS) as part of the Government’s machinery of government changes. DGS was established to improve how Victorians and businesses engage with government, bringing important day-to-day services together in one department. The department is doing this by connecting and digitising systems and platforms across state and local government as well as streamlining corporate and procurement services.</w:t>
      </w:r>
    </w:p>
    <w:p w14:paraId="7BA09A20" w14:textId="2AB00B57" w:rsidR="00020B2C" w:rsidRDefault="00020B2C" w:rsidP="00020B2C">
      <w:pPr>
        <w:pStyle w:val="BodyText"/>
      </w:pPr>
      <w:r>
        <w:t>Consistent with this mission, we have increasingly leveraged digital technologies to make it easier and</w:t>
      </w:r>
      <w:r w:rsidR="008B53D8">
        <w:t> </w:t>
      </w:r>
      <w:r>
        <w:t>quicker for Victorians to access information and for businesses to comply with obligations. The myCAV portal was expanded to include motor car traders and second-hand dealers and pawnbrokers. In a first for licensing applicants using myCAV, engineers can use Service Victoria’s online identity verification service to streamline the registration process and reduce the administrative burden for them. We continued to integrate this service into more myCAV transactions in 2022–23, to make it easier for other users to provide and verify their identity online.</w:t>
      </w:r>
    </w:p>
    <w:p w14:paraId="5B45C312" w14:textId="4ADAC888" w:rsidR="00020B2C" w:rsidRDefault="00020B2C" w:rsidP="00020B2C">
      <w:pPr>
        <w:pStyle w:val="BodyText"/>
      </w:pPr>
      <w:r>
        <w:t>We also delivered digital upgrades to the CAV website. The website is a vital resource that helps consumers access information and services and understand their rights. It also supports business to understand their obligations. This year we undertook a significant content uplift and restructuring of the</w:t>
      </w:r>
      <w:r w:rsidR="00384BF6">
        <w:t> </w:t>
      </w:r>
      <w:r>
        <w:t>website navigation. The project is delivering an increasingly human-centric site with content that is</w:t>
      </w:r>
      <w:r w:rsidR="00384BF6">
        <w:t> </w:t>
      </w:r>
      <w:r>
        <w:t>easier to find and understand. We will continue to improve content and publish navigation upgrades during the coming year.</w:t>
      </w:r>
    </w:p>
    <w:p w14:paraId="1E5976B6" w14:textId="1018F030" w:rsidR="00020B2C" w:rsidRDefault="00020B2C" w:rsidP="00020B2C">
      <w:pPr>
        <w:pStyle w:val="BodyText"/>
      </w:pPr>
      <w:r>
        <w:t>At the end of 2022–2023 we successfully acquitted the Statement of Expectations we received from</w:t>
      </w:r>
      <w:r w:rsidR="008B53D8">
        <w:t> </w:t>
      </w:r>
      <w:r>
        <w:t>the Minister in 2021. As directed by the Minister, we supported Victorian economic and social recovery, improved the timeliness of our services, leveraged risk-based strategies to target key compliance issues and consistently provided valuable compliance related assistance and advice. A</w:t>
      </w:r>
      <w:r w:rsidR="008B53D8">
        <w:t> </w:t>
      </w:r>
      <w:r>
        <w:t>new Statement of Expectations was received from our Minister in 2023 and has been integrated into</w:t>
      </w:r>
      <w:r w:rsidR="008B53D8">
        <w:t> </w:t>
      </w:r>
      <w:r>
        <w:t>our annual planning process.</w:t>
      </w:r>
    </w:p>
    <w:p w14:paraId="692BF08B" w14:textId="77777777" w:rsidR="00020B2C" w:rsidRDefault="00020B2C" w:rsidP="00020B2C">
      <w:pPr>
        <w:pStyle w:val="BodyText"/>
      </w:pPr>
      <w:r>
        <w:t>In 2022–23, extensive consultation helped us to craft a new Strategic Plan. The Plan articulates our vision for a fair and safe marketplace in Victoria, confirms the outcomes we are working to achieve, and defines where we will focus our efforts to achieve these outcomes. We will be publishing this plan in early 2023–24.</w:t>
      </w:r>
    </w:p>
    <w:p w14:paraId="55B7E8D3" w14:textId="69AA0A6D" w:rsidR="00020B2C" w:rsidRDefault="00020B2C" w:rsidP="00020B2C">
      <w:pPr>
        <w:pStyle w:val="BodyText"/>
      </w:pPr>
      <w:r>
        <w:t>We also finalised new annual regulatory priorities for 2023–24, which reflect CAV’s intelligence on</w:t>
      </w:r>
      <w:r w:rsidR="00384BF6">
        <w:t> </w:t>
      </w:r>
      <w:r>
        <w:t>emerging marketplace risks, government priorities and stakeholder feedback. Some regulatory priorities will help protect Victorians from rising cost of living pressures. These include enforcing rooming house and rental provider compliance with minimum standards and addressing prohibited debt collection practices. The regulatory priorities will also help direct our resources to address key risks facing the Victorian community, which include estate agent underquoting, poor motor car trading practices and product safety concerns affecting children.</w:t>
      </w:r>
    </w:p>
    <w:p w14:paraId="0B6BC8D0" w14:textId="2C799F9C" w:rsidR="00020B2C" w:rsidRDefault="00020B2C" w:rsidP="00020B2C">
      <w:pPr>
        <w:pStyle w:val="BodyText"/>
      </w:pPr>
      <w:r>
        <w:t>We look forward to leveraging our new Plan and regulatory priorities to communicate our priorities to</w:t>
      </w:r>
      <w:r w:rsidR="008B53D8">
        <w:t> </w:t>
      </w:r>
      <w:r>
        <w:t>the community and direct our resources to bringing the greatest possible benefit to Victorian consumers, renters, business and the community.</w:t>
      </w:r>
    </w:p>
    <w:p w14:paraId="41038517" w14:textId="77777777" w:rsidR="00020B2C" w:rsidRDefault="00020B2C" w:rsidP="00020B2C">
      <w:pPr>
        <w:pStyle w:val="BodyText"/>
      </w:pPr>
      <w:r>
        <w:t>I would like to thank our former Ministers; the Hon Melissa Horne MP for her support over a number of years (including for some of this reporting period) and her strong commitment to providing assistance to consumers and renters experiencing hardship; and the Hon Danny Pearson MP, for his support of our work at CAV, especially during a time of transition and change as we joined DGS. We are looking forward to working with our new Minister, the Hon Gabrielle Williams MP over the year ahead.</w:t>
      </w:r>
    </w:p>
    <w:p w14:paraId="3F159FAB" w14:textId="0DF44A95" w:rsidR="00020B2C" w:rsidRDefault="00020B2C" w:rsidP="00020B2C">
      <w:pPr>
        <w:pStyle w:val="BodyText"/>
      </w:pPr>
      <w:r>
        <w:t>I would also like to acknowledge and thank our colleagues in funded agencies working hard every day</w:t>
      </w:r>
      <w:r w:rsidR="00384BF6">
        <w:t> </w:t>
      </w:r>
      <w:r>
        <w:t>to provide advice, support and advocacy to vulnerable Victorians. I thank as well our partners across government and regulators. Their support and collaboration is crucial to our ability to achieve outcomes for the community. Our staff have shown a strong commitment to providing help and achieving positive outcomes for the Victorian community over a year of pressures and change and</w:t>
      </w:r>
      <w:r w:rsidR="00384BF6">
        <w:t> </w:t>
      </w:r>
      <w:r>
        <w:t>I’d</w:t>
      </w:r>
      <w:r w:rsidR="00384BF6">
        <w:t> </w:t>
      </w:r>
      <w:r>
        <w:t>like to recognise and thank them again for their efforts.</w:t>
      </w:r>
    </w:p>
    <w:p w14:paraId="3B9B3492" w14:textId="2D832610" w:rsidR="00020B2C" w:rsidRDefault="00020B2C" w:rsidP="00020B2C">
      <w:pPr>
        <w:pStyle w:val="BodyText"/>
      </w:pPr>
      <w:r>
        <w:t>We look forward to leveraging our new Plan, new regulatory priorities, and upgraded digital and intelligence capabilities in the coming year to support Victorians and achieve our vision of a fair, safe</w:t>
      </w:r>
      <w:r w:rsidR="00384BF6">
        <w:t> </w:t>
      </w:r>
      <w:r>
        <w:t>and competitive marketplace for all.</w:t>
      </w:r>
    </w:p>
    <w:p w14:paraId="4C3C8986" w14:textId="77777777" w:rsidR="00020B2C" w:rsidRDefault="00020B2C" w:rsidP="00020B2C">
      <w:pPr>
        <w:pStyle w:val="BodyText"/>
      </w:pPr>
      <w:r w:rsidRPr="002515E1">
        <w:rPr>
          <w:rStyle w:val="Strong"/>
        </w:rPr>
        <w:t>Nicole Rich</w:t>
      </w:r>
      <w:r w:rsidRPr="002515E1">
        <w:rPr>
          <w:rStyle w:val="Strong"/>
        </w:rPr>
        <w:br/>
      </w:r>
      <w:r>
        <w:t>Executive Director, Regulatory Services &amp;</w:t>
      </w:r>
      <w:r>
        <w:br/>
        <w:t>Director, Consumer Affairs Victoria</w:t>
      </w:r>
    </w:p>
    <w:p w14:paraId="4BE4727E" w14:textId="10FEAF9A" w:rsidR="00150C87" w:rsidRDefault="00150C87">
      <w:pPr>
        <w:spacing w:after="0" w:line="240" w:lineRule="auto"/>
        <w:rPr>
          <w:rFonts w:ascii="Arial" w:eastAsia="Times New Roman" w:hAnsi="Arial" w:cs="Arial"/>
          <w:sz w:val="20"/>
          <w:szCs w:val="24"/>
        </w:rPr>
      </w:pPr>
      <w:r>
        <w:br w:type="page"/>
      </w:r>
    </w:p>
    <w:p w14:paraId="5E65AB6B" w14:textId="3E1C6874" w:rsidR="00D733E1" w:rsidRDefault="00D733E1" w:rsidP="00C74C37">
      <w:pPr>
        <w:pStyle w:val="Heading2"/>
      </w:pPr>
      <w:bookmarkStart w:id="3" w:name="_Toc149678428"/>
      <w:r>
        <w:t>About us</w:t>
      </w:r>
      <w:bookmarkEnd w:id="3"/>
    </w:p>
    <w:p w14:paraId="7D6E2213" w14:textId="0DC6C32C" w:rsidR="00D733E1" w:rsidRDefault="00D733E1" w:rsidP="00D733E1">
      <w:pPr>
        <w:pStyle w:val="BodyText"/>
      </w:pPr>
      <w:r>
        <w:t>We are Victoria’s consumer marketplace regulator. We are part of the Customer and Regulatory Services group of the Department of Government Services.</w:t>
      </w:r>
    </w:p>
    <w:p w14:paraId="051E3CED" w14:textId="5CC6FDD4" w:rsidR="00D733E1" w:rsidRDefault="00D733E1" w:rsidP="00C74C37">
      <w:pPr>
        <w:pStyle w:val="Heading3"/>
      </w:pPr>
      <w:bookmarkStart w:id="4" w:name="_Toc149678429"/>
      <w:r>
        <w:t>Our values</w:t>
      </w:r>
      <w:bookmarkEnd w:id="4"/>
    </w:p>
    <w:p w14:paraId="7413F3B0" w14:textId="74E8FF59" w:rsidR="00D733E1" w:rsidRDefault="00D733E1" w:rsidP="00D733E1">
      <w:pPr>
        <w:pStyle w:val="BodyText"/>
      </w:pPr>
      <w:r>
        <w:t>At Consumer Affairs Victoria (CAV), we promote the Victorian Public Service values of:</w:t>
      </w:r>
    </w:p>
    <w:p w14:paraId="3C788B7E" w14:textId="77777777" w:rsidR="00D733E1" w:rsidRDefault="00D733E1" w:rsidP="00D261F8">
      <w:pPr>
        <w:pStyle w:val="ListBullet"/>
      </w:pPr>
      <w:r>
        <w:t>responsiveness</w:t>
      </w:r>
    </w:p>
    <w:p w14:paraId="778C319E" w14:textId="77777777" w:rsidR="00D733E1" w:rsidRDefault="00D733E1" w:rsidP="00D261F8">
      <w:pPr>
        <w:pStyle w:val="ListBullet"/>
      </w:pPr>
      <w:r>
        <w:t>integrity</w:t>
      </w:r>
    </w:p>
    <w:p w14:paraId="58587A3A" w14:textId="77777777" w:rsidR="00D733E1" w:rsidRDefault="00D733E1" w:rsidP="00D261F8">
      <w:pPr>
        <w:pStyle w:val="ListBullet"/>
      </w:pPr>
      <w:r>
        <w:t>impartiality</w:t>
      </w:r>
    </w:p>
    <w:p w14:paraId="5555D86A" w14:textId="77777777" w:rsidR="00D733E1" w:rsidRDefault="00D733E1" w:rsidP="00D261F8">
      <w:pPr>
        <w:pStyle w:val="ListBullet"/>
      </w:pPr>
      <w:r>
        <w:t>accountability</w:t>
      </w:r>
    </w:p>
    <w:p w14:paraId="595C3013" w14:textId="77777777" w:rsidR="00D733E1" w:rsidRDefault="00D733E1" w:rsidP="00D261F8">
      <w:pPr>
        <w:pStyle w:val="ListBullet"/>
      </w:pPr>
      <w:r>
        <w:t>respect</w:t>
      </w:r>
    </w:p>
    <w:p w14:paraId="40AD3360" w14:textId="77777777" w:rsidR="00D733E1" w:rsidRDefault="00D733E1" w:rsidP="00D261F8">
      <w:pPr>
        <w:pStyle w:val="ListBullet"/>
      </w:pPr>
      <w:r>
        <w:t>leadership</w:t>
      </w:r>
    </w:p>
    <w:p w14:paraId="4F98C7FC" w14:textId="68C17B85" w:rsidR="00D733E1" w:rsidRDefault="00D733E1" w:rsidP="00D261F8">
      <w:pPr>
        <w:pStyle w:val="ListBullet"/>
      </w:pPr>
      <w:r>
        <w:t>human rights.</w:t>
      </w:r>
    </w:p>
    <w:p w14:paraId="333CEDC8" w14:textId="00E3D3BF" w:rsidR="00D733E1" w:rsidRDefault="00D733E1" w:rsidP="00D733E1">
      <w:pPr>
        <w:pStyle w:val="BodyText"/>
      </w:pPr>
      <w:r>
        <w:t>These values inform the way we do business and are demonstrated every day through the actions of</w:t>
      </w:r>
      <w:r w:rsidR="008B53D8">
        <w:t> </w:t>
      </w:r>
      <w:r>
        <w:t>our staff.</w:t>
      </w:r>
    </w:p>
    <w:p w14:paraId="437AE653" w14:textId="0D005C09" w:rsidR="00D733E1" w:rsidRDefault="00D733E1" w:rsidP="00C74C37">
      <w:pPr>
        <w:pStyle w:val="Heading3"/>
      </w:pPr>
      <w:bookmarkStart w:id="5" w:name="_Toc149678430"/>
      <w:r>
        <w:t>Our vision</w:t>
      </w:r>
      <w:bookmarkEnd w:id="5"/>
    </w:p>
    <w:p w14:paraId="5CE2E1BB" w14:textId="56839046" w:rsidR="00D733E1" w:rsidRDefault="00D733E1" w:rsidP="00D733E1">
      <w:pPr>
        <w:pStyle w:val="BodyText"/>
      </w:pPr>
      <w:r>
        <w:t>A fair, safe and competitive marketplace in Victoria.</w:t>
      </w:r>
    </w:p>
    <w:p w14:paraId="06FAAC23" w14:textId="6C6D61D1" w:rsidR="00D733E1" w:rsidRDefault="00D733E1" w:rsidP="00C74C37">
      <w:pPr>
        <w:pStyle w:val="Heading3"/>
      </w:pPr>
      <w:bookmarkStart w:id="6" w:name="_Toc149678431"/>
      <w:r>
        <w:t>Our outcomes</w:t>
      </w:r>
      <w:bookmarkEnd w:id="6"/>
    </w:p>
    <w:p w14:paraId="59AA6F17" w14:textId="3F310908" w:rsidR="00D733E1" w:rsidRDefault="00D733E1" w:rsidP="00D261F8">
      <w:pPr>
        <w:pStyle w:val="ListBullet"/>
      </w:pPr>
      <w:r>
        <w:t>Businesses comply with consumer laws.</w:t>
      </w:r>
    </w:p>
    <w:p w14:paraId="7A749DEB" w14:textId="21C5809C" w:rsidR="00D733E1" w:rsidRDefault="00D733E1" w:rsidP="00D261F8">
      <w:pPr>
        <w:pStyle w:val="ListBullet"/>
      </w:pPr>
      <w:r>
        <w:t>Victorians exercise their consumer rights.</w:t>
      </w:r>
    </w:p>
    <w:p w14:paraId="66DB3508" w14:textId="2DD79519" w:rsidR="00D733E1" w:rsidRDefault="00D733E1" w:rsidP="00D261F8">
      <w:pPr>
        <w:pStyle w:val="ListBullet"/>
      </w:pPr>
      <w:r>
        <w:t>A fair and safe rental market for Victorians.</w:t>
      </w:r>
    </w:p>
    <w:p w14:paraId="028E6D12" w14:textId="34B9B633" w:rsidR="00D733E1" w:rsidRDefault="00D733E1" w:rsidP="00C74C37">
      <w:pPr>
        <w:pStyle w:val="Heading3"/>
      </w:pPr>
      <w:bookmarkStart w:id="7" w:name="_Toc149678432"/>
      <w:r>
        <w:t>Our functions</w:t>
      </w:r>
      <w:bookmarkEnd w:id="7"/>
    </w:p>
    <w:p w14:paraId="2CFAF400" w14:textId="43AB9F25" w:rsidR="00D733E1" w:rsidRDefault="00D733E1" w:rsidP="00D733E1">
      <w:pPr>
        <w:pStyle w:val="BodyText"/>
      </w:pPr>
      <w:r>
        <w:t>We provide:</w:t>
      </w:r>
    </w:p>
    <w:p w14:paraId="326F8124" w14:textId="434B3B84" w:rsidR="00D733E1" w:rsidRDefault="00D733E1" w:rsidP="00D261F8">
      <w:pPr>
        <w:pStyle w:val="ListBullet"/>
      </w:pPr>
      <w:r>
        <w:t>information, advice, and rental services</w:t>
      </w:r>
    </w:p>
    <w:p w14:paraId="7ABA0416" w14:textId="57E5054C" w:rsidR="00D733E1" w:rsidRDefault="00D733E1" w:rsidP="00D261F8">
      <w:pPr>
        <w:pStyle w:val="ListBullet"/>
      </w:pPr>
      <w:r>
        <w:t>assistance and advocacy services through funded services programs</w:t>
      </w:r>
    </w:p>
    <w:p w14:paraId="4D3BC12B" w14:textId="5A9385DD" w:rsidR="00D733E1" w:rsidRDefault="00D733E1" w:rsidP="00D261F8">
      <w:pPr>
        <w:pStyle w:val="ListBullet"/>
      </w:pPr>
      <w:r>
        <w:t>compliance and enforcement activities</w:t>
      </w:r>
    </w:p>
    <w:p w14:paraId="086E6E29" w14:textId="5EE8A9D7" w:rsidR="00D733E1" w:rsidRDefault="00D733E1" w:rsidP="00D261F8">
      <w:pPr>
        <w:pStyle w:val="ListBullet"/>
      </w:pPr>
      <w:r>
        <w:t>sector-specific regulation under Victorian registration and licensing schemes</w:t>
      </w:r>
    </w:p>
    <w:p w14:paraId="0F84BEB7" w14:textId="34023D44" w:rsidR="00D733E1" w:rsidRDefault="00D733E1" w:rsidP="00D261F8">
      <w:pPr>
        <w:pStyle w:val="ListBullet"/>
      </w:pPr>
      <w:r>
        <w:t>referrals to dispute resolution services</w:t>
      </w:r>
    </w:p>
    <w:p w14:paraId="72951F36" w14:textId="5F92BA45" w:rsidR="00D733E1" w:rsidRDefault="00D733E1" w:rsidP="00D261F8">
      <w:pPr>
        <w:pStyle w:val="ListBullet"/>
      </w:pPr>
      <w:r>
        <w:t>support for legislation and policy development.</w:t>
      </w:r>
    </w:p>
    <w:p w14:paraId="5DDB4550" w14:textId="2CCEADAC" w:rsidR="00D733E1" w:rsidRDefault="00D733E1" w:rsidP="00D733E1">
      <w:pPr>
        <w:pStyle w:val="BodyText"/>
      </w:pPr>
      <w:r>
        <w:t>We also support these independent statutory offices and bodies:</w:t>
      </w:r>
    </w:p>
    <w:p w14:paraId="3FFF0114" w14:textId="40819F91" w:rsidR="00D733E1" w:rsidRDefault="00D733E1" w:rsidP="00D261F8">
      <w:pPr>
        <w:pStyle w:val="ListBullet"/>
      </w:pPr>
      <w:r>
        <w:t>Estate Agents Council</w:t>
      </w:r>
    </w:p>
    <w:p w14:paraId="34D92F23" w14:textId="16BB1C29" w:rsidR="00D733E1" w:rsidRDefault="00D733E1" w:rsidP="00D261F8">
      <w:pPr>
        <w:pStyle w:val="ListBullet"/>
      </w:pPr>
      <w:r>
        <w:t>Motor Car Traders Claims Committee</w:t>
      </w:r>
    </w:p>
    <w:p w14:paraId="0AF22783" w14:textId="1F2A7E81" w:rsidR="00D733E1" w:rsidRDefault="00D733E1" w:rsidP="00D261F8">
      <w:pPr>
        <w:pStyle w:val="ListBullet"/>
      </w:pPr>
      <w:r>
        <w:t>Residential Tenancies Bond Authority</w:t>
      </w:r>
    </w:p>
    <w:p w14:paraId="06E27F3F" w14:textId="7D819128" w:rsidR="00D733E1" w:rsidRDefault="00D733E1" w:rsidP="00D261F8">
      <w:pPr>
        <w:pStyle w:val="ListBullet"/>
        <w:rPr>
          <w:rStyle w:val="FootnoteReference"/>
        </w:rPr>
      </w:pPr>
      <w:r>
        <w:t>Business Licensing Authority.</w:t>
      </w:r>
    </w:p>
    <w:p w14:paraId="3A383F45" w14:textId="17E67727" w:rsidR="00D733E1" w:rsidRDefault="00D733E1" w:rsidP="00C74C37">
      <w:pPr>
        <w:pStyle w:val="Heading3"/>
      </w:pPr>
      <w:bookmarkStart w:id="8" w:name="_Toc149678433"/>
      <w:r>
        <w:t>Our regulatory approach</w:t>
      </w:r>
      <w:bookmarkEnd w:id="8"/>
    </w:p>
    <w:p w14:paraId="1AE01A6D" w14:textId="0DD356DE" w:rsidR="00D733E1" w:rsidRDefault="00D733E1" w:rsidP="00D733E1">
      <w:pPr>
        <w:pStyle w:val="BodyText"/>
      </w:pPr>
      <w:r>
        <w:t>Our regulatory approach is intelligence-led, risk-based and outcome-focused. This enables us to target conduct posing the highest risk to Victorians, making the best use of our available resources. Our compliance operating model embeds this approach in our work.</w:t>
      </w:r>
    </w:p>
    <w:p w14:paraId="226291B4" w14:textId="77777777" w:rsidR="00D733E1" w:rsidRDefault="00D733E1" w:rsidP="00C74C37">
      <w:pPr>
        <w:pStyle w:val="Heading4"/>
      </w:pPr>
      <w:r>
        <w:t>Intelligence-led</w:t>
      </w:r>
    </w:p>
    <w:p w14:paraId="3A7C7285" w14:textId="6E9BFEFE" w:rsidR="00D733E1" w:rsidRDefault="00D733E1" w:rsidP="00D733E1">
      <w:pPr>
        <w:pStyle w:val="BodyText"/>
      </w:pPr>
      <w:r>
        <w:t>Effective use of intelligence to inform decision-making is an important part of our regulatory approach.</w:t>
      </w:r>
    </w:p>
    <w:p w14:paraId="534220C5" w14:textId="372B19DF" w:rsidR="00D733E1" w:rsidRDefault="00D733E1" w:rsidP="00D733E1">
      <w:pPr>
        <w:pStyle w:val="BodyText"/>
      </w:pPr>
      <w:r>
        <w:t>We supplemented intelligence gathered over the course of our work with other sources, including:</w:t>
      </w:r>
    </w:p>
    <w:p w14:paraId="2AF01835" w14:textId="36C19FEA" w:rsidR="00D733E1" w:rsidRDefault="00D733E1" w:rsidP="00D261F8">
      <w:pPr>
        <w:pStyle w:val="ListBullet"/>
      </w:pPr>
      <w:r>
        <w:t>national information shared among Australian Consumer Law regulators</w:t>
      </w:r>
    </w:p>
    <w:p w14:paraId="57DD7FA5" w14:textId="28869D58" w:rsidR="00D733E1" w:rsidRDefault="00D733E1" w:rsidP="00D261F8">
      <w:pPr>
        <w:pStyle w:val="ListBullet"/>
      </w:pPr>
      <w:r>
        <w:t>local councils</w:t>
      </w:r>
    </w:p>
    <w:p w14:paraId="6776C756" w14:textId="032258B5" w:rsidR="00D733E1" w:rsidRDefault="00D733E1" w:rsidP="00D261F8">
      <w:pPr>
        <w:pStyle w:val="ListBullet"/>
      </w:pPr>
      <w:r>
        <w:t>law enforcement organisations and other regulatory agencies</w:t>
      </w:r>
    </w:p>
    <w:p w14:paraId="52CA2BBF" w14:textId="5227A217" w:rsidR="00D733E1" w:rsidRDefault="00D733E1" w:rsidP="00D261F8">
      <w:pPr>
        <w:pStyle w:val="ListBullet"/>
      </w:pPr>
      <w:r>
        <w:t>industry and community stakeholders</w:t>
      </w:r>
    </w:p>
    <w:p w14:paraId="30FD21BE" w14:textId="4A07F033" w:rsidR="00D733E1" w:rsidRDefault="00D733E1" w:rsidP="00D261F8">
      <w:pPr>
        <w:pStyle w:val="ListBullet"/>
      </w:pPr>
      <w:r>
        <w:t>online forums and social media</w:t>
      </w:r>
    </w:p>
    <w:p w14:paraId="7A044A51" w14:textId="7EA86A20" w:rsidR="00D733E1" w:rsidRDefault="00D733E1" w:rsidP="00D261F8">
      <w:pPr>
        <w:pStyle w:val="ListBullet"/>
      </w:pPr>
      <w:r>
        <w:t>business reporting requirements.</w:t>
      </w:r>
    </w:p>
    <w:p w14:paraId="11A3EC88" w14:textId="142630E5" w:rsidR="00D733E1" w:rsidRDefault="00D733E1" w:rsidP="00D733E1">
      <w:pPr>
        <w:pStyle w:val="BodyText"/>
      </w:pPr>
      <w:r>
        <w:t>For example, information in auditors’ reports on estate agent trust accounts alerts us to businesses that may have problematic practices, helping us prioritise inspections.</w:t>
      </w:r>
    </w:p>
    <w:p w14:paraId="58B5CE7C" w14:textId="795B6743" w:rsidR="00D733E1" w:rsidRDefault="00D733E1" w:rsidP="00D733E1">
      <w:pPr>
        <w:pStyle w:val="BodyText"/>
      </w:pPr>
      <w:r>
        <w:t>We also receive reports from consumers and their representatives about business conduct or potential breaches of the law. While we do not pursue all of these individually, we use them as vital sources of intelligence to help assess risks and act as appropriate.</w:t>
      </w:r>
    </w:p>
    <w:p w14:paraId="51BF43E9" w14:textId="77777777" w:rsidR="00D733E1" w:rsidRDefault="00D733E1" w:rsidP="00C74C37">
      <w:pPr>
        <w:pStyle w:val="Heading4"/>
      </w:pPr>
      <w:r>
        <w:t>Risk-based</w:t>
      </w:r>
    </w:p>
    <w:p w14:paraId="319D2BD2" w14:textId="5A506CBE" w:rsidR="00D733E1" w:rsidRDefault="00D733E1" w:rsidP="00D733E1">
      <w:pPr>
        <w:pStyle w:val="BodyText"/>
      </w:pPr>
      <w:r>
        <w:t>Where possible, we aim to identify and treat risks before they lead to actual consumer harm.</w:t>
      </w:r>
    </w:p>
    <w:p w14:paraId="75A6D986" w14:textId="092C2B72" w:rsidR="00D733E1" w:rsidRDefault="00D733E1" w:rsidP="00D733E1">
      <w:pPr>
        <w:pStyle w:val="BodyText"/>
      </w:pPr>
      <w:r>
        <w:t>Regulatory risks are market behaviours that:</w:t>
      </w:r>
    </w:p>
    <w:p w14:paraId="1CF3D966" w14:textId="67C44503" w:rsidR="00D733E1" w:rsidRDefault="00D733E1" w:rsidP="00D261F8">
      <w:pPr>
        <w:pStyle w:val="ListBullet"/>
      </w:pPr>
      <w:r>
        <w:t>represent non-compliance with the laws we administer</w:t>
      </w:r>
    </w:p>
    <w:p w14:paraId="51E7F14D" w14:textId="0ED1CBD0" w:rsidR="00D733E1" w:rsidRDefault="00D733E1" w:rsidP="00D261F8">
      <w:pPr>
        <w:pStyle w:val="ListBullet"/>
      </w:pPr>
      <w:r>
        <w:t>present potential or actual consumer harm</w:t>
      </w:r>
    </w:p>
    <w:p w14:paraId="4A20E93E" w14:textId="2DEAA41D" w:rsidR="00D733E1" w:rsidRDefault="00D733E1" w:rsidP="00D261F8">
      <w:pPr>
        <w:pStyle w:val="ListBullet"/>
      </w:pPr>
      <w:r>
        <w:t>affect our ability to be an effective regulator</w:t>
      </w:r>
    </w:p>
    <w:p w14:paraId="6BA0DA4B" w14:textId="68E15652" w:rsidR="00D733E1" w:rsidRDefault="00D733E1" w:rsidP="00D261F8">
      <w:pPr>
        <w:pStyle w:val="ListBullet"/>
      </w:pPr>
      <w:r>
        <w:t>need a regulatory response due to public concern.</w:t>
      </w:r>
    </w:p>
    <w:p w14:paraId="14E3693B" w14:textId="1A18B2A9" w:rsidR="00D733E1" w:rsidRDefault="00D733E1" w:rsidP="00D733E1">
      <w:pPr>
        <w:pStyle w:val="BodyText"/>
      </w:pPr>
      <w:r>
        <w:t>We monitor markets and use evidence to shape a targeted compliance program, focusing on issues that pose the highest risk to Victorians. Risks can be posed by:</w:t>
      </w:r>
    </w:p>
    <w:p w14:paraId="7348CB2E" w14:textId="27594286" w:rsidR="00D733E1" w:rsidRDefault="00D733E1" w:rsidP="00D261F8">
      <w:pPr>
        <w:pStyle w:val="ListBullet"/>
      </w:pPr>
      <w:r>
        <w:t>a product</w:t>
      </w:r>
    </w:p>
    <w:p w14:paraId="4AA7A03E" w14:textId="0070AAF5" w:rsidR="00D733E1" w:rsidRDefault="00D733E1" w:rsidP="00D261F8">
      <w:pPr>
        <w:pStyle w:val="ListBullet"/>
      </w:pPr>
      <w:r>
        <w:t>a business’ conduct</w:t>
      </w:r>
    </w:p>
    <w:p w14:paraId="1BBB402B" w14:textId="4AAB195E" w:rsidR="00D733E1" w:rsidRDefault="00D733E1" w:rsidP="00D261F8">
      <w:pPr>
        <w:pStyle w:val="ListBullet"/>
      </w:pPr>
      <w:r>
        <w:t>a new or emerging business practice</w:t>
      </w:r>
    </w:p>
    <w:p w14:paraId="79997CB2" w14:textId="3F1B9817" w:rsidR="00D733E1" w:rsidRDefault="00D733E1" w:rsidP="00D261F8">
      <w:pPr>
        <w:pStyle w:val="ListBullet"/>
      </w:pPr>
      <w:r>
        <w:t>the conduct or business model of an entire industry.</w:t>
      </w:r>
    </w:p>
    <w:p w14:paraId="1051B905" w14:textId="77777777" w:rsidR="00D733E1" w:rsidRDefault="00D733E1" w:rsidP="00C74C37">
      <w:pPr>
        <w:pStyle w:val="Heading4"/>
      </w:pPr>
      <w:r>
        <w:t>Outcome-focused</w:t>
      </w:r>
    </w:p>
    <w:p w14:paraId="2A33AE23" w14:textId="6D15CFB1" w:rsidR="00D733E1" w:rsidRDefault="00D733E1" w:rsidP="00D733E1">
      <w:pPr>
        <w:pStyle w:val="BodyText"/>
      </w:pPr>
      <w:r>
        <w:t>We use a range of compliance tools based on a strategy aimed at affecting market outcomes. We</w:t>
      </w:r>
      <w:r w:rsidR="008B53D8">
        <w:t> </w:t>
      </w:r>
      <w:r>
        <w:t>choose compliance actions to achieve results that deter unlawful conduct and promote future compliance.</w:t>
      </w:r>
    </w:p>
    <w:p w14:paraId="1BAC4CD5" w14:textId="1BAE8441" w:rsidR="00D733E1" w:rsidRDefault="00D733E1" w:rsidP="00D733E1">
      <w:pPr>
        <w:pStyle w:val="BodyText"/>
      </w:pPr>
      <w:r>
        <w:t>We take enforcement action to serve the public interest. We exercise discretion, focusing on actions that benefit all consumers. We do not generally take action on behalf of individuals to obtain redress.</w:t>
      </w:r>
    </w:p>
    <w:p w14:paraId="3C0C523C" w14:textId="02FD0D24" w:rsidR="00D733E1" w:rsidRDefault="00D733E1" w:rsidP="00D733E1">
      <w:pPr>
        <w:pStyle w:val="BodyText"/>
      </w:pPr>
      <w:r>
        <w:t>The nature of the problem and the desired outcome determine which compliance and enforcement approach we use. Where appropriate, we seek voluntary compliance.</w:t>
      </w:r>
    </w:p>
    <w:p w14:paraId="3FBB8CE2" w14:textId="3828E8A2" w:rsidR="00D733E1" w:rsidRDefault="00D733E1" w:rsidP="00D733E1">
      <w:pPr>
        <w:pStyle w:val="BodyText"/>
      </w:pPr>
      <w:r>
        <w:t>Importantly, we have a full range of tools to protect the Victorian community by holding businesses accountable for unlawful conduct. These include:</w:t>
      </w:r>
    </w:p>
    <w:p w14:paraId="19187FB6" w14:textId="1F84B250" w:rsidR="00D733E1" w:rsidRDefault="00D733E1" w:rsidP="00D261F8">
      <w:pPr>
        <w:pStyle w:val="ListBullet"/>
      </w:pPr>
      <w:r>
        <w:t>civil and criminal court action</w:t>
      </w:r>
    </w:p>
    <w:p w14:paraId="5BE83924" w14:textId="77777777" w:rsidR="00D733E1" w:rsidRDefault="00D733E1" w:rsidP="00D261F8">
      <w:pPr>
        <w:pStyle w:val="ListBullet"/>
      </w:pPr>
      <w:r>
        <w:t>infringements</w:t>
      </w:r>
    </w:p>
    <w:p w14:paraId="76E4F39D" w14:textId="26AFD9CF" w:rsidR="00D733E1" w:rsidRDefault="00D733E1" w:rsidP="00D261F8">
      <w:pPr>
        <w:pStyle w:val="ListBullet"/>
      </w:pPr>
      <w:r>
        <w:t>public warnings.</w:t>
      </w:r>
    </w:p>
    <w:p w14:paraId="4862D08F" w14:textId="3098AC95" w:rsidR="00D733E1" w:rsidRDefault="00D733E1" w:rsidP="00C74C37">
      <w:pPr>
        <w:pStyle w:val="Heading3"/>
      </w:pPr>
      <w:bookmarkStart w:id="9" w:name="_Toc149678434"/>
      <w:r>
        <w:t>Machinery of Government changes</w:t>
      </w:r>
      <w:bookmarkEnd w:id="9"/>
    </w:p>
    <w:p w14:paraId="11E7E7FA" w14:textId="02BD9061" w:rsidR="00D733E1" w:rsidRDefault="00D733E1" w:rsidP="00D733E1">
      <w:pPr>
        <w:pStyle w:val="BodyText"/>
      </w:pPr>
      <w:r>
        <w:t>The Victorian Government established DGS on 1 January 2023 to improve everyone’s experience of</w:t>
      </w:r>
      <w:r w:rsidR="008B53D8">
        <w:t> </w:t>
      </w:r>
      <w:r>
        <w:t>doing business, and interacting, with the government.</w:t>
      </w:r>
    </w:p>
    <w:p w14:paraId="08BB1620" w14:textId="690497D7" w:rsidR="00D733E1" w:rsidRDefault="00D733E1" w:rsidP="00D733E1">
      <w:pPr>
        <w:pStyle w:val="BodyText"/>
      </w:pPr>
      <w:r>
        <w:t>DGS brings important day-to-day services together in one department to make things easy and seamless for Victorians and businesses. The department is doing this by connecting and digitising systems and platforms across state and local government as well as streamlining corporate and procurement services.</w:t>
      </w:r>
    </w:p>
    <w:p w14:paraId="0C4C74DD" w14:textId="59CB7E09" w:rsidR="00D733E1" w:rsidRDefault="00D733E1" w:rsidP="00D733E1">
      <w:pPr>
        <w:pStyle w:val="BodyText"/>
      </w:pPr>
      <w:r>
        <w:t>The Customer &amp; Regulatory Services group is responsible for:</w:t>
      </w:r>
    </w:p>
    <w:p w14:paraId="6C2BEE57" w14:textId="4CFB91C9" w:rsidR="00D733E1" w:rsidRDefault="00D733E1" w:rsidP="00D261F8">
      <w:pPr>
        <w:pStyle w:val="ListBullet"/>
      </w:pPr>
      <w:r>
        <w:t>policy development</w:t>
      </w:r>
    </w:p>
    <w:p w14:paraId="6C637850" w14:textId="03A83F7C" w:rsidR="00D733E1" w:rsidRDefault="00D733E1" w:rsidP="00D261F8">
      <w:pPr>
        <w:pStyle w:val="ListBullet"/>
      </w:pPr>
      <w:r>
        <w:t>regulatory design and administration</w:t>
      </w:r>
    </w:p>
    <w:p w14:paraId="3F0B86E1" w14:textId="1FB7510F" w:rsidR="00D733E1" w:rsidRDefault="00D733E1" w:rsidP="00D261F8">
      <w:pPr>
        <w:pStyle w:val="ListBullet"/>
      </w:pPr>
      <w:r>
        <w:t>system and program design</w:t>
      </w:r>
    </w:p>
    <w:p w14:paraId="38423C48" w14:textId="4AB20255" w:rsidR="00D733E1" w:rsidRDefault="00D733E1" w:rsidP="00D261F8">
      <w:pPr>
        <w:pStyle w:val="ListBullet"/>
      </w:pPr>
      <w:r>
        <w:t>delivery of services to, and in the best interests of, Victorians.</w:t>
      </w:r>
    </w:p>
    <w:p w14:paraId="600F6820" w14:textId="4EF5BA33" w:rsidR="00D733E1" w:rsidRDefault="00D733E1" w:rsidP="00D733E1">
      <w:pPr>
        <w:pStyle w:val="BodyText"/>
      </w:pPr>
      <w:r>
        <w:t>The group includes:</w:t>
      </w:r>
    </w:p>
    <w:p w14:paraId="4A1A88E3" w14:textId="7D01251F" w:rsidR="00D733E1" w:rsidRDefault="00D733E1" w:rsidP="00D261F8">
      <w:pPr>
        <w:pStyle w:val="ListBullet"/>
      </w:pPr>
      <w:r>
        <w:t>Local Government Victoria</w:t>
      </w:r>
    </w:p>
    <w:p w14:paraId="77025091" w14:textId="24C47868" w:rsidR="00D733E1" w:rsidRDefault="00D733E1" w:rsidP="00D261F8">
      <w:pPr>
        <w:pStyle w:val="ListBullet"/>
      </w:pPr>
      <w:r>
        <w:t>Service Victoria</w:t>
      </w:r>
    </w:p>
    <w:p w14:paraId="2ED9BE4B" w14:textId="0596F1E9" w:rsidR="00D733E1" w:rsidRDefault="00D733E1" w:rsidP="00D261F8">
      <w:pPr>
        <w:pStyle w:val="ListBullet"/>
      </w:pPr>
      <w:r>
        <w:t>Consumer Affairs Victoria</w:t>
      </w:r>
    </w:p>
    <w:p w14:paraId="72660136" w14:textId="63149B75" w:rsidR="00D733E1" w:rsidRDefault="00D733E1" w:rsidP="00D261F8">
      <w:pPr>
        <w:pStyle w:val="ListBullet"/>
      </w:pPr>
      <w:r>
        <w:t>Public Record Office Victoria</w:t>
      </w:r>
    </w:p>
    <w:p w14:paraId="4E4956C6" w14:textId="02AFFCA6" w:rsidR="00D733E1" w:rsidRDefault="00D733E1" w:rsidP="00D261F8">
      <w:pPr>
        <w:pStyle w:val="ListBullet"/>
      </w:pPr>
      <w:r>
        <w:t>Victorian Government Grants Centre</w:t>
      </w:r>
    </w:p>
    <w:p w14:paraId="6E92C1F8" w14:textId="6C663B4E" w:rsidR="00D733E1" w:rsidRDefault="00D733E1" w:rsidP="00D261F8">
      <w:pPr>
        <w:pStyle w:val="ListBullet"/>
      </w:pPr>
      <w:r>
        <w:t>Victorian Registry of Births, Deaths and Marriages</w:t>
      </w:r>
    </w:p>
    <w:p w14:paraId="0F283158" w14:textId="33529967" w:rsidR="00D733E1" w:rsidRDefault="00D733E1" w:rsidP="00D261F8">
      <w:pPr>
        <w:pStyle w:val="ListBullet"/>
      </w:pPr>
      <w:r>
        <w:t>Worker Screening.</w:t>
      </w:r>
    </w:p>
    <w:p w14:paraId="13F9C654" w14:textId="75FB7708" w:rsidR="00D733E1" w:rsidRDefault="00D733E1" w:rsidP="00D733E1">
      <w:pPr>
        <w:pStyle w:val="BodyText"/>
      </w:pPr>
      <w:r>
        <w:t>Its priorities are policy and regulation that support responsive and accountable services that improve satisfaction and productivity.</w:t>
      </w:r>
    </w:p>
    <w:p w14:paraId="703A3152" w14:textId="1E70533F" w:rsidR="00D733E1" w:rsidRDefault="00D733E1" w:rsidP="00D733E1">
      <w:pPr>
        <w:pStyle w:val="BodyText"/>
      </w:pPr>
      <w:r>
        <w:t>As part of the group, we contribute to its mission of making it easier for people and businesses to engage with government. Together with the group’s other divisions, we aim to provide consistently great customer experiences by delivering scalable, efficient and effective services.</w:t>
      </w:r>
    </w:p>
    <w:p w14:paraId="03830876" w14:textId="42056165" w:rsidR="00D733E1" w:rsidRDefault="00D733E1" w:rsidP="00C74C37">
      <w:pPr>
        <w:pStyle w:val="Heading3"/>
      </w:pPr>
      <w:bookmarkStart w:id="10" w:name="_Toc149678435"/>
      <w:r>
        <w:t>2023–26 Strategic Plan</w:t>
      </w:r>
      <w:bookmarkEnd w:id="10"/>
    </w:p>
    <w:p w14:paraId="54E8391C" w14:textId="629AD11D" w:rsidR="00D733E1" w:rsidRDefault="00D733E1" w:rsidP="00D733E1">
      <w:pPr>
        <w:pStyle w:val="BodyText"/>
      </w:pPr>
      <w:r>
        <w:t>In 2022–23, extensive consultation helped us craft a new Strategic Plan. The Plan reaffirms our vision for a fair and safe marketplace in Victoria, confirms the outcomes we are working to achieve, and defines where we will focus our efforts to achieve these outcomes.</w:t>
      </w:r>
    </w:p>
    <w:p w14:paraId="6BE3C162" w14:textId="16BACDF2" w:rsidR="00D733E1" w:rsidRDefault="00D733E1" w:rsidP="00D733E1">
      <w:pPr>
        <w:pStyle w:val="BodyText"/>
      </w:pPr>
      <w:r>
        <w:t>The new Plan aligns with DGS’s vision to improve everyone’s experience and interaction with the Victorian Government. Underpinning the Plan is a focus on supporting Victorians, especially those experiencing vulnerability, through inclusive and accessible services, better engagement and harnessing digital technologies to improve our services.</w:t>
      </w:r>
    </w:p>
    <w:p w14:paraId="1B7EC11E" w14:textId="22595859" w:rsidR="00D733E1" w:rsidRDefault="00D733E1" w:rsidP="00D733E1">
      <w:pPr>
        <w:pStyle w:val="BodyText"/>
      </w:pPr>
      <w:r>
        <w:t>Our new Plan will be available on our website and we will report against its outcomes and strategic directions in future annual reports.</w:t>
      </w:r>
    </w:p>
    <w:p w14:paraId="68C360C1" w14:textId="4AAB10F0" w:rsidR="00D733E1" w:rsidRDefault="00D733E1" w:rsidP="00C74C37">
      <w:pPr>
        <w:pStyle w:val="Heading3"/>
      </w:pPr>
      <w:bookmarkStart w:id="11" w:name="_Toc149678436"/>
      <w:r>
        <w:t>Regulatory priorities 2023–24</w:t>
      </w:r>
      <w:bookmarkEnd w:id="11"/>
    </w:p>
    <w:p w14:paraId="2A63C98B" w14:textId="19D5A2CA" w:rsidR="00D733E1" w:rsidRDefault="00D733E1" w:rsidP="00D733E1">
      <w:pPr>
        <w:pStyle w:val="BodyText"/>
      </w:pPr>
      <w:r>
        <w:t>Regulatory priorities set out the specific areas and harms a regulator will focus its proactive efforts on addressing. At the end of this year, we finalised our 2023–24 annual regulatory priorities, which reflect CAV’s intelligence on emerging marketplace risks, government priorities and stakeholder feedback. These regulatory priorities will help direct our resources to address key risks to consumers we are concerned about in the marketplace.</w:t>
      </w:r>
    </w:p>
    <w:p w14:paraId="5137B5E2" w14:textId="615A7EB9" w:rsidR="00D733E1" w:rsidRDefault="00D733E1" w:rsidP="00D733E1">
      <w:pPr>
        <w:pStyle w:val="BodyText"/>
      </w:pPr>
      <w:r>
        <w:t>The priorities cover four key areas:</w:t>
      </w:r>
    </w:p>
    <w:p w14:paraId="61497784" w14:textId="22679164" w:rsidR="00D733E1" w:rsidRDefault="00D733E1" w:rsidP="00D261F8">
      <w:pPr>
        <w:pStyle w:val="ListBullet"/>
      </w:pPr>
      <w:r>
        <w:t>ensuring fairness and safety in competitive consumer markets</w:t>
      </w:r>
    </w:p>
    <w:p w14:paraId="5A7AE9AE" w14:textId="233AFC0E" w:rsidR="00D733E1" w:rsidRDefault="00D733E1" w:rsidP="00D261F8">
      <w:pPr>
        <w:pStyle w:val="ListBullet"/>
      </w:pPr>
      <w:r>
        <w:t>upholding robust standards for key industries, sectors and professions</w:t>
      </w:r>
    </w:p>
    <w:p w14:paraId="3863932D" w14:textId="16CC659F" w:rsidR="00D733E1" w:rsidRDefault="00D733E1" w:rsidP="00D261F8">
      <w:pPr>
        <w:pStyle w:val="ListBullet"/>
      </w:pPr>
      <w:r>
        <w:t>ensuring a fair and safe rental market</w:t>
      </w:r>
    </w:p>
    <w:p w14:paraId="5F11EC74" w14:textId="2567DBD6" w:rsidR="00D733E1" w:rsidRDefault="00D733E1" w:rsidP="00D261F8">
      <w:pPr>
        <w:pStyle w:val="ListBullet"/>
      </w:pPr>
      <w:r>
        <w:t>supporting Victorian communities impacted by emergencies.</w:t>
      </w:r>
    </w:p>
    <w:p w14:paraId="4DA90671" w14:textId="1930B273" w:rsidR="00D733E1" w:rsidRDefault="00D733E1" w:rsidP="00D733E1">
      <w:pPr>
        <w:pStyle w:val="BodyText"/>
      </w:pPr>
      <w:r>
        <w:t>Our regulatory priorities will be available on our website. Regulatory priorities do not prevent us from responding to new, emerging or serious issues or harms that arise during the year under our areas of</w:t>
      </w:r>
      <w:r w:rsidR="00384BF6">
        <w:t> </w:t>
      </w:r>
      <w:r>
        <w:t>regulatory responsibility. We will always take appropriate action to address harmful conduct or breaches of the laws we administer.</w:t>
      </w:r>
    </w:p>
    <w:p w14:paraId="6868F0E5" w14:textId="2256D9E8" w:rsidR="00D733E1" w:rsidRDefault="00D733E1" w:rsidP="00C74C37">
      <w:pPr>
        <w:pStyle w:val="Heading2"/>
      </w:pPr>
      <w:bookmarkStart w:id="12" w:name="_Toc149678437"/>
      <w:r>
        <w:t>Our performance</w:t>
      </w:r>
      <w:bookmarkEnd w:id="12"/>
    </w:p>
    <w:p w14:paraId="1CEE64D9" w14:textId="202654A3" w:rsidR="00D733E1" w:rsidRDefault="00D733E1" w:rsidP="00D733E1">
      <w:pPr>
        <w:pStyle w:val="BodyText"/>
      </w:pPr>
      <w:r>
        <w:t>In 2022–23 our performance reflected our timely and targeted response to some of the most pressing</w:t>
      </w:r>
      <w:r w:rsidR="00384BF6">
        <w:t> </w:t>
      </w:r>
      <w:r>
        <w:t>issues facing Victorians, as well as our efforts to continue promoting consumer and business</w:t>
      </w:r>
      <w:r w:rsidR="00384BF6">
        <w:t> </w:t>
      </w:r>
      <w:r>
        <w:t>confidence in the Victorian marketplace.</w:t>
      </w:r>
    </w:p>
    <w:p w14:paraId="009FA2A4" w14:textId="091B1A29" w:rsidR="00D733E1" w:rsidRDefault="00D733E1" w:rsidP="00D733E1">
      <w:pPr>
        <w:pStyle w:val="BodyText"/>
      </w:pPr>
      <w:r>
        <w:t>We prioritised providing relief to flood-affected people by redirecting staff from our phone helplines to</w:t>
      </w:r>
      <w:r w:rsidR="008B53D8">
        <w:t> </w:t>
      </w:r>
      <w:r>
        <w:t>help Victorians access government supports. This required adjusted hours for some of our phone queues. However, online services were available and support for vulnerable consumers and high-detriment phonelines were not affected.</w:t>
      </w:r>
    </w:p>
    <w:p w14:paraId="072F1DD6" w14:textId="3F845B1D" w:rsidR="00D733E1" w:rsidRDefault="00D733E1" w:rsidP="00D733E1">
      <w:pPr>
        <w:pStyle w:val="BodyText"/>
      </w:pPr>
      <w:r>
        <w:t>In response to worsening rental affordability, we directed extra resources to rising demand for reviews of rent increases. We ensured our compliance officers prioritised these critical services over routine inspections.</w:t>
      </w:r>
    </w:p>
    <w:p w14:paraId="35984D52" w14:textId="76284464" w:rsidR="00D733E1" w:rsidRDefault="00D733E1" w:rsidP="00D733E1">
      <w:pPr>
        <w:pStyle w:val="BodyText"/>
      </w:pPr>
      <w:r>
        <w:t>Over the year, we delivered thousands of licensing and registration services to Victorian businesses and community organisations. When needed, we undertook compliance and enforcement activities.</w:t>
      </w:r>
    </w:p>
    <w:p w14:paraId="2EDB1912" w14:textId="6A083EDC" w:rsidR="00D733E1" w:rsidRDefault="00D733E1" w:rsidP="00D733E1">
      <w:pPr>
        <w:pStyle w:val="BodyText"/>
      </w:pPr>
      <w:r>
        <w:t>We supported financial counselling and tenancy assistance agencies to deliver critical support to Victorians over a year in which rising cost of living pressures were a significant issue. Client cases became more complex, which reduced the number of clients we could help, but we are confident that we gave meaningful support to the most vulnerable Victorians.</w:t>
      </w:r>
    </w:p>
    <w:p w14:paraId="265D9444" w14:textId="423F064F" w:rsidR="00D733E1" w:rsidRDefault="00D733E1" w:rsidP="00D733E1">
      <w:pPr>
        <w:pStyle w:val="BodyText"/>
      </w:pPr>
      <w:r>
        <w:t>We are committed to playing a constructive and supportive role in ensuring that as the economy recovers from the challenges of COVID-19, it emerges as a fair and safe marketplace for all Victorians.</w:t>
      </w:r>
    </w:p>
    <w:p w14:paraId="6F0DCE8A" w14:textId="6F74D244" w:rsidR="00D733E1" w:rsidRDefault="00D733E1" w:rsidP="00D733E1">
      <w:pPr>
        <w:pStyle w:val="BodyText"/>
      </w:pPr>
      <w:r>
        <w:t>Our performance is measured against target outputs specified in Budget Paper 3 2022–23. Outputs refer to the goods and services provided to government by departments, agencies and statutory bodies, and through funding provided to others, such as community agencies.</w:t>
      </w:r>
    </w:p>
    <w:p w14:paraId="7A9232C1" w14:textId="77777777" w:rsidR="00F42D0F" w:rsidRPr="00F42D0F" w:rsidRDefault="00F42D0F" w:rsidP="00F42D0F">
      <w:pPr>
        <w:pStyle w:val="BodyText"/>
      </w:pPr>
      <w:r w:rsidRPr="00F42D0F">
        <w:br w:type="page"/>
      </w:r>
    </w:p>
    <w:p w14:paraId="7FB97C2A" w14:textId="01A38E2E" w:rsidR="00D733E1" w:rsidRDefault="00D733E1" w:rsidP="00163339">
      <w:pPr>
        <w:pStyle w:val="Caption"/>
      </w:pPr>
      <w:r>
        <w:t>Table: BP3 results</w:t>
      </w:r>
    </w:p>
    <w:tbl>
      <w:tblPr>
        <w:tblStyle w:val="TableGrid"/>
        <w:tblW w:w="9072" w:type="dxa"/>
        <w:tblLayout w:type="fixed"/>
        <w:tblLook w:val="06A0" w:firstRow="1" w:lastRow="0" w:firstColumn="1" w:lastColumn="0" w:noHBand="1" w:noVBand="1"/>
      </w:tblPr>
      <w:tblGrid>
        <w:gridCol w:w="3854"/>
        <w:gridCol w:w="1134"/>
        <w:gridCol w:w="1021"/>
        <w:gridCol w:w="1021"/>
        <w:gridCol w:w="1021"/>
        <w:gridCol w:w="1021"/>
      </w:tblGrid>
      <w:tr w:rsidR="00D733E1" w14:paraId="4DE1B50F" w14:textId="77777777" w:rsidTr="00F42D0F">
        <w:trPr>
          <w:cnfStyle w:val="100000000000" w:firstRow="1" w:lastRow="0" w:firstColumn="0" w:lastColumn="0" w:oddVBand="0" w:evenVBand="0" w:oddHBand="0" w:evenHBand="0" w:firstRowFirstColumn="0" w:firstRowLastColumn="0" w:lastRowFirstColumn="0" w:lastRowLastColumn="0"/>
          <w:trHeight w:val="68"/>
          <w:tblHeader/>
        </w:trPr>
        <w:tc>
          <w:tcPr>
            <w:tcW w:w="3856" w:type="dxa"/>
          </w:tcPr>
          <w:p w14:paraId="09DD572A" w14:textId="77777777" w:rsidR="00D733E1" w:rsidRDefault="00D733E1" w:rsidP="00D733E1">
            <w:pPr>
              <w:pStyle w:val="TableColHead"/>
            </w:pPr>
          </w:p>
        </w:tc>
        <w:tc>
          <w:tcPr>
            <w:tcW w:w="1134" w:type="dxa"/>
          </w:tcPr>
          <w:p w14:paraId="0B659C23" w14:textId="3301339A" w:rsidR="00D733E1" w:rsidRDefault="00D733E1" w:rsidP="00163339">
            <w:pPr>
              <w:pStyle w:val="TableColHead"/>
            </w:pPr>
            <w:r>
              <w:t>Unit of Measure</w:t>
            </w:r>
          </w:p>
        </w:tc>
        <w:tc>
          <w:tcPr>
            <w:tcW w:w="1021" w:type="dxa"/>
          </w:tcPr>
          <w:p w14:paraId="54238ED4" w14:textId="492067A1" w:rsidR="00D733E1" w:rsidRDefault="00D733E1" w:rsidP="00163339">
            <w:pPr>
              <w:pStyle w:val="TableColHeadRight"/>
            </w:pPr>
            <w:r>
              <w:t>2020–21 actual</w:t>
            </w:r>
          </w:p>
        </w:tc>
        <w:tc>
          <w:tcPr>
            <w:tcW w:w="1021" w:type="dxa"/>
          </w:tcPr>
          <w:p w14:paraId="732B49FB" w14:textId="0BC5F483" w:rsidR="00D733E1" w:rsidRDefault="00D733E1" w:rsidP="00163339">
            <w:pPr>
              <w:pStyle w:val="TableColHeadRight"/>
            </w:pPr>
            <w:r>
              <w:t xml:space="preserve">2021–22 actual </w:t>
            </w:r>
          </w:p>
        </w:tc>
        <w:tc>
          <w:tcPr>
            <w:tcW w:w="1021" w:type="dxa"/>
          </w:tcPr>
          <w:p w14:paraId="5EC222C2" w14:textId="32085255" w:rsidR="00D733E1" w:rsidRDefault="00D733E1" w:rsidP="00163339">
            <w:pPr>
              <w:pStyle w:val="TableColHeadRight"/>
            </w:pPr>
            <w:r>
              <w:t>2022–23 target</w:t>
            </w:r>
          </w:p>
        </w:tc>
        <w:tc>
          <w:tcPr>
            <w:tcW w:w="1021" w:type="dxa"/>
          </w:tcPr>
          <w:p w14:paraId="58BC60FD" w14:textId="5840A1BE" w:rsidR="00D733E1" w:rsidRDefault="00D733E1" w:rsidP="00163339">
            <w:pPr>
              <w:pStyle w:val="TableColHeadRight"/>
            </w:pPr>
            <w:r>
              <w:t>2022–23 actual</w:t>
            </w:r>
          </w:p>
        </w:tc>
      </w:tr>
      <w:tr w:rsidR="00D733E1" w14:paraId="7FAC6B5D" w14:textId="77777777" w:rsidTr="00B4559F">
        <w:trPr>
          <w:trHeight w:val="68"/>
        </w:trPr>
        <w:tc>
          <w:tcPr>
            <w:tcW w:w="3856" w:type="dxa"/>
            <w:gridSpan w:val="6"/>
            <w:shd w:val="clear" w:color="auto" w:fill="BCCAE5"/>
          </w:tcPr>
          <w:p w14:paraId="66EBD08C" w14:textId="77777777" w:rsidR="00D733E1" w:rsidRDefault="00D733E1" w:rsidP="00163339">
            <w:pPr>
              <w:pStyle w:val="TableTextBold"/>
            </w:pPr>
            <w:r>
              <w:t>Quantity</w:t>
            </w:r>
          </w:p>
        </w:tc>
      </w:tr>
      <w:tr w:rsidR="00D733E1" w14:paraId="6B810E26" w14:textId="77777777" w:rsidTr="00F42D0F">
        <w:trPr>
          <w:trHeight w:val="68"/>
        </w:trPr>
        <w:tc>
          <w:tcPr>
            <w:tcW w:w="3856" w:type="dxa"/>
          </w:tcPr>
          <w:p w14:paraId="149FCD31" w14:textId="77A07871" w:rsidR="00D733E1" w:rsidRDefault="00D733E1" w:rsidP="00163339">
            <w:pPr>
              <w:pStyle w:val="TableText"/>
            </w:pPr>
            <w:r>
              <w:t>Information and advice provided to consumers, renters, rental providers and businesses: through other services including written correspondence, face-to-face and dispute assistance</w:t>
            </w:r>
            <w:r>
              <w:rPr>
                <w:rFonts w:ascii="Times New Roman" w:hAnsi="Times New Roman"/>
              </w:rPr>
              <w:t> </w:t>
            </w:r>
            <w:r w:rsidRPr="00020B2C">
              <w:rPr>
                <w:rStyle w:val="FootnoteReference"/>
              </w:rPr>
              <w:footnoteReference w:id="2"/>
            </w:r>
          </w:p>
        </w:tc>
        <w:tc>
          <w:tcPr>
            <w:tcW w:w="1134" w:type="dxa"/>
          </w:tcPr>
          <w:p w14:paraId="518F94C3" w14:textId="77777777" w:rsidR="00D733E1" w:rsidRDefault="00D733E1" w:rsidP="00163339">
            <w:pPr>
              <w:pStyle w:val="TableText"/>
            </w:pPr>
            <w:r>
              <w:t>Number</w:t>
            </w:r>
          </w:p>
        </w:tc>
        <w:tc>
          <w:tcPr>
            <w:tcW w:w="1021" w:type="dxa"/>
          </w:tcPr>
          <w:p w14:paraId="0C4ACD04" w14:textId="77777777" w:rsidR="00D733E1" w:rsidRDefault="00D733E1" w:rsidP="00163339">
            <w:pPr>
              <w:pStyle w:val="TableTextRight"/>
            </w:pPr>
            <w:r>
              <w:t>144,533</w:t>
            </w:r>
          </w:p>
        </w:tc>
        <w:tc>
          <w:tcPr>
            <w:tcW w:w="1021" w:type="dxa"/>
          </w:tcPr>
          <w:p w14:paraId="2CA7D391" w14:textId="77777777" w:rsidR="00D733E1" w:rsidRDefault="00D733E1" w:rsidP="00163339">
            <w:pPr>
              <w:pStyle w:val="TableTextRight"/>
            </w:pPr>
            <w:r>
              <w:t>99,191</w:t>
            </w:r>
          </w:p>
        </w:tc>
        <w:tc>
          <w:tcPr>
            <w:tcW w:w="1021" w:type="dxa"/>
          </w:tcPr>
          <w:p w14:paraId="3D6C3599" w14:textId="77777777" w:rsidR="00D733E1" w:rsidRDefault="00D733E1" w:rsidP="00163339">
            <w:pPr>
              <w:pStyle w:val="TableTextRight"/>
            </w:pPr>
            <w:r>
              <w:t>157,343</w:t>
            </w:r>
          </w:p>
        </w:tc>
        <w:tc>
          <w:tcPr>
            <w:tcW w:w="1021" w:type="dxa"/>
          </w:tcPr>
          <w:p w14:paraId="7B50F2D7" w14:textId="77777777" w:rsidR="00D733E1" w:rsidRDefault="00D733E1" w:rsidP="00163339">
            <w:pPr>
              <w:pStyle w:val="TableTextRight"/>
            </w:pPr>
            <w:r>
              <w:t>114,906</w:t>
            </w:r>
          </w:p>
        </w:tc>
      </w:tr>
      <w:tr w:rsidR="00D733E1" w14:paraId="32B56DCA" w14:textId="77777777" w:rsidTr="00F42D0F">
        <w:trPr>
          <w:trHeight w:val="68"/>
        </w:trPr>
        <w:tc>
          <w:tcPr>
            <w:tcW w:w="3856" w:type="dxa"/>
          </w:tcPr>
          <w:p w14:paraId="5108C54F" w14:textId="0A58D5DD" w:rsidR="00D733E1" w:rsidRDefault="00D733E1" w:rsidP="00163339">
            <w:pPr>
              <w:pStyle w:val="TableText"/>
            </w:pPr>
            <w:r>
              <w:t>Information and advice provided to consumers, renters, rental providers and businesses: through telephone services</w:t>
            </w:r>
            <w:r>
              <w:rPr>
                <w:rFonts w:ascii="Times New Roman" w:hAnsi="Times New Roman"/>
              </w:rPr>
              <w:t> </w:t>
            </w:r>
            <w:r w:rsidRPr="00020B2C">
              <w:rPr>
                <w:rStyle w:val="FootnoteReference"/>
              </w:rPr>
              <w:footnoteReference w:id="3"/>
            </w:r>
          </w:p>
        </w:tc>
        <w:tc>
          <w:tcPr>
            <w:tcW w:w="1134" w:type="dxa"/>
          </w:tcPr>
          <w:p w14:paraId="58864B21" w14:textId="77777777" w:rsidR="00D733E1" w:rsidRDefault="00D733E1" w:rsidP="00163339">
            <w:pPr>
              <w:pStyle w:val="TableText"/>
            </w:pPr>
            <w:r>
              <w:t>Number</w:t>
            </w:r>
          </w:p>
        </w:tc>
        <w:tc>
          <w:tcPr>
            <w:tcW w:w="1021" w:type="dxa"/>
          </w:tcPr>
          <w:p w14:paraId="32FD0C41" w14:textId="77777777" w:rsidR="00D733E1" w:rsidRDefault="00D733E1" w:rsidP="00163339">
            <w:pPr>
              <w:pStyle w:val="TableTextRight"/>
            </w:pPr>
            <w:r>
              <w:t>205,508</w:t>
            </w:r>
          </w:p>
        </w:tc>
        <w:tc>
          <w:tcPr>
            <w:tcW w:w="1021" w:type="dxa"/>
          </w:tcPr>
          <w:p w14:paraId="30CBD63B" w14:textId="77777777" w:rsidR="00D733E1" w:rsidRDefault="00D733E1" w:rsidP="00163339">
            <w:pPr>
              <w:pStyle w:val="TableTextRight"/>
            </w:pPr>
            <w:r>
              <w:t>245,141</w:t>
            </w:r>
          </w:p>
        </w:tc>
        <w:tc>
          <w:tcPr>
            <w:tcW w:w="1021" w:type="dxa"/>
          </w:tcPr>
          <w:p w14:paraId="16E66D41" w14:textId="77777777" w:rsidR="00D733E1" w:rsidRDefault="00D733E1" w:rsidP="00163339">
            <w:pPr>
              <w:pStyle w:val="TableTextRight"/>
            </w:pPr>
            <w:r>
              <w:t>293,265</w:t>
            </w:r>
          </w:p>
        </w:tc>
        <w:tc>
          <w:tcPr>
            <w:tcW w:w="1021" w:type="dxa"/>
          </w:tcPr>
          <w:p w14:paraId="20FA0598" w14:textId="77777777" w:rsidR="00D733E1" w:rsidRDefault="00D733E1" w:rsidP="00163339">
            <w:pPr>
              <w:pStyle w:val="TableTextRight"/>
            </w:pPr>
            <w:r>
              <w:t>206,025</w:t>
            </w:r>
          </w:p>
        </w:tc>
      </w:tr>
      <w:tr w:rsidR="00D733E1" w14:paraId="3C53F939" w14:textId="77777777" w:rsidTr="00F42D0F">
        <w:trPr>
          <w:trHeight w:val="68"/>
        </w:trPr>
        <w:tc>
          <w:tcPr>
            <w:tcW w:w="3856" w:type="dxa"/>
          </w:tcPr>
          <w:p w14:paraId="7541A27D" w14:textId="5AA8B1F4" w:rsidR="00D733E1" w:rsidRDefault="00D733E1" w:rsidP="00163339">
            <w:pPr>
              <w:pStyle w:val="TableText"/>
            </w:pPr>
            <w:r>
              <w:t>Number of court and administrative actions</w:t>
            </w:r>
            <w:r>
              <w:rPr>
                <w:rFonts w:ascii="Times New Roman" w:hAnsi="Times New Roman"/>
              </w:rPr>
              <w:t> </w:t>
            </w:r>
            <w:r w:rsidRPr="00020B2C">
              <w:rPr>
                <w:rStyle w:val="FootnoteReference"/>
              </w:rPr>
              <w:footnoteReference w:id="4"/>
            </w:r>
          </w:p>
        </w:tc>
        <w:tc>
          <w:tcPr>
            <w:tcW w:w="1134" w:type="dxa"/>
          </w:tcPr>
          <w:p w14:paraId="720399E1" w14:textId="77777777" w:rsidR="00D733E1" w:rsidRDefault="00D733E1" w:rsidP="00163339">
            <w:pPr>
              <w:pStyle w:val="TableText"/>
            </w:pPr>
            <w:r>
              <w:t>Number</w:t>
            </w:r>
          </w:p>
        </w:tc>
        <w:tc>
          <w:tcPr>
            <w:tcW w:w="1021" w:type="dxa"/>
          </w:tcPr>
          <w:p w14:paraId="0F335257" w14:textId="77777777" w:rsidR="00D733E1" w:rsidRDefault="00D733E1" w:rsidP="00163339">
            <w:pPr>
              <w:pStyle w:val="TableTextRight"/>
            </w:pPr>
            <w:r>
              <w:t>533</w:t>
            </w:r>
          </w:p>
        </w:tc>
        <w:tc>
          <w:tcPr>
            <w:tcW w:w="1021" w:type="dxa"/>
          </w:tcPr>
          <w:p w14:paraId="3EEA81FD" w14:textId="77777777" w:rsidR="00D733E1" w:rsidRDefault="00D733E1" w:rsidP="00163339">
            <w:pPr>
              <w:pStyle w:val="TableTextRight"/>
            </w:pPr>
            <w:r>
              <w:t>628</w:t>
            </w:r>
          </w:p>
        </w:tc>
        <w:tc>
          <w:tcPr>
            <w:tcW w:w="1021" w:type="dxa"/>
          </w:tcPr>
          <w:p w14:paraId="45898B18" w14:textId="77777777" w:rsidR="00D733E1" w:rsidRDefault="00D733E1" w:rsidP="00163339">
            <w:pPr>
              <w:pStyle w:val="TableTextRight"/>
            </w:pPr>
            <w:r>
              <w:t>900</w:t>
            </w:r>
          </w:p>
        </w:tc>
        <w:tc>
          <w:tcPr>
            <w:tcW w:w="1021" w:type="dxa"/>
          </w:tcPr>
          <w:p w14:paraId="48A9FCCC" w14:textId="77777777" w:rsidR="00D733E1" w:rsidRDefault="00D733E1" w:rsidP="00163339">
            <w:pPr>
              <w:pStyle w:val="TableTextRight"/>
            </w:pPr>
            <w:r>
              <w:t>495</w:t>
            </w:r>
          </w:p>
        </w:tc>
      </w:tr>
      <w:tr w:rsidR="00D733E1" w14:paraId="2423ABC6" w14:textId="77777777" w:rsidTr="00F42D0F">
        <w:trPr>
          <w:trHeight w:val="68"/>
        </w:trPr>
        <w:tc>
          <w:tcPr>
            <w:tcW w:w="3856" w:type="dxa"/>
          </w:tcPr>
          <w:p w14:paraId="7C8CD4BF" w14:textId="75A40FBE" w:rsidR="00D733E1" w:rsidRDefault="00D733E1" w:rsidP="00163339">
            <w:pPr>
              <w:pStyle w:val="TableText"/>
            </w:pPr>
            <w:r>
              <w:t>Transactions undertaken: Residential Tenancies Bond Authority (RTBA)</w:t>
            </w:r>
          </w:p>
        </w:tc>
        <w:tc>
          <w:tcPr>
            <w:tcW w:w="1134" w:type="dxa"/>
          </w:tcPr>
          <w:p w14:paraId="41CAA9CF" w14:textId="77777777" w:rsidR="00D733E1" w:rsidRDefault="00D733E1" w:rsidP="00163339">
            <w:pPr>
              <w:pStyle w:val="TableText"/>
            </w:pPr>
            <w:r>
              <w:t>Number</w:t>
            </w:r>
          </w:p>
        </w:tc>
        <w:tc>
          <w:tcPr>
            <w:tcW w:w="1021" w:type="dxa"/>
          </w:tcPr>
          <w:p w14:paraId="16E13EF2" w14:textId="77777777" w:rsidR="00D733E1" w:rsidRDefault="00D733E1" w:rsidP="00163339">
            <w:pPr>
              <w:pStyle w:val="TableTextRight"/>
            </w:pPr>
            <w:r>
              <w:t>498,336</w:t>
            </w:r>
          </w:p>
        </w:tc>
        <w:tc>
          <w:tcPr>
            <w:tcW w:w="1021" w:type="dxa"/>
          </w:tcPr>
          <w:p w14:paraId="5A388E19" w14:textId="77777777" w:rsidR="00D733E1" w:rsidRDefault="00D733E1" w:rsidP="00163339">
            <w:pPr>
              <w:pStyle w:val="TableTextRight"/>
            </w:pPr>
            <w:r>
              <w:t>494,809</w:t>
            </w:r>
          </w:p>
        </w:tc>
        <w:tc>
          <w:tcPr>
            <w:tcW w:w="1021" w:type="dxa"/>
          </w:tcPr>
          <w:p w14:paraId="46B03A29" w14:textId="77777777" w:rsidR="00D733E1" w:rsidRDefault="00D733E1" w:rsidP="00163339">
            <w:pPr>
              <w:pStyle w:val="TableTextRight"/>
            </w:pPr>
            <w:r>
              <w:t>501,000</w:t>
            </w:r>
          </w:p>
        </w:tc>
        <w:tc>
          <w:tcPr>
            <w:tcW w:w="1021" w:type="dxa"/>
          </w:tcPr>
          <w:p w14:paraId="71B41201" w14:textId="77777777" w:rsidR="00D733E1" w:rsidRDefault="00D733E1" w:rsidP="00163339">
            <w:pPr>
              <w:pStyle w:val="TableTextRight"/>
            </w:pPr>
            <w:r>
              <w:t>479,849</w:t>
            </w:r>
          </w:p>
        </w:tc>
      </w:tr>
      <w:tr w:rsidR="00D733E1" w14:paraId="0D03ED61" w14:textId="77777777" w:rsidTr="00F42D0F">
        <w:trPr>
          <w:trHeight w:val="68"/>
        </w:trPr>
        <w:tc>
          <w:tcPr>
            <w:tcW w:w="3856" w:type="dxa"/>
          </w:tcPr>
          <w:p w14:paraId="078184B4" w14:textId="4340E5CD" w:rsidR="00D733E1" w:rsidRDefault="00D733E1" w:rsidP="00163339">
            <w:pPr>
              <w:pStyle w:val="TableText"/>
            </w:pPr>
            <w:r>
              <w:t>Transactions undertaken: registration and</w:t>
            </w:r>
            <w:r w:rsidR="005222D9">
              <w:t> </w:t>
            </w:r>
            <w:r>
              <w:t>licensing</w:t>
            </w:r>
          </w:p>
        </w:tc>
        <w:tc>
          <w:tcPr>
            <w:tcW w:w="1134" w:type="dxa"/>
          </w:tcPr>
          <w:p w14:paraId="0ECCA298" w14:textId="77777777" w:rsidR="00D733E1" w:rsidRDefault="00D733E1" w:rsidP="00163339">
            <w:pPr>
              <w:pStyle w:val="TableText"/>
            </w:pPr>
            <w:r>
              <w:t>Number</w:t>
            </w:r>
          </w:p>
        </w:tc>
        <w:tc>
          <w:tcPr>
            <w:tcW w:w="1021" w:type="dxa"/>
          </w:tcPr>
          <w:p w14:paraId="5B865358" w14:textId="77777777" w:rsidR="00D733E1" w:rsidRDefault="00D733E1" w:rsidP="00163339">
            <w:pPr>
              <w:pStyle w:val="TableTextRight"/>
            </w:pPr>
            <w:r>
              <w:t>95,096</w:t>
            </w:r>
          </w:p>
        </w:tc>
        <w:tc>
          <w:tcPr>
            <w:tcW w:w="1021" w:type="dxa"/>
          </w:tcPr>
          <w:p w14:paraId="4B3844AA" w14:textId="77777777" w:rsidR="00D733E1" w:rsidRDefault="00D733E1" w:rsidP="00163339">
            <w:pPr>
              <w:pStyle w:val="TableTextRight"/>
            </w:pPr>
            <w:r>
              <w:t>100,711</w:t>
            </w:r>
          </w:p>
        </w:tc>
        <w:tc>
          <w:tcPr>
            <w:tcW w:w="1021" w:type="dxa"/>
          </w:tcPr>
          <w:p w14:paraId="48AF0499" w14:textId="77777777" w:rsidR="00D733E1" w:rsidRDefault="00D733E1" w:rsidP="00163339">
            <w:pPr>
              <w:pStyle w:val="TableTextRight"/>
            </w:pPr>
            <w:r>
              <w:t>108,735</w:t>
            </w:r>
          </w:p>
        </w:tc>
        <w:tc>
          <w:tcPr>
            <w:tcW w:w="1021" w:type="dxa"/>
          </w:tcPr>
          <w:p w14:paraId="7D504F6C" w14:textId="77777777" w:rsidR="00D733E1" w:rsidRDefault="00D733E1" w:rsidP="00163339">
            <w:pPr>
              <w:pStyle w:val="TableTextRight"/>
            </w:pPr>
            <w:r>
              <w:t>106,065</w:t>
            </w:r>
          </w:p>
        </w:tc>
      </w:tr>
      <w:tr w:rsidR="00D733E1" w14:paraId="1373FFCD" w14:textId="77777777" w:rsidTr="00F42D0F">
        <w:trPr>
          <w:trHeight w:val="68"/>
        </w:trPr>
        <w:tc>
          <w:tcPr>
            <w:tcW w:w="3856" w:type="dxa"/>
          </w:tcPr>
          <w:p w14:paraId="6AB6618D" w14:textId="4D3A37C2" w:rsidR="00D733E1" w:rsidRDefault="00D733E1" w:rsidP="00163339">
            <w:pPr>
              <w:pStyle w:val="TableText"/>
            </w:pPr>
            <w:r>
              <w:t>Victims of family violence assisted with financial counselling</w:t>
            </w:r>
          </w:p>
        </w:tc>
        <w:tc>
          <w:tcPr>
            <w:tcW w:w="1134" w:type="dxa"/>
          </w:tcPr>
          <w:p w14:paraId="71C94AB7" w14:textId="77777777" w:rsidR="00D733E1" w:rsidRDefault="00D733E1" w:rsidP="00163339">
            <w:pPr>
              <w:pStyle w:val="TableText"/>
            </w:pPr>
            <w:r>
              <w:t>Number</w:t>
            </w:r>
          </w:p>
        </w:tc>
        <w:tc>
          <w:tcPr>
            <w:tcW w:w="1021" w:type="dxa"/>
          </w:tcPr>
          <w:p w14:paraId="52444F48" w14:textId="77777777" w:rsidR="00D733E1" w:rsidRDefault="00D733E1" w:rsidP="00163339">
            <w:pPr>
              <w:pStyle w:val="TableTextRight"/>
            </w:pPr>
            <w:r>
              <w:t>3,178</w:t>
            </w:r>
          </w:p>
        </w:tc>
        <w:tc>
          <w:tcPr>
            <w:tcW w:w="1021" w:type="dxa"/>
          </w:tcPr>
          <w:p w14:paraId="21A2604A" w14:textId="77777777" w:rsidR="00D733E1" w:rsidRDefault="00D733E1" w:rsidP="00163339">
            <w:pPr>
              <w:pStyle w:val="TableTextRight"/>
            </w:pPr>
            <w:r>
              <w:t>3,438</w:t>
            </w:r>
          </w:p>
        </w:tc>
        <w:tc>
          <w:tcPr>
            <w:tcW w:w="1021" w:type="dxa"/>
          </w:tcPr>
          <w:p w14:paraId="6D54B645" w14:textId="77777777" w:rsidR="00D733E1" w:rsidRDefault="00D733E1" w:rsidP="00163339">
            <w:pPr>
              <w:pStyle w:val="TableTextRight"/>
            </w:pPr>
            <w:r>
              <w:t>3,750</w:t>
            </w:r>
          </w:p>
        </w:tc>
        <w:tc>
          <w:tcPr>
            <w:tcW w:w="1021" w:type="dxa"/>
          </w:tcPr>
          <w:p w14:paraId="65E16887" w14:textId="77777777" w:rsidR="00D733E1" w:rsidRDefault="00D733E1" w:rsidP="00163339">
            <w:pPr>
              <w:pStyle w:val="TableTextRight"/>
            </w:pPr>
            <w:r>
              <w:t>3,806</w:t>
            </w:r>
          </w:p>
        </w:tc>
      </w:tr>
      <w:tr w:rsidR="00D733E1" w14:paraId="18AA955F" w14:textId="77777777" w:rsidTr="00B4559F">
        <w:trPr>
          <w:trHeight w:val="68"/>
        </w:trPr>
        <w:tc>
          <w:tcPr>
            <w:tcW w:w="3856" w:type="dxa"/>
            <w:gridSpan w:val="6"/>
            <w:shd w:val="clear" w:color="auto" w:fill="BCCAE5"/>
          </w:tcPr>
          <w:p w14:paraId="64291F81" w14:textId="77777777" w:rsidR="00D733E1" w:rsidRDefault="00D733E1" w:rsidP="00163339">
            <w:pPr>
              <w:pStyle w:val="TableTextBold"/>
            </w:pPr>
            <w:r>
              <w:t>Quality</w:t>
            </w:r>
          </w:p>
        </w:tc>
      </w:tr>
      <w:tr w:rsidR="00D733E1" w14:paraId="382794A5" w14:textId="77777777" w:rsidTr="00F42D0F">
        <w:trPr>
          <w:trHeight w:val="68"/>
        </w:trPr>
        <w:tc>
          <w:tcPr>
            <w:tcW w:w="3856" w:type="dxa"/>
          </w:tcPr>
          <w:p w14:paraId="63311A80" w14:textId="02437A92" w:rsidR="00D733E1" w:rsidRDefault="00D733E1" w:rsidP="00163339">
            <w:pPr>
              <w:pStyle w:val="TableText"/>
            </w:pPr>
            <w:r>
              <w:t>Proportion of high priority breaches resulting in regulatory response</w:t>
            </w:r>
          </w:p>
        </w:tc>
        <w:tc>
          <w:tcPr>
            <w:tcW w:w="1134" w:type="dxa"/>
          </w:tcPr>
          <w:p w14:paraId="6DD29B28" w14:textId="37141A5B" w:rsidR="00D733E1" w:rsidRDefault="00D733E1" w:rsidP="00163339">
            <w:pPr>
              <w:pStyle w:val="TableText"/>
            </w:pPr>
            <w:r>
              <w:t>Per cent</w:t>
            </w:r>
          </w:p>
        </w:tc>
        <w:tc>
          <w:tcPr>
            <w:tcW w:w="1021" w:type="dxa"/>
          </w:tcPr>
          <w:p w14:paraId="439734A2" w14:textId="77777777" w:rsidR="00D733E1" w:rsidRDefault="00D733E1" w:rsidP="00163339">
            <w:pPr>
              <w:pStyle w:val="TableTextRight"/>
            </w:pPr>
            <w:r>
              <w:t>100</w:t>
            </w:r>
          </w:p>
        </w:tc>
        <w:tc>
          <w:tcPr>
            <w:tcW w:w="1021" w:type="dxa"/>
          </w:tcPr>
          <w:p w14:paraId="1ACB024C" w14:textId="77777777" w:rsidR="00D733E1" w:rsidRDefault="00D733E1" w:rsidP="00163339">
            <w:pPr>
              <w:pStyle w:val="TableTextRight"/>
            </w:pPr>
            <w:r>
              <w:t>98</w:t>
            </w:r>
          </w:p>
        </w:tc>
        <w:tc>
          <w:tcPr>
            <w:tcW w:w="1021" w:type="dxa"/>
          </w:tcPr>
          <w:p w14:paraId="7923D01C" w14:textId="77777777" w:rsidR="00D733E1" w:rsidRDefault="00D733E1" w:rsidP="00163339">
            <w:pPr>
              <w:pStyle w:val="TableTextRight"/>
            </w:pPr>
            <w:r>
              <w:t>100</w:t>
            </w:r>
          </w:p>
        </w:tc>
        <w:tc>
          <w:tcPr>
            <w:tcW w:w="1021" w:type="dxa"/>
          </w:tcPr>
          <w:p w14:paraId="6DF3AC58" w14:textId="77777777" w:rsidR="00D733E1" w:rsidRDefault="00D733E1" w:rsidP="00163339">
            <w:pPr>
              <w:pStyle w:val="TableTextRight"/>
            </w:pPr>
            <w:r>
              <w:t>99</w:t>
            </w:r>
          </w:p>
        </w:tc>
      </w:tr>
      <w:tr w:rsidR="00D733E1" w14:paraId="3F2D8751" w14:textId="77777777" w:rsidTr="00F42D0F">
        <w:trPr>
          <w:trHeight w:val="68"/>
        </w:trPr>
        <w:tc>
          <w:tcPr>
            <w:tcW w:w="3856" w:type="dxa"/>
          </w:tcPr>
          <w:p w14:paraId="617E4E56" w14:textId="4D7CDE63" w:rsidR="00D733E1" w:rsidRDefault="00D733E1" w:rsidP="00163339">
            <w:pPr>
              <w:pStyle w:val="TableText"/>
            </w:pPr>
            <w:r>
              <w:t>Rate of compliance with key consumer laws</w:t>
            </w:r>
          </w:p>
        </w:tc>
        <w:tc>
          <w:tcPr>
            <w:tcW w:w="1134" w:type="dxa"/>
          </w:tcPr>
          <w:p w14:paraId="459035A0" w14:textId="39C2AA65" w:rsidR="00D733E1" w:rsidRDefault="00D733E1" w:rsidP="00163339">
            <w:pPr>
              <w:pStyle w:val="TableText"/>
            </w:pPr>
            <w:r>
              <w:t>Per cent</w:t>
            </w:r>
          </w:p>
        </w:tc>
        <w:tc>
          <w:tcPr>
            <w:tcW w:w="1021" w:type="dxa"/>
          </w:tcPr>
          <w:p w14:paraId="486602AE" w14:textId="77777777" w:rsidR="00D733E1" w:rsidRDefault="00D733E1" w:rsidP="00163339">
            <w:pPr>
              <w:pStyle w:val="TableTextRight"/>
            </w:pPr>
            <w:r>
              <w:t>90</w:t>
            </w:r>
          </w:p>
        </w:tc>
        <w:tc>
          <w:tcPr>
            <w:tcW w:w="1021" w:type="dxa"/>
          </w:tcPr>
          <w:p w14:paraId="0C81B8F6" w14:textId="77777777" w:rsidR="00D733E1" w:rsidRDefault="00D733E1" w:rsidP="00163339">
            <w:pPr>
              <w:pStyle w:val="TableTextRight"/>
            </w:pPr>
            <w:r>
              <w:t>90</w:t>
            </w:r>
          </w:p>
        </w:tc>
        <w:tc>
          <w:tcPr>
            <w:tcW w:w="1021" w:type="dxa"/>
          </w:tcPr>
          <w:p w14:paraId="67A1707C" w14:textId="77777777" w:rsidR="00D733E1" w:rsidRDefault="00D733E1" w:rsidP="00163339">
            <w:pPr>
              <w:pStyle w:val="TableTextRight"/>
            </w:pPr>
            <w:r>
              <w:t>95</w:t>
            </w:r>
          </w:p>
        </w:tc>
        <w:tc>
          <w:tcPr>
            <w:tcW w:w="1021" w:type="dxa"/>
          </w:tcPr>
          <w:p w14:paraId="37652AF3" w14:textId="77777777" w:rsidR="00D733E1" w:rsidRDefault="00D733E1" w:rsidP="00163339">
            <w:pPr>
              <w:pStyle w:val="TableTextRight"/>
            </w:pPr>
            <w:r>
              <w:t>94</w:t>
            </w:r>
          </w:p>
        </w:tc>
      </w:tr>
      <w:tr w:rsidR="00D733E1" w14:paraId="175F9EAF" w14:textId="77777777" w:rsidTr="006674B6">
        <w:trPr>
          <w:trHeight w:val="68"/>
        </w:trPr>
        <w:tc>
          <w:tcPr>
            <w:tcW w:w="3856" w:type="dxa"/>
            <w:gridSpan w:val="6"/>
            <w:shd w:val="clear" w:color="auto" w:fill="BCCAE5"/>
          </w:tcPr>
          <w:p w14:paraId="50ACFC80" w14:textId="77777777" w:rsidR="00D733E1" w:rsidRDefault="00D733E1" w:rsidP="00163339">
            <w:pPr>
              <w:pStyle w:val="TableTextBold"/>
            </w:pPr>
            <w:r>
              <w:t>Timeliness</w:t>
            </w:r>
          </w:p>
        </w:tc>
      </w:tr>
      <w:tr w:rsidR="00D733E1" w14:paraId="548168EE" w14:textId="77777777" w:rsidTr="00F42D0F">
        <w:trPr>
          <w:trHeight w:val="68"/>
        </w:trPr>
        <w:tc>
          <w:tcPr>
            <w:tcW w:w="3856" w:type="dxa"/>
          </w:tcPr>
          <w:p w14:paraId="4A574D6E" w14:textId="3E2A488E" w:rsidR="00D733E1" w:rsidRDefault="00D733E1" w:rsidP="00163339">
            <w:pPr>
              <w:pStyle w:val="TableText"/>
            </w:pPr>
            <w:r>
              <w:t>Regulatory functions delivered within agreed time frames</w:t>
            </w:r>
          </w:p>
        </w:tc>
        <w:tc>
          <w:tcPr>
            <w:tcW w:w="1134" w:type="dxa"/>
          </w:tcPr>
          <w:p w14:paraId="12425519" w14:textId="4384C623" w:rsidR="00D733E1" w:rsidRDefault="00D733E1" w:rsidP="00163339">
            <w:pPr>
              <w:pStyle w:val="TableText"/>
            </w:pPr>
            <w:r>
              <w:t>Per cent</w:t>
            </w:r>
          </w:p>
        </w:tc>
        <w:tc>
          <w:tcPr>
            <w:tcW w:w="1021" w:type="dxa"/>
          </w:tcPr>
          <w:p w14:paraId="15C75549" w14:textId="77777777" w:rsidR="00D733E1" w:rsidRDefault="00D733E1" w:rsidP="00163339">
            <w:pPr>
              <w:pStyle w:val="TableTextRight"/>
            </w:pPr>
            <w:r>
              <w:t>96.7</w:t>
            </w:r>
          </w:p>
        </w:tc>
        <w:tc>
          <w:tcPr>
            <w:tcW w:w="1021" w:type="dxa"/>
          </w:tcPr>
          <w:p w14:paraId="1B1F83A6" w14:textId="77777777" w:rsidR="00D733E1" w:rsidRDefault="00D733E1" w:rsidP="00163339">
            <w:pPr>
              <w:pStyle w:val="TableTextRight"/>
            </w:pPr>
            <w:r>
              <w:t>96</w:t>
            </w:r>
          </w:p>
        </w:tc>
        <w:tc>
          <w:tcPr>
            <w:tcW w:w="1021" w:type="dxa"/>
          </w:tcPr>
          <w:p w14:paraId="230A3EA3" w14:textId="77777777" w:rsidR="00D733E1" w:rsidRDefault="00D733E1" w:rsidP="00163339">
            <w:pPr>
              <w:pStyle w:val="TableTextRight"/>
            </w:pPr>
            <w:r>
              <w:t>95</w:t>
            </w:r>
          </w:p>
        </w:tc>
        <w:tc>
          <w:tcPr>
            <w:tcW w:w="1021" w:type="dxa"/>
          </w:tcPr>
          <w:p w14:paraId="5B11CA0E" w14:textId="77777777" w:rsidR="00D733E1" w:rsidRDefault="00D733E1" w:rsidP="00163339">
            <w:pPr>
              <w:pStyle w:val="TableTextRight"/>
            </w:pPr>
            <w:r>
              <w:t>95</w:t>
            </w:r>
          </w:p>
        </w:tc>
      </w:tr>
      <w:tr w:rsidR="00D733E1" w14:paraId="2C56A4C4" w14:textId="77777777" w:rsidTr="006674B6">
        <w:trPr>
          <w:trHeight w:val="68"/>
        </w:trPr>
        <w:tc>
          <w:tcPr>
            <w:tcW w:w="3856" w:type="dxa"/>
            <w:gridSpan w:val="6"/>
            <w:shd w:val="clear" w:color="auto" w:fill="BCCAE5"/>
          </w:tcPr>
          <w:p w14:paraId="03A3573E" w14:textId="77777777" w:rsidR="00D733E1" w:rsidRDefault="00D733E1" w:rsidP="00163339">
            <w:pPr>
              <w:pStyle w:val="TableTextBold"/>
            </w:pPr>
            <w:r>
              <w:t>Cost</w:t>
            </w:r>
          </w:p>
        </w:tc>
      </w:tr>
      <w:tr w:rsidR="00D733E1" w14:paraId="3EDEC755" w14:textId="77777777" w:rsidTr="00F42D0F">
        <w:trPr>
          <w:trHeight w:val="68"/>
        </w:trPr>
        <w:tc>
          <w:tcPr>
            <w:tcW w:w="3856" w:type="dxa"/>
          </w:tcPr>
          <w:p w14:paraId="12FBB25F" w14:textId="3CEC5608" w:rsidR="00D733E1" w:rsidRDefault="00D733E1" w:rsidP="00163339">
            <w:pPr>
              <w:pStyle w:val="TableText"/>
            </w:pPr>
            <w:r>
              <w:t>Total output cost</w:t>
            </w:r>
          </w:p>
        </w:tc>
        <w:tc>
          <w:tcPr>
            <w:tcW w:w="1134" w:type="dxa"/>
          </w:tcPr>
          <w:p w14:paraId="5CF69EB5" w14:textId="0172438B" w:rsidR="00D733E1" w:rsidRDefault="00D733E1" w:rsidP="00163339">
            <w:pPr>
              <w:pStyle w:val="TableText"/>
            </w:pPr>
            <w:r>
              <w:t>$ million</w:t>
            </w:r>
          </w:p>
        </w:tc>
        <w:tc>
          <w:tcPr>
            <w:tcW w:w="1021" w:type="dxa"/>
          </w:tcPr>
          <w:p w14:paraId="7C33686E" w14:textId="77777777" w:rsidR="00D733E1" w:rsidRDefault="00D733E1" w:rsidP="00163339">
            <w:pPr>
              <w:pStyle w:val="TableTextRight"/>
            </w:pPr>
            <w:r>
              <w:t>147.7</w:t>
            </w:r>
          </w:p>
        </w:tc>
        <w:tc>
          <w:tcPr>
            <w:tcW w:w="1021" w:type="dxa"/>
          </w:tcPr>
          <w:p w14:paraId="5B3A4CA1" w14:textId="77777777" w:rsidR="00D733E1" w:rsidRDefault="00D733E1" w:rsidP="00163339">
            <w:pPr>
              <w:pStyle w:val="TableTextRight"/>
            </w:pPr>
            <w:r>
              <w:t>127.2</w:t>
            </w:r>
          </w:p>
        </w:tc>
        <w:tc>
          <w:tcPr>
            <w:tcW w:w="1021" w:type="dxa"/>
          </w:tcPr>
          <w:p w14:paraId="669AA250" w14:textId="77777777" w:rsidR="00D733E1" w:rsidRDefault="00D733E1" w:rsidP="00163339">
            <w:pPr>
              <w:pStyle w:val="TableTextRight"/>
            </w:pPr>
            <w:r>
              <w:t>131.7</w:t>
            </w:r>
          </w:p>
        </w:tc>
        <w:tc>
          <w:tcPr>
            <w:tcW w:w="1021" w:type="dxa"/>
          </w:tcPr>
          <w:p w14:paraId="5551D17F" w14:textId="75373E21" w:rsidR="00D733E1" w:rsidRDefault="0058291E" w:rsidP="00163339">
            <w:pPr>
              <w:pStyle w:val="TableTextRight"/>
            </w:pPr>
            <w:r>
              <w:t>128.4</w:t>
            </w:r>
          </w:p>
        </w:tc>
      </w:tr>
    </w:tbl>
    <w:p w14:paraId="100B7052" w14:textId="6C2781A9" w:rsidR="00D733E1" w:rsidRDefault="00D733E1" w:rsidP="00C74C37">
      <w:pPr>
        <w:pStyle w:val="Heading2"/>
      </w:pPr>
      <w:bookmarkStart w:id="13" w:name="_Toc149678438"/>
      <w:r>
        <w:t>Our achievements</w:t>
      </w:r>
      <w:bookmarkEnd w:id="13"/>
    </w:p>
    <w:p w14:paraId="21E0A1CE" w14:textId="77D7FAB1" w:rsidR="00D733E1" w:rsidRDefault="00D733E1" w:rsidP="00C74C37">
      <w:pPr>
        <w:pStyle w:val="Heading3"/>
      </w:pPr>
      <w:bookmarkStart w:id="14" w:name="_Toc149678439"/>
      <w:r>
        <w:t>Businesses comply with consumer laws</w:t>
      </w:r>
      <w:bookmarkEnd w:id="14"/>
    </w:p>
    <w:p w14:paraId="41AC0F29" w14:textId="357C328E" w:rsidR="00D733E1" w:rsidRDefault="00D733E1" w:rsidP="00D733E1">
      <w:pPr>
        <w:pStyle w:val="BodyText"/>
      </w:pPr>
      <w:r>
        <w:t>A key to achieving a fair and competitive marketplace is ensuring businesses comply with consumer</w:t>
      </w:r>
      <w:r w:rsidR="00384BF6">
        <w:t> </w:t>
      </w:r>
      <w:r>
        <w:t>laws. We support businesses to be compliant by giving them information and resources, and protect consumers by acting quickly against business that are causing the most harm. We follow an intelligence-led, risk-based enforcement approach. We also focus on achieving high levels of business</w:t>
      </w:r>
      <w:r w:rsidR="008B53D8">
        <w:t> </w:t>
      </w:r>
      <w:r>
        <w:t>compliance by working with relevant industry bodies and other partners.</w:t>
      </w:r>
    </w:p>
    <w:p w14:paraId="00CE81FF" w14:textId="0BD2FA3D" w:rsidR="00D733E1" w:rsidRDefault="00D733E1" w:rsidP="00C74C37">
      <w:pPr>
        <w:pStyle w:val="Heading4"/>
      </w:pPr>
      <w:r>
        <w:t>Promoting product safety</w:t>
      </w:r>
    </w:p>
    <w:p w14:paraId="0D5DCEE9" w14:textId="45DB9B43" w:rsidR="00D733E1" w:rsidRDefault="00D733E1" w:rsidP="00D733E1">
      <w:pPr>
        <w:pStyle w:val="BodyText"/>
      </w:pPr>
      <w:r>
        <w:t>Products sold to consumers should be safe. In Victoria, we monitor compliance against national mandatory product safety standards. We work closely with the Australian Competition and Consumer</w:t>
      </w:r>
      <w:r w:rsidR="00384BF6">
        <w:t> </w:t>
      </w:r>
      <w:r>
        <w:t>Commission (ACCC) and other jurisdictions to administer the product safety provisions of</w:t>
      </w:r>
      <w:r w:rsidR="00384BF6">
        <w:t> </w:t>
      </w:r>
      <w:r>
        <w:t>the Australian Consumer Law. In 2022–23, we ran campaigns to promote the safe use of blind cords and</w:t>
      </w:r>
      <w:r w:rsidR="00384BF6">
        <w:t> </w:t>
      </w:r>
      <w:r>
        <w:t>button batteries and supported regulatory change to improve the safety of commercially available helium.</w:t>
      </w:r>
    </w:p>
    <w:p w14:paraId="62D767C2" w14:textId="3814E16D" w:rsidR="00D733E1" w:rsidRDefault="00D733E1" w:rsidP="00D733E1">
      <w:pPr>
        <w:pStyle w:val="BodyText"/>
      </w:pPr>
      <w:r>
        <w:t>Blind cords that don’t meet safety standards pose a significant risk to young children. Unsecured blind or curtain cords claim the lives of one or two Australian children every year – at least 21 since 2001.</w:t>
      </w:r>
    </w:p>
    <w:p w14:paraId="7CB45BC5" w14:textId="360EBDE6" w:rsidR="00D733E1" w:rsidRDefault="00D733E1" w:rsidP="00D733E1">
      <w:pPr>
        <w:pStyle w:val="BodyText"/>
      </w:pPr>
      <w:r>
        <w:t>We have prioritised addressing this risk through both regulation and community outreach. A new mandatory standard for blind and curtain cords for Victorian rooming houses was introduced on 26</w:t>
      </w:r>
      <w:r w:rsidR="008B53D8">
        <w:t> </w:t>
      </w:r>
      <w:r>
        <w:t>February 2023. It requires rooming house operators to secure loose blind and curtain cords to a wall, as described in the current Australian consumer safety standard. Operators will have 12 months to meet the new requirement.</w:t>
      </w:r>
    </w:p>
    <w:p w14:paraId="2E319871" w14:textId="3F95AC8B" w:rsidR="00D733E1" w:rsidRDefault="00D733E1" w:rsidP="00D733E1">
      <w:pPr>
        <w:pStyle w:val="BodyText"/>
      </w:pPr>
      <w:r>
        <w:t>A national mandatory product safety standard applies for corded blinds and curtains installed after 30</w:t>
      </w:r>
      <w:r w:rsidR="008B53D8">
        <w:t> </w:t>
      </w:r>
      <w:r>
        <w:t>December 2010. However, many older rental properties still have unsecured blind cords. We offer free blind cord safety kits on request, to retrofit curtains and blinds in Victorian properties. Victorian residents ordered over 3,500 free blind cord safety kits between 1 July 2022 and 30 June 2023. After we relaunched a child safety campaign on 18 January 2023, we received almost 300 orders for blind cord safety kits in one day.</w:t>
      </w:r>
    </w:p>
    <w:p w14:paraId="3FB1F4E7" w14:textId="56375454" w:rsidR="00D733E1" w:rsidRDefault="00D733E1" w:rsidP="00D733E1">
      <w:pPr>
        <w:pStyle w:val="BodyText"/>
      </w:pPr>
      <w:r>
        <w:t>Button batteries in many consumer and household products pose serious risks to young children. If</w:t>
      </w:r>
      <w:r w:rsidR="008B53D8">
        <w:t> </w:t>
      </w:r>
      <w:r>
        <w:t>swallowed, they can become stuck in a child’s throat and cause terrible injuries and even death. Under new mandatory Australian standards, since June 2022, button batteries’ packaging must carry appropriate warnings. Products with button batteries must also meet design standards intended to keep the batteries secure. Businesses providing unsafe or non-compliant products can face serious penalties.</w:t>
      </w:r>
    </w:p>
    <w:p w14:paraId="290D1132" w14:textId="21456C2B" w:rsidR="00D733E1" w:rsidRDefault="00D733E1" w:rsidP="00D733E1">
      <w:pPr>
        <w:pStyle w:val="BodyText"/>
      </w:pPr>
      <w:r>
        <w:t>To ensure compliance with the new safety and information standards, our inspectors visited 97 stores across the state, seized more than 3,000 products (including 280 children’s toys and 2,000 batteries) and issued 85 official warnings. This activity was part of a national surveillance project, led by the ACCC, to check compliance with the new safety and information standards.</w:t>
      </w:r>
    </w:p>
    <w:p w14:paraId="75596561" w14:textId="73D6F16A" w:rsidR="00D733E1" w:rsidRDefault="00D733E1" w:rsidP="00DF73E7">
      <w:pPr>
        <w:pStyle w:val="BodyText"/>
        <w:keepLines/>
      </w:pPr>
      <w:r>
        <w:t>Our website provides information on button battery safety standards. We also host an online form for</w:t>
      </w:r>
      <w:r w:rsidR="008B53D8">
        <w:t> </w:t>
      </w:r>
      <w:r>
        <w:t>consumers to submit complaints about products they believe are unsafe or dangerous. They can make urgent complaints about products that have caused a serious injury or near miss via our staffed phone hotline.</w:t>
      </w:r>
    </w:p>
    <w:p w14:paraId="01933F9D" w14:textId="0F31207B" w:rsidR="00D733E1" w:rsidRDefault="00D733E1" w:rsidP="00D733E1">
      <w:pPr>
        <w:pStyle w:val="BodyText"/>
      </w:pPr>
      <w:r>
        <w:t>We also supported the ACCC‘s development of a national coordinated approach for safety standards for consumer helium products. Since 16 April 2023, a new mandatory safety standard made under the Australian Consumer Law sets out the requirements for non-refillable helium cylinders. The new safety standard requires these cylinders to include product safety labels and contain an oxygen-helium blend.</w:t>
      </w:r>
    </w:p>
    <w:p w14:paraId="08FC29CE" w14:textId="28A5D94A" w:rsidR="00D733E1" w:rsidRDefault="00D733E1" w:rsidP="00C74C37">
      <w:pPr>
        <w:pStyle w:val="Heading4"/>
      </w:pPr>
      <w:r>
        <w:t>Underquoting taskforce</w:t>
      </w:r>
    </w:p>
    <w:p w14:paraId="4CDC670E" w14:textId="06A2DEB4" w:rsidR="00D733E1" w:rsidRDefault="00D733E1" w:rsidP="00D733E1">
      <w:pPr>
        <w:pStyle w:val="BodyText"/>
      </w:pPr>
      <w:r>
        <w:t>Underquoting is an unfair business practice that makes it harder for Victorians to purchase property. It</w:t>
      </w:r>
      <w:r w:rsidR="008B53D8">
        <w:t> </w:t>
      </w:r>
      <w:r>
        <w:t>occurs when a property is advertised at a price that is less than the estimated selling price, less than</w:t>
      </w:r>
      <w:r w:rsidR="008B53D8">
        <w:t> </w:t>
      </w:r>
      <w:r>
        <w:t>the seller’s asking price or less than a price already rejected by the seller. It can cause potential buyers to waste significant time and money inspecting properties that were never in their price range. It may also distort the market, while benefiting people who break the law.</w:t>
      </w:r>
    </w:p>
    <w:p w14:paraId="3E6A514D" w14:textId="31A5098F" w:rsidR="00D733E1" w:rsidRDefault="00D733E1" w:rsidP="00D733E1">
      <w:pPr>
        <w:pStyle w:val="BodyText"/>
      </w:pPr>
      <w:r>
        <w:t>In September 2022, the Victorian Government announced $3.8 million over two years for a dedicated taskforce, embedded in CAV, to target underquoting. The taskforce builds on our ongoing focus on ensuring the estate agents only provide accurate information to the public when they are selling residential property. The new taskforce is working to:</w:t>
      </w:r>
    </w:p>
    <w:p w14:paraId="0FBDC49A" w14:textId="6A960D8F" w:rsidR="00D733E1" w:rsidRDefault="00D733E1" w:rsidP="00D261F8">
      <w:pPr>
        <w:pStyle w:val="ListBullet"/>
      </w:pPr>
      <w:r>
        <w:t>increase education for estate agents and the public</w:t>
      </w:r>
    </w:p>
    <w:p w14:paraId="7E2C0250" w14:textId="4D6865D6" w:rsidR="00D733E1" w:rsidRDefault="00D733E1" w:rsidP="00D261F8">
      <w:pPr>
        <w:pStyle w:val="ListBullet"/>
      </w:pPr>
      <w:r>
        <w:t>collect and analyse market intelligence</w:t>
      </w:r>
    </w:p>
    <w:p w14:paraId="7961A401" w14:textId="17BA3D0A" w:rsidR="00D733E1" w:rsidRDefault="00D733E1" w:rsidP="00D261F8">
      <w:pPr>
        <w:pStyle w:val="ListBullet"/>
      </w:pPr>
      <w:r>
        <w:t>monitor sale campaigns</w:t>
      </w:r>
    </w:p>
    <w:p w14:paraId="31DDBEC3" w14:textId="1A4A38F2" w:rsidR="00D733E1" w:rsidRDefault="00D733E1" w:rsidP="00D261F8">
      <w:pPr>
        <w:pStyle w:val="ListBullet"/>
      </w:pPr>
      <w:r>
        <w:t>increase our presence at auctions and targeted inspections.</w:t>
      </w:r>
    </w:p>
    <w:p w14:paraId="22EC172F" w14:textId="721C7DDC" w:rsidR="00D733E1" w:rsidRDefault="00D733E1" w:rsidP="00D733E1">
      <w:pPr>
        <w:pStyle w:val="BodyText"/>
      </w:pPr>
      <w:r>
        <w:t>The taskforce takes a zero-tolerance approach to non-compliance – all breaches we identify result in</w:t>
      </w:r>
      <w:r w:rsidR="008B53D8">
        <w:t> </w:t>
      </w:r>
      <w:r>
        <w:t>an enforcement response. Under the Estate Agents Act 1980, agents who underquote risk fines or penalties of almost $38,000 for each property where CAV considers that agents have failed to comply with their obligations. Even higher penalties apply for misconduct under the Australian Consumer Law, such as making false representations.</w:t>
      </w:r>
    </w:p>
    <w:p w14:paraId="56421F78" w14:textId="30EE3DCA" w:rsidR="00D733E1" w:rsidRDefault="00D733E1" w:rsidP="00D733E1">
      <w:pPr>
        <w:pStyle w:val="BodyText"/>
      </w:pPr>
      <w:r>
        <w:t>In 2022–23, we received 1677 contacts concerning underquoting, including 885 submissions via our new dedicated complaint form. From these complaints, we identified 135 estate agencies suspected of</w:t>
      </w:r>
      <w:r w:rsidR="008B53D8">
        <w:t> </w:t>
      </w:r>
      <w:r>
        <w:t>breaching underquoting laws. We inspected 80 estate agencies in person and undertook desktop monitoring of a further 101. We reviewed 375 sales files across in-person inspections and desktop compliance monitoring. We issued 48 infringements (totalling more than $520,000) and 37 official warnings to 29 estate agents for underquoting, and several matters are under ongoing review or investigation for possible further action.</w:t>
      </w:r>
    </w:p>
    <w:p w14:paraId="41BE1DAE" w14:textId="00921D2E" w:rsidR="00D733E1" w:rsidRDefault="00D733E1" w:rsidP="00C74C37">
      <w:pPr>
        <w:pStyle w:val="Heading4"/>
      </w:pPr>
      <w:r>
        <w:t>Protecting consumer money held in trust accounts</w:t>
      </w:r>
    </w:p>
    <w:p w14:paraId="358562F2" w14:textId="530E9A37" w:rsidR="00D733E1" w:rsidRDefault="00D733E1" w:rsidP="00D733E1">
      <w:pPr>
        <w:pStyle w:val="BodyText"/>
      </w:pPr>
      <w:r>
        <w:t>Trust accounts protect consumers who pay money (such as rent, purchase or sale deposits or advertising and maintenance fees) to real estate agents and conveyancers. Under the law, estate agents and conveyancers must deposit any client money they receive in advance into a trust account for safe keeping and face high penalties if they fail to comply.</w:t>
      </w:r>
    </w:p>
    <w:p w14:paraId="5931A35F" w14:textId="30CCABC0" w:rsidR="00D733E1" w:rsidRDefault="00D733E1" w:rsidP="00D733E1">
      <w:pPr>
        <w:pStyle w:val="BodyText"/>
      </w:pPr>
      <w:r>
        <w:t>Annual audits of estate agent and conveyancer trust accounts are an important requirement. They protect consumers by ensuring trust monies are not misused or stolen by agents or conveyancers. By</w:t>
      </w:r>
      <w:r w:rsidR="008B53D8">
        <w:t> </w:t>
      </w:r>
      <w:r>
        <w:t>law, estate agents and conveyancers must lodge an annual trust account audit with us if they held trust monies during the financial year. We have zero tolerance of non-compliance, because it may indicate more serious breaches.</w:t>
      </w:r>
    </w:p>
    <w:p w14:paraId="60555BF6" w14:textId="7F18BAF9" w:rsidR="00D733E1" w:rsidRDefault="00D733E1" w:rsidP="00D733E1">
      <w:pPr>
        <w:pStyle w:val="BodyText"/>
      </w:pPr>
      <w:r>
        <w:t>Although most agents and conveyancers do the right thing, since 2021, we have run a compliance program to identify and take action where any have not complied with their trust account reporting obligations. As of 30 June 2023, 5,290 of the 5,938 estate agency businesses in Victoria operate a total of 5,835 statutory trust accounts. Three hundred and forty-four of the 706 conveyancing businesses in Victoria operate a total of 348 statutory trust accounts.</w:t>
      </w:r>
    </w:p>
    <w:p w14:paraId="45B5CE26" w14:textId="27715128" w:rsidR="00D733E1" w:rsidRDefault="00D733E1" w:rsidP="00D733E1">
      <w:pPr>
        <w:pStyle w:val="BodyText"/>
      </w:pPr>
      <w:r>
        <w:t>We issued 74 infringements to estate agents and 22 to conveyancers (a total of 96) for failing to meet</w:t>
      </w:r>
      <w:r w:rsidR="008B53D8">
        <w:t> </w:t>
      </w:r>
      <w:r>
        <w:t>their 2021–22 trust account audit obligations. This is slightly down from the previous audit year, indicating increased compliance as we continue our efforts to stamp out these failures.</w:t>
      </w:r>
    </w:p>
    <w:p w14:paraId="6AB26337" w14:textId="3BC565A0" w:rsidR="00D733E1" w:rsidRDefault="00D733E1" w:rsidP="00D733E1">
      <w:pPr>
        <w:pStyle w:val="BodyText"/>
      </w:pPr>
      <w:r>
        <w:t>We also took successful disciplinary against in the Victorian Civil and Administrative Tribunal against Seymour estate agent, Saowanee Howell and Caroline Springs agent, Tsun Ngai Lee for persistent failures to cause their trust accounts to be audited. In both instances the agents lost their licences to practice, Ms Howell for two years and Mr Lee for 18 months. We have identified several other cases where disciplinary proceedings may also be pursued in the coming year.</w:t>
      </w:r>
    </w:p>
    <w:p w14:paraId="589525E5" w14:textId="4C02C81B" w:rsidR="00D733E1" w:rsidRDefault="00D733E1" w:rsidP="00D733E1">
      <w:pPr>
        <w:pStyle w:val="BodyText"/>
      </w:pPr>
      <w:r>
        <w:t>In 2022–23 we also finalised 9 criminal prosecutions and disciplinary proceedings and commenced 7</w:t>
      </w:r>
      <w:r w:rsidR="008B53D8">
        <w:t> </w:t>
      </w:r>
      <w:r>
        <w:t>new court or disciplinary proceedings against estate agents and agents representatives for trust account mishandling.</w:t>
      </w:r>
    </w:p>
    <w:p w14:paraId="6CDBB820" w14:textId="66070D60" w:rsidR="00D733E1" w:rsidRDefault="00D733E1" w:rsidP="00D733E1">
      <w:pPr>
        <w:pStyle w:val="BodyText"/>
      </w:pPr>
      <w:r>
        <w:t>One finalised prosecution concerned Kylie Jane Campbell, a Melbourne estate agent, who first came to our attention when two witnesses made claims against the Victorian Property Fund (VPF). The VPF provides compensation for clients who have suffered financial loss as a result of agents’ misconduct. Our investigation found that Ms Campbell had withdrawn more than $100,000 in funds belonging to clients with the intention of putting it towards a deposit on a commercial property. Ms Campbell pleaded guilty in November 2022 to two charges of causing a deficiency in her company’s trust account and wrongful conversion of funds. She was sentenced to a three-year community corrections order and 300 hours of unpaid community work. She was also ordered to pay more than $94,000 to the VPF for money paid to compensate former clients.</w:t>
      </w:r>
    </w:p>
    <w:p w14:paraId="4433A015" w14:textId="3ECDDF45" w:rsidR="00D733E1" w:rsidRDefault="00D733E1" w:rsidP="00D733E1">
      <w:pPr>
        <w:pStyle w:val="BodyText"/>
      </w:pPr>
      <w:r>
        <w:t>In another matter, a former estate agent who mishandled his clients’ trust account funds for personal use was sentenced this year to 12 months in prison and a two-year Community Corrections Order. Richard Michael Hayden, formerly the Director of Skyline Developments Pty Ltd, trading as Hayden Real Estate, pleaded guilty on 5 June 2023 to three offences. These included two charges for causing almost $1.6 million in trust account deficiencies and one charge for fraudulently transferring around $776,000 in trust funds for his own use. We launched court proceedings against Mr Hayden following complaints from consumers.</w:t>
      </w:r>
    </w:p>
    <w:p w14:paraId="0B91143B" w14:textId="41C1982D" w:rsidR="00D733E1" w:rsidRDefault="00D733E1" w:rsidP="00D733E1">
      <w:pPr>
        <w:pStyle w:val="BodyText"/>
      </w:pPr>
      <w:r>
        <w:t>CAV’s actions against Mr Hayden, Ms Campbell and others reflect our determination to hold agents accountable if they misuse money from trust accounts, and to ensure that Victorians feel secure knowing their trust account funds are managed by regulated professionals.</w:t>
      </w:r>
    </w:p>
    <w:p w14:paraId="57C1E3AA" w14:textId="5B14B162" w:rsidR="00D733E1" w:rsidRDefault="00D733E1" w:rsidP="00C74C37">
      <w:pPr>
        <w:pStyle w:val="Heading4"/>
      </w:pPr>
      <w:r>
        <w:t>Professional Engineers Registration Scheme</w:t>
      </w:r>
    </w:p>
    <w:p w14:paraId="4447CE7E" w14:textId="421A5036" w:rsidR="00D733E1" w:rsidRDefault="00D733E1" w:rsidP="00D733E1">
      <w:pPr>
        <w:pStyle w:val="BodyText"/>
      </w:pPr>
      <w:r>
        <w:t xml:space="preserve">The </w:t>
      </w:r>
      <w:r w:rsidRPr="008A66FE">
        <w:rPr>
          <w:rStyle w:val="Emphasis"/>
        </w:rPr>
        <w:t>Professional Engineers Registration Act 2019</w:t>
      </w:r>
      <w:r>
        <w:t xml:space="preserve"> (the Act) took effect on 1 July 2021. It is an important part of the government’s support for infrastructure in Victoria, to enhance innovation and productivity in our economy. Registration also gives Victorians greater confidence that only suitably qualified and experienced engineers, who meet Australian and international standards, can provide professional engineering services.</w:t>
      </w:r>
    </w:p>
    <w:p w14:paraId="11C99A88" w14:textId="686B3076" w:rsidR="00D733E1" w:rsidRDefault="00D733E1" w:rsidP="00D733E1">
      <w:pPr>
        <w:pStyle w:val="BodyText"/>
      </w:pPr>
      <w:r>
        <w:t>Under the Act, registration is now mandatory for professional engineers in nominated areas, unless</w:t>
      </w:r>
      <w:r w:rsidR="008B53D8">
        <w:t> </w:t>
      </w:r>
      <w:r>
        <w:t>they work under the direct supervision of a registered professional engineer, or under a prescriptive standard. Professional engineers must meet qualifications and experience or competency requirements to be registered, and also meet continuing professional development requirements every three years.</w:t>
      </w:r>
    </w:p>
    <w:p w14:paraId="7E3A1650" w14:textId="361ACEC2" w:rsidR="00D733E1" w:rsidRDefault="00D733E1" w:rsidP="00D733E1">
      <w:pPr>
        <w:pStyle w:val="BodyText"/>
      </w:pPr>
      <w:r>
        <w:t>In a first for Victoria, the scheme introduced a co-regulatory model involving engineering associations operating approved assessment schemes, with</w:t>
      </w:r>
    </w:p>
    <w:p w14:paraId="15770323" w14:textId="7F3FFA88" w:rsidR="00D733E1" w:rsidRDefault="00D733E1" w:rsidP="00D261F8">
      <w:pPr>
        <w:pStyle w:val="ListBullet"/>
      </w:pPr>
      <w:r>
        <w:t>the Victorian Building Authority (VBA) advising on applicants’ suitability to work in the building industry</w:t>
      </w:r>
    </w:p>
    <w:p w14:paraId="11C003CD" w14:textId="69F93A3A" w:rsidR="00D733E1" w:rsidRDefault="00D733E1" w:rsidP="00D261F8">
      <w:pPr>
        <w:pStyle w:val="ListBullet"/>
      </w:pPr>
      <w:r>
        <w:t>the Business Licensing Authority managing probity checks and granting registrations; and</w:t>
      </w:r>
    </w:p>
    <w:p w14:paraId="0E5E77CA" w14:textId="1C0DEEA6" w:rsidR="00D733E1" w:rsidRDefault="00D733E1" w:rsidP="00D261F8">
      <w:pPr>
        <w:pStyle w:val="ListBullet"/>
      </w:pPr>
      <w:r>
        <w:t>CAV and the VBA monitoring compliance and enforcement.</w:t>
      </w:r>
    </w:p>
    <w:p w14:paraId="59262938" w14:textId="22267374" w:rsidR="00D733E1" w:rsidRDefault="00D733E1" w:rsidP="00D733E1">
      <w:pPr>
        <w:pStyle w:val="BodyText"/>
      </w:pPr>
      <w:r>
        <w:t>We continued to phase in registration across the five areas of engineering throughout 2022–23. As</w:t>
      </w:r>
      <w:r w:rsidR="008B53D8">
        <w:t> </w:t>
      </w:r>
      <w:r>
        <w:t>of</w:t>
      </w:r>
      <w:r w:rsidR="008B53D8">
        <w:t> </w:t>
      </w:r>
      <w:r>
        <w:t>1 June 2023, mandatory registration applies to fire safety, civil and structural and electrical engineers. It will also apply to mechanical engineers by 1 December 2023.</w:t>
      </w:r>
    </w:p>
    <w:p w14:paraId="280822F6" w14:textId="3D8BA7DF" w:rsidR="00D733E1" w:rsidRDefault="00D733E1" w:rsidP="00D733E1">
      <w:pPr>
        <w:pStyle w:val="BodyText"/>
      </w:pPr>
      <w:r>
        <w:t>The Business Licensing Authority registered 5,561 professional engineers in 2022–23. This makes a total of 9,657 professional engineers registered across the five engineering areas within the first two years. We estimate that after four years of mandatory registration, 27,000 engineers will be registered.</w:t>
      </w:r>
    </w:p>
    <w:p w14:paraId="5B31F422" w14:textId="1FE6145F" w:rsidR="00D733E1" w:rsidRDefault="00D733E1" w:rsidP="00D733E1">
      <w:pPr>
        <w:pStyle w:val="BodyText"/>
      </w:pPr>
      <w:r>
        <w:t>A statutory review of the Act will commence in 2024, based on advice from the co-regulatory bodies administering the scheme, as well as input from industry stakeholders.</w:t>
      </w:r>
    </w:p>
    <w:p w14:paraId="266FA21B" w14:textId="32BBFF15" w:rsidR="00D733E1" w:rsidRDefault="00D733E1" w:rsidP="00C74C37">
      <w:pPr>
        <w:pStyle w:val="Heading4"/>
      </w:pPr>
      <w:r>
        <w:t>Domestic building response</w:t>
      </w:r>
    </w:p>
    <w:p w14:paraId="23AAB2E9" w14:textId="620D76E8" w:rsidR="00D733E1" w:rsidRDefault="00D733E1" w:rsidP="00D733E1">
      <w:pPr>
        <w:pStyle w:val="BodyText"/>
      </w:pPr>
      <w:r>
        <w:t>In March 2023, Porter Davis Homes Group went into liquidation. As Australia’s 12th largest home builder, their closure affected 1,700 projects and another 779 empty blocks of land. Customers with incomplete homes faced out-of-pocket costs of tens of thousands of dollars, plus higher costs when finding another company to finish construction.</w:t>
      </w:r>
    </w:p>
    <w:p w14:paraId="669E6AF6" w14:textId="2ED8B863" w:rsidR="00D733E1" w:rsidRDefault="00D733E1" w:rsidP="00D733E1">
      <w:pPr>
        <w:pStyle w:val="BodyText"/>
      </w:pPr>
      <w:r>
        <w:t xml:space="preserve">Some impacted customers could claim compensation under the builder’s Domestic Building Insurance, but many had no insurance cover due to Porter Davis Homes’ failure to take out the required insurance. In April 2023, the Victorian Government announced it would support these uninsured customers, with refunds up to the legal maximum deposit payment under the </w:t>
      </w:r>
      <w:r w:rsidRPr="008A66FE">
        <w:rPr>
          <w:rStyle w:val="Emphasis"/>
        </w:rPr>
        <w:t>Domestic Building Contracts Act 1995</w:t>
      </w:r>
      <w:r>
        <w:t>. The Government also subsequently expanded the same support to customers of other builders who went into liquidation during 2022–23.</w:t>
      </w:r>
    </w:p>
    <w:p w14:paraId="667A42CC" w14:textId="6DD1395A" w:rsidR="00D733E1" w:rsidRDefault="00D733E1" w:rsidP="00D733E1">
      <w:pPr>
        <w:pStyle w:val="BodyText"/>
      </w:pPr>
      <w:r>
        <w:t>Recognising that customers needed to navigate consumer processes at a very stressful time, CAV</w:t>
      </w:r>
      <w:r w:rsidR="008B53D8">
        <w:t> </w:t>
      </w:r>
      <w:r>
        <w:t>undertook activities to inform consumers about their rights and where to go with any questions. Information was provided via CAV’s Building Information phone line, dedicated website content and social media. CAV website content on Domestic Building Insurance and insolvency was reviewed to ensure the content was easy to read and understand. Collaboration between CAV, the VBA and the Victorian Managed Insurance Authority helped to ensure messaging was consistent, accurate, and reaching the right people. This included a co-branded VBA-CAV email that was sent to builders to reinforce their responsibilities in relation to Domestic Building Insurance. In 2022–23, CAV recorded 12,768 contacts relating to building matters, compared to 11,070 for the full 2021–22 financial year. These activities reflect CAV’s role in supporting the Victorian community through this challenging period.</w:t>
      </w:r>
    </w:p>
    <w:p w14:paraId="7B61675E" w14:textId="4CB371F9" w:rsidR="00D733E1" w:rsidRDefault="00D733E1" w:rsidP="00D733E1">
      <w:pPr>
        <w:pStyle w:val="BodyText"/>
      </w:pPr>
      <w:r>
        <w:t xml:space="preserve">CAV monitors and enforces compliance with both the </w:t>
      </w:r>
      <w:r w:rsidRPr="008A66FE">
        <w:rPr>
          <w:rStyle w:val="Emphasis"/>
        </w:rPr>
        <w:t>Domestic Building Contracts Act 1995</w:t>
      </w:r>
      <w:r>
        <w:t xml:space="preserve"> and the Australian Consumer Law, and is continuing to investigate the circumstances of this builder collapse. The Victorian Government has also committed to a review of the Domestic Building Contracts Act, to modernise it and appropriately balance industry and consumer interests. This review will complement the Building System Review, which is reviewing the Building Act 1993.</w:t>
      </w:r>
    </w:p>
    <w:p w14:paraId="62C78A7D" w14:textId="18C2FA07" w:rsidR="00D733E1" w:rsidRDefault="00D733E1" w:rsidP="00C74C37">
      <w:pPr>
        <w:pStyle w:val="Heading4"/>
      </w:pPr>
      <w:r>
        <w:t>Sex work reforms</w:t>
      </w:r>
    </w:p>
    <w:p w14:paraId="1C18DBAB" w14:textId="38E433BD" w:rsidR="00D733E1" w:rsidRDefault="00D733E1" w:rsidP="00D733E1">
      <w:pPr>
        <w:pStyle w:val="BodyText"/>
      </w:pPr>
      <w:r>
        <w:t xml:space="preserve">The Victorian Parliament passed the </w:t>
      </w:r>
      <w:r w:rsidRPr="008A66FE">
        <w:rPr>
          <w:rStyle w:val="Emphasis"/>
        </w:rPr>
        <w:t>Sex Work Decriminalisation Act 2022</w:t>
      </w:r>
      <w:r>
        <w:t xml:space="preserve"> (the Act) on 22 February 2022. Decriminalisation maximises sex workers’ safety, health, and human rights, to ensure that sex work is safe work. Reforms began in two stages, to allow time for the transition to a different regulation model.</w:t>
      </w:r>
    </w:p>
    <w:p w14:paraId="00AFE513" w14:textId="56F7E6AB" w:rsidR="00D733E1" w:rsidRDefault="00D733E1" w:rsidP="00D733E1">
      <w:pPr>
        <w:pStyle w:val="BodyText"/>
      </w:pPr>
      <w:r>
        <w:t>Stage 1 began on 10 May 2022 and included:</w:t>
      </w:r>
    </w:p>
    <w:p w14:paraId="76F3B4FC" w14:textId="0A6CE02E" w:rsidR="00D733E1" w:rsidRDefault="00D733E1" w:rsidP="00D261F8">
      <w:pPr>
        <w:pStyle w:val="ListBullet"/>
      </w:pPr>
      <w:r>
        <w:t>decriminalisation of street-based sex work in most locations</w:t>
      </w:r>
    </w:p>
    <w:p w14:paraId="7E731264" w14:textId="21B1B397" w:rsidR="00D733E1" w:rsidRDefault="00D733E1" w:rsidP="00D261F8">
      <w:pPr>
        <w:pStyle w:val="ListBullet"/>
      </w:pPr>
      <w:r>
        <w:t>repeal of the requirement for independent sex workers to register</w:t>
      </w:r>
    </w:p>
    <w:p w14:paraId="1F9592D2" w14:textId="01CE6450" w:rsidR="00D733E1" w:rsidRDefault="00D733E1" w:rsidP="00D261F8">
      <w:pPr>
        <w:pStyle w:val="ListBullet"/>
      </w:pPr>
      <w:r>
        <w:t xml:space="preserve">repeal of public health offences under the </w:t>
      </w:r>
      <w:r w:rsidRPr="008A66FE">
        <w:rPr>
          <w:rStyle w:val="Emphasis"/>
        </w:rPr>
        <w:t>Sex Work Act 1994</w:t>
      </w:r>
    </w:p>
    <w:p w14:paraId="482E4BF2" w14:textId="502449F5" w:rsidR="00D733E1" w:rsidRDefault="00D733E1" w:rsidP="00D261F8">
      <w:pPr>
        <w:pStyle w:val="ListBullet"/>
      </w:pPr>
      <w:r>
        <w:t>repeal of industry-specific advertising controls</w:t>
      </w:r>
    </w:p>
    <w:p w14:paraId="33244B98" w14:textId="7D90527A" w:rsidR="00D733E1" w:rsidRDefault="00D733E1" w:rsidP="00D261F8">
      <w:pPr>
        <w:pStyle w:val="ListBullet"/>
      </w:pPr>
      <w:r>
        <w:t xml:space="preserve">new anti-discrimination protections in the </w:t>
      </w:r>
      <w:r w:rsidRPr="008A66FE">
        <w:rPr>
          <w:rStyle w:val="Emphasis"/>
        </w:rPr>
        <w:t>Equal Opportunity Act 2010</w:t>
      </w:r>
      <w:r>
        <w:t>.</w:t>
      </w:r>
    </w:p>
    <w:p w14:paraId="1274E767" w14:textId="58560784" w:rsidR="00D733E1" w:rsidRDefault="00D733E1" w:rsidP="00D733E1">
      <w:pPr>
        <w:pStyle w:val="BodyText"/>
      </w:pPr>
      <w:r>
        <w:t>Stage 2 will begin on 1 December 2023 and include:</w:t>
      </w:r>
    </w:p>
    <w:p w14:paraId="29DE2473" w14:textId="4CF1DD3E" w:rsidR="00D733E1" w:rsidRDefault="00D733E1" w:rsidP="00D261F8">
      <w:pPr>
        <w:pStyle w:val="ListBullet"/>
      </w:pPr>
      <w:r>
        <w:t xml:space="preserve">repeal of the </w:t>
      </w:r>
      <w:r w:rsidRPr="008A66FE">
        <w:rPr>
          <w:rStyle w:val="Emphasis"/>
        </w:rPr>
        <w:t>Sex Work Act 1994</w:t>
      </w:r>
      <w:r>
        <w:t xml:space="preserve"> and transition to regulating the sex work industry through existing</w:t>
      </w:r>
      <w:r w:rsidR="008B53D8">
        <w:t> </w:t>
      </w:r>
      <w:r>
        <w:t>mainstream government regulators</w:t>
      </w:r>
    </w:p>
    <w:p w14:paraId="4A2914F0" w14:textId="67451B9C" w:rsidR="00D733E1" w:rsidRDefault="00D733E1" w:rsidP="00D261F8">
      <w:pPr>
        <w:pStyle w:val="ListBullet"/>
      </w:pPr>
      <w:r>
        <w:t>re-enactment of offences relating to children and coercion in other legislation, to ensure their continued operation</w:t>
      </w:r>
    </w:p>
    <w:p w14:paraId="251507C4" w14:textId="14036327" w:rsidR="00D733E1" w:rsidRDefault="00D733E1" w:rsidP="00D261F8">
      <w:pPr>
        <w:pStyle w:val="ListBullet"/>
      </w:pPr>
      <w:r>
        <w:t>establishment of appropriate liquor controls for the sex work industry</w:t>
      </w:r>
    </w:p>
    <w:p w14:paraId="32D7B61B" w14:textId="26780844" w:rsidR="00D733E1" w:rsidRDefault="00D733E1" w:rsidP="00D261F8">
      <w:pPr>
        <w:pStyle w:val="ListBullet"/>
      </w:pPr>
      <w:r>
        <w:t xml:space="preserve">amendments to the </w:t>
      </w:r>
      <w:r w:rsidRPr="008A66FE">
        <w:rPr>
          <w:rStyle w:val="Emphasis"/>
        </w:rPr>
        <w:t>Public Health and Wellbeing Act 2008</w:t>
      </w:r>
    </w:p>
    <w:p w14:paraId="187203BA" w14:textId="00CB6C38" w:rsidR="00D733E1" w:rsidRDefault="00D733E1" w:rsidP="00D261F8">
      <w:pPr>
        <w:pStyle w:val="ListBullet"/>
      </w:pPr>
      <w:r>
        <w:t>amendment of planning controls applicable to the sex work industry.</w:t>
      </w:r>
    </w:p>
    <w:p w14:paraId="6905A8D8" w14:textId="1560E69E" w:rsidR="00D733E1" w:rsidRDefault="00D733E1" w:rsidP="00D733E1">
      <w:pPr>
        <w:pStyle w:val="BodyText"/>
      </w:pPr>
      <w:r>
        <w:t>When all the reforms are implemented, existing specialist responsible agencies such as WorkSafe, the</w:t>
      </w:r>
      <w:r w:rsidR="008B53D8">
        <w:t> </w:t>
      </w:r>
      <w:r>
        <w:t>Department of Health and local governments will regulate sex work.</w:t>
      </w:r>
    </w:p>
    <w:p w14:paraId="192B621A" w14:textId="17EF4193" w:rsidR="00D733E1" w:rsidRDefault="00D733E1" w:rsidP="00D733E1">
      <w:pPr>
        <w:pStyle w:val="BodyText"/>
      </w:pPr>
      <w:r>
        <w:t>The Business Licensing Authority stopped registering sex workers on 10 May 2022 and will stop licensing sex work businesses on 1 December 2023. It will not have any regulatory role in the sex</w:t>
      </w:r>
      <w:r w:rsidR="008B53D8">
        <w:t> </w:t>
      </w:r>
      <w:r>
        <w:t>work industry following decriminalisation. While CAV will stop enforcing licensing for sex work businesses from 1 December 2023, we will still enforce the Australian Consumer Law in the sex work industry, as we do in all industries.</w:t>
      </w:r>
    </w:p>
    <w:p w14:paraId="305F4E0C" w14:textId="0E874D6B" w:rsidR="00D733E1" w:rsidRDefault="00D733E1" w:rsidP="00C74C37">
      <w:pPr>
        <w:pStyle w:val="Heading4"/>
      </w:pPr>
      <w:r>
        <w:t>National Fundraising Principles</w:t>
      </w:r>
    </w:p>
    <w:p w14:paraId="5341EA97" w14:textId="508B83C8" w:rsidR="00D733E1" w:rsidRDefault="00D733E1" w:rsidP="00D733E1">
      <w:pPr>
        <w:pStyle w:val="BodyText"/>
      </w:pPr>
      <w:r>
        <w:t>The National Fundraising Principles are designed to replace existing prescriptive, overlapping and outdated laws and regulations. The Principles streamline state and territory requirements on charitable fundraiser conduct and will give charities and donors a clear understanding of appropriate conduct.</w:t>
      </w:r>
    </w:p>
    <w:p w14:paraId="22D18098" w14:textId="583E34A2" w:rsidR="00D733E1" w:rsidRDefault="00D733E1" w:rsidP="00D733E1">
      <w:pPr>
        <w:pStyle w:val="BodyText"/>
      </w:pPr>
      <w:r>
        <w:t>In November 2021, the Council on Federal Financial Relations (CFFR) asked the National Working Group on Reform of State and Territory Fundraising Laws to propose a national model fundraising framework for charitable fundraising.</w:t>
      </w:r>
    </w:p>
    <w:p w14:paraId="5A3F039C" w14:textId="25595948" w:rsidR="00D733E1" w:rsidRDefault="00D733E1" w:rsidP="00D733E1">
      <w:pPr>
        <w:pStyle w:val="BodyText"/>
      </w:pPr>
      <w:r>
        <w:t>The working group was co-chaired by the Victorian and Commonwealth Governments and comprised officials from all states and territories, except the Northern Territory, together with representation from the Australian Charities and Not for Profits Commission. The working group developed a set of proposed National Fundraising Principles which were subsequently endorsed by CFFR in February 2023, for adoption by all participating jurisdictions. This major step in fundraising red tape reform will save Australia’s charity sector millions of dollars each year, which can be used instead to help more Victorians.</w:t>
      </w:r>
    </w:p>
    <w:p w14:paraId="3E7A60F2" w14:textId="2DDA39B4" w:rsidR="00D733E1" w:rsidRDefault="00D733E1" w:rsidP="00163339">
      <w:pPr>
        <w:pStyle w:val="Caption"/>
      </w:pPr>
      <w:r>
        <w:t>Table: Compliance, licensing and registration activity undertaken</w:t>
      </w:r>
    </w:p>
    <w:tbl>
      <w:tblPr>
        <w:tblStyle w:val="TableGrid"/>
        <w:tblW w:w="9072" w:type="dxa"/>
        <w:tblLayout w:type="fixed"/>
        <w:tblLook w:val="06A0" w:firstRow="1" w:lastRow="0" w:firstColumn="1" w:lastColumn="0" w:noHBand="1" w:noVBand="1"/>
      </w:tblPr>
      <w:tblGrid>
        <w:gridCol w:w="6009"/>
        <w:gridCol w:w="1021"/>
        <w:gridCol w:w="1021"/>
        <w:gridCol w:w="1021"/>
      </w:tblGrid>
      <w:tr w:rsidR="00D733E1" w14:paraId="630FDFE6" w14:textId="77777777" w:rsidTr="006674B6">
        <w:trPr>
          <w:cnfStyle w:val="100000000000" w:firstRow="1" w:lastRow="0" w:firstColumn="0" w:lastColumn="0" w:oddVBand="0" w:evenVBand="0" w:oddHBand="0" w:evenHBand="0" w:firstRowFirstColumn="0" w:firstRowLastColumn="0" w:lastRowFirstColumn="0" w:lastRowLastColumn="0"/>
          <w:trHeight w:val="289"/>
          <w:tblHeader/>
        </w:trPr>
        <w:tc>
          <w:tcPr>
            <w:tcW w:w="6010" w:type="dxa"/>
          </w:tcPr>
          <w:p w14:paraId="77E6059E" w14:textId="77777777" w:rsidR="00D733E1" w:rsidRDefault="00D733E1" w:rsidP="00D733E1">
            <w:pPr>
              <w:pStyle w:val="TableColHead"/>
            </w:pPr>
          </w:p>
        </w:tc>
        <w:tc>
          <w:tcPr>
            <w:tcW w:w="1021" w:type="dxa"/>
          </w:tcPr>
          <w:p w14:paraId="4E727935" w14:textId="77777777" w:rsidR="00D733E1" w:rsidRDefault="00D733E1" w:rsidP="00163339">
            <w:pPr>
              <w:pStyle w:val="TableColHeadRight"/>
            </w:pPr>
            <w:r>
              <w:t>2020–21</w:t>
            </w:r>
          </w:p>
        </w:tc>
        <w:tc>
          <w:tcPr>
            <w:tcW w:w="1021" w:type="dxa"/>
          </w:tcPr>
          <w:p w14:paraId="18A0B502" w14:textId="77777777" w:rsidR="00D733E1" w:rsidRDefault="00D733E1" w:rsidP="00163339">
            <w:pPr>
              <w:pStyle w:val="TableColHeadRight"/>
            </w:pPr>
            <w:r>
              <w:t>2021–22</w:t>
            </w:r>
          </w:p>
        </w:tc>
        <w:tc>
          <w:tcPr>
            <w:tcW w:w="1021" w:type="dxa"/>
          </w:tcPr>
          <w:p w14:paraId="684CBD87" w14:textId="77777777" w:rsidR="00D733E1" w:rsidRDefault="00D733E1" w:rsidP="00163339">
            <w:pPr>
              <w:pStyle w:val="TableColHeadRight"/>
            </w:pPr>
            <w:r>
              <w:t>2022–23</w:t>
            </w:r>
          </w:p>
        </w:tc>
      </w:tr>
      <w:tr w:rsidR="00D733E1" w14:paraId="62DE47AE" w14:textId="77777777" w:rsidTr="006674B6">
        <w:trPr>
          <w:trHeight w:val="283"/>
        </w:trPr>
        <w:tc>
          <w:tcPr>
            <w:tcW w:w="6010" w:type="dxa"/>
            <w:gridSpan w:val="4"/>
            <w:shd w:val="clear" w:color="auto" w:fill="BCCAE5"/>
          </w:tcPr>
          <w:p w14:paraId="730D5E0F" w14:textId="77777777" w:rsidR="00D733E1" w:rsidRDefault="00D733E1" w:rsidP="00163339">
            <w:pPr>
              <w:pStyle w:val="TableTextBold"/>
            </w:pPr>
            <w:r>
              <w:t>Compliance</w:t>
            </w:r>
          </w:p>
        </w:tc>
      </w:tr>
      <w:tr w:rsidR="00D733E1" w14:paraId="1D43E147" w14:textId="77777777" w:rsidTr="006674B6">
        <w:trPr>
          <w:trHeight w:val="283"/>
        </w:trPr>
        <w:tc>
          <w:tcPr>
            <w:tcW w:w="6010" w:type="dxa"/>
          </w:tcPr>
          <w:p w14:paraId="0470BD26" w14:textId="77777777" w:rsidR="00D733E1" w:rsidRDefault="00D733E1" w:rsidP="00163339">
            <w:pPr>
              <w:pStyle w:val="TableText"/>
            </w:pPr>
            <w:r>
              <w:t>Inspections</w:t>
            </w:r>
          </w:p>
        </w:tc>
        <w:tc>
          <w:tcPr>
            <w:tcW w:w="1021" w:type="dxa"/>
          </w:tcPr>
          <w:p w14:paraId="74151399" w14:textId="77777777" w:rsidR="00D733E1" w:rsidRDefault="00D733E1" w:rsidP="00163339">
            <w:pPr>
              <w:pStyle w:val="TableTextRight"/>
            </w:pPr>
            <w:r>
              <w:t>567</w:t>
            </w:r>
          </w:p>
        </w:tc>
        <w:tc>
          <w:tcPr>
            <w:tcW w:w="1021" w:type="dxa"/>
          </w:tcPr>
          <w:p w14:paraId="679DC8A5" w14:textId="77777777" w:rsidR="00D733E1" w:rsidRDefault="00D733E1" w:rsidP="00163339">
            <w:pPr>
              <w:pStyle w:val="TableTextRight"/>
            </w:pPr>
            <w:r>
              <w:t>1,009</w:t>
            </w:r>
          </w:p>
        </w:tc>
        <w:tc>
          <w:tcPr>
            <w:tcW w:w="1021" w:type="dxa"/>
          </w:tcPr>
          <w:p w14:paraId="2B2749B8" w14:textId="77777777" w:rsidR="00D733E1" w:rsidRDefault="00D733E1" w:rsidP="00163339">
            <w:pPr>
              <w:pStyle w:val="TableTextRight"/>
            </w:pPr>
            <w:r>
              <w:t>415</w:t>
            </w:r>
          </w:p>
        </w:tc>
      </w:tr>
      <w:tr w:rsidR="00D733E1" w14:paraId="1F35FB82" w14:textId="77777777" w:rsidTr="006674B6">
        <w:trPr>
          <w:trHeight w:val="283"/>
        </w:trPr>
        <w:tc>
          <w:tcPr>
            <w:tcW w:w="6010" w:type="dxa"/>
          </w:tcPr>
          <w:p w14:paraId="50261491" w14:textId="77777777" w:rsidR="00D733E1" w:rsidRDefault="00D733E1" w:rsidP="00163339">
            <w:pPr>
              <w:pStyle w:val="TableText"/>
            </w:pPr>
            <w:r>
              <w:t>Investigations</w:t>
            </w:r>
          </w:p>
        </w:tc>
        <w:tc>
          <w:tcPr>
            <w:tcW w:w="1021" w:type="dxa"/>
          </w:tcPr>
          <w:p w14:paraId="5FEFEC38" w14:textId="77777777" w:rsidR="00D733E1" w:rsidRDefault="00D733E1" w:rsidP="00163339">
            <w:pPr>
              <w:pStyle w:val="TableTextRight"/>
            </w:pPr>
            <w:r>
              <w:t>185</w:t>
            </w:r>
          </w:p>
        </w:tc>
        <w:tc>
          <w:tcPr>
            <w:tcW w:w="1021" w:type="dxa"/>
          </w:tcPr>
          <w:p w14:paraId="12460F9E" w14:textId="77777777" w:rsidR="00D733E1" w:rsidRDefault="00D733E1" w:rsidP="00163339">
            <w:pPr>
              <w:pStyle w:val="TableTextRight"/>
            </w:pPr>
            <w:r>
              <w:t>42</w:t>
            </w:r>
          </w:p>
        </w:tc>
        <w:tc>
          <w:tcPr>
            <w:tcW w:w="1021" w:type="dxa"/>
          </w:tcPr>
          <w:p w14:paraId="24D1C9C3" w14:textId="77777777" w:rsidR="00D733E1" w:rsidRDefault="00D733E1" w:rsidP="00163339">
            <w:pPr>
              <w:pStyle w:val="TableTextRight"/>
            </w:pPr>
            <w:r>
              <w:t>29</w:t>
            </w:r>
          </w:p>
        </w:tc>
      </w:tr>
      <w:tr w:rsidR="00D733E1" w14:paraId="5A2BCE29" w14:textId="77777777" w:rsidTr="006674B6">
        <w:trPr>
          <w:trHeight w:val="283"/>
        </w:trPr>
        <w:tc>
          <w:tcPr>
            <w:tcW w:w="6010" w:type="dxa"/>
          </w:tcPr>
          <w:p w14:paraId="74FE7082" w14:textId="1B26251A" w:rsidR="00D733E1" w:rsidRDefault="00D733E1" w:rsidP="00163339">
            <w:pPr>
              <w:pStyle w:val="TableText"/>
            </w:pPr>
            <w:r>
              <w:t>Parties to criminal proceedings, appeals and re-hearings</w:t>
            </w:r>
          </w:p>
        </w:tc>
        <w:tc>
          <w:tcPr>
            <w:tcW w:w="1021" w:type="dxa"/>
          </w:tcPr>
          <w:p w14:paraId="602F139A" w14:textId="77777777" w:rsidR="00D733E1" w:rsidRDefault="00D733E1" w:rsidP="00163339">
            <w:pPr>
              <w:pStyle w:val="TableTextRight"/>
            </w:pPr>
            <w:r>
              <w:t>2</w:t>
            </w:r>
          </w:p>
        </w:tc>
        <w:tc>
          <w:tcPr>
            <w:tcW w:w="1021" w:type="dxa"/>
          </w:tcPr>
          <w:p w14:paraId="090FD5D6" w14:textId="77777777" w:rsidR="00D733E1" w:rsidRDefault="00D733E1" w:rsidP="00163339">
            <w:pPr>
              <w:pStyle w:val="TableTextRight"/>
            </w:pPr>
            <w:r>
              <w:t>8</w:t>
            </w:r>
          </w:p>
        </w:tc>
        <w:tc>
          <w:tcPr>
            <w:tcW w:w="1021" w:type="dxa"/>
          </w:tcPr>
          <w:p w14:paraId="3F8B32E2" w14:textId="77777777" w:rsidR="00D733E1" w:rsidRDefault="00D733E1" w:rsidP="00163339">
            <w:pPr>
              <w:pStyle w:val="TableTextRight"/>
            </w:pPr>
            <w:r>
              <w:t>4</w:t>
            </w:r>
          </w:p>
        </w:tc>
      </w:tr>
      <w:tr w:rsidR="00D733E1" w14:paraId="2B421DD2" w14:textId="77777777" w:rsidTr="006674B6">
        <w:trPr>
          <w:trHeight w:val="283"/>
        </w:trPr>
        <w:tc>
          <w:tcPr>
            <w:tcW w:w="6010" w:type="dxa"/>
          </w:tcPr>
          <w:p w14:paraId="5D90CE5D" w14:textId="7AFF2D3C" w:rsidR="00D733E1" w:rsidRDefault="00D733E1" w:rsidP="00163339">
            <w:pPr>
              <w:pStyle w:val="TableText"/>
            </w:pPr>
            <w:r>
              <w:t>Parties to civil proceedings</w:t>
            </w:r>
          </w:p>
        </w:tc>
        <w:tc>
          <w:tcPr>
            <w:tcW w:w="1021" w:type="dxa"/>
          </w:tcPr>
          <w:p w14:paraId="1749ACF7" w14:textId="77777777" w:rsidR="00D733E1" w:rsidRDefault="00D733E1" w:rsidP="00163339">
            <w:pPr>
              <w:pStyle w:val="TableTextRight"/>
            </w:pPr>
            <w:r>
              <w:t>9</w:t>
            </w:r>
          </w:p>
        </w:tc>
        <w:tc>
          <w:tcPr>
            <w:tcW w:w="1021" w:type="dxa"/>
          </w:tcPr>
          <w:p w14:paraId="007D37C8" w14:textId="77777777" w:rsidR="00D733E1" w:rsidRDefault="00D733E1" w:rsidP="00163339">
            <w:pPr>
              <w:pStyle w:val="TableTextRight"/>
            </w:pPr>
            <w:r>
              <w:t>5</w:t>
            </w:r>
          </w:p>
        </w:tc>
        <w:tc>
          <w:tcPr>
            <w:tcW w:w="1021" w:type="dxa"/>
          </w:tcPr>
          <w:p w14:paraId="5ED1A209" w14:textId="77777777" w:rsidR="00D733E1" w:rsidRDefault="00D733E1" w:rsidP="00163339">
            <w:pPr>
              <w:pStyle w:val="TableTextRight"/>
            </w:pPr>
            <w:r>
              <w:t>5</w:t>
            </w:r>
          </w:p>
        </w:tc>
      </w:tr>
      <w:tr w:rsidR="00D733E1" w14:paraId="775FA784" w14:textId="77777777" w:rsidTr="006674B6">
        <w:trPr>
          <w:trHeight w:val="283"/>
        </w:trPr>
        <w:tc>
          <w:tcPr>
            <w:tcW w:w="6010" w:type="dxa"/>
          </w:tcPr>
          <w:p w14:paraId="227ECB78" w14:textId="30B7C240" w:rsidR="00D733E1" w:rsidRDefault="00D733E1" w:rsidP="00163339">
            <w:pPr>
              <w:pStyle w:val="TableText"/>
            </w:pPr>
            <w:r>
              <w:t>Parties signed to enforceable undertakings</w:t>
            </w:r>
          </w:p>
        </w:tc>
        <w:tc>
          <w:tcPr>
            <w:tcW w:w="1021" w:type="dxa"/>
          </w:tcPr>
          <w:p w14:paraId="75508DB0" w14:textId="77777777" w:rsidR="00D733E1" w:rsidRDefault="00D733E1" w:rsidP="00163339">
            <w:pPr>
              <w:pStyle w:val="TableTextRight"/>
            </w:pPr>
            <w:r>
              <w:t>0</w:t>
            </w:r>
          </w:p>
        </w:tc>
        <w:tc>
          <w:tcPr>
            <w:tcW w:w="1021" w:type="dxa"/>
          </w:tcPr>
          <w:p w14:paraId="2E5883A3" w14:textId="77777777" w:rsidR="00D733E1" w:rsidRDefault="00D733E1" w:rsidP="00163339">
            <w:pPr>
              <w:pStyle w:val="TableTextRight"/>
            </w:pPr>
            <w:r>
              <w:t>2</w:t>
            </w:r>
          </w:p>
        </w:tc>
        <w:tc>
          <w:tcPr>
            <w:tcW w:w="1021" w:type="dxa"/>
          </w:tcPr>
          <w:p w14:paraId="14BED0DF" w14:textId="77777777" w:rsidR="00D733E1" w:rsidRDefault="00D733E1" w:rsidP="00163339">
            <w:pPr>
              <w:pStyle w:val="TableTextRight"/>
            </w:pPr>
            <w:r>
              <w:t>0</w:t>
            </w:r>
          </w:p>
        </w:tc>
      </w:tr>
      <w:tr w:rsidR="00D733E1" w14:paraId="31304CA2" w14:textId="77777777" w:rsidTr="006674B6">
        <w:trPr>
          <w:trHeight w:val="60"/>
        </w:trPr>
        <w:tc>
          <w:tcPr>
            <w:tcW w:w="6010" w:type="dxa"/>
          </w:tcPr>
          <w:p w14:paraId="2BAA6F1C" w14:textId="1643D5DC" w:rsidR="00D733E1" w:rsidRDefault="00D733E1" w:rsidP="00163339">
            <w:pPr>
              <w:pStyle w:val="TableText"/>
            </w:pPr>
            <w:r>
              <w:t>Official warnings and infringement notices issue</w:t>
            </w:r>
            <w:r w:rsidR="00562C43">
              <w:t>d</w:t>
            </w:r>
          </w:p>
        </w:tc>
        <w:tc>
          <w:tcPr>
            <w:tcW w:w="1021" w:type="dxa"/>
          </w:tcPr>
          <w:p w14:paraId="44755E43" w14:textId="77777777" w:rsidR="00D733E1" w:rsidRDefault="00D733E1" w:rsidP="00163339">
            <w:pPr>
              <w:pStyle w:val="TableTextRight"/>
            </w:pPr>
            <w:r>
              <w:t>510</w:t>
            </w:r>
          </w:p>
        </w:tc>
        <w:tc>
          <w:tcPr>
            <w:tcW w:w="1021" w:type="dxa"/>
          </w:tcPr>
          <w:p w14:paraId="65AE090E" w14:textId="77777777" w:rsidR="00D733E1" w:rsidRDefault="00D733E1" w:rsidP="00163339">
            <w:pPr>
              <w:pStyle w:val="TableTextRight"/>
            </w:pPr>
            <w:r>
              <w:t>603</w:t>
            </w:r>
          </w:p>
        </w:tc>
        <w:tc>
          <w:tcPr>
            <w:tcW w:w="1021" w:type="dxa"/>
          </w:tcPr>
          <w:p w14:paraId="609E3A52" w14:textId="77777777" w:rsidR="00D733E1" w:rsidRDefault="00D733E1" w:rsidP="00163339">
            <w:pPr>
              <w:pStyle w:val="TableTextRight"/>
            </w:pPr>
            <w:r>
              <w:t>434</w:t>
            </w:r>
          </w:p>
        </w:tc>
      </w:tr>
      <w:tr w:rsidR="00D733E1" w14:paraId="72D681B7" w14:textId="77777777" w:rsidTr="006674B6">
        <w:trPr>
          <w:trHeight w:val="60"/>
        </w:trPr>
        <w:tc>
          <w:tcPr>
            <w:tcW w:w="6010" w:type="dxa"/>
            <w:gridSpan w:val="4"/>
            <w:shd w:val="clear" w:color="auto" w:fill="BCCAE5"/>
          </w:tcPr>
          <w:p w14:paraId="24F8AB76" w14:textId="7ADF7FB2" w:rsidR="00D733E1" w:rsidRDefault="00D733E1" w:rsidP="00163339">
            <w:pPr>
              <w:pStyle w:val="TableTextBold"/>
            </w:pPr>
            <w:r>
              <w:t>Registration and licensing</w:t>
            </w:r>
          </w:p>
        </w:tc>
      </w:tr>
      <w:tr w:rsidR="00D733E1" w14:paraId="6409F248" w14:textId="77777777" w:rsidTr="006674B6">
        <w:trPr>
          <w:trHeight w:val="60"/>
        </w:trPr>
        <w:tc>
          <w:tcPr>
            <w:tcW w:w="6010" w:type="dxa"/>
          </w:tcPr>
          <w:p w14:paraId="2A3B3DFF" w14:textId="493D26FF" w:rsidR="00D733E1" w:rsidRDefault="00D733E1" w:rsidP="00163339">
            <w:pPr>
              <w:pStyle w:val="TableText"/>
            </w:pPr>
            <w:r>
              <w:t>Annual returns, updates or cancellations processed for incorporated associations, fundraisers, and co-operatives</w:t>
            </w:r>
          </w:p>
        </w:tc>
        <w:tc>
          <w:tcPr>
            <w:tcW w:w="1021" w:type="dxa"/>
          </w:tcPr>
          <w:p w14:paraId="3DC6247F" w14:textId="77777777" w:rsidR="00D733E1" w:rsidRDefault="00D733E1" w:rsidP="00163339">
            <w:pPr>
              <w:pStyle w:val="TableTextRight"/>
            </w:pPr>
            <w:r>
              <w:t>55,209</w:t>
            </w:r>
          </w:p>
        </w:tc>
        <w:tc>
          <w:tcPr>
            <w:tcW w:w="1021" w:type="dxa"/>
          </w:tcPr>
          <w:p w14:paraId="7572F333" w14:textId="77777777" w:rsidR="00D733E1" w:rsidRDefault="00D733E1" w:rsidP="00163339">
            <w:pPr>
              <w:pStyle w:val="TableTextRight"/>
            </w:pPr>
            <w:r>
              <w:t>49,108</w:t>
            </w:r>
          </w:p>
        </w:tc>
        <w:tc>
          <w:tcPr>
            <w:tcW w:w="1021" w:type="dxa"/>
          </w:tcPr>
          <w:p w14:paraId="55E8EE47" w14:textId="77777777" w:rsidR="00D733E1" w:rsidRDefault="00D733E1" w:rsidP="00163339">
            <w:pPr>
              <w:pStyle w:val="TableTextRight"/>
            </w:pPr>
            <w:r>
              <w:t>50,532</w:t>
            </w:r>
          </w:p>
        </w:tc>
      </w:tr>
      <w:tr w:rsidR="00D733E1" w14:paraId="5AAF2F8E" w14:textId="77777777" w:rsidTr="006674B6">
        <w:trPr>
          <w:trHeight w:val="60"/>
        </w:trPr>
        <w:tc>
          <w:tcPr>
            <w:tcW w:w="6010" w:type="dxa"/>
          </w:tcPr>
          <w:p w14:paraId="6CA0A1D9" w14:textId="34360100" w:rsidR="00D733E1" w:rsidRDefault="00D733E1" w:rsidP="00163339">
            <w:pPr>
              <w:pStyle w:val="TableText"/>
            </w:pPr>
            <w:r>
              <w:t>Total registration and licensing transactions</w:t>
            </w:r>
          </w:p>
        </w:tc>
        <w:tc>
          <w:tcPr>
            <w:tcW w:w="1021" w:type="dxa"/>
          </w:tcPr>
          <w:p w14:paraId="696DFF09" w14:textId="77777777" w:rsidR="00D733E1" w:rsidRDefault="00D733E1" w:rsidP="00163339">
            <w:pPr>
              <w:pStyle w:val="TableTextRight"/>
            </w:pPr>
            <w:r>
              <w:t>95,096</w:t>
            </w:r>
          </w:p>
        </w:tc>
        <w:tc>
          <w:tcPr>
            <w:tcW w:w="1021" w:type="dxa"/>
          </w:tcPr>
          <w:p w14:paraId="3BDDEA31" w14:textId="77777777" w:rsidR="00D733E1" w:rsidRDefault="00D733E1" w:rsidP="00163339">
            <w:pPr>
              <w:pStyle w:val="TableTextRight"/>
            </w:pPr>
            <w:r>
              <w:t>100,711</w:t>
            </w:r>
          </w:p>
        </w:tc>
        <w:tc>
          <w:tcPr>
            <w:tcW w:w="1021" w:type="dxa"/>
          </w:tcPr>
          <w:p w14:paraId="4B6E1F2F" w14:textId="77777777" w:rsidR="00D733E1" w:rsidRDefault="00D733E1" w:rsidP="00163339">
            <w:pPr>
              <w:pStyle w:val="TableTextRight"/>
            </w:pPr>
            <w:r>
              <w:t>106,065</w:t>
            </w:r>
          </w:p>
        </w:tc>
      </w:tr>
    </w:tbl>
    <w:p w14:paraId="5100BEA4" w14:textId="77777777" w:rsidR="00DF73E7" w:rsidRPr="00DF73E7" w:rsidRDefault="00DF73E7" w:rsidP="00DF73E7">
      <w:pPr>
        <w:pStyle w:val="BodyText"/>
      </w:pPr>
      <w:r w:rsidRPr="00DF73E7">
        <w:br w:type="page"/>
      </w:r>
    </w:p>
    <w:p w14:paraId="2376D673" w14:textId="7F03D49E" w:rsidR="00D733E1" w:rsidRDefault="00D733E1" w:rsidP="00163339">
      <w:pPr>
        <w:pStyle w:val="Caption"/>
      </w:pPr>
      <w:r>
        <w:t>Table: Registers we administer</w:t>
      </w:r>
    </w:p>
    <w:tbl>
      <w:tblPr>
        <w:tblStyle w:val="TableGrid"/>
        <w:tblW w:w="0" w:type="auto"/>
        <w:tblLayout w:type="fixed"/>
        <w:tblLook w:val="06A0" w:firstRow="1" w:lastRow="0" w:firstColumn="1" w:lastColumn="0" w:noHBand="1" w:noVBand="1"/>
      </w:tblPr>
      <w:tblGrid>
        <w:gridCol w:w="2948"/>
        <w:gridCol w:w="1021"/>
        <w:gridCol w:w="1021"/>
        <w:gridCol w:w="1021"/>
        <w:gridCol w:w="1021"/>
        <w:gridCol w:w="1021"/>
        <w:gridCol w:w="1021"/>
      </w:tblGrid>
      <w:tr w:rsidR="00D733E1" w14:paraId="16329DDB" w14:textId="77777777" w:rsidTr="006674B6">
        <w:trPr>
          <w:cnfStyle w:val="100000000000" w:firstRow="1" w:lastRow="0" w:firstColumn="0" w:lastColumn="0" w:oddVBand="0" w:evenVBand="0" w:oddHBand="0" w:evenHBand="0" w:firstRowFirstColumn="0" w:firstRowLastColumn="0" w:lastRowFirstColumn="0" w:lastRowLastColumn="0"/>
          <w:trHeight w:val="420"/>
          <w:tblHeader/>
        </w:trPr>
        <w:tc>
          <w:tcPr>
            <w:tcW w:w="2948" w:type="dxa"/>
            <w:vMerge w:val="restart"/>
          </w:tcPr>
          <w:p w14:paraId="210DC7DB" w14:textId="77777777" w:rsidR="00D733E1" w:rsidRDefault="00D733E1" w:rsidP="00D733E1">
            <w:pPr>
              <w:pStyle w:val="TableColHead"/>
            </w:pPr>
          </w:p>
        </w:tc>
        <w:tc>
          <w:tcPr>
            <w:tcW w:w="1021" w:type="dxa"/>
            <w:gridSpan w:val="3"/>
          </w:tcPr>
          <w:p w14:paraId="28B8DA60" w14:textId="7774E7C3" w:rsidR="00D733E1" w:rsidRDefault="00D733E1" w:rsidP="006674B6">
            <w:pPr>
              <w:pStyle w:val="TableColHead"/>
              <w:jc w:val="center"/>
            </w:pPr>
            <w:r>
              <w:t xml:space="preserve">Number of </w:t>
            </w:r>
            <w:r>
              <w:br/>
              <w:t>applications lodged</w:t>
            </w:r>
          </w:p>
        </w:tc>
        <w:tc>
          <w:tcPr>
            <w:tcW w:w="1021" w:type="dxa"/>
            <w:gridSpan w:val="3"/>
          </w:tcPr>
          <w:p w14:paraId="569E6918" w14:textId="0F9CAF3D" w:rsidR="00D733E1" w:rsidRDefault="00D733E1" w:rsidP="006674B6">
            <w:pPr>
              <w:pStyle w:val="TableColHead"/>
              <w:jc w:val="center"/>
            </w:pPr>
            <w:r>
              <w:t>Total on register</w:t>
            </w:r>
          </w:p>
        </w:tc>
      </w:tr>
      <w:tr w:rsidR="00D733E1" w14:paraId="173B7495" w14:textId="77777777" w:rsidTr="006674B6">
        <w:trPr>
          <w:cnfStyle w:val="100000000000" w:firstRow="1" w:lastRow="0" w:firstColumn="0" w:lastColumn="0" w:oddVBand="0" w:evenVBand="0" w:oddHBand="0" w:evenHBand="0" w:firstRowFirstColumn="0" w:firstRowLastColumn="0" w:lastRowFirstColumn="0" w:lastRowLastColumn="0"/>
          <w:trHeight w:val="420"/>
          <w:tblHeader/>
        </w:trPr>
        <w:tc>
          <w:tcPr>
            <w:tcW w:w="2948" w:type="dxa"/>
            <w:vMerge/>
          </w:tcPr>
          <w:p w14:paraId="2EDE8FC2" w14:textId="77777777" w:rsidR="00D733E1" w:rsidRDefault="00D733E1" w:rsidP="00D733E1">
            <w:pPr>
              <w:pStyle w:val="BodyText"/>
            </w:pPr>
          </w:p>
        </w:tc>
        <w:tc>
          <w:tcPr>
            <w:tcW w:w="1021" w:type="dxa"/>
          </w:tcPr>
          <w:p w14:paraId="2B3DDDF8" w14:textId="77777777" w:rsidR="00D733E1" w:rsidRDefault="00D733E1" w:rsidP="006E0D11">
            <w:pPr>
              <w:pStyle w:val="TableColHeadRight"/>
            </w:pPr>
            <w:r>
              <w:t>2020–21</w:t>
            </w:r>
          </w:p>
        </w:tc>
        <w:tc>
          <w:tcPr>
            <w:tcW w:w="1021" w:type="dxa"/>
          </w:tcPr>
          <w:p w14:paraId="7F793A6C" w14:textId="77777777" w:rsidR="00D733E1" w:rsidRDefault="00D733E1" w:rsidP="006E0D11">
            <w:pPr>
              <w:pStyle w:val="TableColHeadRight"/>
            </w:pPr>
            <w:r>
              <w:t>2021–22</w:t>
            </w:r>
          </w:p>
        </w:tc>
        <w:tc>
          <w:tcPr>
            <w:tcW w:w="1021" w:type="dxa"/>
          </w:tcPr>
          <w:p w14:paraId="68C33E70" w14:textId="77777777" w:rsidR="00D733E1" w:rsidRDefault="00D733E1" w:rsidP="006E0D11">
            <w:pPr>
              <w:pStyle w:val="TableColHeadRight"/>
            </w:pPr>
            <w:r>
              <w:t>2022–23</w:t>
            </w:r>
          </w:p>
        </w:tc>
        <w:tc>
          <w:tcPr>
            <w:tcW w:w="1021" w:type="dxa"/>
          </w:tcPr>
          <w:p w14:paraId="253F3C9C" w14:textId="77777777" w:rsidR="00D733E1" w:rsidRDefault="00D733E1" w:rsidP="006E0D11">
            <w:pPr>
              <w:pStyle w:val="TableColHeadRight"/>
            </w:pPr>
            <w:r>
              <w:t>2020–21</w:t>
            </w:r>
          </w:p>
        </w:tc>
        <w:tc>
          <w:tcPr>
            <w:tcW w:w="1021" w:type="dxa"/>
          </w:tcPr>
          <w:p w14:paraId="0604F20F" w14:textId="77777777" w:rsidR="00D733E1" w:rsidRDefault="00D733E1" w:rsidP="006E0D11">
            <w:pPr>
              <w:pStyle w:val="TableColHeadRight"/>
            </w:pPr>
            <w:r>
              <w:t>2021–22</w:t>
            </w:r>
          </w:p>
        </w:tc>
        <w:tc>
          <w:tcPr>
            <w:tcW w:w="1021" w:type="dxa"/>
          </w:tcPr>
          <w:p w14:paraId="06C6E492" w14:textId="77777777" w:rsidR="00D733E1" w:rsidRDefault="00D733E1" w:rsidP="006E0D11">
            <w:pPr>
              <w:pStyle w:val="TableColHeadRight"/>
            </w:pPr>
            <w:r>
              <w:t>2022–23</w:t>
            </w:r>
          </w:p>
        </w:tc>
      </w:tr>
      <w:tr w:rsidR="00D733E1" w14:paraId="4EE764E4" w14:textId="77777777" w:rsidTr="006674B6">
        <w:trPr>
          <w:trHeight w:val="283"/>
        </w:trPr>
        <w:tc>
          <w:tcPr>
            <w:tcW w:w="2948" w:type="dxa"/>
          </w:tcPr>
          <w:p w14:paraId="5EF42CCD" w14:textId="31A6B056" w:rsidR="00D733E1" w:rsidRDefault="00D733E1" w:rsidP="00163339">
            <w:pPr>
              <w:pStyle w:val="TableText"/>
            </w:pPr>
            <w:r>
              <w:t>Estate Agents</w:t>
            </w:r>
          </w:p>
        </w:tc>
        <w:tc>
          <w:tcPr>
            <w:tcW w:w="1021" w:type="dxa"/>
          </w:tcPr>
          <w:p w14:paraId="5867A8E9" w14:textId="77777777" w:rsidR="00D733E1" w:rsidRDefault="00D733E1" w:rsidP="00163339">
            <w:pPr>
              <w:pStyle w:val="TableTextRight"/>
            </w:pPr>
            <w:r>
              <w:t>1,840</w:t>
            </w:r>
          </w:p>
        </w:tc>
        <w:tc>
          <w:tcPr>
            <w:tcW w:w="1021" w:type="dxa"/>
          </w:tcPr>
          <w:p w14:paraId="1BC7D6D4" w14:textId="77777777" w:rsidR="00D733E1" w:rsidRDefault="00D733E1" w:rsidP="00163339">
            <w:pPr>
              <w:pStyle w:val="TableTextRight"/>
            </w:pPr>
            <w:r>
              <w:t>2,461</w:t>
            </w:r>
          </w:p>
        </w:tc>
        <w:tc>
          <w:tcPr>
            <w:tcW w:w="1021" w:type="dxa"/>
          </w:tcPr>
          <w:p w14:paraId="5C8930DF" w14:textId="77777777" w:rsidR="00D733E1" w:rsidRDefault="00D733E1" w:rsidP="00163339">
            <w:pPr>
              <w:pStyle w:val="TableTextRight"/>
            </w:pPr>
            <w:r>
              <w:t>1,730</w:t>
            </w:r>
          </w:p>
        </w:tc>
        <w:tc>
          <w:tcPr>
            <w:tcW w:w="1021" w:type="dxa"/>
          </w:tcPr>
          <w:p w14:paraId="1624BB26" w14:textId="77777777" w:rsidR="00D733E1" w:rsidRDefault="00D733E1" w:rsidP="00163339">
            <w:pPr>
              <w:pStyle w:val="TableTextRight"/>
            </w:pPr>
            <w:r>
              <w:t>16,416</w:t>
            </w:r>
          </w:p>
        </w:tc>
        <w:tc>
          <w:tcPr>
            <w:tcW w:w="1021" w:type="dxa"/>
          </w:tcPr>
          <w:p w14:paraId="1A2C5602" w14:textId="77777777" w:rsidR="00D733E1" w:rsidRDefault="00D733E1" w:rsidP="00163339">
            <w:pPr>
              <w:pStyle w:val="TableTextRight"/>
            </w:pPr>
            <w:r>
              <w:t>17,633</w:t>
            </w:r>
          </w:p>
        </w:tc>
        <w:tc>
          <w:tcPr>
            <w:tcW w:w="1021" w:type="dxa"/>
          </w:tcPr>
          <w:p w14:paraId="31EC3CDB" w14:textId="77777777" w:rsidR="00D733E1" w:rsidRDefault="00D733E1" w:rsidP="00163339">
            <w:pPr>
              <w:pStyle w:val="TableTextRight"/>
            </w:pPr>
            <w:r>
              <w:t>17,919</w:t>
            </w:r>
          </w:p>
        </w:tc>
      </w:tr>
      <w:tr w:rsidR="00D733E1" w14:paraId="23759D67" w14:textId="77777777" w:rsidTr="006674B6">
        <w:trPr>
          <w:trHeight w:val="283"/>
        </w:trPr>
        <w:tc>
          <w:tcPr>
            <w:tcW w:w="2948" w:type="dxa"/>
          </w:tcPr>
          <w:p w14:paraId="1E1655AC" w14:textId="6158D5EE" w:rsidR="00D733E1" w:rsidRDefault="00D733E1" w:rsidP="00163339">
            <w:pPr>
              <w:pStyle w:val="TableText"/>
            </w:pPr>
            <w:r>
              <w:t>Motor car traders</w:t>
            </w:r>
          </w:p>
        </w:tc>
        <w:tc>
          <w:tcPr>
            <w:tcW w:w="1021" w:type="dxa"/>
          </w:tcPr>
          <w:p w14:paraId="59E16EF7" w14:textId="77777777" w:rsidR="00D733E1" w:rsidRDefault="00D733E1" w:rsidP="00163339">
            <w:pPr>
              <w:pStyle w:val="TableTextRight"/>
            </w:pPr>
            <w:r>
              <w:t>159</w:t>
            </w:r>
          </w:p>
        </w:tc>
        <w:tc>
          <w:tcPr>
            <w:tcW w:w="1021" w:type="dxa"/>
          </w:tcPr>
          <w:p w14:paraId="386ADE83" w14:textId="77777777" w:rsidR="00D733E1" w:rsidRDefault="00D733E1" w:rsidP="00163339">
            <w:pPr>
              <w:pStyle w:val="TableTextRight"/>
            </w:pPr>
            <w:r>
              <w:t>113</w:t>
            </w:r>
          </w:p>
        </w:tc>
        <w:tc>
          <w:tcPr>
            <w:tcW w:w="1021" w:type="dxa"/>
          </w:tcPr>
          <w:p w14:paraId="76E706D4" w14:textId="77777777" w:rsidR="00D733E1" w:rsidRDefault="00D733E1" w:rsidP="00163339">
            <w:pPr>
              <w:pStyle w:val="TableTextRight"/>
            </w:pPr>
            <w:r>
              <w:t>152</w:t>
            </w:r>
          </w:p>
        </w:tc>
        <w:tc>
          <w:tcPr>
            <w:tcW w:w="1021" w:type="dxa"/>
          </w:tcPr>
          <w:p w14:paraId="17FDD88C" w14:textId="77777777" w:rsidR="00D733E1" w:rsidRDefault="00D733E1" w:rsidP="00163339">
            <w:pPr>
              <w:pStyle w:val="TableTextRight"/>
            </w:pPr>
            <w:r>
              <w:t>2,080</w:t>
            </w:r>
          </w:p>
        </w:tc>
        <w:tc>
          <w:tcPr>
            <w:tcW w:w="1021" w:type="dxa"/>
          </w:tcPr>
          <w:p w14:paraId="00692B22" w14:textId="77777777" w:rsidR="00D733E1" w:rsidRDefault="00D733E1" w:rsidP="00163339">
            <w:pPr>
              <w:pStyle w:val="TableTextRight"/>
            </w:pPr>
            <w:r>
              <w:t>2,199</w:t>
            </w:r>
          </w:p>
        </w:tc>
        <w:tc>
          <w:tcPr>
            <w:tcW w:w="1021" w:type="dxa"/>
          </w:tcPr>
          <w:p w14:paraId="5DA87AA3" w14:textId="77777777" w:rsidR="00D733E1" w:rsidRDefault="00D733E1" w:rsidP="00163339">
            <w:pPr>
              <w:pStyle w:val="TableTextRight"/>
            </w:pPr>
            <w:r>
              <w:t>2,198</w:t>
            </w:r>
          </w:p>
        </w:tc>
      </w:tr>
      <w:tr w:rsidR="00D733E1" w14:paraId="7BD991F5" w14:textId="77777777" w:rsidTr="006674B6">
        <w:trPr>
          <w:trHeight w:val="283"/>
        </w:trPr>
        <w:tc>
          <w:tcPr>
            <w:tcW w:w="2948" w:type="dxa"/>
          </w:tcPr>
          <w:p w14:paraId="722446A4" w14:textId="442FCE85" w:rsidR="00D733E1" w:rsidRDefault="00D733E1" w:rsidP="00163339">
            <w:pPr>
              <w:pStyle w:val="TableText"/>
            </w:pPr>
            <w:r>
              <w:t>Second-hand dealers and pawnbrokers</w:t>
            </w:r>
          </w:p>
        </w:tc>
        <w:tc>
          <w:tcPr>
            <w:tcW w:w="1021" w:type="dxa"/>
          </w:tcPr>
          <w:p w14:paraId="74B6F3B1" w14:textId="77777777" w:rsidR="00D733E1" w:rsidRDefault="00D733E1" w:rsidP="00163339">
            <w:pPr>
              <w:pStyle w:val="TableTextRight"/>
            </w:pPr>
            <w:r>
              <w:t>222</w:t>
            </w:r>
          </w:p>
        </w:tc>
        <w:tc>
          <w:tcPr>
            <w:tcW w:w="1021" w:type="dxa"/>
          </w:tcPr>
          <w:p w14:paraId="29AFBFB8" w14:textId="77777777" w:rsidR="00D733E1" w:rsidRDefault="00D733E1" w:rsidP="00163339">
            <w:pPr>
              <w:pStyle w:val="TableTextRight"/>
            </w:pPr>
            <w:r>
              <w:t>203</w:t>
            </w:r>
          </w:p>
        </w:tc>
        <w:tc>
          <w:tcPr>
            <w:tcW w:w="1021" w:type="dxa"/>
          </w:tcPr>
          <w:p w14:paraId="565AB768" w14:textId="77777777" w:rsidR="00D733E1" w:rsidRDefault="00D733E1" w:rsidP="00163339">
            <w:pPr>
              <w:pStyle w:val="TableTextRight"/>
            </w:pPr>
            <w:r>
              <w:t>187</w:t>
            </w:r>
          </w:p>
        </w:tc>
        <w:tc>
          <w:tcPr>
            <w:tcW w:w="1021" w:type="dxa"/>
          </w:tcPr>
          <w:p w14:paraId="713AE825" w14:textId="77777777" w:rsidR="00D733E1" w:rsidRDefault="00D733E1" w:rsidP="00163339">
            <w:pPr>
              <w:pStyle w:val="TableTextRight"/>
            </w:pPr>
            <w:r>
              <w:t>3,471</w:t>
            </w:r>
          </w:p>
        </w:tc>
        <w:tc>
          <w:tcPr>
            <w:tcW w:w="1021" w:type="dxa"/>
          </w:tcPr>
          <w:p w14:paraId="7BE8CBB3" w14:textId="77777777" w:rsidR="00D733E1" w:rsidRDefault="00D733E1" w:rsidP="00163339">
            <w:pPr>
              <w:pStyle w:val="TableTextRight"/>
            </w:pPr>
            <w:r>
              <w:t>3,610</w:t>
            </w:r>
          </w:p>
        </w:tc>
        <w:tc>
          <w:tcPr>
            <w:tcW w:w="1021" w:type="dxa"/>
          </w:tcPr>
          <w:p w14:paraId="2CDB8066" w14:textId="77777777" w:rsidR="00D733E1" w:rsidRDefault="00D733E1" w:rsidP="00163339">
            <w:pPr>
              <w:pStyle w:val="TableTextRight"/>
            </w:pPr>
            <w:r>
              <w:t>2,988</w:t>
            </w:r>
          </w:p>
        </w:tc>
      </w:tr>
      <w:tr w:rsidR="00D733E1" w14:paraId="4DF59022" w14:textId="77777777" w:rsidTr="006674B6">
        <w:trPr>
          <w:trHeight w:val="283"/>
        </w:trPr>
        <w:tc>
          <w:tcPr>
            <w:tcW w:w="2948" w:type="dxa"/>
          </w:tcPr>
          <w:p w14:paraId="64C15A17" w14:textId="77777777" w:rsidR="00D733E1" w:rsidRDefault="00D733E1" w:rsidP="00163339">
            <w:pPr>
              <w:pStyle w:val="TableText"/>
            </w:pPr>
            <w:r>
              <w:t>Conveyancers</w:t>
            </w:r>
          </w:p>
        </w:tc>
        <w:tc>
          <w:tcPr>
            <w:tcW w:w="1021" w:type="dxa"/>
          </w:tcPr>
          <w:p w14:paraId="68AA0862" w14:textId="77777777" w:rsidR="00D733E1" w:rsidRDefault="00D733E1" w:rsidP="00163339">
            <w:pPr>
              <w:pStyle w:val="TableTextRight"/>
            </w:pPr>
            <w:r>
              <w:t>102</w:t>
            </w:r>
          </w:p>
        </w:tc>
        <w:tc>
          <w:tcPr>
            <w:tcW w:w="1021" w:type="dxa"/>
          </w:tcPr>
          <w:p w14:paraId="5E10843F" w14:textId="77777777" w:rsidR="00D733E1" w:rsidRDefault="00D733E1" w:rsidP="00163339">
            <w:pPr>
              <w:pStyle w:val="TableTextRight"/>
            </w:pPr>
            <w:r>
              <w:t>155</w:t>
            </w:r>
          </w:p>
        </w:tc>
        <w:tc>
          <w:tcPr>
            <w:tcW w:w="1021" w:type="dxa"/>
          </w:tcPr>
          <w:p w14:paraId="3AAE4D43" w14:textId="77777777" w:rsidR="00D733E1" w:rsidRDefault="00D733E1" w:rsidP="00163339">
            <w:pPr>
              <w:pStyle w:val="TableTextRight"/>
            </w:pPr>
            <w:r>
              <w:t>105</w:t>
            </w:r>
          </w:p>
        </w:tc>
        <w:tc>
          <w:tcPr>
            <w:tcW w:w="1021" w:type="dxa"/>
          </w:tcPr>
          <w:p w14:paraId="4BD6DE27" w14:textId="77777777" w:rsidR="00D733E1" w:rsidRDefault="00D733E1" w:rsidP="00163339">
            <w:pPr>
              <w:pStyle w:val="TableTextRight"/>
            </w:pPr>
            <w:r>
              <w:t>1,200</w:t>
            </w:r>
          </w:p>
        </w:tc>
        <w:tc>
          <w:tcPr>
            <w:tcW w:w="1021" w:type="dxa"/>
          </w:tcPr>
          <w:p w14:paraId="0D155DB4" w14:textId="77777777" w:rsidR="00D733E1" w:rsidRDefault="00D733E1" w:rsidP="00163339">
            <w:pPr>
              <w:pStyle w:val="TableTextRight"/>
            </w:pPr>
            <w:r>
              <w:t>1,270</w:t>
            </w:r>
          </w:p>
        </w:tc>
        <w:tc>
          <w:tcPr>
            <w:tcW w:w="1021" w:type="dxa"/>
          </w:tcPr>
          <w:p w14:paraId="07B88C93" w14:textId="77777777" w:rsidR="00D733E1" w:rsidRDefault="00D733E1" w:rsidP="00163339">
            <w:pPr>
              <w:pStyle w:val="TableTextRight"/>
            </w:pPr>
            <w:r>
              <w:t>1,320</w:t>
            </w:r>
          </w:p>
        </w:tc>
      </w:tr>
      <w:tr w:rsidR="00D733E1" w14:paraId="52A90653" w14:textId="77777777" w:rsidTr="006674B6">
        <w:trPr>
          <w:trHeight w:val="283"/>
        </w:trPr>
        <w:tc>
          <w:tcPr>
            <w:tcW w:w="2948" w:type="dxa"/>
          </w:tcPr>
          <w:p w14:paraId="60A7530C" w14:textId="21AB148F" w:rsidR="00D733E1" w:rsidRDefault="00D733E1" w:rsidP="00163339">
            <w:pPr>
              <w:pStyle w:val="TableText"/>
            </w:pPr>
            <w:r>
              <w:t>Owners Corporation managers</w:t>
            </w:r>
          </w:p>
        </w:tc>
        <w:tc>
          <w:tcPr>
            <w:tcW w:w="1021" w:type="dxa"/>
          </w:tcPr>
          <w:p w14:paraId="0E29E661" w14:textId="77777777" w:rsidR="00D733E1" w:rsidRDefault="00D733E1" w:rsidP="00163339">
            <w:pPr>
              <w:pStyle w:val="TableTextRight"/>
            </w:pPr>
            <w:r>
              <w:t>71</w:t>
            </w:r>
          </w:p>
        </w:tc>
        <w:tc>
          <w:tcPr>
            <w:tcW w:w="1021" w:type="dxa"/>
          </w:tcPr>
          <w:p w14:paraId="7877C3BE" w14:textId="77777777" w:rsidR="00D733E1" w:rsidRDefault="00D733E1" w:rsidP="00163339">
            <w:pPr>
              <w:pStyle w:val="TableTextRight"/>
            </w:pPr>
            <w:r>
              <w:t>59</w:t>
            </w:r>
          </w:p>
        </w:tc>
        <w:tc>
          <w:tcPr>
            <w:tcW w:w="1021" w:type="dxa"/>
          </w:tcPr>
          <w:p w14:paraId="259D4C2E" w14:textId="77777777" w:rsidR="00D733E1" w:rsidRDefault="00D733E1" w:rsidP="00163339">
            <w:pPr>
              <w:pStyle w:val="TableTextRight"/>
            </w:pPr>
            <w:r>
              <w:t>62</w:t>
            </w:r>
          </w:p>
        </w:tc>
        <w:tc>
          <w:tcPr>
            <w:tcW w:w="1021" w:type="dxa"/>
          </w:tcPr>
          <w:p w14:paraId="1E8059CE" w14:textId="77777777" w:rsidR="00D733E1" w:rsidRDefault="00D733E1" w:rsidP="00163339">
            <w:pPr>
              <w:pStyle w:val="TableTextRight"/>
            </w:pPr>
            <w:r>
              <w:t>678</w:t>
            </w:r>
          </w:p>
        </w:tc>
        <w:tc>
          <w:tcPr>
            <w:tcW w:w="1021" w:type="dxa"/>
          </w:tcPr>
          <w:p w14:paraId="3D01E630" w14:textId="77777777" w:rsidR="00D733E1" w:rsidRDefault="00D733E1" w:rsidP="00163339">
            <w:pPr>
              <w:pStyle w:val="TableTextRight"/>
            </w:pPr>
            <w:r>
              <w:t>652</w:t>
            </w:r>
          </w:p>
        </w:tc>
        <w:tc>
          <w:tcPr>
            <w:tcW w:w="1021" w:type="dxa"/>
          </w:tcPr>
          <w:p w14:paraId="0CE89BAD" w14:textId="77777777" w:rsidR="00D733E1" w:rsidRDefault="00D733E1" w:rsidP="00163339">
            <w:pPr>
              <w:pStyle w:val="TableTextRight"/>
            </w:pPr>
            <w:r>
              <w:t>627</w:t>
            </w:r>
          </w:p>
        </w:tc>
      </w:tr>
      <w:tr w:rsidR="00D733E1" w14:paraId="6C79E38E" w14:textId="77777777" w:rsidTr="006674B6">
        <w:trPr>
          <w:trHeight w:val="283"/>
        </w:trPr>
        <w:tc>
          <w:tcPr>
            <w:tcW w:w="2948" w:type="dxa"/>
          </w:tcPr>
          <w:p w14:paraId="39648D1F" w14:textId="4789305F" w:rsidR="00D733E1" w:rsidRDefault="00D733E1" w:rsidP="00163339">
            <w:pPr>
              <w:pStyle w:val="TableText"/>
            </w:pPr>
            <w:r>
              <w:t>Sex work service providers (licensees)</w:t>
            </w:r>
          </w:p>
        </w:tc>
        <w:tc>
          <w:tcPr>
            <w:tcW w:w="1021" w:type="dxa"/>
          </w:tcPr>
          <w:p w14:paraId="6186B879" w14:textId="77777777" w:rsidR="00D733E1" w:rsidRDefault="00D733E1" w:rsidP="00163339">
            <w:pPr>
              <w:pStyle w:val="TableTextRight"/>
            </w:pPr>
            <w:r>
              <w:t>1</w:t>
            </w:r>
          </w:p>
        </w:tc>
        <w:tc>
          <w:tcPr>
            <w:tcW w:w="1021" w:type="dxa"/>
          </w:tcPr>
          <w:p w14:paraId="085FEE79" w14:textId="77777777" w:rsidR="00D733E1" w:rsidRDefault="00D733E1" w:rsidP="00163339">
            <w:pPr>
              <w:pStyle w:val="TableTextRight"/>
            </w:pPr>
            <w:r>
              <w:t>4</w:t>
            </w:r>
          </w:p>
        </w:tc>
        <w:tc>
          <w:tcPr>
            <w:tcW w:w="1021" w:type="dxa"/>
          </w:tcPr>
          <w:p w14:paraId="634C5CBD" w14:textId="77777777" w:rsidR="00D733E1" w:rsidRDefault="00D733E1" w:rsidP="00163339">
            <w:pPr>
              <w:pStyle w:val="TableTextRight"/>
            </w:pPr>
            <w:r>
              <w:t>3</w:t>
            </w:r>
          </w:p>
        </w:tc>
        <w:tc>
          <w:tcPr>
            <w:tcW w:w="1021" w:type="dxa"/>
          </w:tcPr>
          <w:p w14:paraId="038EB520" w14:textId="77777777" w:rsidR="00D733E1" w:rsidRDefault="00D733E1" w:rsidP="00163339">
            <w:pPr>
              <w:pStyle w:val="TableTextRight"/>
            </w:pPr>
            <w:r>
              <w:t>113</w:t>
            </w:r>
          </w:p>
        </w:tc>
        <w:tc>
          <w:tcPr>
            <w:tcW w:w="1021" w:type="dxa"/>
          </w:tcPr>
          <w:p w14:paraId="14C746C6" w14:textId="77777777" w:rsidR="00D733E1" w:rsidRDefault="00D733E1" w:rsidP="00163339">
            <w:pPr>
              <w:pStyle w:val="TableTextRight"/>
            </w:pPr>
            <w:r>
              <w:t>103</w:t>
            </w:r>
          </w:p>
        </w:tc>
        <w:tc>
          <w:tcPr>
            <w:tcW w:w="1021" w:type="dxa"/>
          </w:tcPr>
          <w:p w14:paraId="3BF2CB9C" w14:textId="77777777" w:rsidR="00D733E1" w:rsidRDefault="00D733E1" w:rsidP="00163339">
            <w:pPr>
              <w:pStyle w:val="TableTextRight"/>
            </w:pPr>
            <w:r>
              <w:t>100</w:t>
            </w:r>
          </w:p>
        </w:tc>
      </w:tr>
      <w:tr w:rsidR="00D733E1" w14:paraId="4593F534" w14:textId="77777777" w:rsidTr="006674B6">
        <w:trPr>
          <w:trHeight w:val="283"/>
        </w:trPr>
        <w:tc>
          <w:tcPr>
            <w:tcW w:w="2948" w:type="dxa"/>
          </w:tcPr>
          <w:p w14:paraId="1B1BAE28" w14:textId="30F701AB" w:rsidR="00D733E1" w:rsidRDefault="00D733E1" w:rsidP="00163339">
            <w:pPr>
              <w:pStyle w:val="TableText"/>
            </w:pPr>
            <w:r>
              <w:t>Sex work brothel managers</w:t>
            </w:r>
          </w:p>
        </w:tc>
        <w:tc>
          <w:tcPr>
            <w:tcW w:w="1021" w:type="dxa"/>
          </w:tcPr>
          <w:p w14:paraId="0FF4F9D8" w14:textId="77777777" w:rsidR="00D733E1" w:rsidRDefault="00D733E1" w:rsidP="00163339">
            <w:pPr>
              <w:pStyle w:val="TableTextRight"/>
            </w:pPr>
            <w:r>
              <w:t>112</w:t>
            </w:r>
          </w:p>
        </w:tc>
        <w:tc>
          <w:tcPr>
            <w:tcW w:w="1021" w:type="dxa"/>
          </w:tcPr>
          <w:p w14:paraId="4421879E" w14:textId="77777777" w:rsidR="00D733E1" w:rsidRDefault="00D733E1" w:rsidP="00163339">
            <w:pPr>
              <w:pStyle w:val="TableTextRight"/>
            </w:pPr>
            <w:r>
              <w:t>65</w:t>
            </w:r>
          </w:p>
        </w:tc>
        <w:tc>
          <w:tcPr>
            <w:tcW w:w="1021" w:type="dxa"/>
          </w:tcPr>
          <w:p w14:paraId="555CA26C" w14:textId="77777777" w:rsidR="00D733E1" w:rsidRDefault="00D733E1" w:rsidP="00163339">
            <w:pPr>
              <w:pStyle w:val="TableTextRight"/>
            </w:pPr>
            <w:r>
              <w:t>87</w:t>
            </w:r>
          </w:p>
        </w:tc>
        <w:tc>
          <w:tcPr>
            <w:tcW w:w="1021" w:type="dxa"/>
          </w:tcPr>
          <w:p w14:paraId="5DCFE3E5" w14:textId="77777777" w:rsidR="00D733E1" w:rsidRDefault="00D733E1" w:rsidP="00163339">
            <w:pPr>
              <w:pStyle w:val="TableTextRight"/>
            </w:pPr>
            <w:r>
              <w:t>631</w:t>
            </w:r>
          </w:p>
        </w:tc>
        <w:tc>
          <w:tcPr>
            <w:tcW w:w="1021" w:type="dxa"/>
          </w:tcPr>
          <w:p w14:paraId="0B66C028" w14:textId="77777777" w:rsidR="00D733E1" w:rsidRDefault="00D733E1" w:rsidP="00163339">
            <w:pPr>
              <w:pStyle w:val="TableTextRight"/>
            </w:pPr>
            <w:r>
              <w:t>692</w:t>
            </w:r>
          </w:p>
        </w:tc>
        <w:tc>
          <w:tcPr>
            <w:tcW w:w="1021" w:type="dxa"/>
          </w:tcPr>
          <w:p w14:paraId="7FE66A96" w14:textId="77777777" w:rsidR="00D733E1" w:rsidRDefault="00D733E1" w:rsidP="00163339">
            <w:pPr>
              <w:pStyle w:val="TableTextRight"/>
            </w:pPr>
            <w:r>
              <w:t>494</w:t>
            </w:r>
          </w:p>
        </w:tc>
      </w:tr>
      <w:tr w:rsidR="00D733E1" w14:paraId="3BFAC983" w14:textId="77777777" w:rsidTr="006674B6">
        <w:trPr>
          <w:trHeight w:val="283"/>
        </w:trPr>
        <w:tc>
          <w:tcPr>
            <w:tcW w:w="2948" w:type="dxa"/>
          </w:tcPr>
          <w:p w14:paraId="58329758" w14:textId="6E2D8E2E" w:rsidR="00D733E1" w:rsidRDefault="00D733E1" w:rsidP="00163339">
            <w:pPr>
              <w:pStyle w:val="TableText"/>
            </w:pPr>
            <w:r>
              <w:t>Rooming house operators</w:t>
            </w:r>
          </w:p>
        </w:tc>
        <w:tc>
          <w:tcPr>
            <w:tcW w:w="1021" w:type="dxa"/>
          </w:tcPr>
          <w:p w14:paraId="27E4E170" w14:textId="77777777" w:rsidR="00D733E1" w:rsidRDefault="00D733E1" w:rsidP="00163339">
            <w:pPr>
              <w:pStyle w:val="TableTextRight"/>
            </w:pPr>
            <w:r>
              <w:t>208</w:t>
            </w:r>
          </w:p>
        </w:tc>
        <w:tc>
          <w:tcPr>
            <w:tcW w:w="1021" w:type="dxa"/>
          </w:tcPr>
          <w:p w14:paraId="12A950B2" w14:textId="77777777" w:rsidR="00D733E1" w:rsidRDefault="00D733E1" w:rsidP="00163339">
            <w:pPr>
              <w:pStyle w:val="TableTextRight"/>
            </w:pPr>
            <w:r>
              <w:t>119</w:t>
            </w:r>
          </w:p>
        </w:tc>
        <w:tc>
          <w:tcPr>
            <w:tcW w:w="1021" w:type="dxa"/>
          </w:tcPr>
          <w:p w14:paraId="04896953" w14:textId="77777777" w:rsidR="00D733E1" w:rsidRDefault="00D733E1" w:rsidP="00163339">
            <w:pPr>
              <w:pStyle w:val="TableTextRight"/>
            </w:pPr>
            <w:r>
              <w:t>161</w:t>
            </w:r>
          </w:p>
        </w:tc>
        <w:tc>
          <w:tcPr>
            <w:tcW w:w="1021" w:type="dxa"/>
          </w:tcPr>
          <w:p w14:paraId="269A5285" w14:textId="77777777" w:rsidR="00D733E1" w:rsidRDefault="00D733E1" w:rsidP="00163339">
            <w:pPr>
              <w:pStyle w:val="TableTextRight"/>
            </w:pPr>
            <w:r>
              <w:t>1,024</w:t>
            </w:r>
          </w:p>
        </w:tc>
        <w:tc>
          <w:tcPr>
            <w:tcW w:w="1021" w:type="dxa"/>
          </w:tcPr>
          <w:p w14:paraId="095C8918" w14:textId="77777777" w:rsidR="00D733E1" w:rsidRDefault="00D733E1" w:rsidP="00163339">
            <w:pPr>
              <w:pStyle w:val="TableTextRight"/>
            </w:pPr>
            <w:r>
              <w:t>1,060</w:t>
            </w:r>
          </w:p>
        </w:tc>
        <w:tc>
          <w:tcPr>
            <w:tcW w:w="1021" w:type="dxa"/>
          </w:tcPr>
          <w:p w14:paraId="3E0409DA" w14:textId="77777777" w:rsidR="00D733E1" w:rsidRDefault="00D733E1" w:rsidP="00163339">
            <w:pPr>
              <w:pStyle w:val="TableTextRight"/>
            </w:pPr>
            <w:r>
              <w:t>1,142</w:t>
            </w:r>
          </w:p>
        </w:tc>
      </w:tr>
      <w:tr w:rsidR="00D733E1" w14:paraId="7172FB04" w14:textId="77777777" w:rsidTr="006674B6">
        <w:trPr>
          <w:trHeight w:val="283"/>
        </w:trPr>
        <w:tc>
          <w:tcPr>
            <w:tcW w:w="2948" w:type="dxa"/>
          </w:tcPr>
          <w:p w14:paraId="1F116DD9" w14:textId="7AB9B64E" w:rsidR="00D733E1" w:rsidRDefault="00D733E1" w:rsidP="00163339">
            <w:pPr>
              <w:pStyle w:val="TableText"/>
            </w:pPr>
            <w:r>
              <w:t>Professional Engineers</w:t>
            </w:r>
          </w:p>
        </w:tc>
        <w:tc>
          <w:tcPr>
            <w:tcW w:w="1021" w:type="dxa"/>
          </w:tcPr>
          <w:p w14:paraId="7AAFEDB4" w14:textId="77777777" w:rsidR="00D733E1" w:rsidRDefault="00D733E1" w:rsidP="00163339">
            <w:pPr>
              <w:pStyle w:val="TableTextRight"/>
            </w:pPr>
            <w:r>
              <w:t>N/A</w:t>
            </w:r>
          </w:p>
        </w:tc>
        <w:tc>
          <w:tcPr>
            <w:tcW w:w="1021" w:type="dxa"/>
          </w:tcPr>
          <w:p w14:paraId="4A3F045B" w14:textId="77777777" w:rsidR="00D733E1" w:rsidRDefault="00D733E1" w:rsidP="00163339">
            <w:pPr>
              <w:pStyle w:val="TableTextRight"/>
            </w:pPr>
            <w:r>
              <w:t>1,395</w:t>
            </w:r>
          </w:p>
        </w:tc>
        <w:tc>
          <w:tcPr>
            <w:tcW w:w="1021" w:type="dxa"/>
          </w:tcPr>
          <w:p w14:paraId="6E96FB89" w14:textId="77777777" w:rsidR="00D733E1" w:rsidRDefault="00D733E1" w:rsidP="00163339">
            <w:pPr>
              <w:pStyle w:val="TableTextRight"/>
            </w:pPr>
            <w:r>
              <w:t>5,561</w:t>
            </w:r>
          </w:p>
        </w:tc>
        <w:tc>
          <w:tcPr>
            <w:tcW w:w="1021" w:type="dxa"/>
          </w:tcPr>
          <w:p w14:paraId="313CA6DD" w14:textId="77777777" w:rsidR="00D733E1" w:rsidRDefault="00D733E1" w:rsidP="00163339">
            <w:pPr>
              <w:pStyle w:val="TableTextRight"/>
            </w:pPr>
            <w:r>
              <w:t>N/A</w:t>
            </w:r>
          </w:p>
        </w:tc>
        <w:tc>
          <w:tcPr>
            <w:tcW w:w="1021" w:type="dxa"/>
          </w:tcPr>
          <w:p w14:paraId="7EDA3BEE" w14:textId="77777777" w:rsidR="00D733E1" w:rsidRDefault="00D733E1" w:rsidP="00163339">
            <w:pPr>
              <w:pStyle w:val="TableTextRight"/>
            </w:pPr>
            <w:r>
              <w:t>4,571</w:t>
            </w:r>
          </w:p>
        </w:tc>
        <w:tc>
          <w:tcPr>
            <w:tcW w:w="1021" w:type="dxa"/>
          </w:tcPr>
          <w:p w14:paraId="153A1CE3" w14:textId="77777777" w:rsidR="00D733E1" w:rsidRDefault="00D733E1" w:rsidP="00163339">
            <w:pPr>
              <w:pStyle w:val="TableTextRight"/>
            </w:pPr>
            <w:r>
              <w:t>9,657</w:t>
            </w:r>
          </w:p>
        </w:tc>
      </w:tr>
      <w:tr w:rsidR="00D733E1" w14:paraId="6EA2C13B" w14:textId="77777777" w:rsidTr="006674B6">
        <w:trPr>
          <w:trHeight w:val="283"/>
        </w:trPr>
        <w:tc>
          <w:tcPr>
            <w:tcW w:w="2948" w:type="dxa"/>
          </w:tcPr>
          <w:p w14:paraId="6314BE63" w14:textId="5B4B19C7" w:rsidR="00D733E1" w:rsidRDefault="00D733E1" w:rsidP="00163339">
            <w:pPr>
              <w:pStyle w:val="TableText"/>
            </w:pPr>
            <w:r>
              <w:t>Incorporated associations</w:t>
            </w:r>
          </w:p>
        </w:tc>
        <w:tc>
          <w:tcPr>
            <w:tcW w:w="1021" w:type="dxa"/>
          </w:tcPr>
          <w:p w14:paraId="2DD8D892" w14:textId="77777777" w:rsidR="00D733E1" w:rsidRDefault="00D733E1" w:rsidP="00163339">
            <w:pPr>
              <w:pStyle w:val="TableTextRight"/>
            </w:pPr>
            <w:r>
              <w:t>1,875</w:t>
            </w:r>
          </w:p>
        </w:tc>
        <w:tc>
          <w:tcPr>
            <w:tcW w:w="1021" w:type="dxa"/>
          </w:tcPr>
          <w:p w14:paraId="72F9357F" w14:textId="77777777" w:rsidR="00D733E1" w:rsidRDefault="00D733E1" w:rsidP="00163339">
            <w:pPr>
              <w:pStyle w:val="TableTextRight"/>
            </w:pPr>
            <w:r>
              <w:t>1,537</w:t>
            </w:r>
          </w:p>
        </w:tc>
        <w:tc>
          <w:tcPr>
            <w:tcW w:w="1021" w:type="dxa"/>
          </w:tcPr>
          <w:p w14:paraId="5D864EE2" w14:textId="77777777" w:rsidR="00D733E1" w:rsidRDefault="00D733E1" w:rsidP="00163339">
            <w:pPr>
              <w:pStyle w:val="TableTextRight"/>
            </w:pPr>
            <w:r>
              <w:t>1,806</w:t>
            </w:r>
          </w:p>
        </w:tc>
        <w:tc>
          <w:tcPr>
            <w:tcW w:w="1021" w:type="dxa"/>
          </w:tcPr>
          <w:p w14:paraId="048D16C9" w14:textId="77777777" w:rsidR="00D733E1" w:rsidRDefault="00D733E1" w:rsidP="00163339">
            <w:pPr>
              <w:pStyle w:val="TableTextRight"/>
            </w:pPr>
            <w:r>
              <w:t>42,566</w:t>
            </w:r>
          </w:p>
        </w:tc>
        <w:tc>
          <w:tcPr>
            <w:tcW w:w="1021" w:type="dxa"/>
          </w:tcPr>
          <w:p w14:paraId="33AFD8F7" w14:textId="77777777" w:rsidR="00D733E1" w:rsidRDefault="00D733E1" w:rsidP="00163339">
            <w:pPr>
              <w:pStyle w:val="TableTextRight"/>
            </w:pPr>
            <w:r>
              <w:t>41,590</w:t>
            </w:r>
          </w:p>
        </w:tc>
        <w:tc>
          <w:tcPr>
            <w:tcW w:w="1021" w:type="dxa"/>
          </w:tcPr>
          <w:p w14:paraId="7C233B31" w14:textId="77777777" w:rsidR="00D733E1" w:rsidRDefault="00D733E1" w:rsidP="00163339">
            <w:pPr>
              <w:pStyle w:val="TableTextRight"/>
            </w:pPr>
            <w:r>
              <w:t>42,966</w:t>
            </w:r>
          </w:p>
        </w:tc>
      </w:tr>
      <w:tr w:rsidR="00D733E1" w14:paraId="2E550288" w14:textId="77777777" w:rsidTr="006674B6">
        <w:trPr>
          <w:trHeight w:val="283"/>
        </w:trPr>
        <w:tc>
          <w:tcPr>
            <w:tcW w:w="2948" w:type="dxa"/>
          </w:tcPr>
          <w:p w14:paraId="74DBED24" w14:textId="77777777" w:rsidR="00D733E1" w:rsidRDefault="00D733E1" w:rsidP="00163339">
            <w:pPr>
              <w:pStyle w:val="TableText"/>
            </w:pPr>
            <w:r>
              <w:t>Co-operatives</w:t>
            </w:r>
          </w:p>
        </w:tc>
        <w:tc>
          <w:tcPr>
            <w:tcW w:w="1021" w:type="dxa"/>
          </w:tcPr>
          <w:p w14:paraId="34256FE5" w14:textId="77777777" w:rsidR="00D733E1" w:rsidRDefault="00D733E1" w:rsidP="00163339">
            <w:pPr>
              <w:pStyle w:val="TableTextRight"/>
            </w:pPr>
            <w:r>
              <w:t>10</w:t>
            </w:r>
          </w:p>
        </w:tc>
        <w:tc>
          <w:tcPr>
            <w:tcW w:w="1021" w:type="dxa"/>
          </w:tcPr>
          <w:p w14:paraId="1B427ABC" w14:textId="77777777" w:rsidR="00D733E1" w:rsidRDefault="00D733E1" w:rsidP="00163339">
            <w:pPr>
              <w:pStyle w:val="TableTextRight"/>
            </w:pPr>
            <w:r>
              <w:t>33</w:t>
            </w:r>
          </w:p>
        </w:tc>
        <w:tc>
          <w:tcPr>
            <w:tcW w:w="1021" w:type="dxa"/>
          </w:tcPr>
          <w:p w14:paraId="606B5044" w14:textId="77777777" w:rsidR="00D733E1" w:rsidRDefault="00D733E1" w:rsidP="00163339">
            <w:pPr>
              <w:pStyle w:val="TableTextRight"/>
            </w:pPr>
            <w:r>
              <w:t>34</w:t>
            </w:r>
          </w:p>
        </w:tc>
        <w:tc>
          <w:tcPr>
            <w:tcW w:w="1021" w:type="dxa"/>
          </w:tcPr>
          <w:p w14:paraId="0FF335F8" w14:textId="77777777" w:rsidR="00D733E1" w:rsidRDefault="00D733E1" w:rsidP="00163339">
            <w:pPr>
              <w:pStyle w:val="TableTextRight"/>
            </w:pPr>
            <w:r>
              <w:t>512</w:t>
            </w:r>
          </w:p>
        </w:tc>
        <w:tc>
          <w:tcPr>
            <w:tcW w:w="1021" w:type="dxa"/>
          </w:tcPr>
          <w:p w14:paraId="006A28D7" w14:textId="77777777" w:rsidR="00D733E1" w:rsidRDefault="00D733E1" w:rsidP="00163339">
            <w:pPr>
              <w:pStyle w:val="TableTextRight"/>
            </w:pPr>
            <w:r>
              <w:t>508</w:t>
            </w:r>
          </w:p>
        </w:tc>
        <w:tc>
          <w:tcPr>
            <w:tcW w:w="1021" w:type="dxa"/>
          </w:tcPr>
          <w:p w14:paraId="03AD66FF" w14:textId="77777777" w:rsidR="00D733E1" w:rsidRDefault="00D733E1" w:rsidP="00163339">
            <w:pPr>
              <w:pStyle w:val="TableTextRight"/>
            </w:pPr>
            <w:r>
              <w:t>505</w:t>
            </w:r>
          </w:p>
        </w:tc>
      </w:tr>
      <w:tr w:rsidR="00D733E1" w14:paraId="03586393" w14:textId="77777777" w:rsidTr="006674B6">
        <w:trPr>
          <w:trHeight w:val="283"/>
        </w:trPr>
        <w:tc>
          <w:tcPr>
            <w:tcW w:w="2948" w:type="dxa"/>
          </w:tcPr>
          <w:p w14:paraId="0E4EDBBB" w14:textId="77777777" w:rsidR="00D733E1" w:rsidRDefault="00D733E1" w:rsidP="00163339">
            <w:pPr>
              <w:pStyle w:val="TableText"/>
            </w:pPr>
            <w:r>
              <w:t>Fundraisers</w:t>
            </w:r>
          </w:p>
        </w:tc>
        <w:tc>
          <w:tcPr>
            <w:tcW w:w="1021" w:type="dxa"/>
          </w:tcPr>
          <w:p w14:paraId="02505198" w14:textId="77777777" w:rsidR="00D733E1" w:rsidRDefault="00D733E1" w:rsidP="00163339">
            <w:pPr>
              <w:pStyle w:val="TableTextRight"/>
            </w:pPr>
            <w:r>
              <w:t>473</w:t>
            </w:r>
          </w:p>
        </w:tc>
        <w:tc>
          <w:tcPr>
            <w:tcW w:w="1021" w:type="dxa"/>
          </w:tcPr>
          <w:p w14:paraId="5E56D5F9" w14:textId="77777777" w:rsidR="00D733E1" w:rsidRDefault="00D733E1" w:rsidP="00163339">
            <w:pPr>
              <w:pStyle w:val="TableTextRight"/>
            </w:pPr>
            <w:r>
              <w:t>534</w:t>
            </w:r>
          </w:p>
        </w:tc>
        <w:tc>
          <w:tcPr>
            <w:tcW w:w="1021" w:type="dxa"/>
          </w:tcPr>
          <w:p w14:paraId="445B97ED" w14:textId="77777777" w:rsidR="00D733E1" w:rsidRDefault="00D733E1" w:rsidP="00163339">
            <w:pPr>
              <w:pStyle w:val="TableTextRight"/>
            </w:pPr>
            <w:r>
              <w:t>497</w:t>
            </w:r>
          </w:p>
        </w:tc>
        <w:tc>
          <w:tcPr>
            <w:tcW w:w="1021" w:type="dxa"/>
          </w:tcPr>
          <w:p w14:paraId="08E02576" w14:textId="77777777" w:rsidR="00D733E1" w:rsidRDefault="00D733E1" w:rsidP="00163339">
            <w:pPr>
              <w:pStyle w:val="TableTextRight"/>
            </w:pPr>
            <w:r>
              <w:t>2,310</w:t>
            </w:r>
          </w:p>
        </w:tc>
        <w:tc>
          <w:tcPr>
            <w:tcW w:w="1021" w:type="dxa"/>
          </w:tcPr>
          <w:p w14:paraId="1A09C27D" w14:textId="77777777" w:rsidR="00D733E1" w:rsidRDefault="00D733E1" w:rsidP="00163339">
            <w:pPr>
              <w:pStyle w:val="TableTextRight"/>
            </w:pPr>
            <w:r>
              <w:t>2,469</w:t>
            </w:r>
          </w:p>
        </w:tc>
        <w:tc>
          <w:tcPr>
            <w:tcW w:w="1021" w:type="dxa"/>
          </w:tcPr>
          <w:p w14:paraId="0376E5BE" w14:textId="77777777" w:rsidR="00D733E1" w:rsidRDefault="00D733E1" w:rsidP="00163339">
            <w:pPr>
              <w:pStyle w:val="TableTextRight"/>
            </w:pPr>
            <w:r>
              <w:t>2,672</w:t>
            </w:r>
          </w:p>
        </w:tc>
      </w:tr>
      <w:tr w:rsidR="00D733E1" w14:paraId="4D793740" w14:textId="77777777" w:rsidTr="006674B6">
        <w:trPr>
          <w:trHeight w:val="283"/>
        </w:trPr>
        <w:tc>
          <w:tcPr>
            <w:tcW w:w="2948" w:type="dxa"/>
          </w:tcPr>
          <w:p w14:paraId="70F09EB2" w14:textId="16241FEA" w:rsidR="00D733E1" w:rsidRDefault="00D733E1" w:rsidP="00163339">
            <w:pPr>
              <w:pStyle w:val="TableText"/>
            </w:pPr>
            <w:r>
              <w:t>Patriotic funds</w:t>
            </w:r>
          </w:p>
        </w:tc>
        <w:tc>
          <w:tcPr>
            <w:tcW w:w="1021" w:type="dxa"/>
          </w:tcPr>
          <w:p w14:paraId="5A04F784" w14:textId="77777777" w:rsidR="00D733E1" w:rsidRDefault="00D733E1" w:rsidP="00163339">
            <w:pPr>
              <w:pStyle w:val="TableTextRight"/>
            </w:pPr>
            <w:r>
              <w:t>0</w:t>
            </w:r>
          </w:p>
        </w:tc>
        <w:tc>
          <w:tcPr>
            <w:tcW w:w="1021" w:type="dxa"/>
          </w:tcPr>
          <w:p w14:paraId="0B986FAD" w14:textId="77777777" w:rsidR="00D733E1" w:rsidRDefault="00D733E1" w:rsidP="00163339">
            <w:pPr>
              <w:pStyle w:val="TableTextRight"/>
            </w:pPr>
            <w:r>
              <w:t>1</w:t>
            </w:r>
          </w:p>
        </w:tc>
        <w:tc>
          <w:tcPr>
            <w:tcW w:w="1021" w:type="dxa"/>
          </w:tcPr>
          <w:p w14:paraId="720108D3" w14:textId="77777777" w:rsidR="00D733E1" w:rsidRDefault="00D733E1" w:rsidP="00163339">
            <w:pPr>
              <w:pStyle w:val="TableTextRight"/>
            </w:pPr>
            <w:r>
              <w:t>0</w:t>
            </w:r>
          </w:p>
        </w:tc>
        <w:tc>
          <w:tcPr>
            <w:tcW w:w="1021" w:type="dxa"/>
          </w:tcPr>
          <w:p w14:paraId="2CBC83B6" w14:textId="77777777" w:rsidR="00D733E1" w:rsidRDefault="00D733E1" w:rsidP="00163339">
            <w:pPr>
              <w:pStyle w:val="TableTextRight"/>
            </w:pPr>
            <w:r>
              <w:t>390</w:t>
            </w:r>
          </w:p>
        </w:tc>
        <w:tc>
          <w:tcPr>
            <w:tcW w:w="1021" w:type="dxa"/>
          </w:tcPr>
          <w:p w14:paraId="571596BC" w14:textId="77777777" w:rsidR="00D733E1" w:rsidRDefault="00D733E1" w:rsidP="00163339">
            <w:pPr>
              <w:pStyle w:val="TableTextRight"/>
            </w:pPr>
            <w:r>
              <w:t>389</w:t>
            </w:r>
          </w:p>
        </w:tc>
        <w:tc>
          <w:tcPr>
            <w:tcW w:w="1021" w:type="dxa"/>
          </w:tcPr>
          <w:p w14:paraId="72449E48" w14:textId="77777777" w:rsidR="00D733E1" w:rsidRDefault="00D733E1" w:rsidP="00163339">
            <w:pPr>
              <w:pStyle w:val="TableTextRight"/>
            </w:pPr>
            <w:r>
              <w:t>377</w:t>
            </w:r>
          </w:p>
        </w:tc>
      </w:tr>
      <w:tr w:rsidR="00D733E1" w14:paraId="687E109B" w14:textId="77777777" w:rsidTr="006674B6">
        <w:trPr>
          <w:trHeight w:val="283"/>
        </w:trPr>
        <w:tc>
          <w:tcPr>
            <w:tcW w:w="2948" w:type="dxa"/>
          </w:tcPr>
          <w:p w14:paraId="3E497F45" w14:textId="4149AC4A" w:rsidR="00D733E1" w:rsidRDefault="00D733E1" w:rsidP="00163339">
            <w:pPr>
              <w:pStyle w:val="TableText"/>
            </w:pPr>
            <w:r>
              <w:t>Limited partnerships</w:t>
            </w:r>
          </w:p>
        </w:tc>
        <w:tc>
          <w:tcPr>
            <w:tcW w:w="1021" w:type="dxa"/>
          </w:tcPr>
          <w:p w14:paraId="24A45EEC" w14:textId="77777777" w:rsidR="00D733E1" w:rsidRDefault="00D733E1" w:rsidP="00163339">
            <w:pPr>
              <w:pStyle w:val="TableTextRight"/>
            </w:pPr>
            <w:r>
              <w:t>10</w:t>
            </w:r>
          </w:p>
        </w:tc>
        <w:tc>
          <w:tcPr>
            <w:tcW w:w="1021" w:type="dxa"/>
          </w:tcPr>
          <w:p w14:paraId="50DA49F1" w14:textId="77777777" w:rsidR="00D733E1" w:rsidRDefault="00D733E1" w:rsidP="00163339">
            <w:pPr>
              <w:pStyle w:val="TableTextRight"/>
            </w:pPr>
            <w:r>
              <w:t>36</w:t>
            </w:r>
          </w:p>
        </w:tc>
        <w:tc>
          <w:tcPr>
            <w:tcW w:w="1021" w:type="dxa"/>
          </w:tcPr>
          <w:p w14:paraId="615383F5" w14:textId="77777777" w:rsidR="00D733E1" w:rsidRDefault="00D733E1" w:rsidP="00163339">
            <w:pPr>
              <w:pStyle w:val="TableTextRight"/>
            </w:pPr>
            <w:r>
              <w:t>33</w:t>
            </w:r>
          </w:p>
        </w:tc>
        <w:tc>
          <w:tcPr>
            <w:tcW w:w="1021" w:type="dxa"/>
          </w:tcPr>
          <w:p w14:paraId="5BFA2CF0" w14:textId="77777777" w:rsidR="00D733E1" w:rsidRDefault="00D733E1" w:rsidP="00163339">
            <w:pPr>
              <w:pStyle w:val="TableTextRight"/>
            </w:pPr>
            <w:r>
              <w:t>423</w:t>
            </w:r>
          </w:p>
        </w:tc>
        <w:tc>
          <w:tcPr>
            <w:tcW w:w="1021" w:type="dxa"/>
          </w:tcPr>
          <w:p w14:paraId="279AD259" w14:textId="77777777" w:rsidR="00D733E1" w:rsidRDefault="00D733E1" w:rsidP="00163339">
            <w:pPr>
              <w:pStyle w:val="TableTextRight"/>
            </w:pPr>
            <w:r>
              <w:t>457</w:t>
            </w:r>
          </w:p>
        </w:tc>
        <w:tc>
          <w:tcPr>
            <w:tcW w:w="1021" w:type="dxa"/>
          </w:tcPr>
          <w:p w14:paraId="79846E08" w14:textId="77777777" w:rsidR="00D733E1" w:rsidRDefault="00D733E1" w:rsidP="00163339">
            <w:pPr>
              <w:pStyle w:val="TableTextRight"/>
            </w:pPr>
            <w:r>
              <w:t>488</w:t>
            </w:r>
          </w:p>
        </w:tc>
      </w:tr>
      <w:tr w:rsidR="00D733E1" w14:paraId="2824B725" w14:textId="77777777" w:rsidTr="006674B6">
        <w:trPr>
          <w:trHeight w:val="283"/>
        </w:trPr>
        <w:tc>
          <w:tcPr>
            <w:tcW w:w="2948" w:type="dxa"/>
          </w:tcPr>
          <w:p w14:paraId="474FF322" w14:textId="784C808A" w:rsidR="00D733E1" w:rsidRDefault="00D733E1" w:rsidP="00163339">
            <w:pPr>
              <w:pStyle w:val="TableText"/>
            </w:pPr>
            <w:r>
              <w:t>Retirement villages</w:t>
            </w:r>
          </w:p>
        </w:tc>
        <w:tc>
          <w:tcPr>
            <w:tcW w:w="1021" w:type="dxa"/>
          </w:tcPr>
          <w:p w14:paraId="612F3D9C" w14:textId="77777777" w:rsidR="00D733E1" w:rsidRDefault="00D733E1" w:rsidP="00163339">
            <w:pPr>
              <w:pStyle w:val="TableTextRight"/>
            </w:pPr>
            <w:r>
              <w:t>8</w:t>
            </w:r>
          </w:p>
        </w:tc>
        <w:tc>
          <w:tcPr>
            <w:tcW w:w="1021" w:type="dxa"/>
          </w:tcPr>
          <w:p w14:paraId="6C5B76D7" w14:textId="77777777" w:rsidR="00D733E1" w:rsidRDefault="00D733E1" w:rsidP="00163339">
            <w:pPr>
              <w:pStyle w:val="TableTextRight"/>
            </w:pPr>
            <w:r>
              <w:t>6</w:t>
            </w:r>
          </w:p>
        </w:tc>
        <w:tc>
          <w:tcPr>
            <w:tcW w:w="1021" w:type="dxa"/>
          </w:tcPr>
          <w:p w14:paraId="0BEB08E6" w14:textId="77777777" w:rsidR="00D733E1" w:rsidRDefault="00D733E1" w:rsidP="00163339">
            <w:pPr>
              <w:pStyle w:val="TableTextRight"/>
            </w:pPr>
            <w:r>
              <w:t>13</w:t>
            </w:r>
          </w:p>
        </w:tc>
        <w:tc>
          <w:tcPr>
            <w:tcW w:w="1021" w:type="dxa"/>
          </w:tcPr>
          <w:p w14:paraId="52C11D85" w14:textId="77777777" w:rsidR="00D733E1" w:rsidRDefault="00D733E1" w:rsidP="00163339">
            <w:pPr>
              <w:pStyle w:val="TableTextRight"/>
            </w:pPr>
            <w:r>
              <w:t>470</w:t>
            </w:r>
          </w:p>
        </w:tc>
        <w:tc>
          <w:tcPr>
            <w:tcW w:w="1021" w:type="dxa"/>
          </w:tcPr>
          <w:p w14:paraId="55965979" w14:textId="77777777" w:rsidR="00D733E1" w:rsidRDefault="00D733E1" w:rsidP="00163339">
            <w:pPr>
              <w:pStyle w:val="TableTextRight"/>
            </w:pPr>
            <w:r>
              <w:t>481</w:t>
            </w:r>
          </w:p>
        </w:tc>
        <w:tc>
          <w:tcPr>
            <w:tcW w:w="1021" w:type="dxa"/>
          </w:tcPr>
          <w:p w14:paraId="03F34EDA" w14:textId="77777777" w:rsidR="00D733E1" w:rsidRDefault="00D733E1" w:rsidP="00163339">
            <w:pPr>
              <w:pStyle w:val="TableTextRight"/>
            </w:pPr>
            <w:r>
              <w:t>476</w:t>
            </w:r>
          </w:p>
        </w:tc>
      </w:tr>
      <w:tr w:rsidR="00D733E1" w14:paraId="6D5723EC" w14:textId="77777777" w:rsidTr="006674B6">
        <w:trPr>
          <w:trHeight w:val="283"/>
        </w:trPr>
        <w:tc>
          <w:tcPr>
            <w:tcW w:w="2948" w:type="dxa"/>
          </w:tcPr>
          <w:p w14:paraId="2392D7E4" w14:textId="5DD1B3A1" w:rsidR="00D733E1" w:rsidRDefault="00D733E1" w:rsidP="00163339">
            <w:pPr>
              <w:pStyle w:val="TableText"/>
            </w:pPr>
            <w:r>
              <w:t>Funeral service provides</w:t>
            </w:r>
          </w:p>
        </w:tc>
        <w:tc>
          <w:tcPr>
            <w:tcW w:w="1021" w:type="dxa"/>
          </w:tcPr>
          <w:p w14:paraId="53710A50" w14:textId="77777777" w:rsidR="00D733E1" w:rsidRDefault="00D733E1" w:rsidP="00163339">
            <w:pPr>
              <w:pStyle w:val="TableTextRight"/>
            </w:pPr>
            <w:r>
              <w:t>11</w:t>
            </w:r>
          </w:p>
        </w:tc>
        <w:tc>
          <w:tcPr>
            <w:tcW w:w="1021" w:type="dxa"/>
          </w:tcPr>
          <w:p w14:paraId="32A579A7" w14:textId="77777777" w:rsidR="00D733E1" w:rsidRDefault="00D733E1" w:rsidP="00163339">
            <w:pPr>
              <w:pStyle w:val="TableTextRight"/>
            </w:pPr>
            <w:r>
              <w:t>5</w:t>
            </w:r>
          </w:p>
        </w:tc>
        <w:tc>
          <w:tcPr>
            <w:tcW w:w="1021" w:type="dxa"/>
          </w:tcPr>
          <w:p w14:paraId="1138C64D" w14:textId="77777777" w:rsidR="00D733E1" w:rsidRDefault="00D733E1" w:rsidP="00163339">
            <w:pPr>
              <w:pStyle w:val="TableTextRight"/>
            </w:pPr>
            <w:r>
              <w:t>10</w:t>
            </w:r>
          </w:p>
        </w:tc>
        <w:tc>
          <w:tcPr>
            <w:tcW w:w="1021" w:type="dxa"/>
          </w:tcPr>
          <w:p w14:paraId="4A1C2827" w14:textId="77777777" w:rsidR="00D733E1" w:rsidRDefault="00D733E1" w:rsidP="00163339">
            <w:pPr>
              <w:pStyle w:val="TableTextRight"/>
            </w:pPr>
            <w:r>
              <w:t>518</w:t>
            </w:r>
          </w:p>
        </w:tc>
        <w:tc>
          <w:tcPr>
            <w:tcW w:w="1021" w:type="dxa"/>
          </w:tcPr>
          <w:p w14:paraId="353D3224" w14:textId="77777777" w:rsidR="00D733E1" w:rsidRDefault="00D733E1" w:rsidP="00163339">
            <w:pPr>
              <w:pStyle w:val="TableTextRight"/>
            </w:pPr>
            <w:r>
              <w:t>525</w:t>
            </w:r>
          </w:p>
        </w:tc>
        <w:tc>
          <w:tcPr>
            <w:tcW w:w="1021" w:type="dxa"/>
          </w:tcPr>
          <w:p w14:paraId="07B95DFB" w14:textId="77777777" w:rsidR="00D733E1" w:rsidRDefault="00D733E1" w:rsidP="00163339">
            <w:pPr>
              <w:pStyle w:val="TableTextRight"/>
            </w:pPr>
            <w:r>
              <w:t>535</w:t>
            </w:r>
          </w:p>
        </w:tc>
      </w:tr>
      <w:tr w:rsidR="00D733E1" w14:paraId="2446E8E8" w14:textId="77777777" w:rsidTr="006674B6">
        <w:trPr>
          <w:trHeight w:val="283"/>
        </w:trPr>
        <w:tc>
          <w:tcPr>
            <w:tcW w:w="2948" w:type="dxa"/>
          </w:tcPr>
          <w:p w14:paraId="430A0859" w14:textId="7D9E979B" w:rsidR="00D733E1" w:rsidRDefault="00D733E1" w:rsidP="00163339">
            <w:pPr>
              <w:pStyle w:val="TableText"/>
            </w:pPr>
            <w:r>
              <w:t>Rental non-compliance</w:t>
            </w:r>
          </w:p>
        </w:tc>
        <w:tc>
          <w:tcPr>
            <w:tcW w:w="1021" w:type="dxa"/>
          </w:tcPr>
          <w:p w14:paraId="72EF22A9" w14:textId="77777777" w:rsidR="00D733E1" w:rsidRDefault="00D733E1" w:rsidP="00163339">
            <w:pPr>
              <w:pStyle w:val="TableTextRight"/>
            </w:pPr>
            <w:r>
              <w:t>N/A</w:t>
            </w:r>
          </w:p>
        </w:tc>
        <w:tc>
          <w:tcPr>
            <w:tcW w:w="1021" w:type="dxa"/>
          </w:tcPr>
          <w:p w14:paraId="5B118F8D" w14:textId="77777777" w:rsidR="00D733E1" w:rsidRDefault="00D733E1" w:rsidP="00163339">
            <w:pPr>
              <w:pStyle w:val="TableTextRight"/>
            </w:pPr>
            <w:r>
              <w:t>N/A</w:t>
            </w:r>
          </w:p>
        </w:tc>
        <w:tc>
          <w:tcPr>
            <w:tcW w:w="1021" w:type="dxa"/>
          </w:tcPr>
          <w:p w14:paraId="4BBCEC43" w14:textId="77777777" w:rsidR="00D733E1" w:rsidRDefault="00D733E1" w:rsidP="00163339">
            <w:pPr>
              <w:pStyle w:val="TableTextRight"/>
            </w:pPr>
            <w:r>
              <w:t>N/A</w:t>
            </w:r>
          </w:p>
        </w:tc>
        <w:tc>
          <w:tcPr>
            <w:tcW w:w="1021" w:type="dxa"/>
          </w:tcPr>
          <w:p w14:paraId="29C0B097" w14:textId="77777777" w:rsidR="00D733E1" w:rsidRDefault="00D733E1" w:rsidP="00163339">
            <w:pPr>
              <w:pStyle w:val="TableTextRight"/>
            </w:pPr>
            <w:r>
              <w:t>0</w:t>
            </w:r>
          </w:p>
        </w:tc>
        <w:tc>
          <w:tcPr>
            <w:tcW w:w="1021" w:type="dxa"/>
          </w:tcPr>
          <w:p w14:paraId="60435A0F" w14:textId="77777777" w:rsidR="00D733E1" w:rsidRDefault="00D733E1" w:rsidP="00163339">
            <w:pPr>
              <w:pStyle w:val="TableTextRight"/>
            </w:pPr>
            <w:r>
              <w:t>13</w:t>
            </w:r>
          </w:p>
        </w:tc>
        <w:tc>
          <w:tcPr>
            <w:tcW w:w="1021" w:type="dxa"/>
          </w:tcPr>
          <w:p w14:paraId="12E2DD0D" w14:textId="77777777" w:rsidR="00D733E1" w:rsidRDefault="00D733E1" w:rsidP="00163339">
            <w:pPr>
              <w:pStyle w:val="TableTextRight"/>
            </w:pPr>
            <w:r>
              <w:t>16</w:t>
            </w:r>
          </w:p>
        </w:tc>
      </w:tr>
    </w:tbl>
    <w:p w14:paraId="77114419" w14:textId="3638C7AF" w:rsidR="00D733E1" w:rsidRDefault="00D733E1" w:rsidP="00C74C37">
      <w:pPr>
        <w:pStyle w:val="Heading4"/>
      </w:pPr>
      <w:r>
        <w:t>Enforcement actions</w:t>
      </w:r>
    </w:p>
    <w:p w14:paraId="6C6E6E90" w14:textId="0B9A6667" w:rsidR="00D733E1" w:rsidRDefault="00D733E1" w:rsidP="00C74C37">
      <w:pPr>
        <w:pStyle w:val="Heading5"/>
      </w:pPr>
      <w:r>
        <w:t>Public warnings issued in 2022–23</w:t>
      </w:r>
    </w:p>
    <w:tbl>
      <w:tblPr>
        <w:tblStyle w:val="TableGrid"/>
        <w:tblW w:w="9072" w:type="dxa"/>
        <w:tblLayout w:type="fixed"/>
        <w:tblLook w:val="06A0" w:firstRow="1" w:lastRow="0" w:firstColumn="1" w:lastColumn="0" w:noHBand="1" w:noVBand="1"/>
      </w:tblPr>
      <w:tblGrid>
        <w:gridCol w:w="3686"/>
        <w:gridCol w:w="5386"/>
      </w:tblGrid>
      <w:tr w:rsidR="00D733E1" w14:paraId="5FCCA71F" w14:textId="77777777" w:rsidTr="006674B6">
        <w:trPr>
          <w:cnfStyle w:val="100000000000" w:firstRow="1" w:lastRow="0" w:firstColumn="0" w:lastColumn="0" w:oddVBand="0" w:evenVBand="0" w:oddHBand="0" w:evenHBand="0" w:firstRowFirstColumn="0" w:firstRowLastColumn="0" w:lastRowFirstColumn="0" w:lastRowLastColumn="0"/>
          <w:trHeight w:val="60"/>
          <w:tblHeader/>
        </w:trPr>
        <w:tc>
          <w:tcPr>
            <w:tcW w:w="3686" w:type="dxa"/>
          </w:tcPr>
          <w:p w14:paraId="63947156" w14:textId="77777777" w:rsidR="00D733E1" w:rsidRDefault="00D733E1" w:rsidP="00163339">
            <w:pPr>
              <w:pStyle w:val="TableColHead"/>
            </w:pPr>
            <w:r>
              <w:t>Legislation</w:t>
            </w:r>
          </w:p>
        </w:tc>
        <w:tc>
          <w:tcPr>
            <w:tcW w:w="5387" w:type="dxa"/>
          </w:tcPr>
          <w:p w14:paraId="50CCE727" w14:textId="77777777" w:rsidR="00D733E1" w:rsidRDefault="00D733E1" w:rsidP="00163339">
            <w:pPr>
              <w:pStyle w:val="TableColHead"/>
            </w:pPr>
            <w:r>
              <w:t>Parties</w:t>
            </w:r>
          </w:p>
        </w:tc>
      </w:tr>
      <w:tr w:rsidR="00D733E1" w14:paraId="4DBA2803" w14:textId="77777777" w:rsidTr="006674B6">
        <w:trPr>
          <w:trHeight w:val="60"/>
        </w:trPr>
        <w:tc>
          <w:tcPr>
            <w:tcW w:w="3686" w:type="dxa"/>
          </w:tcPr>
          <w:p w14:paraId="493435F0" w14:textId="691CF00D" w:rsidR="00D733E1" w:rsidRDefault="00D733E1" w:rsidP="00163339">
            <w:pPr>
              <w:pStyle w:val="TableText"/>
            </w:pPr>
            <w:r w:rsidRPr="008A66FE">
              <w:rPr>
                <w:rStyle w:val="Emphasis"/>
              </w:rPr>
              <w:t>Retirement Villages Act 1986</w:t>
            </w:r>
          </w:p>
        </w:tc>
        <w:tc>
          <w:tcPr>
            <w:tcW w:w="5387" w:type="dxa"/>
          </w:tcPr>
          <w:p w14:paraId="730624AE" w14:textId="37E7AC77" w:rsidR="00D733E1" w:rsidRDefault="00D733E1" w:rsidP="00163339">
            <w:pPr>
              <w:pStyle w:val="TableText"/>
            </w:pPr>
            <w:r>
              <w:t>Berkley Living Retirement Village (Berkley Living)</w:t>
            </w:r>
          </w:p>
        </w:tc>
      </w:tr>
      <w:tr w:rsidR="00D733E1" w14:paraId="46A1BC55" w14:textId="77777777" w:rsidTr="006674B6">
        <w:trPr>
          <w:trHeight w:val="60"/>
        </w:trPr>
        <w:tc>
          <w:tcPr>
            <w:tcW w:w="3686" w:type="dxa"/>
          </w:tcPr>
          <w:p w14:paraId="799DDE37" w14:textId="79CD05C0" w:rsidR="00D733E1" w:rsidRDefault="00D733E1" w:rsidP="00163339">
            <w:pPr>
              <w:pStyle w:val="TableText"/>
            </w:pPr>
            <w:r w:rsidRPr="008A66FE">
              <w:rPr>
                <w:rStyle w:val="Emphasis"/>
              </w:rPr>
              <w:t>Australian Consumer Law</w:t>
            </w:r>
          </w:p>
        </w:tc>
        <w:tc>
          <w:tcPr>
            <w:tcW w:w="5387" w:type="dxa"/>
          </w:tcPr>
          <w:p w14:paraId="3862F019" w14:textId="656B6A37" w:rsidR="00D733E1" w:rsidRDefault="00D733E1" w:rsidP="00163339">
            <w:pPr>
              <w:pStyle w:val="TableText"/>
            </w:pPr>
            <w:r>
              <w:t>Shade Solutions</w:t>
            </w:r>
          </w:p>
        </w:tc>
      </w:tr>
    </w:tbl>
    <w:p w14:paraId="62100C8A" w14:textId="096042E2" w:rsidR="00D733E1" w:rsidRDefault="00D733E1" w:rsidP="00C74C37">
      <w:pPr>
        <w:pStyle w:val="Heading5"/>
      </w:pPr>
      <w:r>
        <w:t>Court and tribunal matters finalised in 2022–23</w:t>
      </w:r>
    </w:p>
    <w:p w14:paraId="1CBDE626" w14:textId="2CB603A6" w:rsidR="00D733E1" w:rsidRDefault="00D733E1" w:rsidP="00C74C37">
      <w:pPr>
        <w:pStyle w:val="Heading6"/>
      </w:pPr>
      <w:r>
        <w:t>Criminal prosecutions finalised</w:t>
      </w:r>
    </w:p>
    <w:tbl>
      <w:tblPr>
        <w:tblStyle w:val="TableGrid"/>
        <w:tblW w:w="9072" w:type="dxa"/>
        <w:tblLayout w:type="fixed"/>
        <w:tblLook w:val="06A0" w:firstRow="1" w:lastRow="0" w:firstColumn="1" w:lastColumn="0" w:noHBand="1" w:noVBand="1"/>
      </w:tblPr>
      <w:tblGrid>
        <w:gridCol w:w="3686"/>
        <w:gridCol w:w="5386"/>
      </w:tblGrid>
      <w:tr w:rsidR="00D733E1" w14:paraId="31DD4D58" w14:textId="77777777" w:rsidTr="006674B6">
        <w:trPr>
          <w:cnfStyle w:val="100000000000" w:firstRow="1" w:lastRow="0" w:firstColumn="0" w:lastColumn="0" w:oddVBand="0" w:evenVBand="0" w:oddHBand="0" w:evenHBand="0" w:firstRowFirstColumn="0" w:firstRowLastColumn="0" w:lastRowFirstColumn="0" w:lastRowLastColumn="0"/>
          <w:trHeight w:val="300"/>
          <w:tblHeader/>
        </w:trPr>
        <w:tc>
          <w:tcPr>
            <w:tcW w:w="3686" w:type="dxa"/>
          </w:tcPr>
          <w:p w14:paraId="3C32F561" w14:textId="77777777" w:rsidR="00D733E1" w:rsidRDefault="00D733E1" w:rsidP="00163339">
            <w:pPr>
              <w:pStyle w:val="TableColHead"/>
            </w:pPr>
            <w:r>
              <w:t>Legislation</w:t>
            </w:r>
          </w:p>
        </w:tc>
        <w:tc>
          <w:tcPr>
            <w:tcW w:w="5387" w:type="dxa"/>
          </w:tcPr>
          <w:p w14:paraId="09FC5F36" w14:textId="77777777" w:rsidR="00D733E1" w:rsidRDefault="00D733E1" w:rsidP="00163339">
            <w:pPr>
              <w:pStyle w:val="TableColHead"/>
            </w:pPr>
            <w:r>
              <w:t>Parties</w:t>
            </w:r>
          </w:p>
        </w:tc>
      </w:tr>
      <w:tr w:rsidR="00D733E1" w14:paraId="114F600B" w14:textId="77777777" w:rsidTr="006674B6">
        <w:trPr>
          <w:trHeight w:val="300"/>
        </w:trPr>
        <w:tc>
          <w:tcPr>
            <w:tcW w:w="3686" w:type="dxa"/>
          </w:tcPr>
          <w:p w14:paraId="11ED01B0" w14:textId="0EE9C7D3" w:rsidR="00D733E1" w:rsidRDefault="00D733E1" w:rsidP="00163339">
            <w:pPr>
              <w:pStyle w:val="TableText"/>
            </w:pPr>
            <w:r w:rsidRPr="008A66FE">
              <w:rPr>
                <w:rStyle w:val="Emphasis"/>
              </w:rPr>
              <w:t>Motor Car Traders Act 1986</w:t>
            </w:r>
          </w:p>
        </w:tc>
        <w:tc>
          <w:tcPr>
            <w:tcW w:w="5387" w:type="dxa"/>
          </w:tcPr>
          <w:p w14:paraId="4C6672CF" w14:textId="28FC79BF" w:rsidR="00D733E1" w:rsidRDefault="00D733E1" w:rsidP="00163339">
            <w:pPr>
              <w:pStyle w:val="TableText"/>
            </w:pPr>
            <w:r>
              <w:t>DPP v Noori</w:t>
            </w:r>
          </w:p>
        </w:tc>
      </w:tr>
      <w:tr w:rsidR="00D733E1" w14:paraId="3D8BA70C" w14:textId="77777777" w:rsidTr="006674B6">
        <w:trPr>
          <w:trHeight w:val="300"/>
        </w:trPr>
        <w:tc>
          <w:tcPr>
            <w:tcW w:w="3686" w:type="dxa"/>
          </w:tcPr>
          <w:p w14:paraId="2D244E9A" w14:textId="15E375A9" w:rsidR="00D733E1" w:rsidRDefault="00D733E1" w:rsidP="00163339">
            <w:pPr>
              <w:pStyle w:val="TableText"/>
            </w:pPr>
            <w:r w:rsidRPr="008A66FE">
              <w:rPr>
                <w:rStyle w:val="Emphasis"/>
              </w:rPr>
              <w:t>Residential Tenancies Act 1997</w:t>
            </w:r>
          </w:p>
        </w:tc>
        <w:tc>
          <w:tcPr>
            <w:tcW w:w="5387" w:type="dxa"/>
          </w:tcPr>
          <w:p w14:paraId="64E84428" w14:textId="32A615CF" w:rsidR="00D733E1" w:rsidRDefault="00D733E1" w:rsidP="00163339">
            <w:pPr>
              <w:pStyle w:val="TableText"/>
            </w:pPr>
            <w:r>
              <w:t>DCAV v Waterdale Property</w:t>
            </w:r>
          </w:p>
        </w:tc>
      </w:tr>
      <w:tr w:rsidR="00D733E1" w14:paraId="4BFDB9A4" w14:textId="77777777" w:rsidTr="006674B6">
        <w:trPr>
          <w:trHeight w:val="60"/>
        </w:trPr>
        <w:tc>
          <w:tcPr>
            <w:tcW w:w="3686" w:type="dxa"/>
          </w:tcPr>
          <w:p w14:paraId="31943C25" w14:textId="20B49C5E" w:rsidR="00D733E1" w:rsidRDefault="00D733E1" w:rsidP="00163339">
            <w:pPr>
              <w:pStyle w:val="TableText"/>
            </w:pPr>
            <w:r w:rsidRPr="008A66FE">
              <w:rPr>
                <w:rStyle w:val="Emphasis"/>
              </w:rPr>
              <w:t>Estate Agents Act 1980</w:t>
            </w:r>
          </w:p>
        </w:tc>
        <w:tc>
          <w:tcPr>
            <w:tcW w:w="5387" w:type="dxa"/>
          </w:tcPr>
          <w:p w14:paraId="1ED4278B" w14:textId="0A2CB0CE" w:rsidR="00D733E1" w:rsidRDefault="00D733E1" w:rsidP="00163339">
            <w:pPr>
              <w:pStyle w:val="TableText"/>
            </w:pPr>
            <w:r>
              <w:t>DCAV v Kylie CAMPBELL (BSM Realty)</w:t>
            </w:r>
          </w:p>
        </w:tc>
      </w:tr>
      <w:tr w:rsidR="00D733E1" w14:paraId="5AB72482" w14:textId="77777777" w:rsidTr="006674B6">
        <w:trPr>
          <w:trHeight w:val="60"/>
        </w:trPr>
        <w:tc>
          <w:tcPr>
            <w:tcW w:w="3686" w:type="dxa"/>
          </w:tcPr>
          <w:p w14:paraId="5FC7A09E" w14:textId="68E204D9" w:rsidR="00D733E1" w:rsidRDefault="00D733E1" w:rsidP="00163339">
            <w:pPr>
              <w:pStyle w:val="TableText"/>
            </w:pPr>
            <w:r w:rsidRPr="008A66FE">
              <w:rPr>
                <w:rStyle w:val="Emphasis"/>
              </w:rPr>
              <w:t>Estate Agents Act 1980</w:t>
            </w:r>
          </w:p>
        </w:tc>
        <w:tc>
          <w:tcPr>
            <w:tcW w:w="5387" w:type="dxa"/>
          </w:tcPr>
          <w:p w14:paraId="0869B7A7" w14:textId="7E045CF2" w:rsidR="00D733E1" w:rsidRDefault="00D733E1" w:rsidP="00163339">
            <w:pPr>
              <w:pStyle w:val="TableText"/>
            </w:pPr>
            <w:r>
              <w:t>DCAV v Richard HAYDEN (Skyline Developments Pty Ltd)</w:t>
            </w:r>
          </w:p>
        </w:tc>
      </w:tr>
    </w:tbl>
    <w:p w14:paraId="1F774F08" w14:textId="5912B326" w:rsidR="00D733E1" w:rsidRDefault="00D733E1" w:rsidP="00C74C37">
      <w:pPr>
        <w:pStyle w:val="Heading6"/>
      </w:pPr>
      <w:r>
        <w:t>Civil proceedings finalised (including disciplinary inquiry and appeals)</w:t>
      </w:r>
    </w:p>
    <w:tbl>
      <w:tblPr>
        <w:tblStyle w:val="TableGrid"/>
        <w:tblW w:w="9072" w:type="dxa"/>
        <w:tblLayout w:type="fixed"/>
        <w:tblLook w:val="06A0" w:firstRow="1" w:lastRow="0" w:firstColumn="1" w:lastColumn="0" w:noHBand="1" w:noVBand="1"/>
      </w:tblPr>
      <w:tblGrid>
        <w:gridCol w:w="3686"/>
        <w:gridCol w:w="5386"/>
      </w:tblGrid>
      <w:tr w:rsidR="00D733E1" w14:paraId="64682193" w14:textId="77777777" w:rsidTr="006674B6">
        <w:trPr>
          <w:cnfStyle w:val="100000000000" w:firstRow="1" w:lastRow="0" w:firstColumn="0" w:lastColumn="0" w:oddVBand="0" w:evenVBand="0" w:oddHBand="0" w:evenHBand="0" w:firstRowFirstColumn="0" w:firstRowLastColumn="0" w:lastRowFirstColumn="0" w:lastRowLastColumn="0"/>
          <w:trHeight w:val="300"/>
          <w:tblHeader/>
        </w:trPr>
        <w:tc>
          <w:tcPr>
            <w:tcW w:w="3686" w:type="dxa"/>
          </w:tcPr>
          <w:p w14:paraId="3F1FA692" w14:textId="77777777" w:rsidR="00D733E1" w:rsidRDefault="00D733E1" w:rsidP="00163339">
            <w:pPr>
              <w:pStyle w:val="TableColHead"/>
            </w:pPr>
            <w:r>
              <w:t>Legislation</w:t>
            </w:r>
          </w:p>
        </w:tc>
        <w:tc>
          <w:tcPr>
            <w:tcW w:w="5387" w:type="dxa"/>
          </w:tcPr>
          <w:p w14:paraId="3C45FF83" w14:textId="77777777" w:rsidR="00D733E1" w:rsidRDefault="00D733E1" w:rsidP="00163339">
            <w:pPr>
              <w:pStyle w:val="TableColHead"/>
            </w:pPr>
            <w:r>
              <w:t>Parties</w:t>
            </w:r>
          </w:p>
        </w:tc>
      </w:tr>
      <w:tr w:rsidR="00D733E1" w14:paraId="6B2AEC43" w14:textId="77777777" w:rsidTr="006674B6">
        <w:trPr>
          <w:trHeight w:val="300"/>
        </w:trPr>
        <w:tc>
          <w:tcPr>
            <w:tcW w:w="3686" w:type="dxa"/>
          </w:tcPr>
          <w:p w14:paraId="09DCEE34" w14:textId="41A96FD6" w:rsidR="00D733E1" w:rsidRDefault="00D733E1" w:rsidP="00163339">
            <w:pPr>
              <w:pStyle w:val="TableText"/>
            </w:pPr>
            <w:r w:rsidRPr="008A66FE">
              <w:rPr>
                <w:rStyle w:val="Emphasis"/>
              </w:rPr>
              <w:t>Estate Agents Act 1980</w:t>
            </w:r>
          </w:p>
        </w:tc>
        <w:tc>
          <w:tcPr>
            <w:tcW w:w="5387" w:type="dxa"/>
          </w:tcPr>
          <w:p w14:paraId="7BAB06A5" w14:textId="79A6578D" w:rsidR="00D733E1" w:rsidRDefault="00D733E1" w:rsidP="00163339">
            <w:pPr>
              <w:pStyle w:val="TableText"/>
            </w:pPr>
            <w:r>
              <w:t>DCAV v Tsun Ngai LEE</w:t>
            </w:r>
          </w:p>
        </w:tc>
      </w:tr>
      <w:tr w:rsidR="00D733E1" w14:paraId="17D49B21" w14:textId="77777777" w:rsidTr="006674B6">
        <w:trPr>
          <w:trHeight w:val="300"/>
        </w:trPr>
        <w:tc>
          <w:tcPr>
            <w:tcW w:w="3686" w:type="dxa"/>
          </w:tcPr>
          <w:p w14:paraId="68B6BE26" w14:textId="4CF284AC" w:rsidR="00D733E1" w:rsidRDefault="00D733E1" w:rsidP="00163339">
            <w:pPr>
              <w:pStyle w:val="TableText"/>
            </w:pPr>
            <w:r w:rsidRPr="008A66FE">
              <w:rPr>
                <w:rStyle w:val="Emphasis"/>
              </w:rPr>
              <w:t>Estate Agents Act 1980</w:t>
            </w:r>
          </w:p>
        </w:tc>
        <w:tc>
          <w:tcPr>
            <w:tcW w:w="5387" w:type="dxa"/>
          </w:tcPr>
          <w:p w14:paraId="45A9A2BA" w14:textId="640AA1C6" w:rsidR="00D733E1" w:rsidRDefault="00D733E1" w:rsidP="00163339">
            <w:pPr>
              <w:pStyle w:val="TableText"/>
            </w:pPr>
            <w:r>
              <w:t>DCAV v Robert PEDERSEN</w:t>
            </w:r>
          </w:p>
        </w:tc>
      </w:tr>
      <w:tr w:rsidR="0041175F" w14:paraId="790CFFC7" w14:textId="77777777" w:rsidTr="006674B6">
        <w:trPr>
          <w:trHeight w:val="300"/>
        </w:trPr>
        <w:tc>
          <w:tcPr>
            <w:tcW w:w="3686" w:type="dxa"/>
          </w:tcPr>
          <w:p w14:paraId="4D296FA2" w14:textId="706CD5D8" w:rsidR="0041175F" w:rsidRPr="008A66FE" w:rsidRDefault="0041175F" w:rsidP="00163339">
            <w:pPr>
              <w:pStyle w:val="TableText"/>
              <w:rPr>
                <w:rStyle w:val="Emphasis"/>
              </w:rPr>
            </w:pPr>
            <w:r w:rsidRPr="008A66FE">
              <w:rPr>
                <w:rStyle w:val="Emphasis"/>
              </w:rPr>
              <w:t>Estate Agents Act 1980</w:t>
            </w:r>
          </w:p>
        </w:tc>
        <w:tc>
          <w:tcPr>
            <w:tcW w:w="5387" w:type="dxa"/>
          </w:tcPr>
          <w:p w14:paraId="49AC7B8F" w14:textId="1643A78A" w:rsidR="0041175F" w:rsidRDefault="0041175F" w:rsidP="00163339">
            <w:pPr>
              <w:pStyle w:val="TableText"/>
            </w:pPr>
            <w:r w:rsidRPr="0041175F">
              <w:t>DCAV v Robert Pedersen Real Estate Pty Ltd</w:t>
            </w:r>
          </w:p>
        </w:tc>
      </w:tr>
      <w:tr w:rsidR="00D733E1" w14:paraId="1FBD698A" w14:textId="77777777" w:rsidTr="006674B6">
        <w:trPr>
          <w:trHeight w:val="60"/>
        </w:trPr>
        <w:tc>
          <w:tcPr>
            <w:tcW w:w="3686" w:type="dxa"/>
          </w:tcPr>
          <w:p w14:paraId="5250077F" w14:textId="35E18787" w:rsidR="00D733E1" w:rsidRDefault="00D733E1" w:rsidP="00163339">
            <w:pPr>
              <w:pStyle w:val="TableText"/>
            </w:pPr>
            <w:r w:rsidRPr="008A66FE">
              <w:rPr>
                <w:rStyle w:val="Emphasis"/>
              </w:rPr>
              <w:t>Estate Agents Act 1980</w:t>
            </w:r>
          </w:p>
        </w:tc>
        <w:tc>
          <w:tcPr>
            <w:tcW w:w="5387" w:type="dxa"/>
          </w:tcPr>
          <w:p w14:paraId="633C6A0D" w14:textId="3A7259FB" w:rsidR="00D733E1" w:rsidRDefault="00D733E1" w:rsidP="00163339">
            <w:pPr>
              <w:pStyle w:val="TableText"/>
            </w:pPr>
            <w:r>
              <w:t>DCAV v Shane HOOLEY</w:t>
            </w:r>
          </w:p>
        </w:tc>
      </w:tr>
      <w:tr w:rsidR="00D733E1" w14:paraId="7E410D68" w14:textId="77777777" w:rsidTr="006674B6">
        <w:trPr>
          <w:trHeight w:val="60"/>
        </w:trPr>
        <w:tc>
          <w:tcPr>
            <w:tcW w:w="3686" w:type="dxa"/>
          </w:tcPr>
          <w:p w14:paraId="40868D6D" w14:textId="66B38A79" w:rsidR="00D733E1" w:rsidRDefault="00D733E1" w:rsidP="00163339">
            <w:pPr>
              <w:pStyle w:val="TableText"/>
            </w:pPr>
            <w:r w:rsidRPr="008A66FE">
              <w:rPr>
                <w:rStyle w:val="Emphasis"/>
              </w:rPr>
              <w:t>Estate Agents Act 1980</w:t>
            </w:r>
          </w:p>
        </w:tc>
        <w:tc>
          <w:tcPr>
            <w:tcW w:w="5387" w:type="dxa"/>
          </w:tcPr>
          <w:p w14:paraId="04EC7494" w14:textId="32643697" w:rsidR="00D733E1" w:rsidRDefault="00D733E1" w:rsidP="00163339">
            <w:pPr>
              <w:pStyle w:val="TableText"/>
            </w:pPr>
            <w:r>
              <w:t>DCAV v Saowanee HOWELL</w:t>
            </w:r>
          </w:p>
        </w:tc>
      </w:tr>
    </w:tbl>
    <w:p w14:paraId="0AFD86B7" w14:textId="545C879F" w:rsidR="00D733E1" w:rsidRDefault="00D733E1" w:rsidP="00C74C37">
      <w:pPr>
        <w:pStyle w:val="Heading5"/>
      </w:pPr>
      <w:r>
        <w:t>Ongoing court matters as at 30 June 2023</w:t>
      </w:r>
    </w:p>
    <w:p w14:paraId="3B25CBC9" w14:textId="319A9968" w:rsidR="00D733E1" w:rsidRDefault="00D733E1" w:rsidP="00C74C37">
      <w:pPr>
        <w:pStyle w:val="Heading6"/>
      </w:pPr>
      <w:r>
        <w:t>Criminal prosecution</w:t>
      </w:r>
    </w:p>
    <w:tbl>
      <w:tblPr>
        <w:tblStyle w:val="TableGrid"/>
        <w:tblW w:w="9072" w:type="dxa"/>
        <w:tblLayout w:type="fixed"/>
        <w:tblLook w:val="06A0" w:firstRow="1" w:lastRow="0" w:firstColumn="1" w:lastColumn="0" w:noHBand="1" w:noVBand="1"/>
      </w:tblPr>
      <w:tblGrid>
        <w:gridCol w:w="3686"/>
        <w:gridCol w:w="5386"/>
      </w:tblGrid>
      <w:tr w:rsidR="00D733E1" w14:paraId="641B9381" w14:textId="77777777" w:rsidTr="006674B6">
        <w:trPr>
          <w:cnfStyle w:val="100000000000" w:firstRow="1" w:lastRow="0" w:firstColumn="0" w:lastColumn="0" w:oddVBand="0" w:evenVBand="0" w:oddHBand="0" w:evenHBand="0" w:firstRowFirstColumn="0" w:firstRowLastColumn="0" w:lastRowFirstColumn="0" w:lastRowLastColumn="0"/>
          <w:trHeight w:val="300"/>
          <w:tblHeader/>
        </w:trPr>
        <w:tc>
          <w:tcPr>
            <w:tcW w:w="3686" w:type="dxa"/>
          </w:tcPr>
          <w:p w14:paraId="3407A56D" w14:textId="77777777" w:rsidR="00D733E1" w:rsidRDefault="00D733E1" w:rsidP="00163339">
            <w:pPr>
              <w:pStyle w:val="TableColHead"/>
            </w:pPr>
            <w:r>
              <w:t>Legislation</w:t>
            </w:r>
          </w:p>
        </w:tc>
        <w:tc>
          <w:tcPr>
            <w:tcW w:w="5387" w:type="dxa"/>
          </w:tcPr>
          <w:p w14:paraId="24622469" w14:textId="77777777" w:rsidR="00D733E1" w:rsidRDefault="00D733E1" w:rsidP="00163339">
            <w:pPr>
              <w:pStyle w:val="TableColHead"/>
            </w:pPr>
            <w:r>
              <w:t>Parties</w:t>
            </w:r>
          </w:p>
        </w:tc>
      </w:tr>
      <w:tr w:rsidR="00D733E1" w14:paraId="74CA70B0" w14:textId="77777777" w:rsidTr="006674B6">
        <w:trPr>
          <w:trHeight w:val="300"/>
        </w:trPr>
        <w:tc>
          <w:tcPr>
            <w:tcW w:w="3686" w:type="dxa"/>
          </w:tcPr>
          <w:p w14:paraId="10F6A105" w14:textId="158F8053" w:rsidR="00D733E1" w:rsidRDefault="00D733E1" w:rsidP="00163339">
            <w:pPr>
              <w:pStyle w:val="TableText"/>
            </w:pPr>
            <w:r w:rsidRPr="008A66FE">
              <w:rPr>
                <w:rStyle w:val="Emphasis"/>
              </w:rPr>
              <w:t>Estate Agents Act 1980</w:t>
            </w:r>
          </w:p>
        </w:tc>
        <w:tc>
          <w:tcPr>
            <w:tcW w:w="5387" w:type="dxa"/>
          </w:tcPr>
          <w:p w14:paraId="608BF888" w14:textId="4C6E6172" w:rsidR="00D733E1" w:rsidRDefault="00D733E1" w:rsidP="00163339">
            <w:pPr>
              <w:pStyle w:val="TableText"/>
            </w:pPr>
            <w:r>
              <w:t>DCAV v Jean GILLET</w:t>
            </w:r>
          </w:p>
        </w:tc>
      </w:tr>
      <w:tr w:rsidR="00D733E1" w14:paraId="50411363" w14:textId="77777777" w:rsidTr="006674B6">
        <w:trPr>
          <w:trHeight w:val="300"/>
        </w:trPr>
        <w:tc>
          <w:tcPr>
            <w:tcW w:w="3686" w:type="dxa"/>
          </w:tcPr>
          <w:p w14:paraId="155216BD" w14:textId="0AA80A38" w:rsidR="00D733E1" w:rsidRDefault="00D733E1" w:rsidP="00163339">
            <w:pPr>
              <w:pStyle w:val="TableText"/>
            </w:pPr>
            <w:r w:rsidRPr="008A66FE">
              <w:rPr>
                <w:rStyle w:val="Emphasis"/>
              </w:rPr>
              <w:t>Conveyancers Act 2006</w:t>
            </w:r>
          </w:p>
        </w:tc>
        <w:tc>
          <w:tcPr>
            <w:tcW w:w="5387" w:type="dxa"/>
          </w:tcPr>
          <w:p w14:paraId="093EFB73" w14:textId="0E941A16" w:rsidR="00D733E1" w:rsidRDefault="00D733E1" w:rsidP="00163339">
            <w:pPr>
              <w:pStyle w:val="TableText"/>
            </w:pPr>
            <w:r>
              <w:t>DCAV v Hans RICHMOND</w:t>
            </w:r>
          </w:p>
        </w:tc>
      </w:tr>
      <w:tr w:rsidR="00D733E1" w14:paraId="646F2D77" w14:textId="77777777" w:rsidTr="006674B6">
        <w:trPr>
          <w:trHeight w:val="60"/>
        </w:trPr>
        <w:tc>
          <w:tcPr>
            <w:tcW w:w="3686" w:type="dxa"/>
          </w:tcPr>
          <w:p w14:paraId="6B91A809" w14:textId="5B42CA47" w:rsidR="00D733E1" w:rsidRDefault="00D733E1" w:rsidP="00163339">
            <w:pPr>
              <w:pStyle w:val="TableText"/>
            </w:pPr>
            <w:r w:rsidRPr="008A66FE">
              <w:rPr>
                <w:rStyle w:val="Emphasis"/>
              </w:rPr>
              <w:t>Estate Agents Act 1980</w:t>
            </w:r>
          </w:p>
        </w:tc>
        <w:tc>
          <w:tcPr>
            <w:tcW w:w="5387" w:type="dxa"/>
          </w:tcPr>
          <w:p w14:paraId="4DE850C3" w14:textId="27EE0C4D" w:rsidR="00D733E1" w:rsidRDefault="00D733E1" w:rsidP="00163339">
            <w:pPr>
              <w:pStyle w:val="TableText"/>
            </w:pPr>
            <w:r>
              <w:t>DCAV v Syed ZAFAR</w:t>
            </w:r>
          </w:p>
        </w:tc>
      </w:tr>
      <w:tr w:rsidR="00D733E1" w14:paraId="37C7F633" w14:textId="77777777" w:rsidTr="006674B6">
        <w:trPr>
          <w:trHeight w:val="60"/>
        </w:trPr>
        <w:tc>
          <w:tcPr>
            <w:tcW w:w="3686" w:type="dxa"/>
          </w:tcPr>
          <w:p w14:paraId="18302C43" w14:textId="0EE065FC" w:rsidR="00D733E1" w:rsidRDefault="00D733E1" w:rsidP="00163339">
            <w:pPr>
              <w:pStyle w:val="TableText"/>
            </w:pPr>
            <w:r w:rsidRPr="008A66FE">
              <w:rPr>
                <w:rStyle w:val="Emphasis"/>
              </w:rPr>
              <w:t>Estate Agents Act 1980</w:t>
            </w:r>
          </w:p>
        </w:tc>
        <w:tc>
          <w:tcPr>
            <w:tcW w:w="5387" w:type="dxa"/>
          </w:tcPr>
          <w:p w14:paraId="0B1ECDC0" w14:textId="28F9F110" w:rsidR="00D733E1" w:rsidRDefault="00D733E1" w:rsidP="00163339">
            <w:pPr>
              <w:pStyle w:val="TableText"/>
            </w:pPr>
            <w:r>
              <w:t>DCAV v Christopher MICHAEL/Australian Property Management Solutions</w:t>
            </w:r>
          </w:p>
        </w:tc>
      </w:tr>
      <w:tr w:rsidR="00562C43" w14:paraId="357EF493" w14:textId="77777777" w:rsidTr="006674B6">
        <w:trPr>
          <w:trHeight w:val="60"/>
        </w:trPr>
        <w:tc>
          <w:tcPr>
            <w:tcW w:w="3686" w:type="dxa"/>
          </w:tcPr>
          <w:p w14:paraId="766E659C" w14:textId="29D981CB" w:rsidR="00562C43" w:rsidRPr="008A66FE" w:rsidRDefault="00562C43" w:rsidP="00562C43">
            <w:pPr>
              <w:pStyle w:val="TableText"/>
              <w:rPr>
                <w:rStyle w:val="Emphasis"/>
              </w:rPr>
            </w:pPr>
            <w:r w:rsidRPr="008A66FE">
              <w:rPr>
                <w:rStyle w:val="Emphasis"/>
              </w:rPr>
              <w:t>Estate Agents Act 1980</w:t>
            </w:r>
          </w:p>
        </w:tc>
        <w:tc>
          <w:tcPr>
            <w:tcW w:w="5387" w:type="dxa"/>
          </w:tcPr>
          <w:p w14:paraId="043D0F41" w14:textId="18550058" w:rsidR="00562C43" w:rsidRDefault="00562C43" w:rsidP="00562C43">
            <w:pPr>
              <w:pStyle w:val="TableText"/>
            </w:pPr>
            <w:r>
              <w:t>DCAV v Paul VELLA</w:t>
            </w:r>
          </w:p>
        </w:tc>
      </w:tr>
    </w:tbl>
    <w:p w14:paraId="6F807A9E" w14:textId="77F75D06" w:rsidR="00D733E1" w:rsidRDefault="00D733E1" w:rsidP="00C74C37">
      <w:pPr>
        <w:pStyle w:val="Heading6"/>
      </w:pPr>
      <w:r>
        <w:t>Civil proceedings (including disciplinary inquiry)</w:t>
      </w:r>
    </w:p>
    <w:tbl>
      <w:tblPr>
        <w:tblStyle w:val="TableGrid"/>
        <w:tblW w:w="9072" w:type="dxa"/>
        <w:tblLayout w:type="fixed"/>
        <w:tblLook w:val="06A0" w:firstRow="1" w:lastRow="0" w:firstColumn="1" w:lastColumn="0" w:noHBand="1" w:noVBand="1"/>
      </w:tblPr>
      <w:tblGrid>
        <w:gridCol w:w="3686"/>
        <w:gridCol w:w="5386"/>
      </w:tblGrid>
      <w:tr w:rsidR="00D733E1" w14:paraId="31F4869D" w14:textId="77777777" w:rsidTr="006674B6">
        <w:trPr>
          <w:cnfStyle w:val="100000000000" w:firstRow="1" w:lastRow="0" w:firstColumn="0" w:lastColumn="0" w:oddVBand="0" w:evenVBand="0" w:oddHBand="0" w:evenHBand="0" w:firstRowFirstColumn="0" w:firstRowLastColumn="0" w:lastRowFirstColumn="0" w:lastRowLastColumn="0"/>
          <w:trHeight w:val="300"/>
          <w:tblHeader/>
        </w:trPr>
        <w:tc>
          <w:tcPr>
            <w:tcW w:w="3686" w:type="dxa"/>
          </w:tcPr>
          <w:p w14:paraId="2EECE17B" w14:textId="77777777" w:rsidR="00D733E1" w:rsidRDefault="00D733E1" w:rsidP="00163339">
            <w:pPr>
              <w:pStyle w:val="TableColHead"/>
            </w:pPr>
            <w:r>
              <w:t>Legislation</w:t>
            </w:r>
          </w:p>
        </w:tc>
        <w:tc>
          <w:tcPr>
            <w:tcW w:w="5387" w:type="dxa"/>
          </w:tcPr>
          <w:p w14:paraId="5092FCAE" w14:textId="77777777" w:rsidR="00D733E1" w:rsidRDefault="00D733E1" w:rsidP="00163339">
            <w:pPr>
              <w:pStyle w:val="TableColHead"/>
            </w:pPr>
            <w:r>
              <w:t>Parties</w:t>
            </w:r>
          </w:p>
        </w:tc>
      </w:tr>
      <w:tr w:rsidR="00D733E1" w14:paraId="0531758F" w14:textId="77777777" w:rsidTr="006674B6">
        <w:trPr>
          <w:trHeight w:val="300"/>
        </w:trPr>
        <w:tc>
          <w:tcPr>
            <w:tcW w:w="3686" w:type="dxa"/>
          </w:tcPr>
          <w:p w14:paraId="0CDD01FD" w14:textId="162FCEC0" w:rsidR="00D733E1" w:rsidRDefault="00D733E1" w:rsidP="00163339">
            <w:pPr>
              <w:pStyle w:val="TableText"/>
            </w:pPr>
            <w:r w:rsidRPr="008A66FE">
              <w:rPr>
                <w:rStyle w:val="Emphasis"/>
              </w:rPr>
              <w:t>Estate Agents Act 1980</w:t>
            </w:r>
          </w:p>
        </w:tc>
        <w:tc>
          <w:tcPr>
            <w:tcW w:w="5387" w:type="dxa"/>
          </w:tcPr>
          <w:p w14:paraId="15A20F4B" w14:textId="7C185F89" w:rsidR="00D733E1" w:rsidRDefault="00D733E1" w:rsidP="00163339">
            <w:pPr>
              <w:pStyle w:val="TableText"/>
            </w:pPr>
            <w:r>
              <w:t>DCAV v ALLISON</w:t>
            </w:r>
          </w:p>
        </w:tc>
      </w:tr>
      <w:tr w:rsidR="00D733E1" w14:paraId="747A4678" w14:textId="77777777" w:rsidTr="006674B6">
        <w:trPr>
          <w:trHeight w:val="300"/>
        </w:trPr>
        <w:tc>
          <w:tcPr>
            <w:tcW w:w="3686" w:type="dxa"/>
          </w:tcPr>
          <w:p w14:paraId="5577A319" w14:textId="0D6DB37B" w:rsidR="00D733E1" w:rsidRDefault="00D733E1" w:rsidP="00163339">
            <w:pPr>
              <w:pStyle w:val="TableText"/>
            </w:pPr>
            <w:r w:rsidRPr="008A66FE">
              <w:rPr>
                <w:rStyle w:val="Emphasis"/>
              </w:rPr>
              <w:t>Estate Agents Act 1980</w:t>
            </w:r>
          </w:p>
        </w:tc>
        <w:tc>
          <w:tcPr>
            <w:tcW w:w="5387" w:type="dxa"/>
          </w:tcPr>
          <w:p w14:paraId="69B8E01A" w14:textId="4AB8050E" w:rsidR="00D733E1" w:rsidRDefault="00D733E1" w:rsidP="00163339">
            <w:pPr>
              <w:pStyle w:val="TableText"/>
            </w:pPr>
            <w:r>
              <w:t>DCAV v Thomas ALOYSIUS</w:t>
            </w:r>
          </w:p>
        </w:tc>
      </w:tr>
      <w:tr w:rsidR="00D733E1" w14:paraId="771699F1" w14:textId="77777777" w:rsidTr="006674B6">
        <w:trPr>
          <w:trHeight w:val="60"/>
        </w:trPr>
        <w:tc>
          <w:tcPr>
            <w:tcW w:w="3686" w:type="dxa"/>
          </w:tcPr>
          <w:p w14:paraId="11EE618F" w14:textId="2EE817BB" w:rsidR="00D733E1" w:rsidRDefault="00D733E1" w:rsidP="00163339">
            <w:pPr>
              <w:pStyle w:val="TableText"/>
            </w:pPr>
            <w:r w:rsidRPr="008A66FE">
              <w:rPr>
                <w:rStyle w:val="Emphasis"/>
              </w:rPr>
              <w:t>Residential Tenancies Act 1997</w:t>
            </w:r>
          </w:p>
        </w:tc>
        <w:tc>
          <w:tcPr>
            <w:tcW w:w="5387" w:type="dxa"/>
          </w:tcPr>
          <w:p w14:paraId="01215716" w14:textId="6CF600F2" w:rsidR="00D733E1" w:rsidRDefault="00D733E1" w:rsidP="00163339">
            <w:pPr>
              <w:pStyle w:val="TableText"/>
            </w:pPr>
            <w:r>
              <w:t>BORG v WAN and DCAV</w:t>
            </w:r>
          </w:p>
        </w:tc>
      </w:tr>
    </w:tbl>
    <w:p w14:paraId="1A399379" w14:textId="28A3D24C" w:rsidR="00D733E1" w:rsidRDefault="00D733E1" w:rsidP="00C74C37">
      <w:pPr>
        <w:pStyle w:val="Heading3"/>
      </w:pPr>
      <w:bookmarkStart w:id="15" w:name="_Toc149678440"/>
      <w:r>
        <w:t>Victorians exercise their consumer rights</w:t>
      </w:r>
      <w:bookmarkEnd w:id="15"/>
    </w:p>
    <w:p w14:paraId="2DDB5A7B" w14:textId="0AA9AB23" w:rsidR="00D733E1" w:rsidRDefault="00D733E1" w:rsidP="00D733E1">
      <w:pPr>
        <w:pStyle w:val="BodyText"/>
      </w:pPr>
      <w:r>
        <w:t>We empower Victorians to exercise their consumer rights by providing information and supports that</w:t>
      </w:r>
      <w:r w:rsidR="008B53D8">
        <w:t> </w:t>
      </w:r>
      <w:r>
        <w:t>are easy to find, understand and use. We continue to work with partner organisations to deliver important services to Victorians, particularly people experiencing vulnerability or disadvantage in the marketplace. We focus support and advocacy on the people who need it most.</w:t>
      </w:r>
    </w:p>
    <w:p w14:paraId="532AEC23" w14:textId="2537F927" w:rsidR="00D733E1" w:rsidRDefault="00D733E1" w:rsidP="00C74C37">
      <w:pPr>
        <w:pStyle w:val="Heading4"/>
      </w:pPr>
      <w:r>
        <w:t>Relief and recovery post the October 2022 floods</w:t>
      </w:r>
    </w:p>
    <w:p w14:paraId="30B1D12F" w14:textId="6090CA49" w:rsidR="00D733E1" w:rsidRDefault="00D733E1" w:rsidP="00D733E1">
      <w:pPr>
        <w:pStyle w:val="BodyText"/>
      </w:pPr>
      <w:r>
        <w:t>Significant flooding impacted Victoria during October and November 2022 across metropolitan and regional areas, with properties damaged, destroyed or inaccessible. Many health services, community services and care facilities were also impacted during that time.</w:t>
      </w:r>
    </w:p>
    <w:p w14:paraId="30B2C314" w14:textId="7FC21A19" w:rsidR="00D733E1" w:rsidRDefault="00D733E1" w:rsidP="00D733E1">
      <w:pPr>
        <w:pStyle w:val="BodyText"/>
      </w:pPr>
      <w:r>
        <w:t>CAV seconded 25 staff to relief and recovery efforts across Emergency Recovery Victoria and the Department of Families, Fairness and Housing. CAV also established a dedicated floods hotline and its number was included on information sheets provided at relief centres across Victoria and on CAV’s website. The hotline prioritised support for impacted Victorians in private rental, consumer and building matters.</w:t>
      </w:r>
    </w:p>
    <w:p w14:paraId="54F2A949" w14:textId="6F15F52B" w:rsidR="00D733E1" w:rsidRDefault="00D733E1" w:rsidP="00DF73E7">
      <w:pPr>
        <w:pStyle w:val="BodyText"/>
        <w:keepLines/>
      </w:pPr>
      <w:r>
        <w:t>The CAV website provided clear information not only on CAV’s relief services available, but on additional recourse available to Victorians who had property or vehicles damaged in the floods. We</w:t>
      </w:r>
      <w:r w:rsidR="008B53D8">
        <w:t> </w:t>
      </w:r>
      <w:r>
        <w:t>also reminded Victorians that fundraising scams can be common after floods, and provided advice</w:t>
      </w:r>
      <w:r w:rsidR="008B53D8">
        <w:t> </w:t>
      </w:r>
      <w:r>
        <w:t>on how to avoid them.</w:t>
      </w:r>
    </w:p>
    <w:p w14:paraId="7C55393F" w14:textId="0B15B1F1" w:rsidR="00D733E1" w:rsidRDefault="00D733E1" w:rsidP="00D733E1">
      <w:pPr>
        <w:pStyle w:val="BodyText"/>
      </w:pPr>
      <w:r>
        <w:t>The Victorian Government allocated $1.67 million to financial counselling services in areas affected by</w:t>
      </w:r>
      <w:r w:rsidR="008B53D8">
        <w:t> </w:t>
      </w:r>
      <w:r>
        <w:t>the October 2022 Victorian floods. This was part of the initial $351 million allocated on 16 October 2022 for the Victorian flood recovery initiative. Financial counsellors support clients to negotiate with banks (for a pause on mortgage payments) and insurance agencies, and to access grants.</w:t>
      </w:r>
    </w:p>
    <w:p w14:paraId="6C821D05" w14:textId="7FE9B6B4" w:rsidR="00D733E1" w:rsidRDefault="00D733E1" w:rsidP="00D733E1">
      <w:pPr>
        <w:pStyle w:val="BodyText"/>
      </w:pPr>
      <w:r>
        <w:t>An additional $630,000 was allocated to establishing the Tenancy Stress Victoria Pilot, to support Victorian renters in flood</w:t>
      </w:r>
      <w:r>
        <w:rPr>
          <w:rFonts w:ascii="Times New Roman" w:hAnsi="Times New Roman" w:cs="Times New Roman"/>
        </w:rPr>
        <w:t>‑</w:t>
      </w:r>
      <w:r>
        <w:t>affected areas of Western Melbourne, Loddon, and Goulburn. Tenancy Stress Victoria provides these renters with access to integrated legal, social work and financial counselling assistance, drawing upon flood financial counselling support from funded agencies in</w:t>
      </w:r>
      <w:r w:rsidR="008B53D8">
        <w:t> </w:t>
      </w:r>
      <w:r>
        <w:t>affected areas.</w:t>
      </w:r>
    </w:p>
    <w:p w14:paraId="56A041D3" w14:textId="15E200F2" w:rsidR="00D733E1" w:rsidRDefault="00D733E1" w:rsidP="00C74C37">
      <w:pPr>
        <w:pStyle w:val="Heading4"/>
      </w:pPr>
      <w:bookmarkStart w:id="16" w:name="_Community_assistance_programs"/>
      <w:bookmarkStart w:id="17" w:name="_Ref148558999"/>
      <w:bookmarkEnd w:id="16"/>
      <w:r>
        <w:t>Community assistance programs</w:t>
      </w:r>
      <w:bookmarkEnd w:id="17"/>
    </w:p>
    <w:p w14:paraId="5D0A22FA" w14:textId="2D7F7CE4" w:rsidR="00D733E1" w:rsidRDefault="00D733E1" w:rsidP="00D733E1">
      <w:pPr>
        <w:pStyle w:val="BodyText"/>
      </w:pPr>
      <w:r>
        <w:t>To support Victorians experiencing vulnerability or hardship, we continued to fund a range of community services through the Financial Counselling Program (FCP), consumer programs and the</w:t>
      </w:r>
      <w:r w:rsidR="008B53D8">
        <w:t> </w:t>
      </w:r>
      <w:r>
        <w:t>Domestic Building Legal Service (DBLS).</w:t>
      </w:r>
    </w:p>
    <w:p w14:paraId="68ECBD2A" w14:textId="0A77F140" w:rsidR="00D733E1" w:rsidRDefault="00D733E1" w:rsidP="00D733E1">
      <w:pPr>
        <w:pStyle w:val="BodyText"/>
      </w:pPr>
      <w:r>
        <w:t>In 2022–23 the FCP was funded $14.4 million to support consumers with advice about their rights and</w:t>
      </w:r>
      <w:r w:rsidR="008B53D8">
        <w:t> </w:t>
      </w:r>
      <w:r>
        <w:t xml:space="preserve">responsibilities, support in negotiating with creditors and advice on how to make payment plans for debts. It supported more than 18,980 Victorians with free and independent financial counselling services, delivered by community agencies across Victoria. The program provided specialist financial counselling services to 3,806 Victorians experiencing family violence. Victorians affected by the </w:t>
      </w:r>
      <w:r w:rsidR="008B53D8">
        <w:br/>
      </w:r>
      <w:r>
        <w:t>2019–20 bushfires and the 2021 storms and floods also continued to receive support through dedicated programs.</w:t>
      </w:r>
    </w:p>
    <w:p w14:paraId="5D21E71F" w14:textId="0DAE2C7B" w:rsidR="00D733E1" w:rsidRDefault="00D733E1" w:rsidP="00D733E1">
      <w:pPr>
        <w:pStyle w:val="BodyText"/>
      </w:pPr>
      <w:r>
        <w:t>We also funded consumer programs including the Consumer Assistance and Advocacy Program (CAAP), which received $900,000 to provide advice, casework, and campaign and advocacy services to Victorian consumers. CAAP supported 270 Victorians to exercise their consumer rights in 2022–23. We also provided $1.29 million for the Consumer Policy Research Centre to research important consumer law issues, including how they impact consumers experiencing vulnerability.</w:t>
      </w:r>
    </w:p>
    <w:p w14:paraId="78AC7B8E" w14:textId="251F78DA" w:rsidR="00D733E1" w:rsidRDefault="00D733E1" w:rsidP="00D733E1">
      <w:pPr>
        <w:pStyle w:val="BodyText"/>
      </w:pPr>
      <w:r>
        <w:t>The DBLS received $683,530 in funding to support disadvantaged homeowners experiencing disputes with their builder. It provided legal advice to 143 homeowners who had not been able to resolve the dispute through Domestic Building Dispute Resolution Victoria.</w:t>
      </w:r>
    </w:p>
    <w:p w14:paraId="0C0CFAFD" w14:textId="62B94BD5" w:rsidR="00D733E1" w:rsidRDefault="00D733E1" w:rsidP="00C74C37">
      <w:pPr>
        <w:pStyle w:val="Heading4"/>
      </w:pPr>
      <w:r>
        <w:t>Harnessing digital technologies</w:t>
      </w:r>
    </w:p>
    <w:p w14:paraId="69056DE3" w14:textId="5722B78D" w:rsidR="00D733E1" w:rsidRDefault="00D733E1" w:rsidP="00D733E1">
      <w:pPr>
        <w:pStyle w:val="BodyText"/>
      </w:pPr>
      <w:r>
        <w:t>CAV is focussed on harnessing digital technologies to improve our services and make the most of our</w:t>
      </w:r>
      <w:r w:rsidR="008B53D8">
        <w:t> </w:t>
      </w:r>
      <w:r>
        <w:t>data and resources. By accelerating digital transformation, we will make it easier for people and businesses to engage with government. We will continue to work with Digital Victoria and Service Victoria to modernise our digital services for the benefit of all users.</w:t>
      </w:r>
    </w:p>
    <w:p w14:paraId="10557D3A" w14:textId="14E0E2AE" w:rsidR="00D733E1" w:rsidRDefault="00D733E1" w:rsidP="00D733E1">
      <w:pPr>
        <w:pStyle w:val="BodyText"/>
      </w:pPr>
      <w:r>
        <w:t>A program of ICT projects will help us meet our strategic objectives over the next few years. Key</w:t>
      </w:r>
      <w:r w:rsidR="008B53D8">
        <w:t> </w:t>
      </w:r>
      <w:r>
        <w:t>projects include redeveloping our website, uplifting the technology that supports our contact centre services, and improvements to online licensing and registration in myCAV.</w:t>
      </w:r>
    </w:p>
    <w:p w14:paraId="3AB1D2CB" w14:textId="50BC2C89" w:rsidR="00D733E1" w:rsidRDefault="00D733E1" w:rsidP="00C74C37">
      <w:pPr>
        <w:pStyle w:val="Heading5"/>
      </w:pPr>
      <w:r>
        <w:t>CAV website redevelopment project</w:t>
      </w:r>
    </w:p>
    <w:p w14:paraId="52F07C7A" w14:textId="1666595D" w:rsidR="00D733E1" w:rsidRDefault="00D733E1" w:rsidP="00D733E1">
      <w:pPr>
        <w:pStyle w:val="BodyText"/>
      </w:pPr>
      <w:r>
        <w:t>A crucial element of CAV’s digital presence is the CAV website. The website is a vital resource that</w:t>
      </w:r>
      <w:r w:rsidR="008B53D8">
        <w:t> </w:t>
      </w:r>
      <w:r>
        <w:t>helps consumers access information and services and understand their rights. It also supports business to understand their obligations. Ninety per cent of consumer engagement with CAV starts on</w:t>
      </w:r>
      <w:r w:rsidR="008B53D8">
        <w:t> </w:t>
      </w:r>
      <w:r>
        <w:t>the CAV website.</w:t>
      </w:r>
    </w:p>
    <w:p w14:paraId="6EE44024" w14:textId="671B476F" w:rsidR="00D733E1" w:rsidRDefault="00D733E1" w:rsidP="00D733E1">
      <w:pPr>
        <w:pStyle w:val="BodyText"/>
      </w:pPr>
      <w:r>
        <w:t>As part of a website redevelopment project, running across the entire year, we undertook a significant content uplift and restructuring of the website navigation. The project is delivering an increasingly human-centric site with content that is easier to find and understand. We simplified the main ‘contact us’ page and improved specific sections such as the ‘Understanding property prices and underquoting for buyers’ section. We redeveloped this content to support the government’s announcement of an Underquoting Taskforce.</w:t>
      </w:r>
    </w:p>
    <w:p w14:paraId="457D8D87" w14:textId="7F8D0AA5" w:rsidR="00D733E1" w:rsidRDefault="00D733E1" w:rsidP="00D733E1">
      <w:pPr>
        <w:pStyle w:val="BodyText"/>
      </w:pPr>
      <w:r>
        <w:t>We will continue to improve content and publish navigation upgrades during the coming year.</w:t>
      </w:r>
    </w:p>
    <w:p w14:paraId="7CAB55F9" w14:textId="0F7292E1" w:rsidR="00D733E1" w:rsidRDefault="00D733E1" w:rsidP="00C74C37">
      <w:pPr>
        <w:pStyle w:val="Heading5"/>
      </w:pPr>
      <w:r>
        <w:t>Contact centre uplift</w:t>
      </w:r>
    </w:p>
    <w:p w14:paraId="540E1ACE" w14:textId="26221E5A" w:rsidR="00D733E1" w:rsidRDefault="00D733E1" w:rsidP="00D733E1">
      <w:pPr>
        <w:pStyle w:val="BodyText"/>
      </w:pPr>
      <w:r>
        <w:t>Efficient and informative frontline advice services complement website and other content to support consumers in getting the information they need. Uplifting call handling technology and increasing integration with case management systems are opportunities to significantly improve how we provide these services to Victorians.</w:t>
      </w:r>
    </w:p>
    <w:p w14:paraId="3C2739A9" w14:textId="72D77673" w:rsidR="00D733E1" w:rsidRDefault="00D733E1" w:rsidP="00D733E1">
      <w:pPr>
        <w:pStyle w:val="BodyText"/>
      </w:pPr>
      <w:r>
        <w:t>Following the Machinery of Government changes that came into effect in January 2023, providing better contact centre services has been a priority for DGS. CAV has collaborated with other DGS agencies on opportunities to improve services and platform technology.</w:t>
      </w:r>
    </w:p>
    <w:p w14:paraId="47DBE6A7" w14:textId="7631E68F" w:rsidR="00D733E1" w:rsidRDefault="00D733E1" w:rsidP="00D733E1">
      <w:pPr>
        <w:pStyle w:val="BodyText"/>
      </w:pPr>
      <w:r>
        <w:t>We will continue to partner with other DGS service agencies to provide support, and to help clarify our</w:t>
      </w:r>
      <w:r w:rsidR="008B53D8">
        <w:t> </w:t>
      </w:r>
      <w:r>
        <w:t>business requirements and inform any necessary procurement activities. Through this, we will assess how we can best uplift our contact centre in the way that most effectively supports Victorian consumers.</w:t>
      </w:r>
    </w:p>
    <w:p w14:paraId="5A2C81D6" w14:textId="73D152C8" w:rsidR="00D733E1" w:rsidRDefault="00D733E1" w:rsidP="00C74C37">
      <w:pPr>
        <w:pStyle w:val="Heading5"/>
      </w:pPr>
      <w:r>
        <w:t>Digital improvements to licensing and registration online systems</w:t>
      </w:r>
    </w:p>
    <w:p w14:paraId="787DE187" w14:textId="4FDBC1D0" w:rsidR="00D733E1" w:rsidRDefault="00D733E1" w:rsidP="00D733E1">
      <w:pPr>
        <w:pStyle w:val="BodyText"/>
      </w:pPr>
      <w:r>
        <w:t>We continued to make licensing and registration schemes easier and more accessible for users. CAV</w:t>
      </w:r>
      <w:r w:rsidR="008B53D8">
        <w:t> </w:t>
      </w:r>
      <w:r>
        <w:t>and the Business Licensing Authority administer the schemes, which have moved from legacy systems to a single enterprise platform using Microsoft Dynamics. Users manage their licence or registration via a web-based transactional portal called myCAV.</w:t>
      </w:r>
    </w:p>
    <w:p w14:paraId="104202BD" w14:textId="73301777" w:rsidR="00D733E1" w:rsidRDefault="00D733E1" w:rsidP="00D733E1">
      <w:pPr>
        <w:pStyle w:val="BodyText"/>
      </w:pPr>
      <w:r>
        <w:t>Our digital improvement strategy has streamlined processes and made services to businesses and</w:t>
      </w:r>
      <w:r w:rsidR="008B53D8">
        <w:t> </w:t>
      </w:r>
      <w:r>
        <w:t>community organisations more efficient and responsive.</w:t>
      </w:r>
    </w:p>
    <w:p w14:paraId="4F6FC887" w14:textId="23D22DA2" w:rsidR="00D733E1" w:rsidRDefault="00D733E1" w:rsidP="00D733E1">
      <w:pPr>
        <w:pStyle w:val="BodyText"/>
      </w:pPr>
      <w:r>
        <w:t>We moved our Motor Car Trader and Second</w:t>
      </w:r>
      <w:r>
        <w:rPr>
          <w:rFonts w:ascii="Times New Roman" w:hAnsi="Times New Roman" w:cs="Times New Roman"/>
        </w:rPr>
        <w:t>‑</w:t>
      </w:r>
      <w:r>
        <w:t>Hand Dealer and Pawnbroker schemes to Microsoft Dynamics and myCAV in May 2023. Over 2,000 motor car traders and nearly 3,000 second-hand dealers can now manage their regulatory obligations using myCAV. Together they lodged more than</w:t>
      </w:r>
      <w:r w:rsidR="008B53D8">
        <w:t> </w:t>
      </w:r>
      <w:r>
        <w:t>1,300 annual statements using myCAV between 2 May 2023 and 30 June 2023.</w:t>
      </w:r>
    </w:p>
    <w:p w14:paraId="0E6CC1E8" w14:textId="238F255E" w:rsidR="00D733E1" w:rsidRDefault="00D733E1" w:rsidP="00D733E1">
      <w:pPr>
        <w:pStyle w:val="BodyText"/>
      </w:pPr>
      <w:r>
        <w:t>In a first for licensing applicants using myCAV, engineers have been able to use Service Victoria’s online identity verification service since January 2022 to streamline the registration process and reduce the administrative burden for them. We have continued to integrate this service into myCAV transactions, making it easier for other professionals such as estate agents and conveyancers also to</w:t>
      </w:r>
      <w:r w:rsidR="008B53D8">
        <w:t> </w:t>
      </w:r>
      <w:r>
        <w:t>provide and verify their identity online. During the year we further extended Service Victoria online identity verification to motor car traders and second-hand dealers.</w:t>
      </w:r>
    </w:p>
    <w:p w14:paraId="7D57931B" w14:textId="3B78B5B3" w:rsidR="00D733E1" w:rsidRDefault="00D733E1" w:rsidP="00163339">
      <w:pPr>
        <w:pStyle w:val="Caption"/>
      </w:pPr>
      <w:r>
        <w:t>Table: Information, advice and assistance provided to consumers</w:t>
      </w:r>
    </w:p>
    <w:tbl>
      <w:tblPr>
        <w:tblStyle w:val="TableGrid"/>
        <w:tblW w:w="9072" w:type="dxa"/>
        <w:tblLayout w:type="fixed"/>
        <w:tblLook w:val="06A0" w:firstRow="1" w:lastRow="0" w:firstColumn="1" w:lastColumn="0" w:noHBand="1" w:noVBand="1"/>
      </w:tblPr>
      <w:tblGrid>
        <w:gridCol w:w="6009"/>
        <w:gridCol w:w="1021"/>
        <w:gridCol w:w="1021"/>
        <w:gridCol w:w="1021"/>
      </w:tblGrid>
      <w:tr w:rsidR="00D733E1" w14:paraId="5DC164AA" w14:textId="77777777" w:rsidTr="0044031A">
        <w:trPr>
          <w:cnfStyle w:val="100000000000" w:firstRow="1" w:lastRow="0" w:firstColumn="0" w:lastColumn="0" w:oddVBand="0" w:evenVBand="0" w:oddHBand="0" w:evenHBand="0" w:firstRowFirstColumn="0" w:firstRowLastColumn="0" w:lastRowFirstColumn="0" w:lastRowLastColumn="0"/>
          <w:trHeight w:val="283"/>
          <w:tblHeader/>
        </w:trPr>
        <w:tc>
          <w:tcPr>
            <w:tcW w:w="6010" w:type="dxa"/>
          </w:tcPr>
          <w:p w14:paraId="23B36AFF" w14:textId="77777777" w:rsidR="00D733E1" w:rsidRDefault="00D733E1" w:rsidP="00D733E1">
            <w:pPr>
              <w:pStyle w:val="TableColHead"/>
            </w:pPr>
          </w:p>
        </w:tc>
        <w:tc>
          <w:tcPr>
            <w:tcW w:w="1021" w:type="dxa"/>
          </w:tcPr>
          <w:p w14:paraId="351C799A" w14:textId="77777777" w:rsidR="00D733E1" w:rsidRDefault="00D733E1" w:rsidP="00163339">
            <w:pPr>
              <w:pStyle w:val="TableColHeadRight"/>
            </w:pPr>
            <w:r>
              <w:t>2020–21</w:t>
            </w:r>
          </w:p>
        </w:tc>
        <w:tc>
          <w:tcPr>
            <w:tcW w:w="1021" w:type="dxa"/>
          </w:tcPr>
          <w:p w14:paraId="2071CEEE" w14:textId="77777777" w:rsidR="00D733E1" w:rsidRDefault="00D733E1" w:rsidP="00163339">
            <w:pPr>
              <w:pStyle w:val="TableColHeadRight"/>
            </w:pPr>
            <w:r>
              <w:t>2021–22</w:t>
            </w:r>
          </w:p>
        </w:tc>
        <w:tc>
          <w:tcPr>
            <w:tcW w:w="1021" w:type="dxa"/>
          </w:tcPr>
          <w:p w14:paraId="491C4CF6" w14:textId="77777777" w:rsidR="00D733E1" w:rsidRDefault="00D733E1" w:rsidP="00163339">
            <w:pPr>
              <w:pStyle w:val="TableColHeadRight"/>
            </w:pPr>
            <w:r>
              <w:t>2022–23</w:t>
            </w:r>
          </w:p>
        </w:tc>
      </w:tr>
      <w:tr w:rsidR="00D733E1" w14:paraId="28AE6303" w14:textId="77777777" w:rsidTr="0044031A">
        <w:trPr>
          <w:trHeight w:val="283"/>
        </w:trPr>
        <w:tc>
          <w:tcPr>
            <w:tcW w:w="6010" w:type="dxa"/>
            <w:gridSpan w:val="4"/>
            <w:shd w:val="clear" w:color="auto" w:fill="BCCAE5"/>
          </w:tcPr>
          <w:p w14:paraId="5F3FABCB" w14:textId="14FB031D" w:rsidR="00D733E1" w:rsidRDefault="00D733E1" w:rsidP="00163339">
            <w:pPr>
              <w:pStyle w:val="TableTextBold"/>
            </w:pPr>
            <w:r>
              <w:t>Information and advice</w:t>
            </w:r>
          </w:p>
        </w:tc>
      </w:tr>
      <w:tr w:rsidR="00D733E1" w14:paraId="1C409EB6" w14:textId="77777777" w:rsidTr="0044031A">
        <w:trPr>
          <w:trHeight w:val="283"/>
        </w:trPr>
        <w:tc>
          <w:tcPr>
            <w:tcW w:w="6010" w:type="dxa"/>
          </w:tcPr>
          <w:p w14:paraId="451942E1" w14:textId="0180A2AD" w:rsidR="00D733E1" w:rsidRDefault="00D733E1" w:rsidP="00163339">
            <w:pPr>
              <w:pStyle w:val="TableText"/>
            </w:pPr>
            <w:r>
              <w:t>Calls answered</w:t>
            </w:r>
          </w:p>
        </w:tc>
        <w:tc>
          <w:tcPr>
            <w:tcW w:w="1021" w:type="dxa"/>
          </w:tcPr>
          <w:p w14:paraId="752794F1" w14:textId="77777777" w:rsidR="00D733E1" w:rsidRDefault="00D733E1" w:rsidP="00163339">
            <w:pPr>
              <w:pStyle w:val="TableTextRight"/>
            </w:pPr>
            <w:r>
              <w:t>205,508</w:t>
            </w:r>
          </w:p>
        </w:tc>
        <w:tc>
          <w:tcPr>
            <w:tcW w:w="1021" w:type="dxa"/>
          </w:tcPr>
          <w:p w14:paraId="0A89CE46" w14:textId="77777777" w:rsidR="00D733E1" w:rsidRDefault="00D733E1" w:rsidP="00163339">
            <w:pPr>
              <w:pStyle w:val="TableTextRight"/>
            </w:pPr>
            <w:r>
              <w:t>245,141</w:t>
            </w:r>
          </w:p>
        </w:tc>
        <w:tc>
          <w:tcPr>
            <w:tcW w:w="1021" w:type="dxa"/>
          </w:tcPr>
          <w:p w14:paraId="63BB1C7C" w14:textId="77777777" w:rsidR="00D733E1" w:rsidRDefault="00D733E1" w:rsidP="00163339">
            <w:pPr>
              <w:pStyle w:val="TableTextRight"/>
            </w:pPr>
            <w:r>
              <w:t>206,025</w:t>
            </w:r>
          </w:p>
        </w:tc>
      </w:tr>
      <w:tr w:rsidR="00D733E1" w14:paraId="2D4BD888" w14:textId="77777777" w:rsidTr="0044031A">
        <w:trPr>
          <w:trHeight w:val="283"/>
        </w:trPr>
        <w:tc>
          <w:tcPr>
            <w:tcW w:w="6010" w:type="dxa"/>
            <w:gridSpan w:val="4"/>
            <w:shd w:val="clear" w:color="auto" w:fill="BCCAE5"/>
          </w:tcPr>
          <w:p w14:paraId="7615618A" w14:textId="4E70260E" w:rsidR="00D733E1" w:rsidRDefault="00D733E1" w:rsidP="00163339">
            <w:pPr>
              <w:pStyle w:val="TableTextBold"/>
            </w:pPr>
            <w:r>
              <w:t>Advice provided to resolve disputes</w:t>
            </w:r>
          </w:p>
        </w:tc>
      </w:tr>
      <w:tr w:rsidR="00D733E1" w14:paraId="5BA8621B" w14:textId="77777777" w:rsidTr="0044031A">
        <w:trPr>
          <w:trHeight w:val="283"/>
        </w:trPr>
        <w:tc>
          <w:tcPr>
            <w:tcW w:w="6010" w:type="dxa"/>
          </w:tcPr>
          <w:p w14:paraId="51BE9460" w14:textId="65274470" w:rsidR="00D733E1" w:rsidRDefault="00D733E1" w:rsidP="00163339">
            <w:pPr>
              <w:pStyle w:val="TableText"/>
            </w:pPr>
            <w:r>
              <w:t>Disputes finalised</w:t>
            </w:r>
          </w:p>
        </w:tc>
        <w:tc>
          <w:tcPr>
            <w:tcW w:w="1021" w:type="dxa"/>
          </w:tcPr>
          <w:p w14:paraId="174EFED8" w14:textId="77777777" w:rsidR="00D733E1" w:rsidRDefault="00D733E1" w:rsidP="00163339">
            <w:pPr>
              <w:pStyle w:val="TableTextRight"/>
            </w:pPr>
            <w:r>
              <w:t>26,757</w:t>
            </w:r>
          </w:p>
        </w:tc>
        <w:tc>
          <w:tcPr>
            <w:tcW w:w="1021" w:type="dxa"/>
          </w:tcPr>
          <w:p w14:paraId="4C936163" w14:textId="77777777" w:rsidR="00D733E1" w:rsidRDefault="00D733E1" w:rsidP="00163339">
            <w:pPr>
              <w:pStyle w:val="TableTextRight"/>
            </w:pPr>
            <w:r>
              <w:t>6,709</w:t>
            </w:r>
          </w:p>
        </w:tc>
        <w:tc>
          <w:tcPr>
            <w:tcW w:w="1021" w:type="dxa"/>
          </w:tcPr>
          <w:p w14:paraId="4D0BE04A" w14:textId="77777777" w:rsidR="00D733E1" w:rsidRDefault="00D733E1" w:rsidP="00163339">
            <w:pPr>
              <w:pStyle w:val="TableTextRight"/>
            </w:pPr>
            <w:r>
              <w:t>4,730</w:t>
            </w:r>
          </w:p>
        </w:tc>
      </w:tr>
      <w:tr w:rsidR="00D733E1" w14:paraId="576B79C3" w14:textId="77777777" w:rsidTr="0044031A">
        <w:trPr>
          <w:trHeight w:val="283"/>
        </w:trPr>
        <w:tc>
          <w:tcPr>
            <w:tcW w:w="6010" w:type="dxa"/>
            <w:gridSpan w:val="4"/>
            <w:shd w:val="clear" w:color="auto" w:fill="BCCAE5"/>
          </w:tcPr>
          <w:p w14:paraId="65C87CE0" w14:textId="77777777" w:rsidR="00D733E1" w:rsidRDefault="00D733E1" w:rsidP="00163339">
            <w:pPr>
              <w:pStyle w:val="TableTextBold"/>
            </w:pPr>
            <w:r>
              <w:t>Digital</w:t>
            </w:r>
          </w:p>
        </w:tc>
      </w:tr>
      <w:tr w:rsidR="00D733E1" w14:paraId="5362597B" w14:textId="77777777" w:rsidTr="0044031A">
        <w:trPr>
          <w:trHeight w:val="283"/>
        </w:trPr>
        <w:tc>
          <w:tcPr>
            <w:tcW w:w="6010" w:type="dxa"/>
          </w:tcPr>
          <w:p w14:paraId="512B0641" w14:textId="03632367" w:rsidR="00D733E1" w:rsidRDefault="00D733E1" w:rsidP="00163339">
            <w:pPr>
              <w:pStyle w:val="TableText"/>
            </w:pPr>
            <w:r>
              <w:t>Website visits</w:t>
            </w:r>
          </w:p>
        </w:tc>
        <w:tc>
          <w:tcPr>
            <w:tcW w:w="1021" w:type="dxa"/>
          </w:tcPr>
          <w:p w14:paraId="7A9BD256" w14:textId="77777777" w:rsidR="00D733E1" w:rsidRDefault="00D733E1" w:rsidP="00163339">
            <w:pPr>
              <w:pStyle w:val="TableTextRight"/>
            </w:pPr>
            <w:r>
              <w:t>5,723,880</w:t>
            </w:r>
          </w:p>
        </w:tc>
        <w:tc>
          <w:tcPr>
            <w:tcW w:w="1021" w:type="dxa"/>
          </w:tcPr>
          <w:p w14:paraId="46E12E91" w14:textId="77777777" w:rsidR="00D733E1" w:rsidRDefault="00D733E1" w:rsidP="00163339">
            <w:pPr>
              <w:pStyle w:val="TableTextRight"/>
            </w:pPr>
            <w:r>
              <w:t>5,415,957</w:t>
            </w:r>
          </w:p>
        </w:tc>
        <w:tc>
          <w:tcPr>
            <w:tcW w:w="1021" w:type="dxa"/>
          </w:tcPr>
          <w:p w14:paraId="47C45E4C" w14:textId="77777777" w:rsidR="00D733E1" w:rsidRDefault="00D733E1" w:rsidP="00163339">
            <w:pPr>
              <w:pStyle w:val="TableTextRight"/>
            </w:pPr>
            <w:r>
              <w:t>5,664,114</w:t>
            </w:r>
          </w:p>
        </w:tc>
      </w:tr>
      <w:tr w:rsidR="00D733E1" w14:paraId="7E83B80F" w14:textId="77777777" w:rsidTr="0044031A">
        <w:trPr>
          <w:trHeight w:val="283"/>
        </w:trPr>
        <w:tc>
          <w:tcPr>
            <w:tcW w:w="6010" w:type="dxa"/>
          </w:tcPr>
          <w:p w14:paraId="7F0FB5A5" w14:textId="7325601D" w:rsidR="00D733E1" w:rsidRDefault="00D733E1" w:rsidP="00163339">
            <w:pPr>
              <w:pStyle w:val="TableText"/>
            </w:pPr>
            <w:r>
              <w:t>Letters, emails and online enquiry form contacts</w:t>
            </w:r>
          </w:p>
        </w:tc>
        <w:tc>
          <w:tcPr>
            <w:tcW w:w="1021" w:type="dxa"/>
          </w:tcPr>
          <w:p w14:paraId="18B885B6" w14:textId="77777777" w:rsidR="00D733E1" w:rsidRDefault="00D733E1" w:rsidP="00163339">
            <w:pPr>
              <w:pStyle w:val="TableTextRight"/>
            </w:pPr>
            <w:r>
              <w:t>91,029</w:t>
            </w:r>
          </w:p>
        </w:tc>
        <w:tc>
          <w:tcPr>
            <w:tcW w:w="1021" w:type="dxa"/>
          </w:tcPr>
          <w:p w14:paraId="79EE59E0" w14:textId="77777777" w:rsidR="00D733E1" w:rsidRDefault="00D733E1" w:rsidP="00163339">
            <w:pPr>
              <w:pStyle w:val="TableTextRight"/>
            </w:pPr>
            <w:r>
              <w:t>63,325</w:t>
            </w:r>
          </w:p>
        </w:tc>
        <w:tc>
          <w:tcPr>
            <w:tcW w:w="1021" w:type="dxa"/>
          </w:tcPr>
          <w:p w14:paraId="47FAE082" w14:textId="77777777" w:rsidR="00D733E1" w:rsidRDefault="00D733E1" w:rsidP="00163339">
            <w:pPr>
              <w:pStyle w:val="TableTextRight"/>
            </w:pPr>
            <w:r>
              <w:t>75,797</w:t>
            </w:r>
          </w:p>
        </w:tc>
      </w:tr>
      <w:tr w:rsidR="00D733E1" w14:paraId="6F642667" w14:textId="77777777" w:rsidTr="0044031A">
        <w:trPr>
          <w:trHeight w:val="283"/>
        </w:trPr>
        <w:tc>
          <w:tcPr>
            <w:tcW w:w="6010" w:type="dxa"/>
          </w:tcPr>
          <w:p w14:paraId="1E3919AD" w14:textId="224F550B" w:rsidR="00D733E1" w:rsidRDefault="00D733E1" w:rsidP="00163339">
            <w:pPr>
              <w:pStyle w:val="TableText"/>
            </w:pPr>
            <w:r>
              <w:t>Twitter followers</w:t>
            </w:r>
          </w:p>
        </w:tc>
        <w:tc>
          <w:tcPr>
            <w:tcW w:w="1021" w:type="dxa"/>
          </w:tcPr>
          <w:p w14:paraId="0F9AD000" w14:textId="77777777" w:rsidR="00D733E1" w:rsidRDefault="00D733E1" w:rsidP="00163339">
            <w:pPr>
              <w:pStyle w:val="TableTextRight"/>
            </w:pPr>
            <w:r>
              <w:t>10,634</w:t>
            </w:r>
          </w:p>
        </w:tc>
        <w:tc>
          <w:tcPr>
            <w:tcW w:w="1021" w:type="dxa"/>
          </w:tcPr>
          <w:p w14:paraId="412A54C9" w14:textId="77777777" w:rsidR="00D733E1" w:rsidRDefault="00D733E1" w:rsidP="00163339">
            <w:pPr>
              <w:pStyle w:val="TableTextRight"/>
            </w:pPr>
            <w:r>
              <w:t>10,717</w:t>
            </w:r>
          </w:p>
        </w:tc>
        <w:tc>
          <w:tcPr>
            <w:tcW w:w="1021" w:type="dxa"/>
          </w:tcPr>
          <w:p w14:paraId="1003731F" w14:textId="77777777" w:rsidR="00D733E1" w:rsidRDefault="00D733E1" w:rsidP="00163339">
            <w:pPr>
              <w:pStyle w:val="TableTextRight"/>
            </w:pPr>
            <w:r>
              <w:t>10,557</w:t>
            </w:r>
          </w:p>
        </w:tc>
      </w:tr>
      <w:tr w:rsidR="00D733E1" w14:paraId="30F4FF9E" w14:textId="77777777" w:rsidTr="0044031A">
        <w:trPr>
          <w:trHeight w:val="283"/>
        </w:trPr>
        <w:tc>
          <w:tcPr>
            <w:tcW w:w="6010" w:type="dxa"/>
          </w:tcPr>
          <w:p w14:paraId="70223BD2" w14:textId="559E7E34" w:rsidR="00D733E1" w:rsidRDefault="00D733E1" w:rsidP="00163339">
            <w:pPr>
              <w:pStyle w:val="TableText"/>
            </w:pPr>
            <w:r>
              <w:t>Facebook page likes</w:t>
            </w:r>
          </w:p>
        </w:tc>
        <w:tc>
          <w:tcPr>
            <w:tcW w:w="1021" w:type="dxa"/>
          </w:tcPr>
          <w:p w14:paraId="6C5DD19C" w14:textId="77777777" w:rsidR="00D733E1" w:rsidRDefault="00D733E1" w:rsidP="00163339">
            <w:pPr>
              <w:pStyle w:val="TableTextRight"/>
            </w:pPr>
            <w:r>
              <w:t>49,693</w:t>
            </w:r>
          </w:p>
        </w:tc>
        <w:tc>
          <w:tcPr>
            <w:tcW w:w="1021" w:type="dxa"/>
          </w:tcPr>
          <w:p w14:paraId="663F4448" w14:textId="77777777" w:rsidR="00D733E1" w:rsidRDefault="00D733E1" w:rsidP="00163339">
            <w:pPr>
              <w:pStyle w:val="TableTextRight"/>
            </w:pPr>
            <w:r>
              <w:t>49,941</w:t>
            </w:r>
          </w:p>
        </w:tc>
        <w:tc>
          <w:tcPr>
            <w:tcW w:w="1021" w:type="dxa"/>
          </w:tcPr>
          <w:p w14:paraId="242B6CAD" w14:textId="77777777" w:rsidR="00D733E1" w:rsidRDefault="00D733E1" w:rsidP="00163339">
            <w:pPr>
              <w:pStyle w:val="TableTextRight"/>
            </w:pPr>
            <w:r>
              <w:t>52,388</w:t>
            </w:r>
          </w:p>
        </w:tc>
      </w:tr>
      <w:tr w:rsidR="00D733E1" w14:paraId="096ADAA7" w14:textId="77777777" w:rsidTr="0044031A">
        <w:trPr>
          <w:trHeight w:val="283"/>
        </w:trPr>
        <w:tc>
          <w:tcPr>
            <w:tcW w:w="6010" w:type="dxa"/>
          </w:tcPr>
          <w:p w14:paraId="41FF10E9" w14:textId="281833D6" w:rsidR="00D733E1" w:rsidRDefault="00D733E1" w:rsidP="00163339">
            <w:pPr>
              <w:pStyle w:val="TableText"/>
            </w:pPr>
            <w:r>
              <w:t>YouTube video views</w:t>
            </w:r>
          </w:p>
        </w:tc>
        <w:tc>
          <w:tcPr>
            <w:tcW w:w="1021" w:type="dxa"/>
          </w:tcPr>
          <w:p w14:paraId="7138A38B" w14:textId="77777777" w:rsidR="00D733E1" w:rsidRDefault="00D733E1" w:rsidP="00163339">
            <w:pPr>
              <w:pStyle w:val="TableTextRight"/>
            </w:pPr>
            <w:r>
              <w:t>113,938</w:t>
            </w:r>
          </w:p>
        </w:tc>
        <w:tc>
          <w:tcPr>
            <w:tcW w:w="1021" w:type="dxa"/>
          </w:tcPr>
          <w:p w14:paraId="24E6F0BA" w14:textId="77777777" w:rsidR="00D733E1" w:rsidRDefault="00D733E1" w:rsidP="00163339">
            <w:pPr>
              <w:pStyle w:val="TableTextRight"/>
            </w:pPr>
            <w:r>
              <w:t>68,363</w:t>
            </w:r>
          </w:p>
        </w:tc>
        <w:tc>
          <w:tcPr>
            <w:tcW w:w="1021" w:type="dxa"/>
          </w:tcPr>
          <w:p w14:paraId="4AADD255" w14:textId="77777777" w:rsidR="00D733E1" w:rsidRDefault="00D733E1" w:rsidP="00163339">
            <w:pPr>
              <w:pStyle w:val="TableTextRight"/>
            </w:pPr>
            <w:r>
              <w:t>54,594</w:t>
            </w:r>
          </w:p>
        </w:tc>
      </w:tr>
      <w:tr w:rsidR="00D733E1" w14:paraId="7FA75432" w14:textId="77777777" w:rsidTr="0044031A">
        <w:trPr>
          <w:trHeight w:val="283"/>
        </w:trPr>
        <w:tc>
          <w:tcPr>
            <w:tcW w:w="6010" w:type="dxa"/>
            <w:gridSpan w:val="4"/>
            <w:shd w:val="clear" w:color="auto" w:fill="BCCAE5"/>
          </w:tcPr>
          <w:p w14:paraId="6352EEFD" w14:textId="32ACCF30" w:rsidR="00D733E1" w:rsidRDefault="00D733E1" w:rsidP="00163339">
            <w:pPr>
              <w:pStyle w:val="TableTextBold"/>
            </w:pPr>
            <w:r>
              <w:t>Face-to-face or intensive assistance (funded community services)</w:t>
            </w:r>
          </w:p>
        </w:tc>
      </w:tr>
      <w:tr w:rsidR="00D733E1" w14:paraId="3269BDAC" w14:textId="77777777" w:rsidTr="0044031A">
        <w:trPr>
          <w:trHeight w:val="283"/>
        </w:trPr>
        <w:tc>
          <w:tcPr>
            <w:tcW w:w="6010" w:type="dxa"/>
          </w:tcPr>
          <w:p w14:paraId="5155FEC5" w14:textId="3CF51136" w:rsidR="00D733E1" w:rsidRDefault="00D733E1" w:rsidP="00163339">
            <w:pPr>
              <w:pStyle w:val="TableText"/>
            </w:pPr>
            <w:r>
              <w:t>Victorians assisted under the Consumer Assistance and Advocacy Program</w:t>
            </w:r>
          </w:p>
        </w:tc>
        <w:tc>
          <w:tcPr>
            <w:tcW w:w="1021" w:type="dxa"/>
          </w:tcPr>
          <w:p w14:paraId="6B1BA81A" w14:textId="77777777" w:rsidR="00D733E1" w:rsidRDefault="00D733E1" w:rsidP="00163339">
            <w:pPr>
              <w:pStyle w:val="TableTextRight"/>
            </w:pPr>
            <w:r>
              <w:t>287</w:t>
            </w:r>
          </w:p>
        </w:tc>
        <w:tc>
          <w:tcPr>
            <w:tcW w:w="1021" w:type="dxa"/>
          </w:tcPr>
          <w:p w14:paraId="1F0CD3CD" w14:textId="77777777" w:rsidR="00D733E1" w:rsidRDefault="00D733E1" w:rsidP="00163339">
            <w:pPr>
              <w:pStyle w:val="TableTextRight"/>
            </w:pPr>
            <w:r>
              <w:t>349</w:t>
            </w:r>
          </w:p>
        </w:tc>
        <w:tc>
          <w:tcPr>
            <w:tcW w:w="1021" w:type="dxa"/>
          </w:tcPr>
          <w:p w14:paraId="4A2617BE" w14:textId="77777777" w:rsidR="00D733E1" w:rsidRDefault="00D733E1" w:rsidP="00163339">
            <w:pPr>
              <w:pStyle w:val="TableTextRight"/>
            </w:pPr>
            <w:r>
              <w:t>270</w:t>
            </w:r>
          </w:p>
        </w:tc>
      </w:tr>
      <w:tr w:rsidR="00D733E1" w14:paraId="1A5F5BDD" w14:textId="77777777" w:rsidTr="0044031A">
        <w:trPr>
          <w:trHeight w:val="283"/>
        </w:trPr>
        <w:tc>
          <w:tcPr>
            <w:tcW w:w="6010" w:type="dxa"/>
          </w:tcPr>
          <w:p w14:paraId="1D9E4DAC" w14:textId="5B9A7DC4" w:rsidR="00D733E1" w:rsidRDefault="00D733E1" w:rsidP="00163339">
            <w:pPr>
              <w:pStyle w:val="TableText"/>
            </w:pPr>
            <w:r>
              <w:t>Clients assisted with financial counselling</w:t>
            </w:r>
          </w:p>
        </w:tc>
        <w:tc>
          <w:tcPr>
            <w:tcW w:w="1021" w:type="dxa"/>
          </w:tcPr>
          <w:p w14:paraId="5D167F52" w14:textId="77777777" w:rsidR="00D733E1" w:rsidRDefault="00D733E1" w:rsidP="00163339">
            <w:pPr>
              <w:pStyle w:val="TableTextRight"/>
            </w:pPr>
            <w:r>
              <w:t>20,386</w:t>
            </w:r>
          </w:p>
        </w:tc>
        <w:tc>
          <w:tcPr>
            <w:tcW w:w="1021" w:type="dxa"/>
          </w:tcPr>
          <w:p w14:paraId="431F63B3" w14:textId="77777777" w:rsidR="00D733E1" w:rsidRDefault="00D733E1" w:rsidP="00163339">
            <w:pPr>
              <w:pStyle w:val="TableTextRight"/>
            </w:pPr>
            <w:r>
              <w:t>21,223</w:t>
            </w:r>
          </w:p>
        </w:tc>
        <w:tc>
          <w:tcPr>
            <w:tcW w:w="1021" w:type="dxa"/>
          </w:tcPr>
          <w:p w14:paraId="2640ADFC" w14:textId="77777777" w:rsidR="00D733E1" w:rsidRDefault="00D733E1" w:rsidP="00163339">
            <w:pPr>
              <w:pStyle w:val="TableTextRight"/>
            </w:pPr>
            <w:r>
              <w:t>22,794</w:t>
            </w:r>
          </w:p>
        </w:tc>
      </w:tr>
    </w:tbl>
    <w:p w14:paraId="4AAE2A4F" w14:textId="4D76424B" w:rsidR="00D733E1" w:rsidRDefault="00D733E1" w:rsidP="00C74C37">
      <w:pPr>
        <w:pStyle w:val="Heading3"/>
      </w:pPr>
      <w:bookmarkStart w:id="18" w:name="_Toc149678441"/>
      <w:r>
        <w:t>A fair and safe rental market</w:t>
      </w:r>
      <w:bookmarkEnd w:id="18"/>
    </w:p>
    <w:p w14:paraId="1699FBC2" w14:textId="0984B9E6" w:rsidR="00D733E1" w:rsidRDefault="0079591B" w:rsidP="00D733E1">
      <w:pPr>
        <w:pStyle w:val="BodyText"/>
      </w:pPr>
      <w:r w:rsidRPr="0079591B">
        <w:t>2022–23 saw rents rise while the supply of rental accommodation fell. The Melbourne rental vacancy rate was 2.1% at the end of 2022–23, compared to 3.4% a year earlier. The median weekly rental price rose 15.7% in a year to $500</w:t>
      </w:r>
      <w:r w:rsidR="00D733E1">
        <w:t>.</w:t>
      </w:r>
      <w:r w:rsidR="00D733E1" w:rsidRPr="00020B2C">
        <w:rPr>
          <w:rStyle w:val="FootnoteReference"/>
        </w:rPr>
        <w:footnoteReference w:id="5"/>
      </w:r>
    </w:p>
    <w:p w14:paraId="2C5BF9E6" w14:textId="10799DF3" w:rsidR="00D733E1" w:rsidRDefault="00D733E1" w:rsidP="00D733E1">
      <w:pPr>
        <w:pStyle w:val="BodyText"/>
      </w:pPr>
      <w:r>
        <w:t>We remain focussed on supporting access to fair, safe and secure rental housing, and to making things easier for renters.</w:t>
      </w:r>
    </w:p>
    <w:p w14:paraId="5F8EBDC6" w14:textId="210DD34A" w:rsidR="00D733E1" w:rsidRDefault="00D733E1" w:rsidP="00C74C37">
      <w:pPr>
        <w:pStyle w:val="Heading4"/>
      </w:pPr>
      <w:r>
        <w:t>Renter assistance</w:t>
      </w:r>
    </w:p>
    <w:p w14:paraId="0213513D" w14:textId="6B21691B" w:rsidR="00D733E1" w:rsidRDefault="00D733E1" w:rsidP="00C74C37">
      <w:pPr>
        <w:pStyle w:val="Heading5"/>
      </w:pPr>
      <w:r>
        <w:t>Statutory rental services</w:t>
      </w:r>
    </w:p>
    <w:p w14:paraId="3A2051C0" w14:textId="6F43ABC9" w:rsidR="00D733E1" w:rsidRDefault="00D733E1" w:rsidP="00D733E1">
      <w:pPr>
        <w:pStyle w:val="BodyText"/>
      </w:pPr>
      <w:r>
        <w:t>We carry out investigations into rent levels at the request of renters who think a rent increase is excessive. If we assess an increase as excessive, we can help renters and rental providers reach an</w:t>
      </w:r>
      <w:r w:rsidR="008B53D8">
        <w:t> </w:t>
      </w:r>
      <w:r>
        <w:t>agreed rental price. If they cannot agree on the new rent, a renter can use our report to apply to</w:t>
      </w:r>
      <w:r w:rsidR="008B53D8">
        <w:t> </w:t>
      </w:r>
      <w:r>
        <w:t>the</w:t>
      </w:r>
      <w:r w:rsidR="008B53D8">
        <w:t> </w:t>
      </w:r>
      <w:r>
        <w:t>Victorian Civil and Administrative Tribunal (VCAT). VCAT may set a maximum rent.</w:t>
      </w:r>
    </w:p>
    <w:p w14:paraId="04ECFC43" w14:textId="23D91242" w:rsidR="00D733E1" w:rsidRDefault="00D733E1" w:rsidP="00D733E1">
      <w:pPr>
        <w:pStyle w:val="BodyText"/>
      </w:pPr>
      <w:r>
        <w:t>In 2022–23 we received more than 5,400 requests for reviews of rent increases. This was a greater than 120 per cent increase on 2021–22 and clearly reflects the current challenges in the rental market. We re</w:t>
      </w:r>
      <w:r>
        <w:rPr>
          <w:rFonts w:ascii="Times New Roman" w:hAnsi="Times New Roman" w:cs="Times New Roman"/>
        </w:rPr>
        <w:t>‑</w:t>
      </w:r>
      <w:r>
        <w:t>allocated our resources to meet this demand, asking our regional officers to conduct and complete these investigations as a priority. Our regional officers also conducted over 500 inspections where renters and rental providers had disputes over non-urgent repairs.</w:t>
      </w:r>
    </w:p>
    <w:p w14:paraId="129641BA" w14:textId="305AF5B1" w:rsidR="00D733E1" w:rsidRDefault="00D733E1" w:rsidP="00D733E1">
      <w:pPr>
        <w:pStyle w:val="BodyText"/>
      </w:pPr>
      <w:r>
        <w:t xml:space="preserve">We also fund state-wide, place-based renter assistance (see below) and financial counselling services to support Victorians in need. (See </w:t>
      </w:r>
      <w:hyperlink w:anchor="_Community_assistance_programs" w:history="1">
        <w:r w:rsidR="004E0BCF" w:rsidRPr="004E0BCF">
          <w:rPr>
            <w:rStyle w:val="Hyperlink"/>
          </w:rPr>
          <w:t>Community assistance programs</w:t>
        </w:r>
      </w:hyperlink>
      <w:r>
        <w:t xml:space="preserve"> on page </w:t>
      </w:r>
      <w:r w:rsidR="004E0BCF">
        <w:fldChar w:fldCharType="begin"/>
      </w:r>
      <w:r w:rsidR="004E0BCF">
        <w:instrText xml:space="preserve"> PAGEREF _Ref148558999 \h </w:instrText>
      </w:r>
      <w:r w:rsidR="004E0BCF">
        <w:fldChar w:fldCharType="separate"/>
      </w:r>
      <w:r w:rsidR="00BE26A8">
        <w:rPr>
          <w:noProof/>
        </w:rPr>
        <w:t>21</w:t>
      </w:r>
      <w:r w:rsidR="004E0BCF">
        <w:fldChar w:fldCharType="end"/>
      </w:r>
      <w:r>
        <w:t xml:space="preserve"> for details.)</w:t>
      </w:r>
    </w:p>
    <w:p w14:paraId="29643691" w14:textId="6C5796F7" w:rsidR="00D733E1" w:rsidRDefault="00D733E1" w:rsidP="00C74C37">
      <w:pPr>
        <w:pStyle w:val="Heading5"/>
      </w:pPr>
      <w:r>
        <w:t>Renter assistance programs</w:t>
      </w:r>
    </w:p>
    <w:p w14:paraId="048E22C9" w14:textId="25F3AF8A" w:rsidR="00D733E1" w:rsidRDefault="00D733E1" w:rsidP="00D733E1">
      <w:pPr>
        <w:pStyle w:val="BodyText"/>
      </w:pPr>
      <w:r>
        <w:t>We fund a number of renting programs:</w:t>
      </w:r>
    </w:p>
    <w:p w14:paraId="5BD91EC8" w14:textId="7AA7CFDF" w:rsidR="00D733E1" w:rsidRDefault="00D733E1" w:rsidP="00D261F8">
      <w:pPr>
        <w:pStyle w:val="ListBullet"/>
      </w:pPr>
      <w:r>
        <w:t>Tenancy Assistance and Advocacy Program (TAAP)</w:t>
      </w:r>
    </w:p>
    <w:p w14:paraId="337ECD7A" w14:textId="2FF16C73" w:rsidR="00D733E1" w:rsidRDefault="00D733E1" w:rsidP="00D261F8">
      <w:pPr>
        <w:pStyle w:val="ListBullet"/>
      </w:pPr>
      <w:r>
        <w:t>Tenancy Central Service (TCS)</w:t>
      </w:r>
    </w:p>
    <w:p w14:paraId="229D8D99" w14:textId="7BBFF1BB" w:rsidR="00D733E1" w:rsidRDefault="00D733E1" w:rsidP="00D261F8">
      <w:pPr>
        <w:pStyle w:val="ListBullet"/>
      </w:pPr>
      <w:r>
        <w:t>Retirement Housing Assistance and Advocacy Program (RHAAP)</w:t>
      </w:r>
    </w:p>
    <w:p w14:paraId="114DFCFA" w14:textId="3C97B737" w:rsidR="00D733E1" w:rsidRDefault="00D733E1" w:rsidP="00D261F8">
      <w:pPr>
        <w:pStyle w:val="ListBullet"/>
      </w:pPr>
      <w:r>
        <w:t>Rooming House Operator Best Practice Program.</w:t>
      </w:r>
    </w:p>
    <w:p w14:paraId="77EEC6DA" w14:textId="473E1C81" w:rsidR="00D733E1" w:rsidRDefault="00D733E1" w:rsidP="00D733E1">
      <w:pPr>
        <w:pStyle w:val="BodyText"/>
      </w:pPr>
      <w:r>
        <w:t>These programs provide support to vulnerable Victorians in private rentals or retirement housing and</w:t>
      </w:r>
      <w:r w:rsidR="008B53D8">
        <w:t> </w:t>
      </w:r>
      <w:r>
        <w:t>promote compliance for rooming house operators.</w:t>
      </w:r>
    </w:p>
    <w:p w14:paraId="1E4F96B4" w14:textId="6C6CCDEE" w:rsidR="00D733E1" w:rsidRDefault="00D733E1" w:rsidP="00D733E1">
      <w:pPr>
        <w:pStyle w:val="BodyText"/>
      </w:pPr>
      <w:r>
        <w:t>In 2022–23 the TAAP was funded $3.2 million to support renters in private rental properties (including rooming houses) where there is a private tenancy agreement covered by the Residential Tenancies Act 1997. TAAP advocates assist renters by providing information and referrals to additional supports, negotiation with rental providers and advocacy at VCAT. The program supported 8,410 Victorians in</w:t>
      </w:r>
      <w:r w:rsidR="008B53D8">
        <w:t> </w:t>
      </w:r>
      <w:r>
        <w:t>2022–23, empowering them to exercise their rights and resolve disputes with rental providers.</w:t>
      </w:r>
    </w:p>
    <w:p w14:paraId="6E553474" w14:textId="0B37FEA3" w:rsidR="00D733E1" w:rsidRDefault="00D733E1" w:rsidP="00D733E1">
      <w:pPr>
        <w:pStyle w:val="BodyText"/>
      </w:pPr>
      <w:r>
        <w:t>The TCS received $600,000 to support advocates and community workers through the worker advice line, community worker outreach and community of practice program and professional development for TAAP workers. The funding also supported tenancy campaigns, media, policy, and advocacy.</w:t>
      </w:r>
    </w:p>
    <w:p w14:paraId="55CA47C4" w14:textId="12EAA7CE" w:rsidR="00D733E1" w:rsidRDefault="00D733E1" w:rsidP="00D733E1">
      <w:pPr>
        <w:pStyle w:val="BodyText"/>
      </w:pPr>
      <w:r>
        <w:t>The RHAAP was funded for $300,000 and the program provided support to 437 elderly Victorian renters through the Retirement Housing Assistance Service (RHAS), retirement housing workers advice line and retirement housing campaigns, media, policy and advocacy.</w:t>
      </w:r>
    </w:p>
    <w:p w14:paraId="4C300D55" w14:textId="198048FE" w:rsidR="00D733E1" w:rsidRDefault="00D733E1" w:rsidP="00D733E1">
      <w:pPr>
        <w:pStyle w:val="BodyText"/>
      </w:pPr>
      <w:r>
        <w:t>The Rooming House Operator Best Practice Program received $90,000 for providing support to operators to meet their regulatory requirements. This improves rooming house accommodation for</w:t>
      </w:r>
      <w:r w:rsidR="008B53D8">
        <w:t> </w:t>
      </w:r>
      <w:r>
        <w:t>Victorians experiencing disadvantage.</w:t>
      </w:r>
    </w:p>
    <w:p w14:paraId="6A7C5BA1" w14:textId="77777777" w:rsidR="00D733E1" w:rsidRDefault="00D733E1" w:rsidP="00C74C37">
      <w:pPr>
        <w:pStyle w:val="Heading5"/>
      </w:pPr>
      <w:r>
        <w:t>Enforcement</w:t>
      </w:r>
    </w:p>
    <w:p w14:paraId="3FD422F4" w14:textId="04C0046A" w:rsidR="00D733E1" w:rsidRDefault="00D733E1" w:rsidP="00D733E1">
      <w:pPr>
        <w:pStyle w:val="BodyText"/>
      </w:pPr>
      <w:r>
        <w:t xml:space="preserve">In September 2022, Waterdale Estate Agents were convicted and fined for breaching residential tenancy laws during the first coronavirus wave after CAV took court action. The company cancelled students’ access to the apartment building containing their rented accommodation and served a Notice to Vacate in breach of the </w:t>
      </w:r>
      <w:r w:rsidRPr="008A66FE">
        <w:rPr>
          <w:rStyle w:val="Emphasis"/>
        </w:rPr>
        <w:t>Residential Tenancies Act 1997</w:t>
      </w:r>
      <w:r>
        <w:t xml:space="preserve"> (as amended in 2018) and their estate agent professional obligations.</w:t>
      </w:r>
    </w:p>
    <w:p w14:paraId="484DC0F5" w14:textId="79E5857A" w:rsidR="00D733E1" w:rsidRDefault="00D733E1" w:rsidP="00D733E1">
      <w:pPr>
        <w:pStyle w:val="BodyText"/>
      </w:pPr>
      <w:r>
        <w:t>These renters were particularly vulnerable international students, who were far from their homes and</w:t>
      </w:r>
      <w:r w:rsidR="008B53D8">
        <w:t> </w:t>
      </w:r>
      <w:r>
        <w:t>families at the start of the pandemic.</w:t>
      </w:r>
    </w:p>
    <w:p w14:paraId="69F05A6E" w14:textId="7F780541" w:rsidR="00D733E1" w:rsidRDefault="00D733E1" w:rsidP="00C74C37">
      <w:pPr>
        <w:pStyle w:val="Heading4"/>
      </w:pPr>
      <w:r>
        <w:t>Legislative reform and government initiatives</w:t>
      </w:r>
    </w:p>
    <w:p w14:paraId="44CA2F96" w14:textId="7D18E0E9" w:rsidR="00D733E1" w:rsidRDefault="00D733E1" w:rsidP="00D733E1">
      <w:pPr>
        <w:pStyle w:val="BodyText"/>
      </w:pPr>
      <w:r>
        <w:t>On 29 March 2021, more than 130 rental reforms were introduced covering minimum standards, repairs and modifications, limiting rent increases to once per year and banning rental bidding. Rental</w:t>
      </w:r>
      <w:r w:rsidR="008B53D8">
        <w:t> </w:t>
      </w:r>
      <w:r>
        <w:t>providers and their agents can now only advertise or offer rental properties at a fixed price. They are banned from inviting rental bids or requesting offers higher than the advertised rent.</w:t>
      </w:r>
    </w:p>
    <w:p w14:paraId="1B90707A" w14:textId="289B03B8" w:rsidR="00D733E1" w:rsidRDefault="00D733E1" w:rsidP="00DF73E7">
      <w:pPr>
        <w:pStyle w:val="Heading5"/>
        <w:pageBreakBefore/>
      </w:pPr>
      <w:r>
        <w:t>Electrical safety minimum standards and heating minimum standards</w:t>
      </w:r>
    </w:p>
    <w:p w14:paraId="0F37A9C7" w14:textId="4BFA5272" w:rsidR="00D733E1" w:rsidRDefault="00D733E1" w:rsidP="00D733E1">
      <w:pPr>
        <w:pStyle w:val="BodyText"/>
      </w:pPr>
      <w:r>
        <w:t>The department implemented new electrical and heating minimum standards for rental properties on</w:t>
      </w:r>
      <w:r w:rsidR="008B53D8">
        <w:t> </w:t>
      </w:r>
      <w:r>
        <w:t>29 March 2023, to make them safer and more comfortable.</w:t>
      </w:r>
    </w:p>
    <w:p w14:paraId="6578E645" w14:textId="166652F2" w:rsidR="00D733E1" w:rsidRDefault="00D733E1" w:rsidP="00D733E1">
      <w:pPr>
        <w:pStyle w:val="BodyText"/>
      </w:pPr>
      <w:r>
        <w:t>Rental properties must now have all power outlets and lighting circuits connected to a switchboard type circuit breaker and a switchboard type residual current device that complies with Australian and New Zealand standards. They must also have an energy efficient fixed heater installed in the main living area of the home. These new standards apply to rental agreements that started from 29 March 2023.</w:t>
      </w:r>
    </w:p>
    <w:p w14:paraId="6A26E0FF" w14:textId="62842ABB" w:rsidR="00D733E1" w:rsidRDefault="00D733E1" w:rsidP="00C74C37">
      <w:pPr>
        <w:pStyle w:val="Heading5"/>
      </w:pPr>
      <w:r>
        <w:t>Rooming houses minimum standards</w:t>
      </w:r>
    </w:p>
    <w:p w14:paraId="7092811B" w14:textId="7AC9E3DD" w:rsidR="00D733E1" w:rsidRDefault="00D733E1" w:rsidP="00D733E1">
      <w:pPr>
        <w:pStyle w:val="BodyText"/>
      </w:pPr>
      <w:r>
        <w:t>Rooming houses are often the last resort for some of the most vulnerable Victorians and we are committed to their effective regulation.</w:t>
      </w:r>
    </w:p>
    <w:p w14:paraId="3F6FED48" w14:textId="204DC74C" w:rsidR="00D733E1" w:rsidRDefault="00D733E1" w:rsidP="00D733E1">
      <w:pPr>
        <w:pStyle w:val="BodyText"/>
      </w:pPr>
      <w:r>
        <w:t>The department developed the new Residential Tenancies (Rooming House Standards) Regulations 2023, to make rooming houses safer and more comfortable for residents. The regulations became law on 26 February 2023.</w:t>
      </w:r>
    </w:p>
    <w:p w14:paraId="43EEC264" w14:textId="798B4207" w:rsidR="00D733E1" w:rsidRDefault="00D733E1" w:rsidP="00D733E1">
      <w:pPr>
        <w:pStyle w:val="BodyText"/>
      </w:pPr>
      <w:r>
        <w:t>The new minimum standards include:</w:t>
      </w:r>
    </w:p>
    <w:p w14:paraId="39A44AFF" w14:textId="2D4EE744" w:rsidR="00D733E1" w:rsidRDefault="00D733E1" w:rsidP="00D261F8">
      <w:pPr>
        <w:pStyle w:val="ListBullet"/>
      </w:pPr>
      <w:r>
        <w:t>an increased frequency for electrical safety checks</w:t>
      </w:r>
    </w:p>
    <w:p w14:paraId="6EDDFC37" w14:textId="65142B4E" w:rsidR="00D733E1" w:rsidRDefault="00D733E1" w:rsidP="00D261F8">
      <w:pPr>
        <w:pStyle w:val="ListBullet"/>
      </w:pPr>
      <w:r>
        <w:t>updated requirements for laundry facilities</w:t>
      </w:r>
    </w:p>
    <w:p w14:paraId="5521B32E" w14:textId="73CD4D46" w:rsidR="00D733E1" w:rsidRDefault="00D733E1" w:rsidP="00D261F8">
      <w:pPr>
        <w:pStyle w:val="ListBullet"/>
      </w:pPr>
      <w:r>
        <w:t>new blind cord safety standards</w:t>
      </w:r>
    </w:p>
    <w:p w14:paraId="08E3C674" w14:textId="0887FB2E" w:rsidR="00D733E1" w:rsidRDefault="00D733E1" w:rsidP="00D261F8">
      <w:pPr>
        <w:pStyle w:val="ListBullet"/>
      </w:pPr>
      <w:r>
        <w:t>new requirements for rooming houses to be structurally sound, weatherproof, and free from mould</w:t>
      </w:r>
      <w:r w:rsidR="008B53D8">
        <w:t> </w:t>
      </w:r>
      <w:r>
        <w:t>and dampness.</w:t>
      </w:r>
    </w:p>
    <w:p w14:paraId="25410258" w14:textId="777C9396" w:rsidR="00D733E1" w:rsidRDefault="00D733E1" w:rsidP="00D733E1">
      <w:pPr>
        <w:pStyle w:val="BodyText"/>
      </w:pPr>
      <w:r>
        <w:t>A transition period of one to two years applies to some standards, to give rooming house operators time to make the required changes.</w:t>
      </w:r>
    </w:p>
    <w:p w14:paraId="4A03B845" w14:textId="5AC2F740" w:rsidR="00D733E1" w:rsidRDefault="00D733E1" w:rsidP="00D733E1">
      <w:pPr>
        <w:pStyle w:val="BodyText"/>
      </w:pPr>
      <w:r>
        <w:t>We actively monitor the rooming house sector across Victoria, which includes an inspection program. CAV undertakes risk-based targeting of rooming houses, focusing on breaches causing the most serious detriment. Our State Inspection Program conducted over 157 rooming house inspections, including 199 gas and electrical safety checks, to ensure compliance with the minimum safety standards.</w:t>
      </w:r>
    </w:p>
    <w:p w14:paraId="0BC101CA" w14:textId="7B1F8543" w:rsidR="00D733E1" w:rsidRDefault="00D733E1" w:rsidP="00D733E1">
      <w:pPr>
        <w:pStyle w:val="BodyText"/>
      </w:pPr>
      <w:r>
        <w:t>We continue to facilitate the electronic lodgement of gas and electrical safety certificates using our online myCAV licensing and registration portal. In 2022–23, 571 certificates were lodged. Online lodgement makes it faster and easier for operators to meet this important safety obligation and helps us monitor compliance more effectively.</w:t>
      </w:r>
    </w:p>
    <w:p w14:paraId="066E6A3E" w14:textId="3CE07EDF" w:rsidR="00D733E1" w:rsidRDefault="00D733E1" w:rsidP="00C74C37">
      <w:pPr>
        <w:pStyle w:val="Heading5"/>
      </w:pPr>
      <w:r>
        <w:t xml:space="preserve">Consultation on review of the </w:t>
      </w:r>
      <w:r w:rsidRPr="008A66FE">
        <w:rPr>
          <w:rStyle w:val="Emphasis"/>
        </w:rPr>
        <w:t>Retirement Villages Act 1986</w:t>
      </w:r>
    </w:p>
    <w:p w14:paraId="54EE876B" w14:textId="35D82DFB" w:rsidR="00D733E1" w:rsidRDefault="00D733E1" w:rsidP="00D733E1">
      <w:pPr>
        <w:pStyle w:val="BodyText"/>
      </w:pPr>
      <w:r>
        <w:t xml:space="preserve">After a review of the </w:t>
      </w:r>
      <w:r w:rsidRPr="008A66FE">
        <w:rPr>
          <w:rStyle w:val="Emphasis"/>
        </w:rPr>
        <w:t>Retirement Villages Act 1986</w:t>
      </w:r>
      <w:r>
        <w:t>, the government released an Exposure Draft Bill for</w:t>
      </w:r>
      <w:r w:rsidR="008B53D8">
        <w:t> </w:t>
      </w:r>
      <w:r>
        <w:t>public consultation in October 2022 and further public consultation from 3 April to 1 May 2023.</w:t>
      </w:r>
    </w:p>
    <w:p w14:paraId="5DCDE4DE" w14:textId="5964C3AC" w:rsidR="00D733E1" w:rsidRDefault="00D733E1" w:rsidP="00D733E1">
      <w:pPr>
        <w:pStyle w:val="BodyText"/>
      </w:pPr>
      <w:r>
        <w:t>The Exposure Draft Bill proposes a range of reforms to ensure effective consumer protections, and continued growth and innovation in the retirement villages sector. The department is considering all feedback to inform further development and work to finalise the amendment bill for introduction into Parliament.</w:t>
      </w:r>
    </w:p>
    <w:p w14:paraId="3ED2000D" w14:textId="68C78083" w:rsidR="00D733E1" w:rsidRDefault="00D733E1" w:rsidP="00163339">
      <w:pPr>
        <w:pStyle w:val="Caption"/>
      </w:pPr>
      <w:r>
        <w:t>Table: Information, advice and service delivery to renters, rental providers and agents</w:t>
      </w:r>
    </w:p>
    <w:tbl>
      <w:tblPr>
        <w:tblStyle w:val="TableGrid"/>
        <w:tblW w:w="9072" w:type="dxa"/>
        <w:tblLayout w:type="fixed"/>
        <w:tblLook w:val="06A0" w:firstRow="1" w:lastRow="0" w:firstColumn="1" w:lastColumn="0" w:noHBand="1" w:noVBand="1"/>
      </w:tblPr>
      <w:tblGrid>
        <w:gridCol w:w="4989"/>
        <w:gridCol w:w="1361"/>
        <w:gridCol w:w="1361"/>
        <w:gridCol w:w="1361"/>
      </w:tblGrid>
      <w:tr w:rsidR="00D733E1" w14:paraId="72136CA9" w14:textId="77777777" w:rsidTr="00A548EF">
        <w:trPr>
          <w:cnfStyle w:val="100000000000" w:firstRow="1" w:lastRow="0" w:firstColumn="0" w:lastColumn="0" w:oddVBand="0" w:evenVBand="0" w:oddHBand="0" w:evenHBand="0" w:firstRowFirstColumn="0" w:firstRowLastColumn="0" w:lastRowFirstColumn="0" w:lastRowLastColumn="0"/>
          <w:trHeight w:val="283"/>
          <w:tblHeader/>
        </w:trPr>
        <w:tc>
          <w:tcPr>
            <w:tcW w:w="4990" w:type="dxa"/>
          </w:tcPr>
          <w:p w14:paraId="1958BFAD" w14:textId="77777777" w:rsidR="00D733E1" w:rsidRDefault="00D733E1" w:rsidP="00D733E1">
            <w:pPr>
              <w:pStyle w:val="TableColHead"/>
            </w:pPr>
          </w:p>
        </w:tc>
        <w:tc>
          <w:tcPr>
            <w:tcW w:w="1361" w:type="dxa"/>
          </w:tcPr>
          <w:p w14:paraId="7CBE183A" w14:textId="77777777" w:rsidR="00D733E1" w:rsidRDefault="00D733E1" w:rsidP="00163339">
            <w:pPr>
              <w:pStyle w:val="TableColHeadRight"/>
            </w:pPr>
            <w:r>
              <w:t>2020–21</w:t>
            </w:r>
          </w:p>
        </w:tc>
        <w:tc>
          <w:tcPr>
            <w:tcW w:w="1361" w:type="dxa"/>
          </w:tcPr>
          <w:p w14:paraId="23B454BF" w14:textId="77777777" w:rsidR="00D733E1" w:rsidRDefault="00D733E1" w:rsidP="00163339">
            <w:pPr>
              <w:pStyle w:val="TableColHeadRight"/>
            </w:pPr>
            <w:r>
              <w:t>2021–22</w:t>
            </w:r>
          </w:p>
        </w:tc>
        <w:tc>
          <w:tcPr>
            <w:tcW w:w="1361" w:type="dxa"/>
          </w:tcPr>
          <w:p w14:paraId="5823D79C" w14:textId="77777777" w:rsidR="00D733E1" w:rsidRDefault="00D733E1" w:rsidP="00163339">
            <w:pPr>
              <w:pStyle w:val="TableColHeadRight"/>
            </w:pPr>
            <w:r>
              <w:t>2022–23</w:t>
            </w:r>
          </w:p>
        </w:tc>
      </w:tr>
      <w:tr w:rsidR="00D733E1" w14:paraId="23DF3805" w14:textId="77777777" w:rsidTr="00A548EF">
        <w:trPr>
          <w:trHeight w:val="283"/>
        </w:trPr>
        <w:tc>
          <w:tcPr>
            <w:tcW w:w="4990" w:type="dxa"/>
            <w:gridSpan w:val="4"/>
            <w:shd w:val="clear" w:color="auto" w:fill="BCCAE5"/>
          </w:tcPr>
          <w:p w14:paraId="6E3C8C4C" w14:textId="016E3471" w:rsidR="00D733E1" w:rsidRDefault="00D733E1" w:rsidP="00163339">
            <w:pPr>
              <w:pStyle w:val="TableTextBold"/>
            </w:pPr>
            <w:r>
              <w:t>Information and Advice</w:t>
            </w:r>
          </w:p>
        </w:tc>
      </w:tr>
      <w:tr w:rsidR="00D733E1" w14:paraId="525C71AA" w14:textId="77777777" w:rsidTr="00A548EF">
        <w:trPr>
          <w:trHeight w:val="283"/>
        </w:trPr>
        <w:tc>
          <w:tcPr>
            <w:tcW w:w="4990" w:type="dxa"/>
          </w:tcPr>
          <w:p w14:paraId="4574EDC2" w14:textId="1A90F9A6" w:rsidR="00D733E1" w:rsidRDefault="00D733E1" w:rsidP="00163339">
            <w:pPr>
              <w:pStyle w:val="TableText"/>
            </w:pPr>
            <w:r>
              <w:t>Website page views – renting section</w:t>
            </w:r>
          </w:p>
        </w:tc>
        <w:tc>
          <w:tcPr>
            <w:tcW w:w="1361" w:type="dxa"/>
          </w:tcPr>
          <w:p w14:paraId="31D2126E" w14:textId="77777777" w:rsidR="00D733E1" w:rsidRDefault="00D733E1" w:rsidP="00163339">
            <w:pPr>
              <w:pStyle w:val="TableTextRight"/>
            </w:pPr>
            <w:r>
              <w:t>3,870,748</w:t>
            </w:r>
          </w:p>
        </w:tc>
        <w:tc>
          <w:tcPr>
            <w:tcW w:w="1361" w:type="dxa"/>
          </w:tcPr>
          <w:p w14:paraId="6319CF77" w14:textId="77777777" w:rsidR="00D733E1" w:rsidRDefault="00D733E1" w:rsidP="00163339">
            <w:pPr>
              <w:pStyle w:val="TableTextRight"/>
            </w:pPr>
            <w:r>
              <w:t>3,544,425</w:t>
            </w:r>
          </w:p>
        </w:tc>
        <w:tc>
          <w:tcPr>
            <w:tcW w:w="1361" w:type="dxa"/>
          </w:tcPr>
          <w:p w14:paraId="7038E956" w14:textId="77777777" w:rsidR="00D733E1" w:rsidRDefault="00D733E1" w:rsidP="00163339">
            <w:pPr>
              <w:pStyle w:val="TableTextRight"/>
            </w:pPr>
            <w:r>
              <w:t>4,261,483</w:t>
            </w:r>
          </w:p>
        </w:tc>
      </w:tr>
      <w:tr w:rsidR="00D733E1" w14:paraId="4DE7625B" w14:textId="77777777" w:rsidTr="00A548EF">
        <w:trPr>
          <w:trHeight w:val="283"/>
        </w:trPr>
        <w:tc>
          <w:tcPr>
            <w:tcW w:w="4990" w:type="dxa"/>
          </w:tcPr>
          <w:p w14:paraId="3F81767A" w14:textId="73E01D34" w:rsidR="00D733E1" w:rsidRDefault="00D733E1" w:rsidP="00163339">
            <w:pPr>
              <w:pStyle w:val="TableText"/>
            </w:pPr>
            <w:r>
              <w:t>Calls answered – residential tenancies</w:t>
            </w:r>
          </w:p>
        </w:tc>
        <w:tc>
          <w:tcPr>
            <w:tcW w:w="1361" w:type="dxa"/>
          </w:tcPr>
          <w:p w14:paraId="64AAF97D" w14:textId="77777777" w:rsidR="00D733E1" w:rsidRDefault="00D733E1" w:rsidP="00163339">
            <w:pPr>
              <w:pStyle w:val="TableTextRight"/>
            </w:pPr>
            <w:r>
              <w:t>92,427</w:t>
            </w:r>
          </w:p>
        </w:tc>
        <w:tc>
          <w:tcPr>
            <w:tcW w:w="1361" w:type="dxa"/>
          </w:tcPr>
          <w:p w14:paraId="0E322214" w14:textId="77777777" w:rsidR="00D733E1" w:rsidRDefault="00D733E1" w:rsidP="00163339">
            <w:pPr>
              <w:pStyle w:val="TableTextRight"/>
            </w:pPr>
            <w:r>
              <w:t>70,633</w:t>
            </w:r>
          </w:p>
        </w:tc>
        <w:tc>
          <w:tcPr>
            <w:tcW w:w="1361" w:type="dxa"/>
          </w:tcPr>
          <w:p w14:paraId="345221CC" w14:textId="77777777" w:rsidR="00D733E1" w:rsidRDefault="00D733E1" w:rsidP="00163339">
            <w:pPr>
              <w:pStyle w:val="TableTextRight"/>
            </w:pPr>
            <w:r>
              <w:t>63,200</w:t>
            </w:r>
          </w:p>
        </w:tc>
      </w:tr>
      <w:tr w:rsidR="00D733E1" w14:paraId="12AD9235" w14:textId="77777777" w:rsidTr="00A548EF">
        <w:trPr>
          <w:trHeight w:val="283"/>
        </w:trPr>
        <w:tc>
          <w:tcPr>
            <w:tcW w:w="4990" w:type="dxa"/>
          </w:tcPr>
          <w:p w14:paraId="40B50F55" w14:textId="6BEEE5CF" w:rsidR="00D733E1" w:rsidRDefault="00D733E1" w:rsidP="00163339">
            <w:pPr>
              <w:pStyle w:val="TableText"/>
            </w:pPr>
            <w:r>
              <w:t>Calls answered – RTBA</w:t>
            </w:r>
          </w:p>
        </w:tc>
        <w:tc>
          <w:tcPr>
            <w:tcW w:w="1361" w:type="dxa"/>
          </w:tcPr>
          <w:p w14:paraId="7D19F449" w14:textId="77777777" w:rsidR="00D733E1" w:rsidRDefault="00D733E1" w:rsidP="00163339">
            <w:pPr>
              <w:pStyle w:val="TableTextRight"/>
            </w:pPr>
            <w:r>
              <w:t>32,180</w:t>
            </w:r>
          </w:p>
        </w:tc>
        <w:tc>
          <w:tcPr>
            <w:tcW w:w="1361" w:type="dxa"/>
          </w:tcPr>
          <w:p w14:paraId="67BD8E80" w14:textId="77777777" w:rsidR="00D733E1" w:rsidRDefault="00D733E1" w:rsidP="00163339">
            <w:pPr>
              <w:pStyle w:val="TableTextRight"/>
            </w:pPr>
            <w:r>
              <w:t>56,128</w:t>
            </w:r>
          </w:p>
        </w:tc>
        <w:tc>
          <w:tcPr>
            <w:tcW w:w="1361" w:type="dxa"/>
          </w:tcPr>
          <w:p w14:paraId="6E10B99C" w14:textId="77777777" w:rsidR="00D733E1" w:rsidRDefault="00D733E1" w:rsidP="00163339">
            <w:pPr>
              <w:pStyle w:val="TableTextRight"/>
            </w:pPr>
            <w:r>
              <w:t>44,574</w:t>
            </w:r>
          </w:p>
        </w:tc>
      </w:tr>
      <w:tr w:rsidR="00D733E1" w14:paraId="3E7114D9" w14:textId="77777777" w:rsidTr="00A548EF">
        <w:trPr>
          <w:trHeight w:val="283"/>
        </w:trPr>
        <w:tc>
          <w:tcPr>
            <w:tcW w:w="4990" w:type="dxa"/>
            <w:gridSpan w:val="4"/>
            <w:shd w:val="clear" w:color="auto" w:fill="BCCAE5"/>
          </w:tcPr>
          <w:p w14:paraId="27CEAA89" w14:textId="77777777" w:rsidR="00D733E1" w:rsidRDefault="00D733E1" w:rsidP="00163339">
            <w:pPr>
              <w:pStyle w:val="TableTextBold"/>
            </w:pPr>
            <w:r>
              <w:t>Compliance</w:t>
            </w:r>
          </w:p>
        </w:tc>
      </w:tr>
      <w:tr w:rsidR="00D733E1" w14:paraId="5B96FFDB" w14:textId="77777777" w:rsidTr="00A548EF">
        <w:trPr>
          <w:trHeight w:val="283"/>
        </w:trPr>
        <w:tc>
          <w:tcPr>
            <w:tcW w:w="4990" w:type="dxa"/>
          </w:tcPr>
          <w:p w14:paraId="1339A2D3" w14:textId="37769EB1" w:rsidR="00D733E1" w:rsidRDefault="00D733E1" w:rsidP="00163339">
            <w:pPr>
              <w:pStyle w:val="TableText"/>
            </w:pPr>
            <w:r>
              <w:t>Rooming house inspections (including repeat visits)</w:t>
            </w:r>
          </w:p>
        </w:tc>
        <w:tc>
          <w:tcPr>
            <w:tcW w:w="1361" w:type="dxa"/>
          </w:tcPr>
          <w:p w14:paraId="252831E6" w14:textId="77777777" w:rsidR="00D733E1" w:rsidRDefault="00D733E1" w:rsidP="00163339">
            <w:pPr>
              <w:pStyle w:val="TableTextRight"/>
            </w:pPr>
            <w:r>
              <w:t>187</w:t>
            </w:r>
          </w:p>
        </w:tc>
        <w:tc>
          <w:tcPr>
            <w:tcW w:w="1361" w:type="dxa"/>
          </w:tcPr>
          <w:p w14:paraId="120F15B5" w14:textId="77777777" w:rsidR="00D733E1" w:rsidRDefault="00D733E1" w:rsidP="00163339">
            <w:pPr>
              <w:pStyle w:val="TableTextRight"/>
            </w:pPr>
            <w:r>
              <w:t>233</w:t>
            </w:r>
          </w:p>
        </w:tc>
        <w:tc>
          <w:tcPr>
            <w:tcW w:w="1361" w:type="dxa"/>
          </w:tcPr>
          <w:p w14:paraId="67C0695D" w14:textId="77777777" w:rsidR="00D733E1" w:rsidRDefault="00D733E1" w:rsidP="00163339">
            <w:pPr>
              <w:pStyle w:val="TableTextRight"/>
            </w:pPr>
            <w:r>
              <w:t>157</w:t>
            </w:r>
          </w:p>
        </w:tc>
      </w:tr>
      <w:tr w:rsidR="00D733E1" w14:paraId="5BF47B9C" w14:textId="77777777" w:rsidTr="00A548EF">
        <w:trPr>
          <w:trHeight w:val="283"/>
        </w:trPr>
        <w:tc>
          <w:tcPr>
            <w:tcW w:w="4990" w:type="dxa"/>
          </w:tcPr>
          <w:p w14:paraId="4AE2640D" w14:textId="2DBC6FCC" w:rsidR="00D733E1" w:rsidRDefault="00D733E1" w:rsidP="00163339">
            <w:pPr>
              <w:pStyle w:val="TableText"/>
            </w:pPr>
            <w:r>
              <w:t>Rooming houses registered</w:t>
            </w:r>
          </w:p>
        </w:tc>
        <w:tc>
          <w:tcPr>
            <w:tcW w:w="1361" w:type="dxa"/>
          </w:tcPr>
          <w:p w14:paraId="6A252B59" w14:textId="77777777" w:rsidR="00D733E1" w:rsidRDefault="00D733E1" w:rsidP="00163339">
            <w:pPr>
              <w:pStyle w:val="TableTextRight"/>
            </w:pPr>
            <w:r>
              <w:t>1,419</w:t>
            </w:r>
          </w:p>
        </w:tc>
        <w:tc>
          <w:tcPr>
            <w:tcW w:w="1361" w:type="dxa"/>
          </w:tcPr>
          <w:p w14:paraId="2EFCF35D" w14:textId="77777777" w:rsidR="00D733E1" w:rsidRDefault="00D733E1" w:rsidP="00163339">
            <w:pPr>
              <w:pStyle w:val="TableTextRight"/>
            </w:pPr>
            <w:r>
              <w:t>1,369</w:t>
            </w:r>
          </w:p>
        </w:tc>
        <w:tc>
          <w:tcPr>
            <w:tcW w:w="1361" w:type="dxa"/>
          </w:tcPr>
          <w:p w14:paraId="3910FE31" w14:textId="77777777" w:rsidR="00D733E1" w:rsidRDefault="00D733E1" w:rsidP="00163339">
            <w:pPr>
              <w:pStyle w:val="TableTextRight"/>
            </w:pPr>
            <w:r>
              <w:t>1,451</w:t>
            </w:r>
          </w:p>
        </w:tc>
      </w:tr>
      <w:tr w:rsidR="00D733E1" w14:paraId="510A7CD8" w14:textId="77777777" w:rsidTr="00A548EF">
        <w:trPr>
          <w:trHeight w:val="283"/>
        </w:trPr>
        <w:tc>
          <w:tcPr>
            <w:tcW w:w="4990" w:type="dxa"/>
            <w:gridSpan w:val="4"/>
          </w:tcPr>
          <w:p w14:paraId="4D36F965" w14:textId="77777777" w:rsidR="00D733E1" w:rsidRDefault="00D733E1" w:rsidP="00163339">
            <w:pPr>
              <w:pStyle w:val="TableText"/>
            </w:pPr>
            <w:r>
              <w:t>Transactions</w:t>
            </w:r>
          </w:p>
        </w:tc>
      </w:tr>
      <w:tr w:rsidR="00D733E1" w14:paraId="762866EE" w14:textId="77777777" w:rsidTr="00A548EF">
        <w:trPr>
          <w:trHeight w:val="283"/>
        </w:trPr>
        <w:tc>
          <w:tcPr>
            <w:tcW w:w="4990" w:type="dxa"/>
          </w:tcPr>
          <w:p w14:paraId="1A644C8D" w14:textId="432F886A" w:rsidR="00D733E1" w:rsidRDefault="00D733E1" w:rsidP="00163339">
            <w:pPr>
              <w:pStyle w:val="TableText"/>
            </w:pPr>
            <w:r>
              <w:t>Bonds lodged</w:t>
            </w:r>
          </w:p>
        </w:tc>
        <w:tc>
          <w:tcPr>
            <w:tcW w:w="1361" w:type="dxa"/>
          </w:tcPr>
          <w:p w14:paraId="14D98E26" w14:textId="77777777" w:rsidR="00D733E1" w:rsidRDefault="00D733E1" w:rsidP="00163339">
            <w:pPr>
              <w:pStyle w:val="TableTextRight"/>
            </w:pPr>
            <w:r>
              <w:t>250,170</w:t>
            </w:r>
          </w:p>
        </w:tc>
        <w:tc>
          <w:tcPr>
            <w:tcW w:w="1361" w:type="dxa"/>
          </w:tcPr>
          <w:p w14:paraId="792F01DF" w14:textId="77777777" w:rsidR="00D733E1" w:rsidRDefault="00D733E1" w:rsidP="00163339">
            <w:pPr>
              <w:pStyle w:val="TableTextRight"/>
            </w:pPr>
            <w:r>
              <w:t>259,479</w:t>
            </w:r>
          </w:p>
        </w:tc>
        <w:tc>
          <w:tcPr>
            <w:tcW w:w="1361" w:type="dxa"/>
          </w:tcPr>
          <w:p w14:paraId="1B67BF73" w14:textId="77777777" w:rsidR="00D733E1" w:rsidRDefault="00D733E1" w:rsidP="00163339">
            <w:pPr>
              <w:pStyle w:val="TableTextRight"/>
            </w:pPr>
            <w:r>
              <w:t>255,722</w:t>
            </w:r>
          </w:p>
        </w:tc>
      </w:tr>
      <w:tr w:rsidR="00D733E1" w14:paraId="5B1E99C3" w14:textId="77777777" w:rsidTr="00A548EF">
        <w:trPr>
          <w:trHeight w:val="283"/>
        </w:trPr>
        <w:tc>
          <w:tcPr>
            <w:tcW w:w="4990" w:type="dxa"/>
          </w:tcPr>
          <w:p w14:paraId="0701B598" w14:textId="0A3D2436" w:rsidR="00D733E1" w:rsidRDefault="00D733E1" w:rsidP="00163339">
            <w:pPr>
              <w:pStyle w:val="TableText"/>
            </w:pPr>
            <w:r>
              <w:t>Bond repayments</w:t>
            </w:r>
          </w:p>
        </w:tc>
        <w:tc>
          <w:tcPr>
            <w:tcW w:w="1361" w:type="dxa"/>
          </w:tcPr>
          <w:p w14:paraId="67A048E1" w14:textId="77777777" w:rsidR="00D733E1" w:rsidRDefault="00D733E1" w:rsidP="00163339">
            <w:pPr>
              <w:pStyle w:val="TableTextRight"/>
            </w:pPr>
            <w:r>
              <w:t>248,166</w:t>
            </w:r>
          </w:p>
        </w:tc>
        <w:tc>
          <w:tcPr>
            <w:tcW w:w="1361" w:type="dxa"/>
          </w:tcPr>
          <w:p w14:paraId="0B18D694" w14:textId="77777777" w:rsidR="00D733E1" w:rsidRDefault="00D733E1" w:rsidP="00163339">
            <w:pPr>
              <w:pStyle w:val="TableTextRight"/>
            </w:pPr>
            <w:r>
              <w:t>236,443</w:t>
            </w:r>
          </w:p>
        </w:tc>
        <w:tc>
          <w:tcPr>
            <w:tcW w:w="1361" w:type="dxa"/>
          </w:tcPr>
          <w:p w14:paraId="52ECA263" w14:textId="77777777" w:rsidR="00D733E1" w:rsidRDefault="00D733E1" w:rsidP="00163339">
            <w:pPr>
              <w:pStyle w:val="TableTextRight"/>
            </w:pPr>
            <w:r>
              <w:t>224,127</w:t>
            </w:r>
          </w:p>
        </w:tc>
      </w:tr>
      <w:tr w:rsidR="00D733E1" w14:paraId="5AEE7BC9" w14:textId="77777777" w:rsidTr="00A548EF">
        <w:trPr>
          <w:trHeight w:val="283"/>
        </w:trPr>
        <w:tc>
          <w:tcPr>
            <w:tcW w:w="4990" w:type="dxa"/>
          </w:tcPr>
          <w:p w14:paraId="3FFDB9F6" w14:textId="129D1EA7" w:rsidR="00D733E1" w:rsidRDefault="00D733E1" w:rsidP="00163339">
            <w:pPr>
              <w:pStyle w:val="TableText"/>
            </w:pPr>
            <w:r>
              <w:t>Bonds transferred</w:t>
            </w:r>
          </w:p>
        </w:tc>
        <w:tc>
          <w:tcPr>
            <w:tcW w:w="1361" w:type="dxa"/>
          </w:tcPr>
          <w:p w14:paraId="03D3F055" w14:textId="77777777" w:rsidR="00D733E1" w:rsidRDefault="00D733E1" w:rsidP="00163339">
            <w:pPr>
              <w:pStyle w:val="TableTextRight"/>
            </w:pPr>
            <w:r>
              <w:t>75,172</w:t>
            </w:r>
          </w:p>
        </w:tc>
        <w:tc>
          <w:tcPr>
            <w:tcW w:w="1361" w:type="dxa"/>
          </w:tcPr>
          <w:p w14:paraId="74B797CF" w14:textId="77777777" w:rsidR="00D733E1" w:rsidRDefault="00D733E1" w:rsidP="00163339">
            <w:pPr>
              <w:pStyle w:val="TableTextRight"/>
            </w:pPr>
            <w:r>
              <w:t>57,967</w:t>
            </w:r>
          </w:p>
        </w:tc>
        <w:tc>
          <w:tcPr>
            <w:tcW w:w="1361" w:type="dxa"/>
          </w:tcPr>
          <w:p w14:paraId="4247E379" w14:textId="77777777" w:rsidR="00D733E1" w:rsidRDefault="00D733E1" w:rsidP="00163339">
            <w:pPr>
              <w:pStyle w:val="TableTextRight"/>
            </w:pPr>
            <w:r>
              <w:t>67,079</w:t>
            </w:r>
          </w:p>
        </w:tc>
      </w:tr>
      <w:tr w:rsidR="00D733E1" w14:paraId="6B0168A2" w14:textId="77777777" w:rsidTr="00A548EF">
        <w:trPr>
          <w:trHeight w:val="283"/>
        </w:trPr>
        <w:tc>
          <w:tcPr>
            <w:tcW w:w="4990" w:type="dxa"/>
          </w:tcPr>
          <w:p w14:paraId="0A0FBE44" w14:textId="0E6A0E30" w:rsidR="00D733E1" w:rsidRDefault="00D733E1" w:rsidP="00163339">
            <w:pPr>
              <w:pStyle w:val="TableText"/>
            </w:pPr>
            <w:r>
              <w:t>Bonds held</w:t>
            </w:r>
          </w:p>
        </w:tc>
        <w:tc>
          <w:tcPr>
            <w:tcW w:w="1361" w:type="dxa"/>
          </w:tcPr>
          <w:p w14:paraId="1902EDEE" w14:textId="77777777" w:rsidR="00D733E1" w:rsidRDefault="00D733E1" w:rsidP="00163339">
            <w:pPr>
              <w:pStyle w:val="TableTextRight"/>
            </w:pPr>
            <w:r>
              <w:t>686,167</w:t>
            </w:r>
          </w:p>
        </w:tc>
        <w:tc>
          <w:tcPr>
            <w:tcW w:w="1361" w:type="dxa"/>
          </w:tcPr>
          <w:p w14:paraId="206E71EB" w14:textId="77777777" w:rsidR="00D733E1" w:rsidRDefault="00D733E1" w:rsidP="00163339">
            <w:pPr>
              <w:pStyle w:val="TableTextRight"/>
            </w:pPr>
            <w:r>
              <w:t>706,892</w:t>
            </w:r>
          </w:p>
        </w:tc>
        <w:tc>
          <w:tcPr>
            <w:tcW w:w="1361" w:type="dxa"/>
          </w:tcPr>
          <w:p w14:paraId="48150F86" w14:textId="77777777" w:rsidR="00D733E1" w:rsidRDefault="00D733E1" w:rsidP="00163339">
            <w:pPr>
              <w:pStyle w:val="TableTextRight"/>
            </w:pPr>
            <w:r>
              <w:t>738,414</w:t>
            </w:r>
          </w:p>
        </w:tc>
      </w:tr>
      <w:tr w:rsidR="00D733E1" w14:paraId="5FE60D72" w14:textId="77777777" w:rsidTr="00A548EF">
        <w:trPr>
          <w:trHeight w:val="283"/>
        </w:trPr>
        <w:tc>
          <w:tcPr>
            <w:tcW w:w="4990" w:type="dxa"/>
          </w:tcPr>
          <w:p w14:paraId="301810B4" w14:textId="75D3E98E" w:rsidR="00D733E1" w:rsidRDefault="00D733E1" w:rsidP="00163339">
            <w:pPr>
              <w:pStyle w:val="TableText"/>
            </w:pPr>
            <w:r>
              <w:t>Value held</w:t>
            </w:r>
          </w:p>
        </w:tc>
        <w:tc>
          <w:tcPr>
            <w:tcW w:w="1361" w:type="dxa"/>
          </w:tcPr>
          <w:p w14:paraId="26459AFD" w14:textId="591FE3AF" w:rsidR="00D733E1" w:rsidRDefault="00D733E1" w:rsidP="00163339">
            <w:pPr>
              <w:pStyle w:val="TableTextRight"/>
            </w:pPr>
            <w:r>
              <w:t>$1.24 billion</w:t>
            </w:r>
          </w:p>
        </w:tc>
        <w:tc>
          <w:tcPr>
            <w:tcW w:w="1361" w:type="dxa"/>
          </w:tcPr>
          <w:p w14:paraId="5757AE55" w14:textId="264AFB7C" w:rsidR="00D733E1" w:rsidRDefault="00D733E1" w:rsidP="00163339">
            <w:pPr>
              <w:pStyle w:val="TableTextRight"/>
            </w:pPr>
            <w:r>
              <w:t>$1.27 billion</w:t>
            </w:r>
          </w:p>
        </w:tc>
        <w:tc>
          <w:tcPr>
            <w:tcW w:w="1361" w:type="dxa"/>
          </w:tcPr>
          <w:p w14:paraId="59C7C539" w14:textId="4D9DE75B" w:rsidR="00D733E1" w:rsidRDefault="00D733E1" w:rsidP="00163339">
            <w:pPr>
              <w:pStyle w:val="TableTextRight"/>
            </w:pPr>
            <w:r>
              <w:t>$1.38 billion</w:t>
            </w:r>
          </w:p>
        </w:tc>
      </w:tr>
      <w:tr w:rsidR="00D733E1" w14:paraId="2E2876EB" w14:textId="77777777" w:rsidTr="00A548EF">
        <w:trPr>
          <w:trHeight w:val="283"/>
        </w:trPr>
        <w:tc>
          <w:tcPr>
            <w:tcW w:w="4990" w:type="dxa"/>
          </w:tcPr>
          <w:p w14:paraId="179EC447" w14:textId="3110A7B7" w:rsidR="00D733E1" w:rsidRDefault="00D733E1" w:rsidP="00163339">
            <w:pPr>
              <w:pStyle w:val="TableText"/>
            </w:pPr>
            <w:r>
              <w:t>Total transactions (bonds lodged and repaid) – RTBA</w:t>
            </w:r>
          </w:p>
        </w:tc>
        <w:tc>
          <w:tcPr>
            <w:tcW w:w="1361" w:type="dxa"/>
          </w:tcPr>
          <w:p w14:paraId="40DCA6EB" w14:textId="77777777" w:rsidR="00D733E1" w:rsidRDefault="00D733E1" w:rsidP="00163339">
            <w:pPr>
              <w:pStyle w:val="TableTextRight"/>
            </w:pPr>
            <w:r>
              <w:t>498,336</w:t>
            </w:r>
          </w:p>
        </w:tc>
        <w:tc>
          <w:tcPr>
            <w:tcW w:w="1361" w:type="dxa"/>
          </w:tcPr>
          <w:p w14:paraId="6BFC5804" w14:textId="77777777" w:rsidR="00D733E1" w:rsidRDefault="00D733E1" w:rsidP="00163339">
            <w:pPr>
              <w:pStyle w:val="TableTextRight"/>
            </w:pPr>
            <w:r>
              <w:t>494,809</w:t>
            </w:r>
          </w:p>
        </w:tc>
        <w:tc>
          <w:tcPr>
            <w:tcW w:w="1361" w:type="dxa"/>
          </w:tcPr>
          <w:p w14:paraId="4AC978B4" w14:textId="77777777" w:rsidR="00D733E1" w:rsidRDefault="00D733E1" w:rsidP="00163339">
            <w:pPr>
              <w:pStyle w:val="TableTextRight"/>
            </w:pPr>
            <w:r>
              <w:t>479,849</w:t>
            </w:r>
          </w:p>
        </w:tc>
      </w:tr>
      <w:tr w:rsidR="00D733E1" w14:paraId="45A8D424" w14:textId="77777777" w:rsidTr="00A548EF">
        <w:trPr>
          <w:trHeight w:val="283"/>
        </w:trPr>
        <w:tc>
          <w:tcPr>
            <w:tcW w:w="4990" w:type="dxa"/>
            <w:gridSpan w:val="4"/>
            <w:shd w:val="clear" w:color="auto" w:fill="BCCAE5"/>
          </w:tcPr>
          <w:p w14:paraId="6166F3EE" w14:textId="32F562BA" w:rsidR="00D733E1" w:rsidRDefault="00D733E1" w:rsidP="00163339">
            <w:pPr>
              <w:pStyle w:val="TableTextBold"/>
            </w:pPr>
            <w:r>
              <w:t>Face-to-face or intensive assistance</w:t>
            </w:r>
          </w:p>
        </w:tc>
      </w:tr>
      <w:tr w:rsidR="00D733E1" w14:paraId="295BD46E" w14:textId="77777777" w:rsidTr="00A548EF">
        <w:trPr>
          <w:trHeight w:val="283"/>
        </w:trPr>
        <w:tc>
          <w:tcPr>
            <w:tcW w:w="4990" w:type="dxa"/>
            <w:gridSpan w:val="4"/>
            <w:shd w:val="clear" w:color="auto" w:fill="D3DBEE"/>
          </w:tcPr>
          <w:p w14:paraId="78DF4B62" w14:textId="7F150443" w:rsidR="00D733E1" w:rsidRDefault="00D733E1" w:rsidP="00C65EA8">
            <w:pPr>
              <w:pStyle w:val="TableTextBold"/>
            </w:pPr>
            <w:r>
              <w:t>Funded community services</w:t>
            </w:r>
          </w:p>
        </w:tc>
      </w:tr>
      <w:tr w:rsidR="00D733E1" w14:paraId="42E02A04" w14:textId="77777777" w:rsidTr="00A548EF">
        <w:trPr>
          <w:trHeight w:val="283"/>
        </w:trPr>
        <w:tc>
          <w:tcPr>
            <w:tcW w:w="4990" w:type="dxa"/>
          </w:tcPr>
          <w:p w14:paraId="42F1541B" w14:textId="48133F17" w:rsidR="00D733E1" w:rsidRDefault="00D733E1" w:rsidP="00163339">
            <w:pPr>
              <w:pStyle w:val="TableText"/>
            </w:pPr>
            <w:r>
              <w:t>Tenants under the Tenancy Assistance and Advocacy Program</w:t>
            </w:r>
          </w:p>
        </w:tc>
        <w:tc>
          <w:tcPr>
            <w:tcW w:w="1361" w:type="dxa"/>
          </w:tcPr>
          <w:p w14:paraId="3F3468F9" w14:textId="77777777" w:rsidR="00D733E1" w:rsidRDefault="00D733E1" w:rsidP="00163339">
            <w:pPr>
              <w:pStyle w:val="TableTextRight"/>
            </w:pPr>
            <w:r>
              <w:t>6,650</w:t>
            </w:r>
          </w:p>
        </w:tc>
        <w:tc>
          <w:tcPr>
            <w:tcW w:w="1361" w:type="dxa"/>
          </w:tcPr>
          <w:p w14:paraId="58ABF824" w14:textId="77777777" w:rsidR="00D733E1" w:rsidRDefault="00D733E1" w:rsidP="00163339">
            <w:pPr>
              <w:pStyle w:val="TableTextRight"/>
            </w:pPr>
            <w:r>
              <w:t>7,339</w:t>
            </w:r>
          </w:p>
        </w:tc>
        <w:tc>
          <w:tcPr>
            <w:tcW w:w="1361" w:type="dxa"/>
          </w:tcPr>
          <w:p w14:paraId="585B5531" w14:textId="77777777" w:rsidR="00D733E1" w:rsidRDefault="00D733E1" w:rsidP="00163339">
            <w:pPr>
              <w:pStyle w:val="TableTextRight"/>
            </w:pPr>
            <w:r>
              <w:t>8,410</w:t>
            </w:r>
          </w:p>
        </w:tc>
      </w:tr>
      <w:tr w:rsidR="00D733E1" w14:paraId="47B35187" w14:textId="77777777" w:rsidTr="00A548EF">
        <w:trPr>
          <w:trHeight w:val="283"/>
        </w:trPr>
        <w:tc>
          <w:tcPr>
            <w:tcW w:w="4990" w:type="dxa"/>
            <w:gridSpan w:val="4"/>
            <w:shd w:val="clear" w:color="auto" w:fill="D3DBEE"/>
          </w:tcPr>
          <w:p w14:paraId="2CB8C6E7" w14:textId="72AE080A" w:rsidR="00D733E1" w:rsidRDefault="00D733E1" w:rsidP="00C65EA8">
            <w:pPr>
              <w:pStyle w:val="TableTextBold"/>
            </w:pPr>
            <w:r>
              <w:t>Residential tenancy inspection advice provided</w:t>
            </w:r>
          </w:p>
        </w:tc>
      </w:tr>
      <w:tr w:rsidR="00D733E1" w14:paraId="0D32D09D" w14:textId="77777777" w:rsidTr="00A548EF">
        <w:trPr>
          <w:trHeight w:val="283"/>
        </w:trPr>
        <w:tc>
          <w:tcPr>
            <w:tcW w:w="4990" w:type="dxa"/>
          </w:tcPr>
          <w:p w14:paraId="454B7811" w14:textId="1139B823" w:rsidR="00D733E1" w:rsidRDefault="00D733E1" w:rsidP="00163339">
            <w:pPr>
              <w:pStyle w:val="TableText"/>
            </w:pPr>
            <w:r>
              <w:t>Repair reports</w:t>
            </w:r>
          </w:p>
        </w:tc>
        <w:tc>
          <w:tcPr>
            <w:tcW w:w="1361" w:type="dxa"/>
          </w:tcPr>
          <w:p w14:paraId="7B49FDB6" w14:textId="77777777" w:rsidR="00D733E1" w:rsidRDefault="00D733E1" w:rsidP="00163339">
            <w:pPr>
              <w:pStyle w:val="TableTextRight"/>
            </w:pPr>
            <w:r>
              <w:t>2,063</w:t>
            </w:r>
          </w:p>
        </w:tc>
        <w:tc>
          <w:tcPr>
            <w:tcW w:w="1361" w:type="dxa"/>
          </w:tcPr>
          <w:p w14:paraId="609731A4" w14:textId="77777777" w:rsidR="00D733E1" w:rsidRDefault="00D733E1" w:rsidP="00163339">
            <w:pPr>
              <w:pStyle w:val="TableTextRight"/>
            </w:pPr>
            <w:r>
              <w:t>704</w:t>
            </w:r>
          </w:p>
        </w:tc>
        <w:tc>
          <w:tcPr>
            <w:tcW w:w="1361" w:type="dxa"/>
          </w:tcPr>
          <w:p w14:paraId="23584A9B" w14:textId="77777777" w:rsidR="00D733E1" w:rsidRDefault="00D733E1" w:rsidP="00163339">
            <w:pPr>
              <w:pStyle w:val="TableTextRight"/>
            </w:pPr>
            <w:r>
              <w:t>560</w:t>
            </w:r>
          </w:p>
        </w:tc>
      </w:tr>
      <w:tr w:rsidR="00D733E1" w14:paraId="4600CE0F" w14:textId="77777777" w:rsidTr="00A548EF">
        <w:trPr>
          <w:trHeight w:val="283"/>
        </w:trPr>
        <w:tc>
          <w:tcPr>
            <w:tcW w:w="4990" w:type="dxa"/>
          </w:tcPr>
          <w:p w14:paraId="7179C244" w14:textId="0F704B15" w:rsidR="00D733E1" w:rsidRDefault="00D733E1" w:rsidP="00163339">
            <w:pPr>
              <w:pStyle w:val="TableText"/>
            </w:pPr>
            <w:r>
              <w:t>Goods left behind reports</w:t>
            </w:r>
          </w:p>
        </w:tc>
        <w:tc>
          <w:tcPr>
            <w:tcW w:w="1361" w:type="dxa"/>
          </w:tcPr>
          <w:p w14:paraId="671EA37C" w14:textId="77777777" w:rsidR="00D733E1" w:rsidRDefault="00D733E1" w:rsidP="00163339">
            <w:pPr>
              <w:pStyle w:val="TableTextRight"/>
            </w:pPr>
            <w:r>
              <w:t>1,531</w:t>
            </w:r>
          </w:p>
        </w:tc>
        <w:tc>
          <w:tcPr>
            <w:tcW w:w="1361" w:type="dxa"/>
          </w:tcPr>
          <w:p w14:paraId="1D72C4C2" w14:textId="77777777" w:rsidR="00D733E1" w:rsidRDefault="00D733E1" w:rsidP="00163339">
            <w:pPr>
              <w:pStyle w:val="TableTextRight"/>
            </w:pPr>
            <w:r>
              <w:t>2</w:t>
            </w:r>
          </w:p>
        </w:tc>
        <w:tc>
          <w:tcPr>
            <w:tcW w:w="1361" w:type="dxa"/>
          </w:tcPr>
          <w:p w14:paraId="56F311DA" w14:textId="77777777" w:rsidR="00D733E1" w:rsidRDefault="00D733E1" w:rsidP="00163339">
            <w:pPr>
              <w:pStyle w:val="TableTextRight"/>
            </w:pPr>
            <w:r>
              <w:t>0</w:t>
            </w:r>
          </w:p>
        </w:tc>
      </w:tr>
      <w:tr w:rsidR="00D733E1" w14:paraId="3F48E216" w14:textId="77777777" w:rsidTr="00A548EF">
        <w:trPr>
          <w:trHeight w:val="283"/>
        </w:trPr>
        <w:tc>
          <w:tcPr>
            <w:tcW w:w="4990" w:type="dxa"/>
          </w:tcPr>
          <w:p w14:paraId="27EDE493" w14:textId="68933C3D" w:rsidR="00D733E1" w:rsidRDefault="00D733E1" w:rsidP="00163339">
            <w:pPr>
              <w:pStyle w:val="TableText"/>
            </w:pPr>
            <w:r>
              <w:t>Rent increase reports</w:t>
            </w:r>
          </w:p>
        </w:tc>
        <w:tc>
          <w:tcPr>
            <w:tcW w:w="1361" w:type="dxa"/>
          </w:tcPr>
          <w:p w14:paraId="6C66AE0C" w14:textId="77777777" w:rsidR="00D733E1" w:rsidRDefault="00D733E1" w:rsidP="00163339">
            <w:pPr>
              <w:pStyle w:val="TableTextRight"/>
            </w:pPr>
            <w:r>
              <w:t>752</w:t>
            </w:r>
          </w:p>
        </w:tc>
        <w:tc>
          <w:tcPr>
            <w:tcW w:w="1361" w:type="dxa"/>
          </w:tcPr>
          <w:p w14:paraId="3A2FE99C" w14:textId="77777777" w:rsidR="00D733E1" w:rsidRDefault="00D733E1" w:rsidP="00163339">
            <w:pPr>
              <w:pStyle w:val="TableTextRight"/>
            </w:pPr>
            <w:r>
              <w:t>2,452</w:t>
            </w:r>
          </w:p>
        </w:tc>
        <w:tc>
          <w:tcPr>
            <w:tcW w:w="1361" w:type="dxa"/>
          </w:tcPr>
          <w:p w14:paraId="5B21EB33" w14:textId="77777777" w:rsidR="00D733E1" w:rsidRDefault="00D733E1" w:rsidP="00163339">
            <w:pPr>
              <w:pStyle w:val="TableTextRight"/>
            </w:pPr>
            <w:r>
              <w:t>5,448</w:t>
            </w:r>
          </w:p>
        </w:tc>
      </w:tr>
    </w:tbl>
    <w:p w14:paraId="73EED0CA" w14:textId="7542DB7E" w:rsidR="00D733E1" w:rsidRDefault="00D733E1" w:rsidP="00C74C37">
      <w:pPr>
        <w:pStyle w:val="Heading4"/>
      </w:pPr>
      <w:r>
        <w:t>Victorian Property Fund grants</w:t>
      </w:r>
    </w:p>
    <w:p w14:paraId="2BCCBB36" w14:textId="523A30F1" w:rsidR="00D733E1" w:rsidRDefault="00D733E1" w:rsidP="00D733E1">
      <w:pPr>
        <w:pStyle w:val="BodyText"/>
      </w:pPr>
      <w:r>
        <w:t xml:space="preserve">The </w:t>
      </w:r>
      <w:r w:rsidRPr="008A66FE">
        <w:rPr>
          <w:rStyle w:val="Emphasis"/>
        </w:rPr>
        <w:t>Estate Agents Act 1980</w:t>
      </w:r>
      <w:r>
        <w:t xml:space="preserve"> allows the responsible Minister to award grants from the VPF for various legislated purposes. The Minister makes decisions on grants after consultation with CAV, the Estate Agents Council and any industry associations, government departments and other organisations, as appropriate. We administer the VPF grants program. This includes evaluating applications, making recommendations about proposals to the Minister, and administering the grants.</w:t>
      </w:r>
    </w:p>
    <w:p w14:paraId="6836DAC2" w14:textId="1EF18E89" w:rsidR="00D733E1" w:rsidRDefault="00D733E1" w:rsidP="00D733E1">
      <w:pPr>
        <w:pStyle w:val="BodyText"/>
      </w:pPr>
      <w:r>
        <w:t>In 2022–23, $1.8 million was spent on existing grants to community organisations to deliver estate agent professional development training, community education on renting rights and social housing development projects.</w:t>
      </w:r>
    </w:p>
    <w:p w14:paraId="1B734402" w14:textId="3105D1C3" w:rsidR="00D733E1" w:rsidRDefault="00D733E1" w:rsidP="00D733E1">
      <w:pPr>
        <w:pStyle w:val="BodyText"/>
      </w:pPr>
      <w:r>
        <w:t>During 2022–23, $1.2 million was awarded for three new grants, running over three years. These have a community education focus to improve awareness and access to changes under rental reforms and awareness of owners corporation responsibilities and obligations.</w:t>
      </w:r>
    </w:p>
    <w:p w14:paraId="3004BA0C" w14:textId="131B965B" w:rsidR="00D733E1" w:rsidRDefault="00D733E1" w:rsidP="00DF73E7">
      <w:pPr>
        <w:pStyle w:val="BodyText"/>
        <w:keepNext/>
        <w:keepLines/>
      </w:pPr>
      <w:r>
        <w:t>The table below represents active grants and the 2022–23 grant expenditure by recipient and</w:t>
      </w:r>
      <w:r w:rsidR="00DF73E7">
        <w:t> </w:t>
      </w:r>
      <w:r>
        <w:t>purpose.</w:t>
      </w:r>
    </w:p>
    <w:tbl>
      <w:tblPr>
        <w:tblStyle w:val="TableGrid"/>
        <w:tblW w:w="9072" w:type="dxa"/>
        <w:tblLayout w:type="fixed"/>
        <w:tblLook w:val="06A0" w:firstRow="1" w:lastRow="0" w:firstColumn="1" w:lastColumn="0" w:noHBand="1" w:noVBand="1"/>
      </w:tblPr>
      <w:tblGrid>
        <w:gridCol w:w="2269"/>
        <w:gridCol w:w="4082"/>
        <w:gridCol w:w="1360"/>
        <w:gridCol w:w="1361"/>
      </w:tblGrid>
      <w:tr w:rsidR="00D733E1" w14:paraId="048D5BED" w14:textId="77777777" w:rsidTr="007A404D">
        <w:trPr>
          <w:cnfStyle w:val="100000000000" w:firstRow="1" w:lastRow="0" w:firstColumn="0" w:lastColumn="0" w:oddVBand="0" w:evenVBand="0" w:oddHBand="0" w:evenHBand="0" w:firstRowFirstColumn="0" w:firstRowLastColumn="0" w:lastRowFirstColumn="0" w:lastRowLastColumn="0"/>
          <w:trHeight w:val="60"/>
          <w:tblHeader/>
        </w:trPr>
        <w:tc>
          <w:tcPr>
            <w:tcW w:w="2268" w:type="dxa"/>
          </w:tcPr>
          <w:p w14:paraId="4062367A" w14:textId="77777777" w:rsidR="00D733E1" w:rsidRDefault="00D733E1" w:rsidP="00163339">
            <w:pPr>
              <w:pStyle w:val="TableColHead"/>
            </w:pPr>
            <w:r>
              <w:t>Recipient</w:t>
            </w:r>
          </w:p>
        </w:tc>
        <w:tc>
          <w:tcPr>
            <w:tcW w:w="4082" w:type="dxa"/>
          </w:tcPr>
          <w:p w14:paraId="12D0B12D" w14:textId="77777777" w:rsidR="00D733E1" w:rsidRDefault="00D733E1" w:rsidP="00163339">
            <w:pPr>
              <w:pStyle w:val="TableColHead"/>
            </w:pPr>
            <w:r>
              <w:t>Purpose</w:t>
            </w:r>
          </w:p>
        </w:tc>
        <w:tc>
          <w:tcPr>
            <w:tcW w:w="1360" w:type="dxa"/>
          </w:tcPr>
          <w:p w14:paraId="6B29D06E" w14:textId="27BE75EC" w:rsidR="00D733E1" w:rsidRDefault="00D733E1" w:rsidP="00163339">
            <w:pPr>
              <w:pStyle w:val="TableColHeadRight"/>
            </w:pPr>
            <w:r>
              <w:t>Total grant</w:t>
            </w:r>
          </w:p>
        </w:tc>
        <w:tc>
          <w:tcPr>
            <w:tcW w:w="1361" w:type="dxa"/>
          </w:tcPr>
          <w:p w14:paraId="3E2DF7EF" w14:textId="3AED686D" w:rsidR="00D733E1" w:rsidRDefault="00D733E1" w:rsidP="00163339">
            <w:pPr>
              <w:pStyle w:val="TableColHeadRight"/>
            </w:pPr>
            <w:r>
              <w:t>2022–23 expenditure</w:t>
            </w:r>
          </w:p>
        </w:tc>
      </w:tr>
      <w:tr w:rsidR="00D733E1" w14:paraId="6A8FB15D" w14:textId="77777777" w:rsidTr="007A404D">
        <w:trPr>
          <w:trHeight w:val="60"/>
        </w:trPr>
        <w:tc>
          <w:tcPr>
            <w:tcW w:w="2268" w:type="dxa"/>
          </w:tcPr>
          <w:p w14:paraId="3E0C4D3E" w14:textId="6BAC97AF" w:rsidR="00D733E1" w:rsidRDefault="00D733E1" w:rsidP="00163339">
            <w:pPr>
              <w:pStyle w:val="TableText"/>
            </w:pPr>
            <w:r>
              <w:t>Tenants Victoria</w:t>
            </w:r>
          </w:p>
        </w:tc>
        <w:tc>
          <w:tcPr>
            <w:tcW w:w="4082" w:type="dxa"/>
          </w:tcPr>
          <w:p w14:paraId="78FC1B90" w14:textId="191BFD45" w:rsidR="00D733E1" w:rsidRDefault="00D733E1" w:rsidP="00163339">
            <w:pPr>
              <w:pStyle w:val="TableText"/>
            </w:pPr>
            <w:r>
              <w:t>Renting education activities</w:t>
            </w:r>
          </w:p>
        </w:tc>
        <w:tc>
          <w:tcPr>
            <w:tcW w:w="1360" w:type="dxa"/>
          </w:tcPr>
          <w:p w14:paraId="7ABA4D8F" w14:textId="77777777" w:rsidR="00D733E1" w:rsidRDefault="00D733E1" w:rsidP="00163339">
            <w:pPr>
              <w:pStyle w:val="TableTextRight"/>
            </w:pPr>
            <w:r>
              <w:t>$0.86m</w:t>
            </w:r>
          </w:p>
        </w:tc>
        <w:tc>
          <w:tcPr>
            <w:tcW w:w="1361" w:type="dxa"/>
          </w:tcPr>
          <w:p w14:paraId="583E56AB" w14:textId="77777777" w:rsidR="00D733E1" w:rsidRDefault="00D733E1" w:rsidP="00163339">
            <w:pPr>
              <w:pStyle w:val="TableTextRight"/>
            </w:pPr>
            <w:r>
              <w:t>$0.32m</w:t>
            </w:r>
          </w:p>
        </w:tc>
      </w:tr>
      <w:tr w:rsidR="00D733E1" w14:paraId="2B8EEBFB" w14:textId="77777777" w:rsidTr="007A404D">
        <w:trPr>
          <w:trHeight w:val="60"/>
        </w:trPr>
        <w:tc>
          <w:tcPr>
            <w:tcW w:w="2268" w:type="dxa"/>
          </w:tcPr>
          <w:p w14:paraId="2594356C" w14:textId="4CCF1DB4" w:rsidR="00D733E1" w:rsidRDefault="00D733E1" w:rsidP="00163339">
            <w:pPr>
              <w:pStyle w:val="TableText"/>
            </w:pPr>
            <w:r>
              <w:t>Victorian Council of Social Service</w:t>
            </w:r>
          </w:p>
        </w:tc>
        <w:tc>
          <w:tcPr>
            <w:tcW w:w="4082" w:type="dxa"/>
          </w:tcPr>
          <w:p w14:paraId="41D234A5" w14:textId="04128FD1" w:rsidR="00D733E1" w:rsidRDefault="00D733E1" w:rsidP="00163339">
            <w:pPr>
              <w:pStyle w:val="TableText"/>
            </w:pPr>
            <w:r>
              <w:t>Renting education activities</w:t>
            </w:r>
          </w:p>
        </w:tc>
        <w:tc>
          <w:tcPr>
            <w:tcW w:w="1360" w:type="dxa"/>
          </w:tcPr>
          <w:p w14:paraId="383A7190" w14:textId="77777777" w:rsidR="00D733E1" w:rsidRDefault="00D733E1" w:rsidP="00163339">
            <w:pPr>
              <w:pStyle w:val="TableTextRight"/>
            </w:pPr>
            <w:r>
              <w:t>$0.26m</w:t>
            </w:r>
          </w:p>
        </w:tc>
        <w:tc>
          <w:tcPr>
            <w:tcW w:w="1361" w:type="dxa"/>
          </w:tcPr>
          <w:p w14:paraId="35237010" w14:textId="77777777" w:rsidR="00D733E1" w:rsidRDefault="00D733E1" w:rsidP="00163339">
            <w:pPr>
              <w:pStyle w:val="TableTextRight"/>
            </w:pPr>
            <w:r>
              <w:t>$0.08m</w:t>
            </w:r>
          </w:p>
        </w:tc>
      </w:tr>
      <w:tr w:rsidR="00D733E1" w14:paraId="179DA833" w14:textId="77777777" w:rsidTr="007A404D">
        <w:trPr>
          <w:trHeight w:val="60"/>
        </w:trPr>
        <w:tc>
          <w:tcPr>
            <w:tcW w:w="2268" w:type="dxa"/>
          </w:tcPr>
          <w:p w14:paraId="24FFD1AE" w14:textId="62AA103E" w:rsidR="00D733E1" w:rsidRDefault="00D733E1" w:rsidP="00163339">
            <w:pPr>
              <w:pStyle w:val="TableText"/>
            </w:pPr>
            <w:r>
              <w:t>Strata Communities Association (Vic)</w:t>
            </w:r>
          </w:p>
        </w:tc>
        <w:tc>
          <w:tcPr>
            <w:tcW w:w="4082" w:type="dxa"/>
          </w:tcPr>
          <w:p w14:paraId="051BBD5B" w14:textId="3B49E933" w:rsidR="00D733E1" w:rsidRDefault="00D733E1" w:rsidP="00163339">
            <w:pPr>
              <w:pStyle w:val="TableText"/>
            </w:pPr>
            <w:r>
              <w:t>Owners Corporation education activities</w:t>
            </w:r>
          </w:p>
        </w:tc>
        <w:tc>
          <w:tcPr>
            <w:tcW w:w="1360" w:type="dxa"/>
          </w:tcPr>
          <w:p w14:paraId="143C07EE" w14:textId="77777777" w:rsidR="00D733E1" w:rsidRDefault="00D733E1" w:rsidP="00163339">
            <w:pPr>
              <w:pStyle w:val="TableTextRight"/>
            </w:pPr>
            <w:r>
              <w:t>$0.07m</w:t>
            </w:r>
          </w:p>
        </w:tc>
        <w:tc>
          <w:tcPr>
            <w:tcW w:w="1361" w:type="dxa"/>
          </w:tcPr>
          <w:p w14:paraId="5E08EDF5" w14:textId="77777777" w:rsidR="00D733E1" w:rsidRDefault="00D733E1" w:rsidP="00163339">
            <w:pPr>
              <w:pStyle w:val="TableTextRight"/>
            </w:pPr>
            <w:r>
              <w:t>$0.0m</w:t>
            </w:r>
          </w:p>
        </w:tc>
      </w:tr>
      <w:tr w:rsidR="00D733E1" w14:paraId="13131209" w14:textId="77777777" w:rsidTr="007A404D">
        <w:trPr>
          <w:trHeight w:val="60"/>
        </w:trPr>
        <w:tc>
          <w:tcPr>
            <w:tcW w:w="2268" w:type="dxa"/>
          </w:tcPr>
          <w:p w14:paraId="164A57FD" w14:textId="675F259E" w:rsidR="00D733E1" w:rsidRDefault="00D733E1" w:rsidP="00163339">
            <w:pPr>
              <w:pStyle w:val="TableText"/>
            </w:pPr>
            <w:r>
              <w:t>Common Equity Housing Ltd</w:t>
            </w:r>
          </w:p>
        </w:tc>
        <w:tc>
          <w:tcPr>
            <w:tcW w:w="4082" w:type="dxa"/>
          </w:tcPr>
          <w:p w14:paraId="3D1E45E0" w14:textId="7CD326ED" w:rsidR="00D733E1" w:rsidRDefault="00D733E1" w:rsidP="00163339">
            <w:pPr>
              <w:pStyle w:val="TableText"/>
            </w:pPr>
            <w:r>
              <w:t>A social housing development of a 17-unit housing complex at 6–8 Wilson Avenue, Brunswick</w:t>
            </w:r>
          </w:p>
        </w:tc>
        <w:tc>
          <w:tcPr>
            <w:tcW w:w="1360" w:type="dxa"/>
          </w:tcPr>
          <w:p w14:paraId="4D6B685C" w14:textId="77777777" w:rsidR="00D733E1" w:rsidRDefault="00D733E1" w:rsidP="00163339">
            <w:pPr>
              <w:pStyle w:val="TableTextRight"/>
            </w:pPr>
            <w:r>
              <w:t>$4.2m</w:t>
            </w:r>
          </w:p>
        </w:tc>
        <w:tc>
          <w:tcPr>
            <w:tcW w:w="1361" w:type="dxa"/>
          </w:tcPr>
          <w:p w14:paraId="2C8F5DED" w14:textId="77777777" w:rsidR="00D733E1" w:rsidRDefault="00D733E1" w:rsidP="00163339">
            <w:pPr>
              <w:pStyle w:val="TableTextRight"/>
            </w:pPr>
            <w:r>
              <w:t>$0m</w:t>
            </w:r>
          </w:p>
        </w:tc>
      </w:tr>
      <w:tr w:rsidR="00D733E1" w14:paraId="165C6D60" w14:textId="77777777" w:rsidTr="007A404D">
        <w:trPr>
          <w:trHeight w:val="60"/>
        </w:trPr>
        <w:tc>
          <w:tcPr>
            <w:tcW w:w="2268" w:type="dxa"/>
          </w:tcPr>
          <w:p w14:paraId="5DA79AF1" w14:textId="2F26E14D" w:rsidR="00D733E1" w:rsidRDefault="00D733E1" w:rsidP="00163339">
            <w:pPr>
              <w:pStyle w:val="TableText"/>
            </w:pPr>
            <w:r>
              <w:t>Kids Under Cover</w:t>
            </w:r>
          </w:p>
        </w:tc>
        <w:tc>
          <w:tcPr>
            <w:tcW w:w="4082" w:type="dxa"/>
          </w:tcPr>
          <w:p w14:paraId="01EFE7D2" w14:textId="7AEE360E" w:rsidR="00D733E1" w:rsidRDefault="00D733E1" w:rsidP="00163339">
            <w:pPr>
              <w:pStyle w:val="TableText"/>
            </w:pPr>
            <w:r>
              <w:t>A social housing project across various sites providing long term accommodation for young Victorians</w:t>
            </w:r>
          </w:p>
        </w:tc>
        <w:tc>
          <w:tcPr>
            <w:tcW w:w="1360" w:type="dxa"/>
          </w:tcPr>
          <w:p w14:paraId="6B9D15B7" w14:textId="77777777" w:rsidR="00D733E1" w:rsidRDefault="00D733E1" w:rsidP="00163339">
            <w:pPr>
              <w:pStyle w:val="TableTextRight"/>
            </w:pPr>
            <w:r>
              <w:t>$2.3m</w:t>
            </w:r>
          </w:p>
        </w:tc>
        <w:tc>
          <w:tcPr>
            <w:tcW w:w="1361" w:type="dxa"/>
          </w:tcPr>
          <w:p w14:paraId="0456F0B1" w14:textId="77777777" w:rsidR="00D733E1" w:rsidRDefault="00D733E1" w:rsidP="00163339">
            <w:pPr>
              <w:pStyle w:val="TableTextRight"/>
            </w:pPr>
            <w:r>
              <w:t>$0.02m</w:t>
            </w:r>
          </w:p>
        </w:tc>
      </w:tr>
      <w:tr w:rsidR="00D733E1" w14:paraId="5C4CFBA2" w14:textId="77777777" w:rsidTr="007A404D">
        <w:trPr>
          <w:trHeight w:val="60"/>
        </w:trPr>
        <w:tc>
          <w:tcPr>
            <w:tcW w:w="2268" w:type="dxa"/>
          </w:tcPr>
          <w:p w14:paraId="72DCC2C1" w14:textId="65F74F8B" w:rsidR="00D733E1" w:rsidRDefault="00D733E1" w:rsidP="00163339">
            <w:pPr>
              <w:pStyle w:val="TableText"/>
            </w:pPr>
            <w:r>
              <w:t>Mallee Accommodation and Support Program</w:t>
            </w:r>
          </w:p>
        </w:tc>
        <w:tc>
          <w:tcPr>
            <w:tcW w:w="4082" w:type="dxa"/>
          </w:tcPr>
          <w:p w14:paraId="1A285FE0" w14:textId="211D7BD7" w:rsidR="00D733E1" w:rsidRDefault="00D733E1" w:rsidP="00163339">
            <w:pPr>
              <w:pStyle w:val="TableText"/>
            </w:pPr>
            <w:r>
              <w:t>A social housing development of 13 one</w:t>
            </w:r>
            <w:r>
              <w:rPr>
                <w:rFonts w:ascii="Times New Roman" w:hAnsi="Times New Roman"/>
              </w:rPr>
              <w:t>‑</w:t>
            </w:r>
            <w:r>
              <w:t>bedroom units</w:t>
            </w:r>
          </w:p>
        </w:tc>
        <w:tc>
          <w:tcPr>
            <w:tcW w:w="1360" w:type="dxa"/>
          </w:tcPr>
          <w:p w14:paraId="19F2CE4C" w14:textId="77777777" w:rsidR="00D733E1" w:rsidRDefault="00D733E1" w:rsidP="00163339">
            <w:pPr>
              <w:pStyle w:val="TableTextRight"/>
            </w:pPr>
            <w:r>
              <w:t>$2.02m</w:t>
            </w:r>
          </w:p>
        </w:tc>
        <w:tc>
          <w:tcPr>
            <w:tcW w:w="1361" w:type="dxa"/>
          </w:tcPr>
          <w:p w14:paraId="12E0FCC0" w14:textId="77777777" w:rsidR="00D733E1" w:rsidRDefault="00D733E1" w:rsidP="00163339">
            <w:pPr>
              <w:pStyle w:val="TableTextRight"/>
            </w:pPr>
            <w:r>
              <w:t>$1.1m</w:t>
            </w:r>
          </w:p>
        </w:tc>
      </w:tr>
      <w:tr w:rsidR="00D733E1" w14:paraId="74CAEFAC" w14:textId="77777777" w:rsidTr="007A404D">
        <w:trPr>
          <w:trHeight w:val="60"/>
        </w:trPr>
        <w:tc>
          <w:tcPr>
            <w:tcW w:w="2268" w:type="dxa"/>
          </w:tcPr>
          <w:p w14:paraId="105E644D" w14:textId="77777777" w:rsidR="00D733E1" w:rsidRDefault="00D733E1" w:rsidP="00163339">
            <w:pPr>
              <w:pStyle w:val="TableText"/>
            </w:pPr>
            <w:r>
              <w:t>HousingFirst</w:t>
            </w:r>
          </w:p>
        </w:tc>
        <w:tc>
          <w:tcPr>
            <w:tcW w:w="4082" w:type="dxa"/>
          </w:tcPr>
          <w:p w14:paraId="103A8769" w14:textId="3521800C" w:rsidR="00D733E1" w:rsidRDefault="00D733E1" w:rsidP="00163339">
            <w:pPr>
              <w:pStyle w:val="TableText"/>
            </w:pPr>
            <w:r>
              <w:t>A social housing development of a 36-unit rooming house at 5 Little Grey Street, St Kilda.</w:t>
            </w:r>
          </w:p>
        </w:tc>
        <w:tc>
          <w:tcPr>
            <w:tcW w:w="1360" w:type="dxa"/>
          </w:tcPr>
          <w:p w14:paraId="30698BC8" w14:textId="77777777" w:rsidR="00D733E1" w:rsidRDefault="00D733E1" w:rsidP="00163339">
            <w:pPr>
              <w:pStyle w:val="TableTextRight"/>
            </w:pPr>
            <w:r>
              <w:t>$6.89m</w:t>
            </w:r>
          </w:p>
        </w:tc>
        <w:tc>
          <w:tcPr>
            <w:tcW w:w="1361" w:type="dxa"/>
          </w:tcPr>
          <w:p w14:paraId="5C2439D1" w14:textId="77777777" w:rsidR="00D733E1" w:rsidRDefault="00D733E1" w:rsidP="00163339">
            <w:pPr>
              <w:pStyle w:val="TableTextRight"/>
            </w:pPr>
            <w:r>
              <w:t>$0.09m</w:t>
            </w:r>
          </w:p>
        </w:tc>
      </w:tr>
      <w:tr w:rsidR="00D733E1" w14:paraId="4E404D0B" w14:textId="77777777" w:rsidTr="007A404D">
        <w:trPr>
          <w:trHeight w:val="60"/>
        </w:trPr>
        <w:tc>
          <w:tcPr>
            <w:tcW w:w="2268" w:type="dxa"/>
          </w:tcPr>
          <w:p w14:paraId="28599724" w14:textId="0E820815" w:rsidR="00D733E1" w:rsidRDefault="00D733E1" w:rsidP="00163339">
            <w:pPr>
              <w:pStyle w:val="TableText"/>
            </w:pPr>
            <w:r>
              <w:t>Community Housing</w:t>
            </w:r>
          </w:p>
        </w:tc>
        <w:tc>
          <w:tcPr>
            <w:tcW w:w="4082" w:type="dxa"/>
          </w:tcPr>
          <w:p w14:paraId="10080B16" w14:textId="052C29E1" w:rsidR="00D733E1" w:rsidRDefault="00D733E1" w:rsidP="00163339">
            <w:pPr>
              <w:pStyle w:val="TableText"/>
            </w:pPr>
            <w:r>
              <w:t>A social housing development of a 20-unit housing complex at 23 Cilento Crescent, Lynbrook</w:t>
            </w:r>
          </w:p>
        </w:tc>
        <w:tc>
          <w:tcPr>
            <w:tcW w:w="1360" w:type="dxa"/>
          </w:tcPr>
          <w:p w14:paraId="1F9DF7A7" w14:textId="77777777" w:rsidR="00D733E1" w:rsidRDefault="00D733E1" w:rsidP="00163339">
            <w:pPr>
              <w:pStyle w:val="TableTextRight"/>
            </w:pPr>
            <w:r>
              <w:t>$2.8m</w:t>
            </w:r>
          </w:p>
        </w:tc>
        <w:tc>
          <w:tcPr>
            <w:tcW w:w="1361" w:type="dxa"/>
          </w:tcPr>
          <w:p w14:paraId="0A327F0A" w14:textId="77777777" w:rsidR="00D733E1" w:rsidRDefault="00D733E1" w:rsidP="00163339">
            <w:pPr>
              <w:pStyle w:val="TableTextRight"/>
            </w:pPr>
            <w:r>
              <w:t>$0m</w:t>
            </w:r>
          </w:p>
        </w:tc>
      </w:tr>
      <w:tr w:rsidR="00D733E1" w14:paraId="78DD7D1D" w14:textId="77777777" w:rsidTr="007A404D">
        <w:trPr>
          <w:trHeight w:val="60"/>
        </w:trPr>
        <w:tc>
          <w:tcPr>
            <w:tcW w:w="2268" w:type="dxa"/>
          </w:tcPr>
          <w:p w14:paraId="13D8717F" w14:textId="2107112C" w:rsidR="00D733E1" w:rsidRDefault="00D733E1" w:rsidP="00163339">
            <w:pPr>
              <w:pStyle w:val="TableText"/>
            </w:pPr>
            <w:r>
              <w:t>Community Housing</w:t>
            </w:r>
          </w:p>
        </w:tc>
        <w:tc>
          <w:tcPr>
            <w:tcW w:w="4082" w:type="dxa"/>
          </w:tcPr>
          <w:p w14:paraId="7186C816" w14:textId="5230E9C3" w:rsidR="00D733E1" w:rsidRDefault="00D733E1" w:rsidP="00163339">
            <w:pPr>
              <w:pStyle w:val="TableText"/>
            </w:pPr>
            <w:r>
              <w:t>A social housing development of a 15-unit housing complex at 64–68 Anderson Street, Lilydale</w:t>
            </w:r>
          </w:p>
        </w:tc>
        <w:tc>
          <w:tcPr>
            <w:tcW w:w="1360" w:type="dxa"/>
          </w:tcPr>
          <w:p w14:paraId="5AB6E19C" w14:textId="77777777" w:rsidR="00D733E1" w:rsidRDefault="00D733E1" w:rsidP="00163339">
            <w:pPr>
              <w:pStyle w:val="TableTextRight"/>
            </w:pPr>
            <w:r>
              <w:t>$2.9m</w:t>
            </w:r>
          </w:p>
        </w:tc>
        <w:tc>
          <w:tcPr>
            <w:tcW w:w="1361" w:type="dxa"/>
          </w:tcPr>
          <w:p w14:paraId="34FA13FC" w14:textId="77777777" w:rsidR="00D733E1" w:rsidRDefault="00D733E1" w:rsidP="00163339">
            <w:pPr>
              <w:pStyle w:val="TableTextRight"/>
            </w:pPr>
            <w:r>
              <w:t>$0m</w:t>
            </w:r>
          </w:p>
        </w:tc>
      </w:tr>
      <w:tr w:rsidR="00D733E1" w14:paraId="227F2EF0" w14:textId="77777777" w:rsidTr="007A404D">
        <w:trPr>
          <w:trHeight w:val="60"/>
        </w:trPr>
        <w:tc>
          <w:tcPr>
            <w:tcW w:w="2268" w:type="dxa"/>
          </w:tcPr>
          <w:p w14:paraId="6415C82E" w14:textId="329E8A5C" w:rsidR="00D733E1" w:rsidRDefault="00D733E1" w:rsidP="00163339">
            <w:pPr>
              <w:pStyle w:val="TableText"/>
            </w:pPr>
            <w:r>
              <w:t>Beyond Housing</w:t>
            </w:r>
          </w:p>
        </w:tc>
        <w:tc>
          <w:tcPr>
            <w:tcW w:w="4082" w:type="dxa"/>
          </w:tcPr>
          <w:p w14:paraId="32AD7649" w14:textId="6207CF7E" w:rsidR="00D733E1" w:rsidRDefault="00D733E1" w:rsidP="00163339">
            <w:pPr>
              <w:pStyle w:val="TableText"/>
            </w:pPr>
            <w:r>
              <w:t>A social housing development of five 2-bedroom townhouses and three 3-bedroom family homes in Mitchell Shire</w:t>
            </w:r>
          </w:p>
        </w:tc>
        <w:tc>
          <w:tcPr>
            <w:tcW w:w="1360" w:type="dxa"/>
          </w:tcPr>
          <w:p w14:paraId="439FA5BC" w14:textId="77777777" w:rsidR="00D733E1" w:rsidRDefault="00D733E1" w:rsidP="00163339">
            <w:pPr>
              <w:pStyle w:val="TableTextRight"/>
            </w:pPr>
            <w:r>
              <w:t>$2.01m</w:t>
            </w:r>
          </w:p>
        </w:tc>
        <w:tc>
          <w:tcPr>
            <w:tcW w:w="1361" w:type="dxa"/>
          </w:tcPr>
          <w:p w14:paraId="5EA6079E" w14:textId="77777777" w:rsidR="00D733E1" w:rsidRDefault="00D733E1" w:rsidP="00163339">
            <w:pPr>
              <w:pStyle w:val="TableTextRight"/>
            </w:pPr>
            <w:r>
              <w:t>$0.05m</w:t>
            </w:r>
          </w:p>
        </w:tc>
      </w:tr>
      <w:tr w:rsidR="00D733E1" w14:paraId="51D8BCA5" w14:textId="77777777" w:rsidTr="007A404D">
        <w:trPr>
          <w:trHeight w:val="60"/>
        </w:trPr>
        <w:tc>
          <w:tcPr>
            <w:tcW w:w="2268" w:type="dxa"/>
          </w:tcPr>
          <w:p w14:paraId="04386E4E" w14:textId="3D0989CA" w:rsidR="00D733E1" w:rsidRDefault="00D733E1" w:rsidP="00163339">
            <w:pPr>
              <w:pStyle w:val="TableText"/>
            </w:pPr>
            <w:r>
              <w:t>Australian Livestock and Property Agents Association</w:t>
            </w:r>
          </w:p>
        </w:tc>
        <w:tc>
          <w:tcPr>
            <w:tcW w:w="4082" w:type="dxa"/>
          </w:tcPr>
          <w:p w14:paraId="03EC53E5" w14:textId="5D7F4F33" w:rsidR="00D733E1" w:rsidRDefault="00D733E1" w:rsidP="00163339">
            <w:pPr>
              <w:pStyle w:val="TableText"/>
            </w:pPr>
            <w:r>
              <w:t>Estate agents’ professional development program</w:t>
            </w:r>
          </w:p>
        </w:tc>
        <w:tc>
          <w:tcPr>
            <w:tcW w:w="1360" w:type="dxa"/>
          </w:tcPr>
          <w:p w14:paraId="1C5B3C74" w14:textId="77777777" w:rsidR="00D733E1" w:rsidRDefault="00D733E1" w:rsidP="00163339">
            <w:pPr>
              <w:pStyle w:val="TableTextRight"/>
            </w:pPr>
            <w:r>
              <w:t>$0.17m</w:t>
            </w:r>
          </w:p>
        </w:tc>
        <w:tc>
          <w:tcPr>
            <w:tcW w:w="1361" w:type="dxa"/>
          </w:tcPr>
          <w:p w14:paraId="732AF3D2" w14:textId="77777777" w:rsidR="00D733E1" w:rsidRDefault="00D733E1" w:rsidP="00163339">
            <w:pPr>
              <w:pStyle w:val="TableTextRight"/>
            </w:pPr>
            <w:r>
              <w:t>$0.017m</w:t>
            </w:r>
          </w:p>
        </w:tc>
      </w:tr>
      <w:tr w:rsidR="00D733E1" w14:paraId="402F25F3" w14:textId="77777777" w:rsidTr="007A404D">
        <w:trPr>
          <w:trHeight w:val="60"/>
        </w:trPr>
        <w:tc>
          <w:tcPr>
            <w:tcW w:w="2268" w:type="dxa"/>
          </w:tcPr>
          <w:p w14:paraId="02C9DB70" w14:textId="532F98D4" w:rsidR="00D733E1" w:rsidRDefault="00D733E1" w:rsidP="00163339">
            <w:pPr>
              <w:pStyle w:val="TableText"/>
            </w:pPr>
            <w:r>
              <w:t>Heritage Victoria</w:t>
            </w:r>
          </w:p>
        </w:tc>
        <w:tc>
          <w:tcPr>
            <w:tcW w:w="4082" w:type="dxa"/>
          </w:tcPr>
          <w:p w14:paraId="14F414D5" w14:textId="561E6EC6" w:rsidR="00D733E1" w:rsidRDefault="00D733E1" w:rsidP="00163339">
            <w:pPr>
              <w:pStyle w:val="TableText"/>
            </w:pPr>
            <w:r>
              <w:t>Repair and conservation of Victoria’s heritage places</w:t>
            </w:r>
          </w:p>
        </w:tc>
        <w:tc>
          <w:tcPr>
            <w:tcW w:w="1360" w:type="dxa"/>
          </w:tcPr>
          <w:p w14:paraId="72CFEB3F" w14:textId="77777777" w:rsidR="00D733E1" w:rsidRDefault="00D733E1" w:rsidP="00163339">
            <w:pPr>
              <w:pStyle w:val="TableTextRight"/>
            </w:pPr>
            <w:r>
              <w:t>$1.5m</w:t>
            </w:r>
          </w:p>
        </w:tc>
        <w:tc>
          <w:tcPr>
            <w:tcW w:w="1361" w:type="dxa"/>
          </w:tcPr>
          <w:p w14:paraId="2D80C5C0" w14:textId="77777777" w:rsidR="00D733E1" w:rsidRDefault="00D733E1" w:rsidP="00163339">
            <w:pPr>
              <w:pStyle w:val="TableTextRight"/>
            </w:pPr>
            <w:r>
              <w:t>$0m</w:t>
            </w:r>
          </w:p>
        </w:tc>
      </w:tr>
    </w:tbl>
    <w:p w14:paraId="1A5B71F6" w14:textId="77777777" w:rsidR="00D733E1" w:rsidRDefault="00D733E1" w:rsidP="00C74C37">
      <w:pPr>
        <w:pStyle w:val="Heading3"/>
      </w:pPr>
      <w:bookmarkStart w:id="19" w:name="_Toc149678442"/>
      <w:r>
        <w:t>Other</w:t>
      </w:r>
      <w:bookmarkEnd w:id="19"/>
    </w:p>
    <w:p w14:paraId="412FA9D5" w14:textId="30241364" w:rsidR="00D733E1" w:rsidRDefault="00D733E1" w:rsidP="00C74C37">
      <w:pPr>
        <w:pStyle w:val="Heading4"/>
      </w:pPr>
      <w:r>
        <w:t>Statement of Expectations</w:t>
      </w:r>
    </w:p>
    <w:p w14:paraId="5C932472" w14:textId="79460FCD" w:rsidR="00D733E1" w:rsidRDefault="00D733E1" w:rsidP="00D733E1">
      <w:pPr>
        <w:pStyle w:val="BodyText"/>
      </w:pPr>
      <w:r>
        <w:t>In September 2021, the Minister for Consumer Affairs, Gaming and Liquor Regulation issued a</w:t>
      </w:r>
      <w:r w:rsidR="00384BF6">
        <w:t> </w:t>
      </w:r>
      <w:r>
        <w:t>Statement of Expectations (SOE) to CAV and the Business Licensing Authority for 2021–23.</w:t>
      </w:r>
    </w:p>
    <w:p w14:paraId="13EA21FA" w14:textId="39E893E1" w:rsidR="00D733E1" w:rsidRDefault="00D733E1" w:rsidP="00D733E1">
      <w:pPr>
        <w:pStyle w:val="BodyText"/>
      </w:pPr>
      <w:r>
        <w:t xml:space="preserve">This SOE set out two-year governance and performance objectives aimed at improving CAV’s administration and enforcement of regulation to reduce its impact on businesses and the community. The SOE is available within the </w:t>
      </w:r>
      <w:hyperlink r:id="rId13" w:history="1">
        <w:r>
          <w:rPr>
            <w:rStyle w:val="Hyperlink"/>
          </w:rPr>
          <w:t>About us</w:t>
        </w:r>
      </w:hyperlink>
      <w:r>
        <w:t xml:space="preserve"> section of our website at consumer.vic.gov.au/about-us.</w:t>
      </w:r>
    </w:p>
    <w:p w14:paraId="18263144" w14:textId="72FEF673" w:rsidR="00D733E1" w:rsidRDefault="00D733E1" w:rsidP="00D733E1">
      <w:pPr>
        <w:pStyle w:val="BodyText"/>
      </w:pPr>
      <w:r>
        <w:t>The performance objectives identified in the SOE cover four broad goals:</w:t>
      </w:r>
    </w:p>
    <w:p w14:paraId="0C3CAF16" w14:textId="331972C7" w:rsidR="00D733E1" w:rsidRDefault="00D733E1" w:rsidP="00D261F8">
      <w:pPr>
        <w:pStyle w:val="ListBullet"/>
      </w:pPr>
      <w:r>
        <w:t>support economic and social recovery</w:t>
      </w:r>
    </w:p>
    <w:p w14:paraId="0F158702" w14:textId="45B7A297" w:rsidR="00D733E1" w:rsidRDefault="00D733E1" w:rsidP="00D261F8">
      <w:pPr>
        <w:pStyle w:val="ListBullet"/>
      </w:pPr>
      <w:r>
        <w:t>improved timeliness</w:t>
      </w:r>
    </w:p>
    <w:p w14:paraId="47E90B0D" w14:textId="6BAC62C7" w:rsidR="00D733E1" w:rsidRDefault="00D733E1" w:rsidP="00D261F8">
      <w:pPr>
        <w:pStyle w:val="ListBullet"/>
      </w:pPr>
      <w:r>
        <w:t>risk-based strategies</w:t>
      </w:r>
    </w:p>
    <w:p w14:paraId="5259DBD2" w14:textId="2C1EE39E" w:rsidR="00D733E1" w:rsidRDefault="00D733E1" w:rsidP="00D261F8">
      <w:pPr>
        <w:pStyle w:val="ListBullet"/>
      </w:pPr>
      <w:r>
        <w:t>compliance related assistance and advice.</w:t>
      </w:r>
    </w:p>
    <w:p w14:paraId="5C52E8EB" w14:textId="39F0A225" w:rsidR="00D733E1" w:rsidRDefault="00D733E1" w:rsidP="00D733E1">
      <w:pPr>
        <w:pStyle w:val="BodyText"/>
      </w:pPr>
      <w:r>
        <w:t>More information about our performance against these goals is set out below.</w:t>
      </w:r>
    </w:p>
    <w:p w14:paraId="73BE7335" w14:textId="6C51EFBD" w:rsidR="00D733E1" w:rsidRDefault="00D733E1" w:rsidP="00D733E1">
      <w:pPr>
        <w:pStyle w:val="BodyText"/>
      </w:pPr>
      <w:r>
        <w:t>In June 2023, the Minister for Consumer Affairs issued CAV with a new SOE for the coming year. This</w:t>
      </w:r>
      <w:r w:rsidR="008B53D8">
        <w:t> </w:t>
      </w:r>
      <w:r>
        <w:t>is also available on our website.</w:t>
      </w:r>
    </w:p>
    <w:p w14:paraId="6C56B169" w14:textId="78B2DA2E" w:rsidR="00D733E1" w:rsidRDefault="00D733E1" w:rsidP="00C74C37">
      <w:pPr>
        <w:pStyle w:val="Heading4"/>
      </w:pPr>
      <w:r>
        <w:t>Support economic and social recovery</w:t>
      </w:r>
    </w:p>
    <w:p w14:paraId="54E0FE68" w14:textId="7380DF59" w:rsidR="00D733E1" w:rsidRDefault="00D733E1" w:rsidP="00D733E1">
      <w:pPr>
        <w:pStyle w:val="BodyText"/>
      </w:pPr>
      <w:r>
        <w:t>The 2021–23 SOE directed us to prioritise regulatory reforms necessary to address the areas of greatest potential consumer harm in a recovering economy, while ensuring businesses have the tools</w:t>
      </w:r>
      <w:r w:rsidR="008B53D8">
        <w:t> </w:t>
      </w:r>
      <w:r>
        <w:t>they need to expand and adapt in a changing marketplace.</w:t>
      </w:r>
    </w:p>
    <w:p w14:paraId="568CBFF6" w14:textId="77777777" w:rsidR="00D733E1" w:rsidRDefault="00D733E1" w:rsidP="00C74C37">
      <w:pPr>
        <w:pStyle w:val="Heading5"/>
      </w:pPr>
      <w:r>
        <w:t>Implementation</w:t>
      </w:r>
    </w:p>
    <w:p w14:paraId="70AD1495" w14:textId="34238C78" w:rsidR="00D733E1" w:rsidRDefault="00D733E1" w:rsidP="00D733E1">
      <w:pPr>
        <w:pStyle w:val="BodyText"/>
      </w:pPr>
      <w:r>
        <w:t>We committed to deliver digital improvements for users of our online licensing and registration systems. These will support economic recovery and save time and effort for Victorian businesses and community groups, while addressing consumer harms. We delivered digital improvements including:</w:t>
      </w:r>
    </w:p>
    <w:p w14:paraId="3AFB9EA0" w14:textId="0425D4E0" w:rsidR="00D733E1" w:rsidRDefault="00D733E1" w:rsidP="00D261F8">
      <w:pPr>
        <w:pStyle w:val="ListBullet"/>
      </w:pPr>
      <w:r>
        <w:t>online lodgement of compliance certificates by rooming house operators (delivered January 2022)</w:t>
      </w:r>
    </w:p>
    <w:p w14:paraId="62013BC3" w14:textId="60230A72" w:rsidR="00D733E1" w:rsidRDefault="00D733E1" w:rsidP="00D261F8">
      <w:pPr>
        <w:pStyle w:val="ListBullet"/>
      </w:pPr>
      <w:r>
        <w:t>online notifications to operate under automatic mutual recognition (delivered February 2022)</w:t>
      </w:r>
    </w:p>
    <w:p w14:paraId="645E874C" w14:textId="77497180" w:rsidR="00D733E1" w:rsidRDefault="00D733E1" w:rsidP="00D261F8">
      <w:pPr>
        <w:pStyle w:val="ListBullet"/>
      </w:pPr>
      <w:r>
        <w:t>online licensing and registration systems for motor car traders and second-hand dealers (delivered May 2023).</w:t>
      </w:r>
    </w:p>
    <w:p w14:paraId="19795830" w14:textId="69A41E16" w:rsidR="00D733E1" w:rsidRDefault="00D733E1" w:rsidP="00C74C37">
      <w:pPr>
        <w:pStyle w:val="Heading4"/>
      </w:pPr>
      <w:r>
        <w:t>Improved timeliness</w:t>
      </w:r>
    </w:p>
    <w:p w14:paraId="5F38DA4A" w14:textId="17C110F1" w:rsidR="00D733E1" w:rsidRDefault="00D733E1" w:rsidP="00D733E1">
      <w:pPr>
        <w:pStyle w:val="BodyText"/>
      </w:pPr>
      <w:r>
        <w:t>The SOE directed us to promote and advance national harmonisation of regulation to reduce business</w:t>
      </w:r>
      <w:r w:rsidR="00384BF6">
        <w:t> </w:t>
      </w:r>
      <w:r>
        <w:t>costs and increase community understanding of their consumer rights and responsibilities. Another directive was to implement ongoing digital improvements to make licensing and registration interactions quicker and easier for businesses, professionals, and community groups.</w:t>
      </w:r>
    </w:p>
    <w:p w14:paraId="231B3335" w14:textId="77777777" w:rsidR="00D733E1" w:rsidRDefault="00D733E1" w:rsidP="00C74C37">
      <w:pPr>
        <w:pStyle w:val="Heading5"/>
      </w:pPr>
      <w:r>
        <w:t>Implementation</w:t>
      </w:r>
    </w:p>
    <w:p w14:paraId="6588486D" w14:textId="26736D59" w:rsidR="00D733E1" w:rsidRDefault="00D733E1" w:rsidP="00D733E1">
      <w:pPr>
        <w:pStyle w:val="BodyText"/>
      </w:pPr>
      <w:r>
        <w:t>To help Victorians businesses save time and effort, we delivered digital improvements for users of</w:t>
      </w:r>
      <w:r w:rsidR="008B53D8">
        <w:t> </w:t>
      </w:r>
      <w:r>
        <w:t>our</w:t>
      </w:r>
      <w:r w:rsidR="008B53D8">
        <w:t> </w:t>
      </w:r>
      <w:r>
        <w:t>online licensing and registration systems. We improved online identity verification capabilities for</w:t>
      </w:r>
      <w:r w:rsidR="008B53D8">
        <w:t> </w:t>
      </w:r>
      <w:r>
        <w:t>professional engineers in January 2022 and for transactions by estate agents, rooming house operators, conveyancers and owners corporation managers in May 2022. We extended these capabilities to motor car traders and second-hand dealers in early May 2023, as part of their migration to online licensing and registration systems. In 2022–23, 5536 applications were processed from users who had verified their identity using Service Victoria’s online identity system.</w:t>
      </w:r>
    </w:p>
    <w:p w14:paraId="384F6513" w14:textId="61587794" w:rsidR="00D733E1" w:rsidRDefault="00D733E1" w:rsidP="00D733E1">
      <w:pPr>
        <w:pStyle w:val="BodyText"/>
      </w:pPr>
      <w:r>
        <w:t>Improvements to our online licensing and registration systems allow interstate licensees to lodge</w:t>
      </w:r>
      <w:r w:rsidR="008B53D8">
        <w:t> </w:t>
      </w:r>
      <w:r>
        <w:t>notifications under automatic mutual recognition (AMR). AMR operators also appear on the appropriate online public registers. In 2022–23, 306 AMR notifications were received across all schemes. This system continues to expand as more states and territories enter the scheme.</w:t>
      </w:r>
    </w:p>
    <w:p w14:paraId="279D9DC2" w14:textId="77777777" w:rsidR="00DF73E7" w:rsidRPr="00DF73E7" w:rsidRDefault="00DF73E7" w:rsidP="00DF73E7">
      <w:pPr>
        <w:pStyle w:val="BodyText"/>
      </w:pPr>
      <w:r w:rsidRPr="00DF73E7">
        <w:br w:type="page"/>
      </w:r>
    </w:p>
    <w:p w14:paraId="58E55DD2" w14:textId="2463E6E5" w:rsidR="00D733E1" w:rsidRDefault="00D733E1" w:rsidP="00C74C37">
      <w:pPr>
        <w:pStyle w:val="Heading4"/>
      </w:pPr>
      <w:r>
        <w:t>Risk-based strategies</w:t>
      </w:r>
    </w:p>
    <w:p w14:paraId="724D2BE9" w14:textId="0F0D4E79" w:rsidR="00D733E1" w:rsidRDefault="00D733E1" w:rsidP="00D733E1">
      <w:pPr>
        <w:pStyle w:val="BodyText"/>
      </w:pPr>
      <w:r>
        <w:t>Another priority was to put consumers at the centre of the design and enforcement of regulation, with</w:t>
      </w:r>
      <w:r w:rsidR="008B53D8">
        <w:t> </w:t>
      </w:r>
      <w:r>
        <w:t>a focus on:</w:t>
      </w:r>
    </w:p>
    <w:p w14:paraId="159A75B2" w14:textId="69283F34" w:rsidR="00D733E1" w:rsidRDefault="00D733E1" w:rsidP="00D261F8">
      <w:pPr>
        <w:pStyle w:val="ListBullet"/>
      </w:pPr>
      <w:r>
        <w:t>consumer wellbeing</w:t>
      </w:r>
    </w:p>
    <w:p w14:paraId="61A1DE71" w14:textId="77777777" w:rsidR="00D733E1" w:rsidRDefault="00D733E1" w:rsidP="00D261F8">
      <w:pPr>
        <w:pStyle w:val="ListBullet"/>
      </w:pPr>
      <w:r>
        <w:t>accessibility</w:t>
      </w:r>
    </w:p>
    <w:p w14:paraId="19DF7869" w14:textId="0F1C2A8F" w:rsidR="00D733E1" w:rsidRDefault="00D733E1" w:rsidP="00D261F8">
      <w:pPr>
        <w:pStyle w:val="ListBullet"/>
      </w:pPr>
      <w:r>
        <w:t>engagement with diverse communities</w:t>
      </w:r>
    </w:p>
    <w:p w14:paraId="2D1B0214" w14:textId="2E269AF4" w:rsidR="00D733E1" w:rsidRDefault="00D733E1" w:rsidP="00D261F8">
      <w:pPr>
        <w:pStyle w:val="ListBullet"/>
      </w:pPr>
      <w:r>
        <w:t>minimising the risk of consumer harm</w:t>
      </w:r>
    </w:p>
    <w:p w14:paraId="002B7A02" w14:textId="4B99E81C" w:rsidR="00D733E1" w:rsidRDefault="00D733E1" w:rsidP="00D261F8">
      <w:pPr>
        <w:pStyle w:val="ListBullet"/>
      </w:pPr>
      <w:r>
        <w:t>supporting consumers’ confident participation in the market.</w:t>
      </w:r>
    </w:p>
    <w:p w14:paraId="1EF44FCF" w14:textId="77777777" w:rsidR="00D733E1" w:rsidRDefault="00D733E1" w:rsidP="00C74C37">
      <w:pPr>
        <w:pStyle w:val="Heading5"/>
      </w:pPr>
      <w:r>
        <w:t>Implementation</w:t>
      </w:r>
    </w:p>
    <w:p w14:paraId="1DA66AB4" w14:textId="327437C1" w:rsidR="00D733E1" w:rsidRDefault="00D733E1" w:rsidP="00D733E1">
      <w:pPr>
        <w:pStyle w:val="BodyText"/>
      </w:pPr>
      <w:r>
        <w:t>We recognised the great potential harm than can come from rooming houses and supported the</w:t>
      </w:r>
      <w:r w:rsidR="008B53D8">
        <w:t> </w:t>
      </w:r>
      <w:r>
        <w:t>development and implementation of the Residential Tenancies (Rooming House Standards) Regulations 2023. These became law on 26 February 2023. The new minimum standards include significant safety requirements, which we check as part of our active monitoring of the rooming house sector across Victoria.</w:t>
      </w:r>
    </w:p>
    <w:p w14:paraId="14584D97" w14:textId="2ABD194A" w:rsidR="00D733E1" w:rsidRDefault="00D733E1" w:rsidP="00D733E1">
      <w:pPr>
        <w:pStyle w:val="BodyText"/>
      </w:pPr>
      <w:r>
        <w:t>We continue to monitor rooming houses through our standard processes, and take immediate action for serious or urgent issues. Our broader stakeholder engagement program in the sector, particularly with local councils and Victoria Police, complements our own monitoring.</w:t>
      </w:r>
    </w:p>
    <w:p w14:paraId="1AA5574D" w14:textId="207316EF" w:rsidR="00D733E1" w:rsidRDefault="00D733E1" w:rsidP="00D733E1">
      <w:pPr>
        <w:pStyle w:val="BodyText"/>
      </w:pPr>
      <w:r>
        <w:t>We continued to develop our community engagement, with the establishment of a team dedicated to</w:t>
      </w:r>
      <w:r w:rsidR="008B53D8">
        <w:t> </w:t>
      </w:r>
      <w:r>
        <w:t>consumer and community engagement. Recognising that Aboriginal Victorians face significantly higher risk in multiple consumer activities, we began to develop a deeper Aboriginal and Torres Strait Islander strategic engagement plan in 2022–23.</w:t>
      </w:r>
    </w:p>
    <w:p w14:paraId="5412D659" w14:textId="220080A7" w:rsidR="00D733E1" w:rsidRDefault="00D733E1" w:rsidP="00D733E1">
      <w:pPr>
        <w:pStyle w:val="BodyText"/>
      </w:pPr>
      <w:r>
        <w:t>As part of our risk-based, intelligence-led and outcomes-focused regulatory approach, we updated our regulatory priorities for 2023–24. This will help us better target the greatest risks facing the community in general and Victorians at great risk of vulnerability and disadvantage in particular.</w:t>
      </w:r>
    </w:p>
    <w:p w14:paraId="71B60911" w14:textId="1A97D2D3" w:rsidR="00D733E1" w:rsidRDefault="00D733E1" w:rsidP="00C74C37">
      <w:pPr>
        <w:pStyle w:val="Heading4"/>
      </w:pPr>
      <w:r>
        <w:t>Compliance related assistance and advice</w:t>
      </w:r>
    </w:p>
    <w:p w14:paraId="6F86D13A" w14:textId="76E5A3DD" w:rsidR="00D733E1" w:rsidRDefault="00D733E1" w:rsidP="00D733E1">
      <w:pPr>
        <w:pStyle w:val="BodyText"/>
      </w:pPr>
      <w:r>
        <w:t>The SOE directed us to help businesses meet their regulatory obligations effectively and efficiently, while ensuring they do not undertake poor trading or predatory practices.</w:t>
      </w:r>
    </w:p>
    <w:p w14:paraId="2215883F" w14:textId="77777777" w:rsidR="00D733E1" w:rsidRDefault="00D733E1" w:rsidP="00C74C37">
      <w:pPr>
        <w:pStyle w:val="Heading5"/>
      </w:pPr>
      <w:r>
        <w:t>Implementation</w:t>
      </w:r>
    </w:p>
    <w:p w14:paraId="2F189B33" w14:textId="53D7292A" w:rsidR="00D733E1" w:rsidRDefault="00D733E1" w:rsidP="00D733E1">
      <w:pPr>
        <w:pStyle w:val="BodyText"/>
      </w:pPr>
      <w:r>
        <w:t>Expansion of the Professional Engineers Registration Scheme was an important part of implementing this directive in 2022–23. Over the year, CAV monitored registration operations and reviewed and maintained online content to support professional engineers’ compliance with the scheme and ensure appropriate protections were in place for consumers of engineering services throughout the two-and-a-half year phase-in period.</w:t>
      </w:r>
    </w:p>
    <w:p w14:paraId="5E06C3D9" w14:textId="0DDAF8BC" w:rsidR="00D733E1" w:rsidRDefault="00D733E1" w:rsidP="00D733E1">
      <w:pPr>
        <w:pStyle w:val="BodyText"/>
      </w:pPr>
      <w:r>
        <w:t>We also focused on compliance within the real estate industry, conducting comprehensive annual trust account audits. In 2022–23, infringements were down more than 15 per cent from the previous year. This reflects our successful efforts to increase trust account compliance.</w:t>
      </w:r>
    </w:p>
    <w:p w14:paraId="4494513F" w14:textId="0DFE3236" w:rsidR="00D733E1" w:rsidRDefault="00D733E1" w:rsidP="00D733E1">
      <w:pPr>
        <w:pStyle w:val="BodyText"/>
      </w:pPr>
      <w:r>
        <w:t>Having successfully acquitted our 2021–23 SOE, in June 2023 CAV received a new Statement of</w:t>
      </w:r>
      <w:r w:rsidR="008B53D8">
        <w:t> </w:t>
      </w:r>
      <w:r>
        <w:t>Expectations for 2023–24.</w:t>
      </w:r>
    </w:p>
    <w:p w14:paraId="08FDA991" w14:textId="5DE1F858" w:rsidR="00D733E1" w:rsidRDefault="00D733E1" w:rsidP="00163339">
      <w:pPr>
        <w:pStyle w:val="Caption"/>
      </w:pPr>
      <w:r>
        <w:t>Table: Trust funds administered by CAV</w:t>
      </w:r>
    </w:p>
    <w:tbl>
      <w:tblPr>
        <w:tblStyle w:val="TableGrid"/>
        <w:tblW w:w="0" w:type="auto"/>
        <w:tblLayout w:type="fixed"/>
        <w:tblLook w:val="06A0" w:firstRow="1" w:lastRow="0" w:firstColumn="1" w:lastColumn="0" w:noHBand="1" w:noVBand="1"/>
      </w:tblPr>
      <w:tblGrid>
        <w:gridCol w:w="2835"/>
        <w:gridCol w:w="6803"/>
      </w:tblGrid>
      <w:tr w:rsidR="00D733E1" w14:paraId="71A1EBE8" w14:textId="77777777" w:rsidTr="00084111">
        <w:trPr>
          <w:cnfStyle w:val="100000000000" w:firstRow="1" w:lastRow="0" w:firstColumn="0" w:lastColumn="0" w:oddVBand="0" w:evenVBand="0" w:oddHBand="0" w:evenHBand="0" w:firstRowFirstColumn="0" w:firstRowLastColumn="0" w:lastRowFirstColumn="0" w:lastRowLastColumn="0"/>
          <w:trHeight w:val="60"/>
          <w:tblHeader/>
        </w:trPr>
        <w:tc>
          <w:tcPr>
            <w:tcW w:w="2835" w:type="dxa"/>
          </w:tcPr>
          <w:p w14:paraId="065EE4B0" w14:textId="677745F5" w:rsidR="00D733E1" w:rsidRDefault="00D733E1" w:rsidP="00163339">
            <w:pPr>
              <w:pStyle w:val="TableColHead"/>
            </w:pPr>
            <w:r>
              <w:t>Trust fund</w:t>
            </w:r>
          </w:p>
        </w:tc>
        <w:tc>
          <w:tcPr>
            <w:tcW w:w="6803" w:type="dxa"/>
          </w:tcPr>
          <w:p w14:paraId="0177F295" w14:textId="220CD4A1" w:rsidR="00D733E1" w:rsidRDefault="00D733E1" w:rsidP="00163339">
            <w:pPr>
              <w:pStyle w:val="TableColHead"/>
            </w:pPr>
            <w:r>
              <w:t>Expenditure includes</w:t>
            </w:r>
          </w:p>
        </w:tc>
      </w:tr>
      <w:tr w:rsidR="00D733E1" w14:paraId="00EBE861" w14:textId="77777777" w:rsidTr="00084111">
        <w:trPr>
          <w:trHeight w:val="60"/>
        </w:trPr>
        <w:tc>
          <w:tcPr>
            <w:tcW w:w="2835" w:type="dxa"/>
          </w:tcPr>
          <w:p w14:paraId="6BE422CF" w14:textId="2DB3A017" w:rsidR="00D733E1" w:rsidRDefault="00D733E1" w:rsidP="00163339">
            <w:pPr>
              <w:pStyle w:val="TableText"/>
            </w:pPr>
            <w:r>
              <w:t>Domestic Builders Fund</w:t>
            </w:r>
          </w:p>
        </w:tc>
        <w:tc>
          <w:tcPr>
            <w:tcW w:w="6803" w:type="dxa"/>
          </w:tcPr>
          <w:p w14:paraId="2A184A6C" w14:textId="2ABD380B" w:rsidR="00D733E1" w:rsidRDefault="00D733E1" w:rsidP="00163339">
            <w:pPr>
              <w:pStyle w:val="TableText"/>
            </w:pPr>
            <w:r>
              <w:t xml:space="preserve">Administration of the </w:t>
            </w:r>
            <w:r w:rsidRPr="008A66FE">
              <w:rPr>
                <w:rStyle w:val="Emphasis"/>
              </w:rPr>
              <w:t>Domestic Building Contracts Act 1995</w:t>
            </w:r>
            <w:r>
              <w:t>, costs relating to the Victorian Civil and Administrative Tribunal (VCAT) Building and Property List and Domestic Building Dispute Resolution Victoria (DBDRV).</w:t>
            </w:r>
          </w:p>
        </w:tc>
      </w:tr>
      <w:tr w:rsidR="00D733E1" w14:paraId="585D6F49" w14:textId="77777777" w:rsidTr="00084111">
        <w:trPr>
          <w:trHeight w:val="60"/>
        </w:trPr>
        <w:tc>
          <w:tcPr>
            <w:tcW w:w="2835" w:type="dxa"/>
          </w:tcPr>
          <w:p w14:paraId="753E8E3A" w14:textId="36033DB4" w:rsidR="00D733E1" w:rsidRDefault="00D733E1" w:rsidP="00163339">
            <w:pPr>
              <w:pStyle w:val="TableText"/>
            </w:pPr>
            <w:r>
              <w:t>Motor Car Traders Guarantee Fund</w:t>
            </w:r>
          </w:p>
        </w:tc>
        <w:tc>
          <w:tcPr>
            <w:tcW w:w="6803" w:type="dxa"/>
          </w:tcPr>
          <w:p w14:paraId="7BE341BA" w14:textId="596D3CC1" w:rsidR="00D733E1" w:rsidRDefault="00D733E1" w:rsidP="00163339">
            <w:pPr>
              <w:pStyle w:val="TableText"/>
            </w:pPr>
            <w:r>
              <w:t>Administration of the</w:t>
            </w:r>
            <w:r w:rsidRPr="008A66FE">
              <w:rPr>
                <w:rStyle w:val="Emphasis"/>
              </w:rPr>
              <w:t xml:space="preserve"> Motor Car Traders Act 1986</w:t>
            </w:r>
            <w:r>
              <w:t>, guarantee fund claims.</w:t>
            </w:r>
          </w:p>
        </w:tc>
      </w:tr>
      <w:tr w:rsidR="00D733E1" w14:paraId="554B60DC" w14:textId="77777777" w:rsidTr="00084111">
        <w:trPr>
          <w:trHeight w:val="60"/>
        </w:trPr>
        <w:tc>
          <w:tcPr>
            <w:tcW w:w="2835" w:type="dxa"/>
          </w:tcPr>
          <w:p w14:paraId="138320F5" w14:textId="1DC4D5D0" w:rsidR="00D733E1" w:rsidRDefault="00D733E1" w:rsidP="00163339">
            <w:pPr>
              <w:pStyle w:val="TableText"/>
            </w:pPr>
            <w:r>
              <w:t>Residential Bonds Account</w:t>
            </w:r>
          </w:p>
        </w:tc>
        <w:tc>
          <w:tcPr>
            <w:tcW w:w="6803" w:type="dxa"/>
          </w:tcPr>
          <w:p w14:paraId="28941DE3" w14:textId="7A86E284" w:rsidR="00D733E1" w:rsidRDefault="00D733E1" w:rsidP="00163339">
            <w:pPr>
              <w:pStyle w:val="TableText"/>
            </w:pPr>
            <w:r>
              <w:t>Bonds held on trust for Victorian renters and rental providers.</w:t>
            </w:r>
          </w:p>
        </w:tc>
      </w:tr>
      <w:tr w:rsidR="00D733E1" w14:paraId="1B023EB0" w14:textId="77777777" w:rsidTr="00084111">
        <w:trPr>
          <w:trHeight w:val="60"/>
        </w:trPr>
        <w:tc>
          <w:tcPr>
            <w:tcW w:w="2835" w:type="dxa"/>
          </w:tcPr>
          <w:p w14:paraId="47CFB821" w14:textId="12C7A86E" w:rsidR="00D733E1" w:rsidRDefault="00D733E1" w:rsidP="00163339">
            <w:pPr>
              <w:pStyle w:val="TableText"/>
            </w:pPr>
            <w:r>
              <w:t>Residential Bonds Investment Income Account</w:t>
            </w:r>
          </w:p>
        </w:tc>
        <w:tc>
          <w:tcPr>
            <w:tcW w:w="6803" w:type="dxa"/>
          </w:tcPr>
          <w:p w14:paraId="06D7AC86" w14:textId="6B93466B" w:rsidR="00D733E1" w:rsidRDefault="00D733E1" w:rsidP="00163339">
            <w:pPr>
              <w:pStyle w:val="TableText"/>
            </w:pPr>
            <w:r>
              <w:t>Administration of the Residential Tenancies Bond Authority, transfers to the Residential Tenancies Fund.</w:t>
            </w:r>
          </w:p>
        </w:tc>
      </w:tr>
      <w:tr w:rsidR="00D733E1" w14:paraId="3EACF194" w14:textId="77777777" w:rsidTr="00084111">
        <w:trPr>
          <w:trHeight w:val="60"/>
        </w:trPr>
        <w:tc>
          <w:tcPr>
            <w:tcW w:w="2835" w:type="dxa"/>
          </w:tcPr>
          <w:p w14:paraId="402BADA5" w14:textId="49FD65AF" w:rsidR="00D733E1" w:rsidRDefault="00D733E1" w:rsidP="00163339">
            <w:pPr>
              <w:pStyle w:val="TableText"/>
            </w:pPr>
            <w:r>
              <w:t>Residential Tenancies Fund</w:t>
            </w:r>
          </w:p>
        </w:tc>
        <w:tc>
          <w:tcPr>
            <w:tcW w:w="6803" w:type="dxa"/>
          </w:tcPr>
          <w:p w14:paraId="66B16642" w14:textId="449BEE1A" w:rsidR="00D733E1" w:rsidRDefault="00D733E1" w:rsidP="00163339">
            <w:pPr>
              <w:pStyle w:val="TableText"/>
            </w:pPr>
            <w:r>
              <w:t xml:space="preserve">Administration of the </w:t>
            </w:r>
            <w:r w:rsidRPr="008A66FE">
              <w:rPr>
                <w:rStyle w:val="Emphasis"/>
              </w:rPr>
              <w:t>Residential Tenancies Act 1997</w:t>
            </w:r>
            <w:r>
              <w:t>, costs relating to the VCAT Residential Tenancies List.</w:t>
            </w:r>
          </w:p>
        </w:tc>
      </w:tr>
      <w:tr w:rsidR="00D733E1" w14:paraId="564964E0" w14:textId="77777777" w:rsidTr="00084111">
        <w:trPr>
          <w:trHeight w:val="60"/>
        </w:trPr>
        <w:tc>
          <w:tcPr>
            <w:tcW w:w="2835" w:type="dxa"/>
          </w:tcPr>
          <w:p w14:paraId="0BBCA16C" w14:textId="550603CB" w:rsidR="00D733E1" w:rsidRDefault="00D733E1" w:rsidP="00163339">
            <w:pPr>
              <w:pStyle w:val="TableText"/>
            </w:pPr>
            <w:r>
              <w:t>Sex Work Regulation Fund</w:t>
            </w:r>
          </w:p>
        </w:tc>
        <w:tc>
          <w:tcPr>
            <w:tcW w:w="6803" w:type="dxa"/>
          </w:tcPr>
          <w:p w14:paraId="5E8959DD" w14:textId="3C6BF7C5" w:rsidR="00D733E1" w:rsidRDefault="00D733E1" w:rsidP="00163339">
            <w:pPr>
              <w:pStyle w:val="TableText"/>
            </w:pPr>
            <w:r>
              <w:t xml:space="preserve">Administration of the </w:t>
            </w:r>
            <w:r w:rsidRPr="008A66FE">
              <w:rPr>
                <w:rStyle w:val="Emphasis"/>
              </w:rPr>
              <w:t>Sex Work Act 1994</w:t>
            </w:r>
            <w:r>
              <w:t>.</w:t>
            </w:r>
          </w:p>
        </w:tc>
      </w:tr>
      <w:tr w:rsidR="00D733E1" w14:paraId="70BC0D80" w14:textId="77777777" w:rsidTr="00084111">
        <w:trPr>
          <w:trHeight w:val="60"/>
        </w:trPr>
        <w:tc>
          <w:tcPr>
            <w:tcW w:w="2835" w:type="dxa"/>
          </w:tcPr>
          <w:p w14:paraId="58AFCD4D" w14:textId="102FAD31" w:rsidR="00D733E1" w:rsidRDefault="00D733E1" w:rsidP="00163339">
            <w:pPr>
              <w:pStyle w:val="TableText"/>
            </w:pPr>
            <w:r>
              <w:t>Victorian Consumer Law Fund</w:t>
            </w:r>
          </w:p>
        </w:tc>
        <w:tc>
          <w:tcPr>
            <w:tcW w:w="6803" w:type="dxa"/>
          </w:tcPr>
          <w:p w14:paraId="6B63DA56" w14:textId="7E7553FD" w:rsidR="00D733E1" w:rsidRDefault="00D733E1" w:rsidP="00163339">
            <w:pPr>
              <w:pStyle w:val="TableText"/>
            </w:pPr>
            <w:r>
              <w:t xml:space="preserve">Administration of the </w:t>
            </w:r>
            <w:r w:rsidRPr="008A66FE">
              <w:rPr>
                <w:rStyle w:val="Emphasis"/>
              </w:rPr>
              <w:t>Australian Consumer Law and Fair Trading Act 2012</w:t>
            </w:r>
            <w:r>
              <w:t xml:space="preserve"> Part 7, Division 2, s. 102A to E, orders for payment to non-party consumers, special purpose grants.</w:t>
            </w:r>
          </w:p>
        </w:tc>
      </w:tr>
      <w:tr w:rsidR="00D733E1" w14:paraId="1040CB2C" w14:textId="77777777" w:rsidTr="00084111">
        <w:trPr>
          <w:trHeight w:val="60"/>
        </w:trPr>
        <w:tc>
          <w:tcPr>
            <w:tcW w:w="2835" w:type="dxa"/>
          </w:tcPr>
          <w:p w14:paraId="795ED5DE" w14:textId="3604DA73" w:rsidR="00D733E1" w:rsidRDefault="00D733E1" w:rsidP="00163339">
            <w:pPr>
              <w:pStyle w:val="TableText"/>
            </w:pPr>
            <w:r>
              <w:t>Victorian Property Fund</w:t>
            </w:r>
          </w:p>
        </w:tc>
        <w:tc>
          <w:tcPr>
            <w:tcW w:w="6803" w:type="dxa"/>
          </w:tcPr>
          <w:p w14:paraId="463F94EB" w14:textId="46741849" w:rsidR="00D733E1" w:rsidRDefault="00D733E1" w:rsidP="00163339">
            <w:pPr>
              <w:pStyle w:val="TableText"/>
            </w:pPr>
            <w:r>
              <w:t xml:space="preserve">Administration of the </w:t>
            </w:r>
            <w:r w:rsidRPr="008A66FE">
              <w:rPr>
                <w:rStyle w:val="Emphasis"/>
              </w:rPr>
              <w:t>Estate Agents Act 1980</w:t>
            </w:r>
            <w:r>
              <w:t xml:space="preserve"> and other real estate related legislation as permitted by s. 75 of the Act, grants relating to property and housing as permitted by s. 76(3) of the Act, operation of the Estate Agents Council, trust fund claims, costs relating to the VCAT Owners Corporation List and contribution to the costs of the VCAT Residential Tenancies List.</w:t>
            </w:r>
          </w:p>
        </w:tc>
      </w:tr>
    </w:tbl>
    <w:p w14:paraId="15A35EFF" w14:textId="77777777" w:rsidR="00DE3B0D" w:rsidRDefault="00DE3B0D" w:rsidP="00D23ECC">
      <w:pPr>
        <w:pStyle w:val="BodyText"/>
      </w:pPr>
    </w:p>
    <w:p w14:paraId="65CA8AFE" w14:textId="77777777" w:rsidR="00F22B33" w:rsidRDefault="00F22B33" w:rsidP="00AE374E">
      <w:pPr>
        <w:pStyle w:val="Heading2"/>
        <w:sectPr w:rsidR="00F22B33" w:rsidSect="00FB2F9B">
          <w:footerReference w:type="default" r:id="rId14"/>
          <w:footnotePr>
            <w:pos w:val="beneathText"/>
            <w:numRestart w:val="eachPage"/>
          </w:footnotePr>
          <w:type w:val="continuous"/>
          <w:pgSz w:w="11906" w:h="16838" w:code="9"/>
          <w:pgMar w:top="1418" w:right="1418" w:bottom="1134" w:left="1418" w:header="510" w:footer="510" w:gutter="0"/>
          <w:cols w:space="708"/>
          <w:titlePg/>
          <w:docGrid w:linePitch="360"/>
        </w:sectPr>
      </w:pPr>
    </w:p>
    <w:p w14:paraId="160919A0" w14:textId="4DBF27D0" w:rsidR="00DE3B0D" w:rsidRDefault="00DE3B0D" w:rsidP="00AE374E">
      <w:pPr>
        <w:pStyle w:val="Heading2"/>
      </w:pPr>
      <w:bookmarkStart w:id="20" w:name="_Toc149678443"/>
      <w:r>
        <w:t>Financial</w:t>
      </w:r>
      <w:r w:rsidR="00D733E1">
        <w:t xml:space="preserve"> </w:t>
      </w:r>
      <w:r>
        <w:t>information</w:t>
      </w:r>
      <w:r w:rsidR="00D733E1">
        <w:t xml:space="preserve"> </w:t>
      </w:r>
      <w:r>
        <w:t>202</w:t>
      </w:r>
      <w:r w:rsidR="00150C87">
        <w:t>2</w:t>
      </w:r>
      <w:r>
        <w:t>–2</w:t>
      </w:r>
      <w:r w:rsidR="00150C87">
        <w:t>3</w:t>
      </w:r>
      <w:bookmarkEnd w:id="20"/>
    </w:p>
    <w:tbl>
      <w:tblPr>
        <w:tblStyle w:val="TableGrid"/>
        <w:tblW w:w="21263" w:type="dxa"/>
        <w:tblLayout w:type="fixed"/>
        <w:tblLook w:val="06A0" w:firstRow="1" w:lastRow="0" w:firstColumn="1" w:lastColumn="0" w:noHBand="1" w:noVBand="1"/>
      </w:tblPr>
      <w:tblGrid>
        <w:gridCol w:w="7471"/>
        <w:gridCol w:w="1724"/>
        <w:gridCol w:w="1724"/>
        <w:gridCol w:w="1724"/>
        <w:gridCol w:w="1724"/>
        <w:gridCol w:w="1724"/>
        <w:gridCol w:w="1724"/>
        <w:gridCol w:w="1724"/>
        <w:gridCol w:w="1724"/>
      </w:tblGrid>
      <w:tr w:rsidR="003C1B11" w14:paraId="0FAA7B37" w14:textId="77777777" w:rsidTr="00D76798">
        <w:trPr>
          <w:cnfStyle w:val="100000000000" w:firstRow="1" w:lastRow="0" w:firstColumn="0" w:lastColumn="0" w:oddVBand="0" w:evenVBand="0" w:oddHBand="0" w:evenHBand="0" w:firstRowFirstColumn="0" w:firstRowLastColumn="0" w:lastRowFirstColumn="0" w:lastRowLastColumn="0"/>
          <w:trHeight w:val="60"/>
          <w:tblHeader/>
        </w:trPr>
        <w:tc>
          <w:tcPr>
            <w:tcW w:w="7371" w:type="dxa"/>
          </w:tcPr>
          <w:p w14:paraId="1F709CA7" w14:textId="77777777" w:rsidR="003C1B11" w:rsidRDefault="003C1B11" w:rsidP="00FC3054">
            <w:pPr>
              <w:pStyle w:val="TableColHead"/>
            </w:pPr>
          </w:p>
        </w:tc>
        <w:tc>
          <w:tcPr>
            <w:tcW w:w="1701" w:type="dxa"/>
          </w:tcPr>
          <w:p w14:paraId="3E366937" w14:textId="730D437F" w:rsidR="003C1B11" w:rsidRDefault="003C1B11" w:rsidP="00FC3054">
            <w:pPr>
              <w:pStyle w:val="TableColHeadRight"/>
            </w:pPr>
            <w:r>
              <w:t>Victorian</w:t>
            </w:r>
            <w:r w:rsidR="00D733E1">
              <w:t xml:space="preserve"> </w:t>
            </w:r>
            <w:r>
              <w:t>Consumer</w:t>
            </w:r>
            <w:r w:rsidR="00D733E1">
              <w:t xml:space="preserve"> </w:t>
            </w:r>
            <w:r>
              <w:t>Law</w:t>
            </w:r>
            <w:r w:rsidR="00D733E1">
              <w:t xml:space="preserve"> </w:t>
            </w:r>
            <w:r>
              <w:t>Fund</w:t>
            </w:r>
          </w:p>
        </w:tc>
        <w:tc>
          <w:tcPr>
            <w:tcW w:w="1701" w:type="dxa"/>
          </w:tcPr>
          <w:p w14:paraId="486F45D0" w14:textId="20715E94" w:rsidR="003C1B11" w:rsidRDefault="003C1B11" w:rsidP="00FC3054">
            <w:pPr>
              <w:pStyle w:val="TableColHeadRight"/>
            </w:pPr>
            <w:r>
              <w:t>Domestic</w:t>
            </w:r>
            <w:r w:rsidR="00D733E1">
              <w:t xml:space="preserve"> </w:t>
            </w:r>
            <w:r>
              <w:t>Builders</w:t>
            </w:r>
            <w:r w:rsidR="00D733E1">
              <w:t xml:space="preserve"> </w:t>
            </w:r>
            <w:r>
              <w:t>Fund</w:t>
            </w:r>
          </w:p>
        </w:tc>
        <w:tc>
          <w:tcPr>
            <w:tcW w:w="1701" w:type="dxa"/>
          </w:tcPr>
          <w:p w14:paraId="6FD60670" w14:textId="59042599" w:rsidR="003C1B11" w:rsidRDefault="003C1B11" w:rsidP="00FC3054">
            <w:pPr>
              <w:pStyle w:val="TableColHeadRight"/>
            </w:pPr>
            <w:r>
              <w:t>Motor</w:t>
            </w:r>
            <w:r w:rsidR="00D733E1">
              <w:t xml:space="preserve"> </w:t>
            </w:r>
            <w:r>
              <w:t>Car</w:t>
            </w:r>
            <w:r w:rsidR="00D733E1">
              <w:t xml:space="preserve"> </w:t>
            </w:r>
            <w:r>
              <w:t>Traders’</w:t>
            </w:r>
            <w:r w:rsidR="00D733E1">
              <w:t xml:space="preserve"> </w:t>
            </w:r>
            <w:r>
              <w:t>Guarantee</w:t>
            </w:r>
            <w:r w:rsidR="00D733E1">
              <w:t xml:space="preserve"> </w:t>
            </w:r>
            <w:r>
              <w:t>Fund</w:t>
            </w:r>
          </w:p>
        </w:tc>
        <w:tc>
          <w:tcPr>
            <w:tcW w:w="1701" w:type="dxa"/>
          </w:tcPr>
          <w:p w14:paraId="00C1FAA4" w14:textId="6D232C1C" w:rsidR="003C1B11" w:rsidRDefault="003C1B11" w:rsidP="00FC3054">
            <w:pPr>
              <w:pStyle w:val="TableColHeadRight"/>
            </w:pPr>
            <w:r>
              <w:t>Residential</w:t>
            </w:r>
            <w:r w:rsidR="00D733E1">
              <w:t xml:space="preserve"> </w:t>
            </w:r>
            <w:r>
              <w:t>Bonds</w:t>
            </w:r>
            <w:r w:rsidR="00D733E1">
              <w:t xml:space="preserve"> </w:t>
            </w:r>
            <w:r>
              <w:t>Investment</w:t>
            </w:r>
            <w:r w:rsidR="00D733E1">
              <w:t xml:space="preserve"> </w:t>
            </w:r>
            <w:r>
              <w:t>Income</w:t>
            </w:r>
            <w:r w:rsidR="00D733E1">
              <w:t xml:space="preserve"> </w:t>
            </w:r>
            <w:r>
              <w:t>Account</w:t>
            </w:r>
          </w:p>
        </w:tc>
        <w:tc>
          <w:tcPr>
            <w:tcW w:w="1701" w:type="dxa"/>
          </w:tcPr>
          <w:p w14:paraId="2CB9141C" w14:textId="4FD9F22D" w:rsidR="003C1B11" w:rsidRDefault="003C1B11" w:rsidP="00FC3054">
            <w:pPr>
              <w:pStyle w:val="TableColHeadRight"/>
            </w:pPr>
            <w:r>
              <w:t>Residential</w:t>
            </w:r>
            <w:r w:rsidR="00D733E1">
              <w:t xml:space="preserve"> </w:t>
            </w:r>
            <w:r>
              <w:t>Tenancies</w:t>
            </w:r>
            <w:r w:rsidR="00D733E1">
              <w:t xml:space="preserve"> </w:t>
            </w:r>
            <w:r>
              <w:t>Fund</w:t>
            </w:r>
          </w:p>
        </w:tc>
        <w:tc>
          <w:tcPr>
            <w:tcW w:w="1701" w:type="dxa"/>
          </w:tcPr>
          <w:p w14:paraId="5345484B" w14:textId="3DD95B26" w:rsidR="003C1B11" w:rsidRDefault="003C1B11" w:rsidP="00FC3054">
            <w:pPr>
              <w:pStyle w:val="TableColHeadRight"/>
            </w:pPr>
            <w:r>
              <w:t>Sex</w:t>
            </w:r>
            <w:r w:rsidR="00D733E1">
              <w:t xml:space="preserve"> </w:t>
            </w:r>
            <w:r>
              <w:t>Work</w:t>
            </w:r>
            <w:r w:rsidR="00D733E1">
              <w:t xml:space="preserve"> </w:t>
            </w:r>
            <w:r>
              <w:t>Regulation</w:t>
            </w:r>
            <w:r w:rsidR="00D733E1">
              <w:t xml:space="preserve"> </w:t>
            </w:r>
            <w:r>
              <w:t>Fund</w:t>
            </w:r>
          </w:p>
        </w:tc>
        <w:tc>
          <w:tcPr>
            <w:tcW w:w="1701" w:type="dxa"/>
          </w:tcPr>
          <w:p w14:paraId="23F34D96" w14:textId="49009D78" w:rsidR="003C1B11" w:rsidRDefault="003C1B11" w:rsidP="00FC3054">
            <w:pPr>
              <w:pStyle w:val="TableColHeadRight"/>
            </w:pPr>
            <w:r>
              <w:t>Victorian</w:t>
            </w:r>
            <w:r w:rsidR="00D733E1">
              <w:t xml:space="preserve"> </w:t>
            </w:r>
            <w:r>
              <w:t>Property</w:t>
            </w:r>
            <w:r w:rsidR="00D733E1">
              <w:t xml:space="preserve"> </w:t>
            </w:r>
            <w:r>
              <w:t>Fund</w:t>
            </w:r>
          </w:p>
        </w:tc>
        <w:tc>
          <w:tcPr>
            <w:tcW w:w="1701" w:type="dxa"/>
          </w:tcPr>
          <w:p w14:paraId="47F437AD" w14:textId="0D19F453" w:rsidR="003C1B11" w:rsidRDefault="003C1B11" w:rsidP="00FC3054">
            <w:pPr>
              <w:pStyle w:val="TableColHeadRight"/>
            </w:pPr>
            <w:r>
              <w:t>Trust</w:t>
            </w:r>
            <w:r w:rsidR="00D733E1">
              <w:t xml:space="preserve"> </w:t>
            </w:r>
            <w:r>
              <w:t>Funds</w:t>
            </w:r>
            <w:r w:rsidR="00D733E1">
              <w:t xml:space="preserve"> </w:t>
            </w:r>
            <w:r>
              <w:t>Total</w:t>
            </w:r>
          </w:p>
          <w:p w14:paraId="7F08CCEC" w14:textId="3F9E8492" w:rsidR="003C1B11" w:rsidRDefault="003C1B11" w:rsidP="00FC3054">
            <w:pPr>
              <w:pStyle w:val="TableColHeadRight"/>
            </w:pPr>
            <w:r>
              <w:t>202</w:t>
            </w:r>
            <w:r w:rsidR="00BE26A8">
              <w:t>2</w:t>
            </w:r>
            <w:r>
              <w:t>–2</w:t>
            </w:r>
            <w:r w:rsidR="00BE26A8">
              <w:t>3</w:t>
            </w:r>
          </w:p>
        </w:tc>
      </w:tr>
      <w:tr w:rsidR="008B53D8" w14:paraId="7B718273" w14:textId="77777777" w:rsidTr="00C65EA8">
        <w:trPr>
          <w:trHeight w:val="60"/>
        </w:trPr>
        <w:tc>
          <w:tcPr>
            <w:tcW w:w="20979" w:type="dxa"/>
            <w:gridSpan w:val="9"/>
            <w:shd w:val="clear" w:color="auto" w:fill="BCCAE5"/>
          </w:tcPr>
          <w:p w14:paraId="1A459BAA" w14:textId="32D30838" w:rsidR="008B53D8" w:rsidRPr="003C1B11" w:rsidRDefault="008B53D8" w:rsidP="008B53D8">
            <w:pPr>
              <w:pStyle w:val="TableTextBold"/>
            </w:pPr>
            <w:r w:rsidRPr="00654BBF">
              <w:t>CAV Trust Funds Revenue</w:t>
            </w:r>
          </w:p>
        </w:tc>
      </w:tr>
      <w:tr w:rsidR="008B53D8" w14:paraId="2CBEF4C1" w14:textId="77777777" w:rsidTr="00D76798">
        <w:trPr>
          <w:trHeight w:val="60"/>
        </w:trPr>
        <w:tc>
          <w:tcPr>
            <w:tcW w:w="7371" w:type="dxa"/>
          </w:tcPr>
          <w:p w14:paraId="4CA670BC" w14:textId="421AB2F7" w:rsidR="008B53D8" w:rsidRDefault="008B53D8" w:rsidP="008B53D8">
            <w:pPr>
              <w:pStyle w:val="TableText"/>
            </w:pPr>
            <w:r w:rsidRPr="00654BBF">
              <w:t>Revenue recognition, Estate Agent and Conveyancer trust accounts</w:t>
            </w:r>
          </w:p>
        </w:tc>
        <w:tc>
          <w:tcPr>
            <w:tcW w:w="1701" w:type="dxa"/>
          </w:tcPr>
          <w:p w14:paraId="283FB8FC" w14:textId="77777777" w:rsidR="008B53D8" w:rsidRDefault="008B53D8" w:rsidP="008B53D8">
            <w:pPr>
              <w:pStyle w:val="TableTextRight"/>
            </w:pPr>
          </w:p>
        </w:tc>
        <w:tc>
          <w:tcPr>
            <w:tcW w:w="1701" w:type="dxa"/>
          </w:tcPr>
          <w:p w14:paraId="2FA86979" w14:textId="77777777" w:rsidR="008B53D8" w:rsidRDefault="008B53D8" w:rsidP="008B53D8">
            <w:pPr>
              <w:pStyle w:val="TableTextRight"/>
              <w:rPr>
                <w:rFonts w:ascii="VIC-SemiBold" w:hAnsi="VIC-SemiBold" w:cstheme="minorBidi"/>
              </w:rPr>
            </w:pPr>
          </w:p>
        </w:tc>
        <w:tc>
          <w:tcPr>
            <w:tcW w:w="1701" w:type="dxa"/>
          </w:tcPr>
          <w:p w14:paraId="6AE31D32" w14:textId="77777777" w:rsidR="008B53D8" w:rsidRDefault="008B53D8" w:rsidP="008B53D8">
            <w:pPr>
              <w:pStyle w:val="TableTextRight"/>
              <w:rPr>
                <w:rFonts w:ascii="VIC-SemiBold" w:hAnsi="VIC-SemiBold" w:cstheme="minorBidi"/>
              </w:rPr>
            </w:pPr>
          </w:p>
        </w:tc>
        <w:tc>
          <w:tcPr>
            <w:tcW w:w="1701" w:type="dxa"/>
          </w:tcPr>
          <w:p w14:paraId="25E409FE" w14:textId="77777777" w:rsidR="008B53D8" w:rsidRDefault="008B53D8" w:rsidP="008B53D8">
            <w:pPr>
              <w:pStyle w:val="TableTextRight"/>
              <w:rPr>
                <w:rFonts w:ascii="VIC-SemiBold" w:hAnsi="VIC-SemiBold" w:cstheme="minorBidi"/>
              </w:rPr>
            </w:pPr>
          </w:p>
        </w:tc>
        <w:tc>
          <w:tcPr>
            <w:tcW w:w="1701" w:type="dxa"/>
          </w:tcPr>
          <w:p w14:paraId="38600E4B" w14:textId="77777777" w:rsidR="008B53D8" w:rsidRDefault="008B53D8" w:rsidP="008B53D8">
            <w:pPr>
              <w:pStyle w:val="TableTextRight"/>
              <w:rPr>
                <w:rFonts w:ascii="VIC-SemiBold" w:hAnsi="VIC-SemiBold" w:cstheme="minorBidi"/>
              </w:rPr>
            </w:pPr>
          </w:p>
        </w:tc>
        <w:tc>
          <w:tcPr>
            <w:tcW w:w="1701" w:type="dxa"/>
          </w:tcPr>
          <w:p w14:paraId="581135DA" w14:textId="77777777" w:rsidR="008B53D8" w:rsidRDefault="008B53D8" w:rsidP="008B53D8">
            <w:pPr>
              <w:pStyle w:val="TableTextRight"/>
              <w:rPr>
                <w:rFonts w:ascii="VIC-SemiBold" w:hAnsi="VIC-SemiBold" w:cstheme="minorBidi"/>
              </w:rPr>
            </w:pPr>
          </w:p>
        </w:tc>
        <w:tc>
          <w:tcPr>
            <w:tcW w:w="1701" w:type="dxa"/>
          </w:tcPr>
          <w:p w14:paraId="274BC789" w14:textId="4FB54375" w:rsidR="008B53D8" w:rsidRDefault="008B53D8" w:rsidP="008B53D8">
            <w:pPr>
              <w:pStyle w:val="TableTextRight"/>
            </w:pPr>
            <w:r w:rsidRPr="00654BBF">
              <w:t>77,213,361</w:t>
            </w:r>
          </w:p>
        </w:tc>
        <w:tc>
          <w:tcPr>
            <w:tcW w:w="1701" w:type="dxa"/>
          </w:tcPr>
          <w:p w14:paraId="2132965B" w14:textId="5D838A9D" w:rsidR="008B53D8" w:rsidRDefault="008B53D8" w:rsidP="008B53D8">
            <w:pPr>
              <w:pStyle w:val="TableTextRight"/>
            </w:pPr>
            <w:r w:rsidRPr="00654BBF">
              <w:t>77,213,361</w:t>
            </w:r>
          </w:p>
        </w:tc>
      </w:tr>
      <w:tr w:rsidR="008B53D8" w14:paraId="09EAAF78" w14:textId="77777777" w:rsidTr="00D76798">
        <w:trPr>
          <w:trHeight w:val="60"/>
        </w:trPr>
        <w:tc>
          <w:tcPr>
            <w:tcW w:w="7371" w:type="dxa"/>
          </w:tcPr>
          <w:p w14:paraId="34C065D5" w14:textId="5CCE9D0C" w:rsidR="008B53D8" w:rsidRDefault="008B53D8" w:rsidP="008B53D8">
            <w:pPr>
              <w:pStyle w:val="TableText"/>
            </w:pPr>
            <w:r w:rsidRPr="00654BBF">
              <w:t>Revenue recognition, Residential Tenancy Bonds</w:t>
            </w:r>
          </w:p>
        </w:tc>
        <w:tc>
          <w:tcPr>
            <w:tcW w:w="1701" w:type="dxa"/>
          </w:tcPr>
          <w:p w14:paraId="540F6E6D" w14:textId="77777777" w:rsidR="008B53D8" w:rsidRDefault="008B53D8" w:rsidP="008B53D8">
            <w:pPr>
              <w:pStyle w:val="TableTextRight"/>
              <w:rPr>
                <w:rFonts w:ascii="VIC-SemiBold" w:hAnsi="VIC-SemiBold" w:cstheme="minorBidi"/>
              </w:rPr>
            </w:pPr>
          </w:p>
        </w:tc>
        <w:tc>
          <w:tcPr>
            <w:tcW w:w="1701" w:type="dxa"/>
          </w:tcPr>
          <w:p w14:paraId="6F0C2177" w14:textId="77777777" w:rsidR="008B53D8" w:rsidRDefault="008B53D8" w:rsidP="008B53D8">
            <w:pPr>
              <w:pStyle w:val="TableTextRight"/>
              <w:rPr>
                <w:rFonts w:ascii="VIC-SemiBold" w:hAnsi="VIC-SemiBold" w:cstheme="minorBidi"/>
              </w:rPr>
            </w:pPr>
          </w:p>
        </w:tc>
        <w:tc>
          <w:tcPr>
            <w:tcW w:w="1701" w:type="dxa"/>
          </w:tcPr>
          <w:p w14:paraId="3F6CB237" w14:textId="77777777" w:rsidR="008B53D8" w:rsidRDefault="008B53D8" w:rsidP="008B53D8">
            <w:pPr>
              <w:pStyle w:val="TableTextRight"/>
              <w:rPr>
                <w:rFonts w:ascii="VIC-SemiBold" w:hAnsi="VIC-SemiBold" w:cstheme="minorBidi"/>
              </w:rPr>
            </w:pPr>
          </w:p>
        </w:tc>
        <w:tc>
          <w:tcPr>
            <w:tcW w:w="1701" w:type="dxa"/>
          </w:tcPr>
          <w:p w14:paraId="47FDB5AE" w14:textId="271BC9FA" w:rsidR="008B53D8" w:rsidRDefault="008B53D8" w:rsidP="008B53D8">
            <w:pPr>
              <w:pStyle w:val="TableTextRight"/>
            </w:pPr>
            <w:r w:rsidRPr="00654BBF">
              <w:t>34,186,084</w:t>
            </w:r>
          </w:p>
        </w:tc>
        <w:tc>
          <w:tcPr>
            <w:tcW w:w="1701" w:type="dxa"/>
          </w:tcPr>
          <w:p w14:paraId="6B2FBBE9" w14:textId="77777777" w:rsidR="008B53D8" w:rsidRDefault="008B53D8" w:rsidP="008B53D8">
            <w:pPr>
              <w:pStyle w:val="TableTextRight"/>
              <w:rPr>
                <w:rFonts w:ascii="VIC-SemiBold" w:hAnsi="VIC-SemiBold" w:cstheme="minorBidi"/>
              </w:rPr>
            </w:pPr>
          </w:p>
        </w:tc>
        <w:tc>
          <w:tcPr>
            <w:tcW w:w="1701" w:type="dxa"/>
          </w:tcPr>
          <w:p w14:paraId="2148C279" w14:textId="77777777" w:rsidR="008B53D8" w:rsidRDefault="008B53D8" w:rsidP="008B53D8">
            <w:pPr>
              <w:pStyle w:val="TableTextRight"/>
              <w:rPr>
                <w:rFonts w:ascii="VIC-SemiBold" w:hAnsi="VIC-SemiBold" w:cstheme="minorBidi"/>
              </w:rPr>
            </w:pPr>
          </w:p>
        </w:tc>
        <w:tc>
          <w:tcPr>
            <w:tcW w:w="1701" w:type="dxa"/>
          </w:tcPr>
          <w:p w14:paraId="7F5953ED" w14:textId="77777777" w:rsidR="008B53D8" w:rsidRDefault="008B53D8" w:rsidP="008B53D8">
            <w:pPr>
              <w:pStyle w:val="TableTextRight"/>
              <w:rPr>
                <w:rFonts w:ascii="VIC-SemiBold" w:hAnsi="VIC-SemiBold" w:cstheme="minorBidi"/>
              </w:rPr>
            </w:pPr>
          </w:p>
        </w:tc>
        <w:tc>
          <w:tcPr>
            <w:tcW w:w="1701" w:type="dxa"/>
          </w:tcPr>
          <w:p w14:paraId="20F59F3D" w14:textId="21669E62" w:rsidR="008B53D8" w:rsidRDefault="008B53D8" w:rsidP="008B53D8">
            <w:pPr>
              <w:pStyle w:val="TableTextRight"/>
            </w:pPr>
            <w:r w:rsidRPr="00654BBF">
              <w:t>34,186,084</w:t>
            </w:r>
          </w:p>
        </w:tc>
      </w:tr>
      <w:tr w:rsidR="008B53D8" w14:paraId="4E965B4E" w14:textId="77777777" w:rsidTr="00D76798">
        <w:trPr>
          <w:trHeight w:val="60"/>
        </w:trPr>
        <w:tc>
          <w:tcPr>
            <w:tcW w:w="7371" w:type="dxa"/>
          </w:tcPr>
          <w:p w14:paraId="0B5A4CF0" w14:textId="6400C985" w:rsidR="008B53D8" w:rsidRDefault="008B53D8" w:rsidP="008B53D8">
            <w:pPr>
              <w:pStyle w:val="TableText"/>
            </w:pPr>
            <w:r w:rsidRPr="00654BBF">
              <w:t>Fees income</w:t>
            </w:r>
          </w:p>
        </w:tc>
        <w:tc>
          <w:tcPr>
            <w:tcW w:w="1701" w:type="dxa"/>
          </w:tcPr>
          <w:p w14:paraId="22464B76" w14:textId="77777777" w:rsidR="008B53D8" w:rsidRDefault="008B53D8" w:rsidP="008B53D8">
            <w:pPr>
              <w:pStyle w:val="TableTextRight"/>
            </w:pPr>
          </w:p>
        </w:tc>
        <w:tc>
          <w:tcPr>
            <w:tcW w:w="1701" w:type="dxa"/>
          </w:tcPr>
          <w:p w14:paraId="7DC9B126" w14:textId="67969C32" w:rsidR="008B53D8" w:rsidRDefault="008B53D8" w:rsidP="008B53D8">
            <w:pPr>
              <w:pStyle w:val="TableTextRight"/>
            </w:pPr>
            <w:r w:rsidRPr="00654BBF">
              <w:t>742,628</w:t>
            </w:r>
          </w:p>
        </w:tc>
        <w:tc>
          <w:tcPr>
            <w:tcW w:w="1701" w:type="dxa"/>
          </w:tcPr>
          <w:p w14:paraId="3D9E035A" w14:textId="646883F1" w:rsidR="008B53D8" w:rsidRDefault="008B53D8" w:rsidP="008B53D8">
            <w:pPr>
              <w:pStyle w:val="TableTextRight"/>
            </w:pPr>
            <w:r w:rsidRPr="00654BBF">
              <w:t>3,753,537</w:t>
            </w:r>
          </w:p>
        </w:tc>
        <w:tc>
          <w:tcPr>
            <w:tcW w:w="1701" w:type="dxa"/>
          </w:tcPr>
          <w:p w14:paraId="71F379F8" w14:textId="77777777" w:rsidR="008B53D8" w:rsidRDefault="008B53D8" w:rsidP="008B53D8">
            <w:pPr>
              <w:pStyle w:val="TableTextRight"/>
            </w:pPr>
          </w:p>
        </w:tc>
        <w:tc>
          <w:tcPr>
            <w:tcW w:w="1701" w:type="dxa"/>
          </w:tcPr>
          <w:p w14:paraId="249B1CFA" w14:textId="0049367B" w:rsidR="008B53D8" w:rsidRDefault="008B53D8" w:rsidP="008B53D8">
            <w:pPr>
              <w:pStyle w:val="TableTextRight"/>
            </w:pPr>
            <w:r w:rsidRPr="00654BBF">
              <w:t>1,977,158</w:t>
            </w:r>
          </w:p>
        </w:tc>
        <w:tc>
          <w:tcPr>
            <w:tcW w:w="1701" w:type="dxa"/>
          </w:tcPr>
          <w:p w14:paraId="6DB35C4A" w14:textId="25CA6AEE" w:rsidR="008B53D8" w:rsidRDefault="008B53D8" w:rsidP="008B53D8">
            <w:pPr>
              <w:pStyle w:val="TableTextRight"/>
            </w:pPr>
            <w:r w:rsidRPr="00654BBF">
              <w:t>65,909</w:t>
            </w:r>
          </w:p>
        </w:tc>
        <w:tc>
          <w:tcPr>
            <w:tcW w:w="1701" w:type="dxa"/>
          </w:tcPr>
          <w:p w14:paraId="14E868F0" w14:textId="5FBE65DE" w:rsidR="008B53D8" w:rsidRDefault="008B53D8" w:rsidP="008B53D8">
            <w:pPr>
              <w:pStyle w:val="TableTextRight"/>
            </w:pPr>
            <w:r w:rsidRPr="00654BBF">
              <w:t>7,779,239</w:t>
            </w:r>
          </w:p>
        </w:tc>
        <w:tc>
          <w:tcPr>
            <w:tcW w:w="1701" w:type="dxa"/>
          </w:tcPr>
          <w:p w14:paraId="330E81CD" w14:textId="701729E4" w:rsidR="008B53D8" w:rsidRDefault="008B53D8" w:rsidP="008B53D8">
            <w:pPr>
              <w:pStyle w:val="TableTextRight"/>
            </w:pPr>
            <w:r w:rsidRPr="00654BBF">
              <w:t>14,318,471</w:t>
            </w:r>
          </w:p>
        </w:tc>
      </w:tr>
      <w:tr w:rsidR="008B53D8" w14:paraId="4F92E561" w14:textId="77777777" w:rsidTr="00D76798">
        <w:trPr>
          <w:trHeight w:val="60"/>
        </w:trPr>
        <w:tc>
          <w:tcPr>
            <w:tcW w:w="7371" w:type="dxa"/>
          </w:tcPr>
          <w:p w14:paraId="7939A443" w14:textId="2DE73601" w:rsidR="008B53D8" w:rsidRDefault="008B53D8" w:rsidP="008B53D8">
            <w:pPr>
              <w:pStyle w:val="TableText"/>
            </w:pPr>
            <w:r w:rsidRPr="00654BBF">
              <w:t>Interest income</w:t>
            </w:r>
          </w:p>
        </w:tc>
        <w:tc>
          <w:tcPr>
            <w:tcW w:w="1701" w:type="dxa"/>
          </w:tcPr>
          <w:p w14:paraId="335F91E1" w14:textId="5F6F5986" w:rsidR="008B53D8" w:rsidRDefault="008B53D8" w:rsidP="008B53D8">
            <w:pPr>
              <w:pStyle w:val="TableTextRight"/>
            </w:pPr>
            <w:r w:rsidRPr="00654BBF">
              <w:t>89,319</w:t>
            </w:r>
          </w:p>
        </w:tc>
        <w:tc>
          <w:tcPr>
            <w:tcW w:w="1701" w:type="dxa"/>
          </w:tcPr>
          <w:p w14:paraId="746C4205" w14:textId="673ECC70" w:rsidR="008B53D8" w:rsidRDefault="008B53D8" w:rsidP="008B53D8">
            <w:pPr>
              <w:pStyle w:val="TableTextRight"/>
            </w:pPr>
            <w:r w:rsidRPr="00654BBF">
              <w:t>1,364,326</w:t>
            </w:r>
          </w:p>
        </w:tc>
        <w:tc>
          <w:tcPr>
            <w:tcW w:w="1701" w:type="dxa"/>
          </w:tcPr>
          <w:p w14:paraId="782DBF7C" w14:textId="7F9287E8" w:rsidR="008B53D8" w:rsidRDefault="008B53D8" w:rsidP="008B53D8">
            <w:pPr>
              <w:pStyle w:val="TableTextRight"/>
            </w:pPr>
            <w:r w:rsidRPr="00654BBF">
              <w:t>275,451</w:t>
            </w:r>
          </w:p>
        </w:tc>
        <w:tc>
          <w:tcPr>
            <w:tcW w:w="1701" w:type="dxa"/>
          </w:tcPr>
          <w:p w14:paraId="0E17FA0D" w14:textId="2006FF4D" w:rsidR="008B53D8" w:rsidRDefault="008B53D8" w:rsidP="008B53D8">
            <w:pPr>
              <w:pStyle w:val="TableTextRight"/>
            </w:pPr>
            <w:r w:rsidRPr="00654BBF">
              <w:t>2,855,826</w:t>
            </w:r>
          </w:p>
        </w:tc>
        <w:tc>
          <w:tcPr>
            <w:tcW w:w="1701" w:type="dxa"/>
          </w:tcPr>
          <w:p w14:paraId="48E07DE5" w14:textId="1E95B81D" w:rsidR="008B53D8" w:rsidRDefault="008B53D8" w:rsidP="008B53D8">
            <w:pPr>
              <w:pStyle w:val="TableTextRight"/>
            </w:pPr>
            <w:r w:rsidRPr="00654BBF">
              <w:t>1,181,300</w:t>
            </w:r>
          </w:p>
        </w:tc>
        <w:tc>
          <w:tcPr>
            <w:tcW w:w="1701" w:type="dxa"/>
          </w:tcPr>
          <w:p w14:paraId="674A845E" w14:textId="4DF0274D" w:rsidR="008B53D8" w:rsidRDefault="008B53D8" w:rsidP="008B53D8">
            <w:pPr>
              <w:pStyle w:val="TableTextRight"/>
            </w:pPr>
            <w:r w:rsidRPr="00654BBF">
              <w:t>6,875</w:t>
            </w:r>
          </w:p>
        </w:tc>
        <w:tc>
          <w:tcPr>
            <w:tcW w:w="1701" w:type="dxa"/>
          </w:tcPr>
          <w:p w14:paraId="30C5039C" w14:textId="2BE232E8" w:rsidR="008B53D8" w:rsidRDefault="008B53D8" w:rsidP="008B53D8">
            <w:pPr>
              <w:pStyle w:val="TableTextRight"/>
            </w:pPr>
            <w:r w:rsidRPr="00654BBF">
              <w:t>5,828,013</w:t>
            </w:r>
          </w:p>
        </w:tc>
        <w:tc>
          <w:tcPr>
            <w:tcW w:w="1701" w:type="dxa"/>
          </w:tcPr>
          <w:p w14:paraId="11283C02" w14:textId="4958D85B" w:rsidR="008B53D8" w:rsidRDefault="008B53D8" w:rsidP="008B53D8">
            <w:pPr>
              <w:pStyle w:val="TableTextRight"/>
            </w:pPr>
            <w:r w:rsidRPr="00654BBF">
              <w:t>11,601,110</w:t>
            </w:r>
          </w:p>
        </w:tc>
      </w:tr>
      <w:tr w:rsidR="008B53D8" w14:paraId="1B4A5876" w14:textId="77777777" w:rsidTr="00D76798">
        <w:trPr>
          <w:trHeight w:val="60"/>
        </w:trPr>
        <w:tc>
          <w:tcPr>
            <w:tcW w:w="7371" w:type="dxa"/>
          </w:tcPr>
          <w:p w14:paraId="7DB34ECF" w14:textId="7070E8C2" w:rsidR="008B53D8" w:rsidRDefault="008B53D8" w:rsidP="008B53D8">
            <w:pPr>
              <w:pStyle w:val="TableText"/>
            </w:pPr>
            <w:r w:rsidRPr="00654BBF">
              <w:t>Investments – market value adjustments</w:t>
            </w:r>
          </w:p>
        </w:tc>
        <w:tc>
          <w:tcPr>
            <w:tcW w:w="1701" w:type="dxa"/>
          </w:tcPr>
          <w:p w14:paraId="62E3648A" w14:textId="77777777" w:rsidR="008B53D8" w:rsidRDefault="008B53D8" w:rsidP="008B53D8">
            <w:pPr>
              <w:pStyle w:val="TableTextRight"/>
            </w:pPr>
          </w:p>
        </w:tc>
        <w:tc>
          <w:tcPr>
            <w:tcW w:w="1701" w:type="dxa"/>
          </w:tcPr>
          <w:p w14:paraId="48950063" w14:textId="369E422E" w:rsidR="008B53D8" w:rsidRDefault="008B53D8" w:rsidP="008B53D8">
            <w:pPr>
              <w:pStyle w:val="TableTextRight"/>
            </w:pPr>
            <w:r w:rsidRPr="00654BBF">
              <w:t>965,419</w:t>
            </w:r>
          </w:p>
        </w:tc>
        <w:tc>
          <w:tcPr>
            <w:tcW w:w="1701" w:type="dxa"/>
          </w:tcPr>
          <w:p w14:paraId="173CB248" w14:textId="77777777" w:rsidR="008B53D8" w:rsidRDefault="008B53D8" w:rsidP="008B53D8">
            <w:pPr>
              <w:pStyle w:val="TableTextRight"/>
            </w:pPr>
          </w:p>
        </w:tc>
        <w:tc>
          <w:tcPr>
            <w:tcW w:w="1701" w:type="dxa"/>
          </w:tcPr>
          <w:p w14:paraId="0E901F3E" w14:textId="705DA12B" w:rsidR="008B53D8" w:rsidRDefault="008B53D8" w:rsidP="008B53D8">
            <w:pPr>
              <w:pStyle w:val="TableTextRight"/>
            </w:pPr>
            <w:r w:rsidRPr="00654BBF">
              <w:t>10,037,294</w:t>
            </w:r>
          </w:p>
        </w:tc>
        <w:tc>
          <w:tcPr>
            <w:tcW w:w="1701" w:type="dxa"/>
          </w:tcPr>
          <w:p w14:paraId="4A0B5202" w14:textId="52FCF33E" w:rsidR="008B53D8" w:rsidRDefault="008B53D8" w:rsidP="008B53D8">
            <w:pPr>
              <w:pStyle w:val="TableTextRight"/>
            </w:pPr>
            <w:r w:rsidRPr="00654BBF">
              <w:t>627,010</w:t>
            </w:r>
          </w:p>
        </w:tc>
        <w:tc>
          <w:tcPr>
            <w:tcW w:w="1701" w:type="dxa"/>
          </w:tcPr>
          <w:p w14:paraId="2F55F151" w14:textId="77777777" w:rsidR="008B53D8" w:rsidRDefault="008B53D8" w:rsidP="008B53D8">
            <w:pPr>
              <w:pStyle w:val="TableTextRight"/>
            </w:pPr>
          </w:p>
        </w:tc>
        <w:tc>
          <w:tcPr>
            <w:tcW w:w="1701" w:type="dxa"/>
          </w:tcPr>
          <w:p w14:paraId="0F177B0F" w14:textId="4D0C7ED8" w:rsidR="008B53D8" w:rsidRDefault="008B53D8" w:rsidP="008B53D8">
            <w:pPr>
              <w:pStyle w:val="TableTextRight"/>
            </w:pPr>
            <w:r w:rsidRPr="00654BBF">
              <w:t>3,365,284</w:t>
            </w:r>
          </w:p>
        </w:tc>
        <w:tc>
          <w:tcPr>
            <w:tcW w:w="1701" w:type="dxa"/>
          </w:tcPr>
          <w:p w14:paraId="12D89EA2" w14:textId="736AFED4" w:rsidR="008B53D8" w:rsidRDefault="008B53D8" w:rsidP="008B53D8">
            <w:pPr>
              <w:pStyle w:val="TableTextRight"/>
            </w:pPr>
            <w:r w:rsidRPr="00654BBF">
              <w:t>14,995,007</w:t>
            </w:r>
          </w:p>
        </w:tc>
      </w:tr>
      <w:tr w:rsidR="008B53D8" w14:paraId="35F33A3B" w14:textId="77777777" w:rsidTr="00D76798">
        <w:trPr>
          <w:trHeight w:val="60"/>
        </w:trPr>
        <w:tc>
          <w:tcPr>
            <w:tcW w:w="7371" w:type="dxa"/>
          </w:tcPr>
          <w:p w14:paraId="51768D1C" w14:textId="4CA5A119" w:rsidR="008B53D8" w:rsidRDefault="008B53D8" w:rsidP="008B53D8">
            <w:pPr>
              <w:pStyle w:val="TableText"/>
            </w:pPr>
            <w:r w:rsidRPr="00654BBF">
              <w:t>Transferred from the Victorian Building Authority</w:t>
            </w:r>
            <w:r>
              <w:rPr>
                <w:rStyle w:val="FootnoteReference"/>
              </w:rPr>
              <w:footnoteReference w:id="6"/>
            </w:r>
          </w:p>
        </w:tc>
        <w:tc>
          <w:tcPr>
            <w:tcW w:w="1701" w:type="dxa"/>
          </w:tcPr>
          <w:p w14:paraId="4C1040F7" w14:textId="77777777" w:rsidR="008B53D8" w:rsidRDefault="008B53D8" w:rsidP="008B53D8">
            <w:pPr>
              <w:pStyle w:val="TableTextRight"/>
            </w:pPr>
          </w:p>
        </w:tc>
        <w:tc>
          <w:tcPr>
            <w:tcW w:w="1701" w:type="dxa"/>
          </w:tcPr>
          <w:p w14:paraId="26991CBF" w14:textId="5D0C03AB" w:rsidR="008B53D8" w:rsidRDefault="008B53D8" w:rsidP="008B53D8">
            <w:pPr>
              <w:pStyle w:val="TableTextRight"/>
            </w:pPr>
            <w:r w:rsidRPr="00654BBF">
              <w:t>20,188,175</w:t>
            </w:r>
          </w:p>
        </w:tc>
        <w:tc>
          <w:tcPr>
            <w:tcW w:w="1701" w:type="dxa"/>
          </w:tcPr>
          <w:p w14:paraId="5AF09D22" w14:textId="77777777" w:rsidR="008B53D8" w:rsidRDefault="008B53D8" w:rsidP="008B53D8">
            <w:pPr>
              <w:pStyle w:val="TableTextRight"/>
              <w:rPr>
                <w:rFonts w:ascii="VIC-SemiBold" w:hAnsi="VIC-SemiBold" w:cstheme="minorBidi"/>
              </w:rPr>
            </w:pPr>
          </w:p>
        </w:tc>
        <w:tc>
          <w:tcPr>
            <w:tcW w:w="1701" w:type="dxa"/>
          </w:tcPr>
          <w:p w14:paraId="5BC901B5" w14:textId="77777777" w:rsidR="008B53D8" w:rsidRDefault="008B53D8" w:rsidP="008B53D8">
            <w:pPr>
              <w:pStyle w:val="TableTextRight"/>
              <w:rPr>
                <w:rFonts w:ascii="VIC-SemiBold" w:hAnsi="VIC-SemiBold" w:cstheme="minorBidi"/>
              </w:rPr>
            </w:pPr>
          </w:p>
        </w:tc>
        <w:tc>
          <w:tcPr>
            <w:tcW w:w="1701" w:type="dxa"/>
          </w:tcPr>
          <w:p w14:paraId="49536D39" w14:textId="77777777" w:rsidR="008B53D8" w:rsidRDefault="008B53D8" w:rsidP="008B53D8">
            <w:pPr>
              <w:pStyle w:val="TableTextRight"/>
              <w:rPr>
                <w:rFonts w:ascii="VIC-SemiBold" w:hAnsi="VIC-SemiBold" w:cstheme="minorBidi"/>
              </w:rPr>
            </w:pPr>
          </w:p>
        </w:tc>
        <w:tc>
          <w:tcPr>
            <w:tcW w:w="1701" w:type="dxa"/>
          </w:tcPr>
          <w:p w14:paraId="2091EFD6" w14:textId="77777777" w:rsidR="008B53D8" w:rsidRDefault="008B53D8" w:rsidP="008B53D8">
            <w:pPr>
              <w:pStyle w:val="TableTextRight"/>
            </w:pPr>
          </w:p>
        </w:tc>
        <w:tc>
          <w:tcPr>
            <w:tcW w:w="1701" w:type="dxa"/>
          </w:tcPr>
          <w:p w14:paraId="19AAAD33" w14:textId="77777777" w:rsidR="008B53D8" w:rsidRDefault="008B53D8" w:rsidP="008B53D8">
            <w:pPr>
              <w:pStyle w:val="TableTextRight"/>
            </w:pPr>
          </w:p>
        </w:tc>
        <w:tc>
          <w:tcPr>
            <w:tcW w:w="1701" w:type="dxa"/>
          </w:tcPr>
          <w:p w14:paraId="43C349CE" w14:textId="57232669" w:rsidR="008B53D8" w:rsidRDefault="008B53D8" w:rsidP="008B53D8">
            <w:pPr>
              <w:pStyle w:val="TableTextRight"/>
            </w:pPr>
            <w:r w:rsidRPr="00654BBF">
              <w:t>20,188,175</w:t>
            </w:r>
          </w:p>
        </w:tc>
      </w:tr>
      <w:tr w:rsidR="008B53D8" w14:paraId="1F70CF83" w14:textId="77777777" w:rsidTr="00D76798">
        <w:trPr>
          <w:trHeight w:val="60"/>
        </w:trPr>
        <w:tc>
          <w:tcPr>
            <w:tcW w:w="7371" w:type="dxa"/>
          </w:tcPr>
          <w:p w14:paraId="4F0DAD78" w14:textId="6AFD64D8" w:rsidR="008B53D8" w:rsidRDefault="008B53D8" w:rsidP="008B53D8">
            <w:pPr>
              <w:pStyle w:val="TableText"/>
            </w:pPr>
            <w:r w:rsidRPr="00654BBF">
              <w:t>Other revenue</w:t>
            </w:r>
          </w:p>
        </w:tc>
        <w:tc>
          <w:tcPr>
            <w:tcW w:w="1701" w:type="dxa"/>
          </w:tcPr>
          <w:p w14:paraId="5AC4ABBC" w14:textId="6599CB06" w:rsidR="008B53D8" w:rsidRDefault="008B53D8" w:rsidP="008B53D8">
            <w:pPr>
              <w:pStyle w:val="TableTextRight"/>
            </w:pPr>
            <w:r w:rsidRPr="00654BBF">
              <w:t>122,857</w:t>
            </w:r>
          </w:p>
        </w:tc>
        <w:tc>
          <w:tcPr>
            <w:tcW w:w="1701" w:type="dxa"/>
          </w:tcPr>
          <w:p w14:paraId="45FD2EA7" w14:textId="41E63510" w:rsidR="008B53D8" w:rsidRDefault="008B53D8" w:rsidP="008B53D8">
            <w:pPr>
              <w:pStyle w:val="TableTextRight"/>
            </w:pPr>
            <w:r w:rsidRPr="00654BBF">
              <w:t>10,585</w:t>
            </w:r>
          </w:p>
        </w:tc>
        <w:tc>
          <w:tcPr>
            <w:tcW w:w="1701" w:type="dxa"/>
          </w:tcPr>
          <w:p w14:paraId="1CF390F7" w14:textId="7040BFF8" w:rsidR="008B53D8" w:rsidRDefault="008B53D8" w:rsidP="008B53D8">
            <w:pPr>
              <w:pStyle w:val="TableTextRight"/>
            </w:pPr>
            <w:r w:rsidRPr="00654BBF">
              <w:t>1,245</w:t>
            </w:r>
          </w:p>
        </w:tc>
        <w:tc>
          <w:tcPr>
            <w:tcW w:w="1701" w:type="dxa"/>
          </w:tcPr>
          <w:p w14:paraId="470D1478" w14:textId="5B86BB0C" w:rsidR="008B53D8" w:rsidRDefault="008B53D8" w:rsidP="008B53D8">
            <w:pPr>
              <w:pStyle w:val="TableTextRight"/>
            </w:pPr>
            <w:r w:rsidRPr="00654BBF">
              <w:t>117,383</w:t>
            </w:r>
          </w:p>
        </w:tc>
        <w:tc>
          <w:tcPr>
            <w:tcW w:w="1701" w:type="dxa"/>
          </w:tcPr>
          <w:p w14:paraId="5BD71709" w14:textId="7843FBC7" w:rsidR="008B53D8" w:rsidRDefault="008B53D8" w:rsidP="008B53D8">
            <w:pPr>
              <w:pStyle w:val="TableTextRight"/>
            </w:pPr>
            <w:r w:rsidRPr="00654BBF">
              <w:t>14,337</w:t>
            </w:r>
          </w:p>
        </w:tc>
        <w:tc>
          <w:tcPr>
            <w:tcW w:w="1701" w:type="dxa"/>
          </w:tcPr>
          <w:p w14:paraId="659B8D22" w14:textId="77777777" w:rsidR="008B53D8" w:rsidRDefault="008B53D8" w:rsidP="008B53D8">
            <w:pPr>
              <w:pStyle w:val="TableTextRight"/>
            </w:pPr>
          </w:p>
        </w:tc>
        <w:tc>
          <w:tcPr>
            <w:tcW w:w="1701" w:type="dxa"/>
          </w:tcPr>
          <w:p w14:paraId="1B823B87" w14:textId="38C568A9" w:rsidR="008B53D8" w:rsidRDefault="008B53D8" w:rsidP="008B53D8">
            <w:pPr>
              <w:pStyle w:val="TableTextRight"/>
            </w:pPr>
            <w:r w:rsidRPr="00654BBF">
              <w:t>59,623</w:t>
            </w:r>
          </w:p>
        </w:tc>
        <w:tc>
          <w:tcPr>
            <w:tcW w:w="1701" w:type="dxa"/>
          </w:tcPr>
          <w:p w14:paraId="6E326C47" w14:textId="07B15B48" w:rsidR="008B53D8" w:rsidRDefault="008B53D8" w:rsidP="008B53D8">
            <w:pPr>
              <w:pStyle w:val="TableTextRight"/>
            </w:pPr>
            <w:r w:rsidRPr="00654BBF">
              <w:t>326,031</w:t>
            </w:r>
          </w:p>
        </w:tc>
      </w:tr>
      <w:tr w:rsidR="008B53D8" w14:paraId="29525DEC" w14:textId="77777777" w:rsidTr="00D76798">
        <w:trPr>
          <w:trHeight w:val="60"/>
        </w:trPr>
        <w:tc>
          <w:tcPr>
            <w:tcW w:w="7371" w:type="dxa"/>
          </w:tcPr>
          <w:p w14:paraId="45D5A7D6" w14:textId="4C0D32A8" w:rsidR="008B53D8" w:rsidRDefault="008B53D8" w:rsidP="008B53D8">
            <w:pPr>
              <w:pStyle w:val="TableText"/>
            </w:pPr>
            <w:r w:rsidRPr="00654BBF">
              <w:t>Penalty income</w:t>
            </w:r>
          </w:p>
        </w:tc>
        <w:tc>
          <w:tcPr>
            <w:tcW w:w="1701" w:type="dxa"/>
          </w:tcPr>
          <w:p w14:paraId="30948F04" w14:textId="315D318C" w:rsidR="008B53D8" w:rsidRDefault="008B53D8" w:rsidP="008B53D8">
            <w:pPr>
              <w:pStyle w:val="TableTextRight"/>
            </w:pPr>
          </w:p>
        </w:tc>
        <w:tc>
          <w:tcPr>
            <w:tcW w:w="1701" w:type="dxa"/>
          </w:tcPr>
          <w:p w14:paraId="4E3F50DD" w14:textId="77777777" w:rsidR="008B53D8" w:rsidRDefault="008B53D8" w:rsidP="008B53D8">
            <w:pPr>
              <w:pStyle w:val="TableTextRight"/>
            </w:pPr>
          </w:p>
        </w:tc>
        <w:tc>
          <w:tcPr>
            <w:tcW w:w="1701" w:type="dxa"/>
          </w:tcPr>
          <w:p w14:paraId="6E0E01E7" w14:textId="16EF47FC" w:rsidR="008B53D8" w:rsidRDefault="008B53D8" w:rsidP="008B53D8">
            <w:pPr>
              <w:pStyle w:val="TableTextRight"/>
            </w:pPr>
            <w:r w:rsidRPr="00654BBF">
              <w:t>8,389</w:t>
            </w:r>
          </w:p>
        </w:tc>
        <w:tc>
          <w:tcPr>
            <w:tcW w:w="1701" w:type="dxa"/>
          </w:tcPr>
          <w:p w14:paraId="2A6BF008" w14:textId="77777777" w:rsidR="008B53D8" w:rsidRDefault="008B53D8" w:rsidP="008B53D8">
            <w:pPr>
              <w:pStyle w:val="TableTextRight"/>
            </w:pPr>
          </w:p>
        </w:tc>
        <w:tc>
          <w:tcPr>
            <w:tcW w:w="1701" w:type="dxa"/>
          </w:tcPr>
          <w:p w14:paraId="09E43927" w14:textId="74A939C7" w:rsidR="008B53D8" w:rsidRDefault="008B53D8" w:rsidP="008B53D8">
            <w:pPr>
              <w:pStyle w:val="TableTextRight"/>
            </w:pPr>
          </w:p>
        </w:tc>
        <w:tc>
          <w:tcPr>
            <w:tcW w:w="1701" w:type="dxa"/>
          </w:tcPr>
          <w:p w14:paraId="13714345" w14:textId="77777777" w:rsidR="008B53D8" w:rsidRDefault="008B53D8" w:rsidP="008B53D8">
            <w:pPr>
              <w:pStyle w:val="TableTextRight"/>
            </w:pPr>
          </w:p>
        </w:tc>
        <w:tc>
          <w:tcPr>
            <w:tcW w:w="1701" w:type="dxa"/>
          </w:tcPr>
          <w:p w14:paraId="7B2E6715" w14:textId="62B0519C" w:rsidR="008B53D8" w:rsidRDefault="008B53D8" w:rsidP="008B53D8">
            <w:pPr>
              <w:pStyle w:val="TableTextRight"/>
            </w:pPr>
            <w:r w:rsidRPr="00654BBF">
              <w:t>80,962</w:t>
            </w:r>
          </w:p>
        </w:tc>
        <w:tc>
          <w:tcPr>
            <w:tcW w:w="1701" w:type="dxa"/>
          </w:tcPr>
          <w:p w14:paraId="3E359999" w14:textId="72B71501" w:rsidR="008B53D8" w:rsidRDefault="008B53D8" w:rsidP="008B53D8">
            <w:pPr>
              <w:pStyle w:val="TableTextRight"/>
            </w:pPr>
            <w:r w:rsidRPr="00654BBF">
              <w:t>89,351</w:t>
            </w:r>
          </w:p>
        </w:tc>
      </w:tr>
      <w:tr w:rsidR="008B53D8" w14:paraId="69AEEE29" w14:textId="77777777" w:rsidTr="00D76798">
        <w:trPr>
          <w:trHeight w:val="60"/>
        </w:trPr>
        <w:tc>
          <w:tcPr>
            <w:tcW w:w="7371" w:type="dxa"/>
          </w:tcPr>
          <w:p w14:paraId="57E9EA52" w14:textId="4832C9D7" w:rsidR="008B53D8" w:rsidRDefault="008B53D8" w:rsidP="008B53D8">
            <w:pPr>
              <w:pStyle w:val="TableText"/>
            </w:pPr>
            <w:r w:rsidRPr="00654BBF">
              <w:t>Net Transfers in</w:t>
            </w:r>
          </w:p>
        </w:tc>
        <w:tc>
          <w:tcPr>
            <w:tcW w:w="1701" w:type="dxa"/>
          </w:tcPr>
          <w:p w14:paraId="43CF1F7C" w14:textId="77777777" w:rsidR="008B53D8" w:rsidRDefault="008B53D8" w:rsidP="008B53D8">
            <w:pPr>
              <w:pStyle w:val="TableTextRight"/>
            </w:pPr>
          </w:p>
        </w:tc>
        <w:tc>
          <w:tcPr>
            <w:tcW w:w="1701" w:type="dxa"/>
          </w:tcPr>
          <w:p w14:paraId="7BF7ADC3" w14:textId="77777777" w:rsidR="008B53D8" w:rsidRDefault="008B53D8" w:rsidP="008B53D8">
            <w:pPr>
              <w:pStyle w:val="TableTextRight"/>
              <w:rPr>
                <w:rFonts w:ascii="VIC-SemiBold" w:hAnsi="VIC-SemiBold" w:cstheme="minorBidi"/>
              </w:rPr>
            </w:pPr>
          </w:p>
        </w:tc>
        <w:tc>
          <w:tcPr>
            <w:tcW w:w="1701" w:type="dxa"/>
          </w:tcPr>
          <w:p w14:paraId="67D20A3F" w14:textId="77777777" w:rsidR="008B53D8" w:rsidRDefault="008B53D8" w:rsidP="008B53D8">
            <w:pPr>
              <w:pStyle w:val="TableTextRight"/>
            </w:pPr>
          </w:p>
        </w:tc>
        <w:tc>
          <w:tcPr>
            <w:tcW w:w="1701" w:type="dxa"/>
          </w:tcPr>
          <w:p w14:paraId="7FE00F30" w14:textId="77777777" w:rsidR="008B53D8" w:rsidRDefault="008B53D8" w:rsidP="008B53D8">
            <w:pPr>
              <w:pStyle w:val="TableTextRight"/>
            </w:pPr>
          </w:p>
        </w:tc>
        <w:tc>
          <w:tcPr>
            <w:tcW w:w="1701" w:type="dxa"/>
          </w:tcPr>
          <w:p w14:paraId="51B3B1C0" w14:textId="52607C4E" w:rsidR="008B53D8" w:rsidRDefault="008B53D8" w:rsidP="008B53D8">
            <w:pPr>
              <w:pStyle w:val="TableTextRight"/>
            </w:pPr>
            <w:r w:rsidRPr="00654BBF">
              <w:t>26,600,000</w:t>
            </w:r>
          </w:p>
        </w:tc>
        <w:tc>
          <w:tcPr>
            <w:tcW w:w="1701" w:type="dxa"/>
          </w:tcPr>
          <w:p w14:paraId="75B7029D" w14:textId="088722D4" w:rsidR="008B53D8" w:rsidRDefault="008B53D8" w:rsidP="008B53D8">
            <w:pPr>
              <w:pStyle w:val="TableTextRight"/>
            </w:pPr>
            <w:r w:rsidRPr="00654BBF">
              <w:t>1,500,000</w:t>
            </w:r>
          </w:p>
        </w:tc>
        <w:tc>
          <w:tcPr>
            <w:tcW w:w="1701" w:type="dxa"/>
          </w:tcPr>
          <w:p w14:paraId="08EC4882" w14:textId="77777777" w:rsidR="008B53D8" w:rsidRDefault="008B53D8" w:rsidP="008B53D8">
            <w:pPr>
              <w:pStyle w:val="TableTextRight"/>
            </w:pPr>
          </w:p>
        </w:tc>
        <w:tc>
          <w:tcPr>
            <w:tcW w:w="1701" w:type="dxa"/>
          </w:tcPr>
          <w:p w14:paraId="6BA66649" w14:textId="68EBF633" w:rsidR="008B53D8" w:rsidRDefault="008B53D8" w:rsidP="008B53D8">
            <w:pPr>
              <w:pStyle w:val="TableTextRight"/>
            </w:pPr>
            <w:r w:rsidRPr="00654BBF">
              <w:t>28,100,000</w:t>
            </w:r>
          </w:p>
        </w:tc>
      </w:tr>
      <w:tr w:rsidR="008B53D8" w14:paraId="71CC4983" w14:textId="77777777" w:rsidTr="00C65EA8">
        <w:trPr>
          <w:trHeight w:val="60"/>
        </w:trPr>
        <w:tc>
          <w:tcPr>
            <w:tcW w:w="7371" w:type="dxa"/>
            <w:shd w:val="clear" w:color="auto" w:fill="D3DBEE"/>
          </w:tcPr>
          <w:p w14:paraId="76F38D75" w14:textId="21BA536B" w:rsidR="008B53D8" w:rsidRDefault="008B53D8" w:rsidP="008B53D8">
            <w:pPr>
              <w:pStyle w:val="TableTextBold"/>
            </w:pPr>
            <w:r w:rsidRPr="00654BBF">
              <w:t>Total CAV Trust Funds Revenue</w:t>
            </w:r>
          </w:p>
        </w:tc>
        <w:tc>
          <w:tcPr>
            <w:tcW w:w="1701" w:type="dxa"/>
            <w:shd w:val="clear" w:color="auto" w:fill="D3DBEE"/>
          </w:tcPr>
          <w:p w14:paraId="7886B74A" w14:textId="32D8FE6A" w:rsidR="008B53D8" w:rsidRDefault="008B53D8" w:rsidP="008B53D8">
            <w:pPr>
              <w:pStyle w:val="TableTextRightBold"/>
            </w:pPr>
            <w:r w:rsidRPr="00654BBF">
              <w:t>212,176</w:t>
            </w:r>
          </w:p>
        </w:tc>
        <w:tc>
          <w:tcPr>
            <w:tcW w:w="1701" w:type="dxa"/>
            <w:shd w:val="clear" w:color="auto" w:fill="D3DBEE"/>
          </w:tcPr>
          <w:p w14:paraId="63328066" w14:textId="59DF276F" w:rsidR="008B53D8" w:rsidRDefault="008B53D8" w:rsidP="008B53D8">
            <w:pPr>
              <w:pStyle w:val="TableTextRightBold"/>
            </w:pPr>
            <w:r w:rsidRPr="00654BBF">
              <w:t>23,271,134</w:t>
            </w:r>
          </w:p>
        </w:tc>
        <w:tc>
          <w:tcPr>
            <w:tcW w:w="1701" w:type="dxa"/>
            <w:shd w:val="clear" w:color="auto" w:fill="D3DBEE"/>
          </w:tcPr>
          <w:p w14:paraId="2374C643" w14:textId="4111A6D3" w:rsidR="008B53D8" w:rsidRDefault="008B53D8" w:rsidP="008B53D8">
            <w:pPr>
              <w:pStyle w:val="TableTextRightBold"/>
            </w:pPr>
            <w:r w:rsidRPr="00654BBF">
              <w:t>4,038,622</w:t>
            </w:r>
          </w:p>
        </w:tc>
        <w:tc>
          <w:tcPr>
            <w:tcW w:w="1701" w:type="dxa"/>
            <w:shd w:val="clear" w:color="auto" w:fill="D3DBEE"/>
          </w:tcPr>
          <w:p w14:paraId="51E6BFD2" w14:textId="098F8355" w:rsidR="008B53D8" w:rsidRDefault="008B53D8" w:rsidP="008B53D8">
            <w:pPr>
              <w:pStyle w:val="TableTextRightBold"/>
            </w:pPr>
            <w:r w:rsidRPr="00654BBF">
              <w:t>47,196,588</w:t>
            </w:r>
          </w:p>
        </w:tc>
        <w:tc>
          <w:tcPr>
            <w:tcW w:w="1701" w:type="dxa"/>
            <w:shd w:val="clear" w:color="auto" w:fill="D3DBEE"/>
          </w:tcPr>
          <w:p w14:paraId="1C59C012" w14:textId="6D2076EF" w:rsidR="008B53D8" w:rsidRDefault="008B53D8" w:rsidP="008B53D8">
            <w:pPr>
              <w:pStyle w:val="TableTextRightBold"/>
            </w:pPr>
            <w:r w:rsidRPr="00654BBF">
              <w:t>30,399,806</w:t>
            </w:r>
          </w:p>
        </w:tc>
        <w:tc>
          <w:tcPr>
            <w:tcW w:w="1701" w:type="dxa"/>
            <w:shd w:val="clear" w:color="auto" w:fill="D3DBEE"/>
          </w:tcPr>
          <w:p w14:paraId="3A2A31C7" w14:textId="6898C63D" w:rsidR="008B53D8" w:rsidRDefault="008B53D8" w:rsidP="008B53D8">
            <w:pPr>
              <w:pStyle w:val="TableTextRightBold"/>
            </w:pPr>
            <w:r w:rsidRPr="00654BBF">
              <w:t>1,572,784</w:t>
            </w:r>
          </w:p>
        </w:tc>
        <w:tc>
          <w:tcPr>
            <w:tcW w:w="1701" w:type="dxa"/>
            <w:shd w:val="clear" w:color="auto" w:fill="D3DBEE"/>
          </w:tcPr>
          <w:p w14:paraId="7FC484D1" w14:textId="5D29C7C7" w:rsidR="008B53D8" w:rsidRDefault="008B53D8" w:rsidP="008B53D8">
            <w:pPr>
              <w:pStyle w:val="TableTextRightBold"/>
            </w:pPr>
            <w:r w:rsidRPr="00654BBF">
              <w:t>94,326,482</w:t>
            </w:r>
          </w:p>
        </w:tc>
        <w:tc>
          <w:tcPr>
            <w:tcW w:w="1701" w:type="dxa"/>
            <w:shd w:val="clear" w:color="auto" w:fill="D3DBEE"/>
          </w:tcPr>
          <w:p w14:paraId="31284ADA" w14:textId="48C6A303" w:rsidR="008B53D8" w:rsidRDefault="008B53D8" w:rsidP="008B53D8">
            <w:pPr>
              <w:pStyle w:val="TableTextRightBold"/>
            </w:pPr>
            <w:r w:rsidRPr="00654BBF">
              <w:t>201,017,591</w:t>
            </w:r>
          </w:p>
        </w:tc>
      </w:tr>
      <w:tr w:rsidR="008B53D8" w14:paraId="6BBB1F04" w14:textId="77777777" w:rsidTr="00C65EA8">
        <w:trPr>
          <w:trHeight w:val="60"/>
        </w:trPr>
        <w:tc>
          <w:tcPr>
            <w:tcW w:w="20979" w:type="dxa"/>
            <w:gridSpan w:val="9"/>
            <w:shd w:val="clear" w:color="auto" w:fill="BCCAE5"/>
          </w:tcPr>
          <w:p w14:paraId="452D08E5" w14:textId="4E160497" w:rsidR="008B53D8" w:rsidRDefault="008B53D8" w:rsidP="008B53D8">
            <w:pPr>
              <w:pStyle w:val="TableTextBold"/>
            </w:pPr>
            <w:r w:rsidRPr="00654BBF">
              <w:t>CAV Trust Funds Expenditure</w:t>
            </w:r>
          </w:p>
        </w:tc>
      </w:tr>
      <w:tr w:rsidR="008B53D8" w14:paraId="2446521A" w14:textId="77777777" w:rsidTr="00D76798">
        <w:trPr>
          <w:trHeight w:val="60"/>
        </w:trPr>
        <w:tc>
          <w:tcPr>
            <w:tcW w:w="7371" w:type="dxa"/>
          </w:tcPr>
          <w:p w14:paraId="04A1D6E4" w14:textId="4A3573E0" w:rsidR="008B53D8" w:rsidRDefault="008B53D8" w:rsidP="008B53D8">
            <w:pPr>
              <w:pStyle w:val="TableText"/>
            </w:pPr>
            <w:r w:rsidRPr="00654BBF">
              <w:t>Audit services</w:t>
            </w:r>
          </w:p>
        </w:tc>
        <w:tc>
          <w:tcPr>
            <w:tcW w:w="1701" w:type="dxa"/>
          </w:tcPr>
          <w:p w14:paraId="4FBD94A9" w14:textId="77777777" w:rsidR="008B53D8" w:rsidRDefault="008B53D8" w:rsidP="008B53D8">
            <w:pPr>
              <w:pStyle w:val="TableTextRight"/>
            </w:pPr>
          </w:p>
        </w:tc>
        <w:tc>
          <w:tcPr>
            <w:tcW w:w="1701" w:type="dxa"/>
          </w:tcPr>
          <w:p w14:paraId="36FCFB33" w14:textId="77777777" w:rsidR="008B53D8" w:rsidRDefault="008B53D8" w:rsidP="008B53D8">
            <w:pPr>
              <w:pStyle w:val="TableTextRight"/>
            </w:pPr>
          </w:p>
        </w:tc>
        <w:tc>
          <w:tcPr>
            <w:tcW w:w="1701" w:type="dxa"/>
          </w:tcPr>
          <w:p w14:paraId="223DAB45" w14:textId="77777777" w:rsidR="008B53D8" w:rsidRDefault="008B53D8" w:rsidP="008B53D8">
            <w:pPr>
              <w:pStyle w:val="TableTextRight"/>
            </w:pPr>
          </w:p>
        </w:tc>
        <w:tc>
          <w:tcPr>
            <w:tcW w:w="1701" w:type="dxa"/>
          </w:tcPr>
          <w:p w14:paraId="32E04471" w14:textId="65D797F8" w:rsidR="008B53D8" w:rsidRDefault="008B53D8" w:rsidP="008B53D8">
            <w:pPr>
              <w:pStyle w:val="TableTextRight"/>
            </w:pPr>
            <w:r w:rsidRPr="00654BBF">
              <w:t>25,900</w:t>
            </w:r>
          </w:p>
        </w:tc>
        <w:tc>
          <w:tcPr>
            <w:tcW w:w="1701" w:type="dxa"/>
          </w:tcPr>
          <w:p w14:paraId="60AE7CBD" w14:textId="77777777" w:rsidR="008B53D8" w:rsidRDefault="008B53D8" w:rsidP="008B53D8">
            <w:pPr>
              <w:pStyle w:val="TableTextRight"/>
            </w:pPr>
          </w:p>
        </w:tc>
        <w:tc>
          <w:tcPr>
            <w:tcW w:w="1701" w:type="dxa"/>
          </w:tcPr>
          <w:p w14:paraId="20F448C3" w14:textId="77777777" w:rsidR="008B53D8" w:rsidRDefault="008B53D8" w:rsidP="008B53D8">
            <w:pPr>
              <w:pStyle w:val="TableTextRight"/>
            </w:pPr>
          </w:p>
        </w:tc>
        <w:tc>
          <w:tcPr>
            <w:tcW w:w="1701" w:type="dxa"/>
          </w:tcPr>
          <w:p w14:paraId="56981C1B" w14:textId="77777777" w:rsidR="008B53D8" w:rsidRDefault="008B53D8" w:rsidP="008B53D8">
            <w:pPr>
              <w:pStyle w:val="TableTextRight"/>
            </w:pPr>
          </w:p>
        </w:tc>
        <w:tc>
          <w:tcPr>
            <w:tcW w:w="1701" w:type="dxa"/>
          </w:tcPr>
          <w:p w14:paraId="247B2BA6" w14:textId="35F8212F" w:rsidR="008B53D8" w:rsidRDefault="008B53D8" w:rsidP="008B53D8">
            <w:pPr>
              <w:pStyle w:val="TableTextRight"/>
            </w:pPr>
            <w:r w:rsidRPr="00654BBF">
              <w:t>25,900</w:t>
            </w:r>
          </w:p>
        </w:tc>
      </w:tr>
      <w:tr w:rsidR="008B53D8" w14:paraId="34CDDF32" w14:textId="77777777" w:rsidTr="00D76798">
        <w:trPr>
          <w:trHeight w:val="60"/>
        </w:trPr>
        <w:tc>
          <w:tcPr>
            <w:tcW w:w="7371" w:type="dxa"/>
          </w:tcPr>
          <w:p w14:paraId="38C87E45" w14:textId="10998BEA" w:rsidR="008B53D8" w:rsidRDefault="008B53D8" w:rsidP="008B53D8">
            <w:pPr>
              <w:pStyle w:val="TableText"/>
            </w:pPr>
            <w:r w:rsidRPr="00654BBF">
              <w:t>Claims on consumer guarantee funds</w:t>
            </w:r>
          </w:p>
        </w:tc>
        <w:tc>
          <w:tcPr>
            <w:tcW w:w="1701" w:type="dxa"/>
          </w:tcPr>
          <w:p w14:paraId="7EA0FA33" w14:textId="77777777" w:rsidR="008B53D8" w:rsidRDefault="008B53D8" w:rsidP="008B53D8">
            <w:pPr>
              <w:pStyle w:val="TableTextRight"/>
            </w:pPr>
          </w:p>
        </w:tc>
        <w:tc>
          <w:tcPr>
            <w:tcW w:w="1701" w:type="dxa"/>
          </w:tcPr>
          <w:p w14:paraId="00AB6E44" w14:textId="77777777" w:rsidR="008B53D8" w:rsidRDefault="008B53D8" w:rsidP="008B53D8">
            <w:pPr>
              <w:pStyle w:val="TableTextRight"/>
            </w:pPr>
          </w:p>
        </w:tc>
        <w:tc>
          <w:tcPr>
            <w:tcW w:w="1701" w:type="dxa"/>
          </w:tcPr>
          <w:p w14:paraId="4BB1E438" w14:textId="2A2C4FD3" w:rsidR="008B53D8" w:rsidRDefault="008B53D8" w:rsidP="008B53D8">
            <w:pPr>
              <w:pStyle w:val="TableTextRight"/>
            </w:pPr>
            <w:r w:rsidRPr="00654BBF">
              <w:t>108,360</w:t>
            </w:r>
          </w:p>
        </w:tc>
        <w:tc>
          <w:tcPr>
            <w:tcW w:w="1701" w:type="dxa"/>
          </w:tcPr>
          <w:p w14:paraId="028D170F" w14:textId="77777777" w:rsidR="008B53D8" w:rsidRDefault="008B53D8" w:rsidP="008B53D8">
            <w:pPr>
              <w:pStyle w:val="TableTextRight"/>
            </w:pPr>
          </w:p>
        </w:tc>
        <w:tc>
          <w:tcPr>
            <w:tcW w:w="1701" w:type="dxa"/>
          </w:tcPr>
          <w:p w14:paraId="79BA49CD" w14:textId="77777777" w:rsidR="008B53D8" w:rsidRDefault="008B53D8" w:rsidP="008B53D8">
            <w:pPr>
              <w:pStyle w:val="TableTextRight"/>
            </w:pPr>
          </w:p>
        </w:tc>
        <w:tc>
          <w:tcPr>
            <w:tcW w:w="1701" w:type="dxa"/>
          </w:tcPr>
          <w:p w14:paraId="7AAE35E2" w14:textId="77777777" w:rsidR="008B53D8" w:rsidRDefault="008B53D8" w:rsidP="008B53D8">
            <w:pPr>
              <w:pStyle w:val="TableTextRight"/>
            </w:pPr>
          </w:p>
        </w:tc>
        <w:tc>
          <w:tcPr>
            <w:tcW w:w="1701" w:type="dxa"/>
          </w:tcPr>
          <w:p w14:paraId="08560BFA" w14:textId="58625060" w:rsidR="008B53D8" w:rsidRDefault="008B53D8" w:rsidP="008B53D8">
            <w:pPr>
              <w:pStyle w:val="TableTextRight"/>
            </w:pPr>
            <w:r w:rsidRPr="00654BBF">
              <w:t>6,199,409</w:t>
            </w:r>
          </w:p>
        </w:tc>
        <w:tc>
          <w:tcPr>
            <w:tcW w:w="1701" w:type="dxa"/>
          </w:tcPr>
          <w:p w14:paraId="68162672" w14:textId="2AC293C5" w:rsidR="008B53D8" w:rsidRDefault="008B53D8" w:rsidP="008B53D8">
            <w:pPr>
              <w:pStyle w:val="TableTextRight"/>
            </w:pPr>
            <w:r w:rsidRPr="00654BBF">
              <w:t>6,307,769</w:t>
            </w:r>
          </w:p>
        </w:tc>
      </w:tr>
      <w:tr w:rsidR="008B53D8" w14:paraId="031F1D49" w14:textId="77777777" w:rsidTr="00D76798">
        <w:trPr>
          <w:trHeight w:val="60"/>
        </w:trPr>
        <w:tc>
          <w:tcPr>
            <w:tcW w:w="7371" w:type="dxa"/>
          </w:tcPr>
          <w:p w14:paraId="58F85DB3" w14:textId="29A5386E" w:rsidR="008B53D8" w:rsidRDefault="008B53D8" w:rsidP="008B53D8">
            <w:pPr>
              <w:pStyle w:val="TableText"/>
            </w:pPr>
            <w:r w:rsidRPr="00654BBF">
              <w:t>Contractors, consultants and professional services</w:t>
            </w:r>
          </w:p>
        </w:tc>
        <w:tc>
          <w:tcPr>
            <w:tcW w:w="1701" w:type="dxa"/>
          </w:tcPr>
          <w:p w14:paraId="4B2F8261" w14:textId="77777777" w:rsidR="008B53D8" w:rsidRDefault="008B53D8" w:rsidP="008B53D8">
            <w:pPr>
              <w:pStyle w:val="TableTextRight"/>
            </w:pPr>
          </w:p>
        </w:tc>
        <w:tc>
          <w:tcPr>
            <w:tcW w:w="1701" w:type="dxa"/>
          </w:tcPr>
          <w:p w14:paraId="78A9A1B8" w14:textId="416626F8" w:rsidR="008B53D8" w:rsidRDefault="008B53D8" w:rsidP="008B53D8">
            <w:pPr>
              <w:pStyle w:val="TableTextRight"/>
            </w:pPr>
            <w:r w:rsidRPr="00654BBF">
              <w:t>82,396</w:t>
            </w:r>
          </w:p>
        </w:tc>
        <w:tc>
          <w:tcPr>
            <w:tcW w:w="1701" w:type="dxa"/>
          </w:tcPr>
          <w:p w14:paraId="1EAE11EC" w14:textId="04970071" w:rsidR="008B53D8" w:rsidRDefault="008B53D8" w:rsidP="008B53D8">
            <w:pPr>
              <w:pStyle w:val="TableTextRight"/>
            </w:pPr>
            <w:r w:rsidRPr="00654BBF">
              <w:t>41,351</w:t>
            </w:r>
          </w:p>
        </w:tc>
        <w:tc>
          <w:tcPr>
            <w:tcW w:w="1701" w:type="dxa"/>
          </w:tcPr>
          <w:p w14:paraId="16F24ACD" w14:textId="70D902B4" w:rsidR="008B53D8" w:rsidRDefault="008B53D8" w:rsidP="008B53D8">
            <w:pPr>
              <w:pStyle w:val="TableTextRight"/>
            </w:pPr>
            <w:r w:rsidRPr="00654BBF">
              <w:t>1,840,521</w:t>
            </w:r>
          </w:p>
        </w:tc>
        <w:tc>
          <w:tcPr>
            <w:tcW w:w="1701" w:type="dxa"/>
          </w:tcPr>
          <w:p w14:paraId="682C598F" w14:textId="34849686" w:rsidR="008B53D8" w:rsidRDefault="008B53D8" w:rsidP="008B53D8">
            <w:pPr>
              <w:pStyle w:val="TableTextRight"/>
            </w:pPr>
            <w:r w:rsidRPr="00654BBF">
              <w:t>156,369</w:t>
            </w:r>
          </w:p>
        </w:tc>
        <w:tc>
          <w:tcPr>
            <w:tcW w:w="1701" w:type="dxa"/>
          </w:tcPr>
          <w:p w14:paraId="0874C0E8" w14:textId="5D8F645A" w:rsidR="008B53D8" w:rsidRDefault="008B53D8" w:rsidP="008B53D8">
            <w:pPr>
              <w:pStyle w:val="TableTextRight"/>
            </w:pPr>
            <w:r w:rsidRPr="00654BBF">
              <w:t>16,408</w:t>
            </w:r>
          </w:p>
        </w:tc>
        <w:tc>
          <w:tcPr>
            <w:tcW w:w="1701" w:type="dxa"/>
          </w:tcPr>
          <w:p w14:paraId="021944B9" w14:textId="4ACEDC38" w:rsidR="008B53D8" w:rsidRDefault="008B53D8" w:rsidP="008B53D8">
            <w:pPr>
              <w:pStyle w:val="TableTextRight"/>
            </w:pPr>
            <w:r w:rsidRPr="00654BBF">
              <w:t>717,041</w:t>
            </w:r>
          </w:p>
        </w:tc>
        <w:tc>
          <w:tcPr>
            <w:tcW w:w="1701" w:type="dxa"/>
          </w:tcPr>
          <w:p w14:paraId="1E6E28C7" w14:textId="2FB9B710" w:rsidR="008B53D8" w:rsidRDefault="008B53D8" w:rsidP="008B53D8">
            <w:pPr>
              <w:pStyle w:val="TableTextRight"/>
            </w:pPr>
            <w:r w:rsidRPr="00654BBF">
              <w:t>2,854,086</w:t>
            </w:r>
          </w:p>
        </w:tc>
      </w:tr>
      <w:tr w:rsidR="008B53D8" w14:paraId="55517D40" w14:textId="77777777" w:rsidTr="00D76798">
        <w:trPr>
          <w:trHeight w:val="60"/>
        </w:trPr>
        <w:tc>
          <w:tcPr>
            <w:tcW w:w="7371" w:type="dxa"/>
          </w:tcPr>
          <w:p w14:paraId="5BB32C78" w14:textId="4C49A024" w:rsidR="008B53D8" w:rsidRDefault="008B53D8" w:rsidP="008B53D8">
            <w:pPr>
              <w:pStyle w:val="TableText"/>
            </w:pPr>
            <w:r w:rsidRPr="00654BBF">
              <w:t>Employee related costs</w:t>
            </w:r>
          </w:p>
        </w:tc>
        <w:tc>
          <w:tcPr>
            <w:tcW w:w="1701" w:type="dxa"/>
          </w:tcPr>
          <w:p w14:paraId="03BDE538" w14:textId="3F91527B" w:rsidR="008B53D8" w:rsidRDefault="008B53D8" w:rsidP="008B53D8">
            <w:pPr>
              <w:pStyle w:val="TableTextRight"/>
            </w:pPr>
            <w:r w:rsidRPr="00654BBF">
              <w:t>29,272</w:t>
            </w:r>
          </w:p>
        </w:tc>
        <w:tc>
          <w:tcPr>
            <w:tcW w:w="1701" w:type="dxa"/>
          </w:tcPr>
          <w:p w14:paraId="270F55DC" w14:textId="7C2A60D4" w:rsidR="008B53D8" w:rsidRDefault="008B53D8" w:rsidP="008B53D8">
            <w:pPr>
              <w:pStyle w:val="TableTextRight"/>
            </w:pPr>
            <w:r w:rsidRPr="00654BBF">
              <w:t>10,252,364</w:t>
            </w:r>
          </w:p>
        </w:tc>
        <w:tc>
          <w:tcPr>
            <w:tcW w:w="1701" w:type="dxa"/>
          </w:tcPr>
          <w:p w14:paraId="125D9B76" w14:textId="064BE0A1" w:rsidR="008B53D8" w:rsidRDefault="008B53D8" w:rsidP="008B53D8">
            <w:pPr>
              <w:pStyle w:val="TableTextRight"/>
            </w:pPr>
            <w:r w:rsidRPr="00654BBF">
              <w:t>1,395,246</w:t>
            </w:r>
          </w:p>
        </w:tc>
        <w:tc>
          <w:tcPr>
            <w:tcW w:w="1701" w:type="dxa"/>
          </w:tcPr>
          <w:p w14:paraId="2C21BCBC" w14:textId="03AF5539" w:rsidR="008B53D8" w:rsidRDefault="008B53D8" w:rsidP="008B53D8">
            <w:pPr>
              <w:pStyle w:val="TableTextRight"/>
            </w:pPr>
            <w:r w:rsidRPr="00654BBF">
              <w:t>2,366,173</w:t>
            </w:r>
          </w:p>
        </w:tc>
        <w:tc>
          <w:tcPr>
            <w:tcW w:w="1701" w:type="dxa"/>
          </w:tcPr>
          <w:p w14:paraId="25523AFC" w14:textId="5BC48029" w:rsidR="008B53D8" w:rsidRDefault="008B53D8" w:rsidP="008B53D8">
            <w:pPr>
              <w:pStyle w:val="TableTextRight"/>
            </w:pPr>
            <w:r w:rsidRPr="00654BBF">
              <w:t>10,187,812</w:t>
            </w:r>
          </w:p>
        </w:tc>
        <w:tc>
          <w:tcPr>
            <w:tcW w:w="1701" w:type="dxa"/>
          </w:tcPr>
          <w:p w14:paraId="5EADA259" w14:textId="65B09FC1" w:rsidR="008B53D8" w:rsidRDefault="008B53D8" w:rsidP="008B53D8">
            <w:pPr>
              <w:pStyle w:val="TableTextRight"/>
            </w:pPr>
            <w:r w:rsidRPr="00654BBF">
              <w:t>1,597,185</w:t>
            </w:r>
          </w:p>
        </w:tc>
        <w:tc>
          <w:tcPr>
            <w:tcW w:w="1701" w:type="dxa"/>
          </w:tcPr>
          <w:p w14:paraId="463A1124" w14:textId="0FE74E0D" w:rsidR="008B53D8" w:rsidRDefault="008B53D8" w:rsidP="008B53D8">
            <w:pPr>
              <w:pStyle w:val="TableTextRight"/>
            </w:pPr>
            <w:r w:rsidRPr="00654BBF">
              <w:t>8,746,650</w:t>
            </w:r>
          </w:p>
        </w:tc>
        <w:tc>
          <w:tcPr>
            <w:tcW w:w="1701" w:type="dxa"/>
          </w:tcPr>
          <w:p w14:paraId="3CB05FA1" w14:textId="0ED586DC" w:rsidR="008B53D8" w:rsidRDefault="008B53D8" w:rsidP="008B53D8">
            <w:pPr>
              <w:pStyle w:val="TableTextRight"/>
            </w:pPr>
            <w:r w:rsidRPr="00654BBF">
              <w:t>34,574,702</w:t>
            </w:r>
          </w:p>
        </w:tc>
      </w:tr>
      <w:tr w:rsidR="008B53D8" w14:paraId="5AF832EA" w14:textId="77777777" w:rsidTr="00D76798">
        <w:trPr>
          <w:trHeight w:val="60"/>
        </w:trPr>
        <w:tc>
          <w:tcPr>
            <w:tcW w:w="7371" w:type="dxa"/>
          </w:tcPr>
          <w:p w14:paraId="08473B0C" w14:textId="04D4B94D" w:rsidR="008B53D8" w:rsidRDefault="008B53D8" w:rsidP="008B53D8">
            <w:pPr>
              <w:pStyle w:val="TableText"/>
            </w:pPr>
            <w:r w:rsidRPr="00654BBF">
              <w:t>Grants paid</w:t>
            </w:r>
          </w:p>
        </w:tc>
        <w:tc>
          <w:tcPr>
            <w:tcW w:w="1701" w:type="dxa"/>
          </w:tcPr>
          <w:p w14:paraId="2FB0FFEC" w14:textId="6A387B96" w:rsidR="008B53D8" w:rsidRDefault="008B53D8" w:rsidP="008B53D8">
            <w:pPr>
              <w:pStyle w:val="TableTextRight"/>
            </w:pPr>
            <w:r w:rsidRPr="00654BBF">
              <w:t>1,298,148</w:t>
            </w:r>
          </w:p>
        </w:tc>
        <w:tc>
          <w:tcPr>
            <w:tcW w:w="1701" w:type="dxa"/>
          </w:tcPr>
          <w:p w14:paraId="3456BBEE" w14:textId="1607091A" w:rsidR="008B53D8" w:rsidRDefault="008B53D8" w:rsidP="008B53D8">
            <w:pPr>
              <w:pStyle w:val="TableTextRight"/>
            </w:pPr>
            <w:r w:rsidRPr="00654BBF">
              <w:t>6,100,484</w:t>
            </w:r>
          </w:p>
        </w:tc>
        <w:tc>
          <w:tcPr>
            <w:tcW w:w="1701" w:type="dxa"/>
          </w:tcPr>
          <w:p w14:paraId="7E745FF7" w14:textId="77777777" w:rsidR="008B53D8" w:rsidRDefault="008B53D8" w:rsidP="008B53D8">
            <w:pPr>
              <w:pStyle w:val="TableTextRight"/>
            </w:pPr>
          </w:p>
        </w:tc>
        <w:tc>
          <w:tcPr>
            <w:tcW w:w="1701" w:type="dxa"/>
          </w:tcPr>
          <w:p w14:paraId="51928403" w14:textId="77777777" w:rsidR="008B53D8" w:rsidRDefault="008B53D8" w:rsidP="008B53D8">
            <w:pPr>
              <w:pStyle w:val="TableTextRight"/>
            </w:pPr>
          </w:p>
        </w:tc>
        <w:tc>
          <w:tcPr>
            <w:tcW w:w="1701" w:type="dxa"/>
          </w:tcPr>
          <w:p w14:paraId="7CDF3589" w14:textId="1CFDA0DF" w:rsidR="008B53D8" w:rsidRDefault="008B53D8" w:rsidP="008B53D8">
            <w:pPr>
              <w:pStyle w:val="TableTextRight"/>
            </w:pPr>
            <w:r w:rsidRPr="00654BBF">
              <w:t>18,834,256</w:t>
            </w:r>
          </w:p>
        </w:tc>
        <w:tc>
          <w:tcPr>
            <w:tcW w:w="1701" w:type="dxa"/>
          </w:tcPr>
          <w:p w14:paraId="1A15CFCB" w14:textId="77777777" w:rsidR="008B53D8" w:rsidRDefault="008B53D8" w:rsidP="008B53D8">
            <w:pPr>
              <w:pStyle w:val="TableTextRight"/>
            </w:pPr>
          </w:p>
        </w:tc>
        <w:tc>
          <w:tcPr>
            <w:tcW w:w="1701" w:type="dxa"/>
          </w:tcPr>
          <w:p w14:paraId="51D15E5C" w14:textId="381AF61D" w:rsidR="008B53D8" w:rsidRDefault="008B53D8" w:rsidP="008B53D8">
            <w:pPr>
              <w:pStyle w:val="TableTextRight"/>
            </w:pPr>
            <w:r w:rsidRPr="00654BBF">
              <w:t>2,326,517</w:t>
            </w:r>
          </w:p>
        </w:tc>
        <w:tc>
          <w:tcPr>
            <w:tcW w:w="1701" w:type="dxa"/>
          </w:tcPr>
          <w:p w14:paraId="681DD16D" w14:textId="7C224975" w:rsidR="008B53D8" w:rsidRDefault="008B53D8" w:rsidP="008B53D8">
            <w:pPr>
              <w:pStyle w:val="TableTextRight"/>
            </w:pPr>
            <w:r w:rsidRPr="00654BBF">
              <w:t>28,559,405</w:t>
            </w:r>
          </w:p>
        </w:tc>
      </w:tr>
      <w:tr w:rsidR="008B53D8" w14:paraId="5341F6FF" w14:textId="77777777" w:rsidTr="00D76798">
        <w:trPr>
          <w:trHeight w:val="60"/>
        </w:trPr>
        <w:tc>
          <w:tcPr>
            <w:tcW w:w="7371" w:type="dxa"/>
          </w:tcPr>
          <w:p w14:paraId="7EC61F8F" w14:textId="3BA725D8" w:rsidR="008B53D8" w:rsidRDefault="008B53D8" w:rsidP="008B53D8">
            <w:pPr>
              <w:pStyle w:val="TableText"/>
            </w:pPr>
            <w:r w:rsidRPr="00654BBF">
              <w:t>Information technology</w:t>
            </w:r>
          </w:p>
        </w:tc>
        <w:tc>
          <w:tcPr>
            <w:tcW w:w="1701" w:type="dxa"/>
          </w:tcPr>
          <w:p w14:paraId="11B5A803" w14:textId="77777777" w:rsidR="008B53D8" w:rsidRDefault="008B53D8" w:rsidP="008B53D8">
            <w:pPr>
              <w:pStyle w:val="TableTextRight"/>
            </w:pPr>
          </w:p>
        </w:tc>
        <w:tc>
          <w:tcPr>
            <w:tcW w:w="1701" w:type="dxa"/>
          </w:tcPr>
          <w:p w14:paraId="00FB46B2" w14:textId="0A209954" w:rsidR="008B53D8" w:rsidRDefault="008B53D8" w:rsidP="008B53D8">
            <w:pPr>
              <w:pStyle w:val="TableTextRight"/>
            </w:pPr>
            <w:r w:rsidRPr="00654BBF">
              <w:t>370,844</w:t>
            </w:r>
          </w:p>
        </w:tc>
        <w:tc>
          <w:tcPr>
            <w:tcW w:w="1701" w:type="dxa"/>
          </w:tcPr>
          <w:p w14:paraId="42D3D8B4" w14:textId="61B6D192" w:rsidR="008B53D8" w:rsidRDefault="008B53D8" w:rsidP="008B53D8">
            <w:pPr>
              <w:pStyle w:val="TableTextRight"/>
            </w:pPr>
            <w:r w:rsidRPr="00654BBF">
              <w:t>81,137</w:t>
            </w:r>
          </w:p>
        </w:tc>
        <w:tc>
          <w:tcPr>
            <w:tcW w:w="1701" w:type="dxa"/>
          </w:tcPr>
          <w:p w14:paraId="542D5A84" w14:textId="409239A4" w:rsidR="008B53D8" w:rsidRDefault="008B53D8" w:rsidP="008B53D8">
            <w:pPr>
              <w:pStyle w:val="TableTextRight"/>
            </w:pPr>
            <w:r w:rsidRPr="00654BBF">
              <w:t>556,339</w:t>
            </w:r>
          </w:p>
        </w:tc>
        <w:tc>
          <w:tcPr>
            <w:tcW w:w="1701" w:type="dxa"/>
          </w:tcPr>
          <w:p w14:paraId="6AF6592F" w14:textId="325A24F8" w:rsidR="008B53D8" w:rsidRDefault="008B53D8" w:rsidP="008B53D8">
            <w:pPr>
              <w:pStyle w:val="TableTextRight"/>
            </w:pPr>
            <w:r w:rsidRPr="00654BBF">
              <w:t>430,992</w:t>
            </w:r>
          </w:p>
        </w:tc>
        <w:tc>
          <w:tcPr>
            <w:tcW w:w="1701" w:type="dxa"/>
          </w:tcPr>
          <w:p w14:paraId="07C85B1C" w14:textId="5808B5F0" w:rsidR="008B53D8" w:rsidRDefault="008B53D8" w:rsidP="008B53D8">
            <w:pPr>
              <w:pStyle w:val="TableTextRight"/>
            </w:pPr>
            <w:r w:rsidRPr="00654BBF">
              <w:t>73,499</w:t>
            </w:r>
          </w:p>
        </w:tc>
        <w:tc>
          <w:tcPr>
            <w:tcW w:w="1701" w:type="dxa"/>
          </w:tcPr>
          <w:p w14:paraId="2C5BFE64" w14:textId="53F334F2" w:rsidR="008B53D8" w:rsidRDefault="008B53D8" w:rsidP="008B53D8">
            <w:pPr>
              <w:pStyle w:val="TableTextRight"/>
            </w:pPr>
            <w:r w:rsidRPr="00654BBF">
              <w:t>364,548</w:t>
            </w:r>
          </w:p>
        </w:tc>
        <w:tc>
          <w:tcPr>
            <w:tcW w:w="1701" w:type="dxa"/>
          </w:tcPr>
          <w:p w14:paraId="603B052A" w14:textId="098D3BF4" w:rsidR="008B53D8" w:rsidRDefault="008B53D8" w:rsidP="008B53D8">
            <w:pPr>
              <w:pStyle w:val="TableTextRight"/>
            </w:pPr>
            <w:r w:rsidRPr="00654BBF">
              <w:t>1,877,358</w:t>
            </w:r>
          </w:p>
        </w:tc>
      </w:tr>
      <w:tr w:rsidR="008B53D8" w14:paraId="738B2229" w14:textId="77777777" w:rsidTr="00D76798">
        <w:trPr>
          <w:trHeight w:val="60"/>
        </w:trPr>
        <w:tc>
          <w:tcPr>
            <w:tcW w:w="7371" w:type="dxa"/>
          </w:tcPr>
          <w:p w14:paraId="24AD6D34" w14:textId="153F3A8C" w:rsidR="008B53D8" w:rsidRDefault="008B53D8" w:rsidP="008B53D8">
            <w:pPr>
              <w:pStyle w:val="TableText"/>
            </w:pPr>
            <w:r w:rsidRPr="00654BBF">
              <w:t>Occupancy costs</w:t>
            </w:r>
          </w:p>
        </w:tc>
        <w:tc>
          <w:tcPr>
            <w:tcW w:w="1701" w:type="dxa"/>
          </w:tcPr>
          <w:p w14:paraId="2C433231" w14:textId="77777777" w:rsidR="008B53D8" w:rsidRDefault="008B53D8" w:rsidP="008B53D8">
            <w:pPr>
              <w:pStyle w:val="TableTextRight"/>
            </w:pPr>
          </w:p>
        </w:tc>
        <w:tc>
          <w:tcPr>
            <w:tcW w:w="1701" w:type="dxa"/>
          </w:tcPr>
          <w:p w14:paraId="28E95486" w14:textId="1B43F686" w:rsidR="008B53D8" w:rsidRDefault="008B53D8" w:rsidP="008B53D8">
            <w:pPr>
              <w:pStyle w:val="TableTextRight"/>
            </w:pPr>
            <w:r w:rsidRPr="00654BBF">
              <w:t>37,072</w:t>
            </w:r>
          </w:p>
        </w:tc>
        <w:tc>
          <w:tcPr>
            <w:tcW w:w="1701" w:type="dxa"/>
          </w:tcPr>
          <w:p w14:paraId="1A5C608A" w14:textId="76ECCCED" w:rsidR="008B53D8" w:rsidRDefault="008B53D8" w:rsidP="008B53D8">
            <w:pPr>
              <w:pStyle w:val="TableTextRight"/>
            </w:pPr>
            <w:r w:rsidRPr="00654BBF">
              <w:t>2,691</w:t>
            </w:r>
          </w:p>
        </w:tc>
        <w:tc>
          <w:tcPr>
            <w:tcW w:w="1701" w:type="dxa"/>
          </w:tcPr>
          <w:p w14:paraId="64F04906" w14:textId="163197CA" w:rsidR="008B53D8" w:rsidRDefault="008B53D8" w:rsidP="008B53D8">
            <w:pPr>
              <w:pStyle w:val="TableTextRight"/>
            </w:pPr>
            <w:r w:rsidRPr="00654BBF">
              <w:t>22,950</w:t>
            </w:r>
          </w:p>
        </w:tc>
        <w:tc>
          <w:tcPr>
            <w:tcW w:w="1701" w:type="dxa"/>
          </w:tcPr>
          <w:p w14:paraId="712E628A" w14:textId="0D26EF0C" w:rsidR="008B53D8" w:rsidRDefault="008B53D8" w:rsidP="008B53D8">
            <w:pPr>
              <w:pStyle w:val="TableTextRight"/>
            </w:pPr>
            <w:r w:rsidRPr="00654BBF">
              <w:t>9,387</w:t>
            </w:r>
          </w:p>
        </w:tc>
        <w:tc>
          <w:tcPr>
            <w:tcW w:w="1701" w:type="dxa"/>
          </w:tcPr>
          <w:p w14:paraId="1B872F89" w14:textId="77950154" w:rsidR="008B53D8" w:rsidRDefault="008B53D8" w:rsidP="008B53D8">
            <w:pPr>
              <w:pStyle w:val="TableTextRight"/>
            </w:pPr>
            <w:r w:rsidRPr="00654BBF">
              <w:t>4,972</w:t>
            </w:r>
          </w:p>
        </w:tc>
        <w:tc>
          <w:tcPr>
            <w:tcW w:w="1701" w:type="dxa"/>
          </w:tcPr>
          <w:p w14:paraId="2C3767B9" w14:textId="61C0CAA1" w:rsidR="008B53D8" w:rsidRDefault="008B53D8" w:rsidP="008B53D8">
            <w:pPr>
              <w:pStyle w:val="TableTextRight"/>
            </w:pPr>
            <w:r w:rsidRPr="00654BBF">
              <w:t>26,510</w:t>
            </w:r>
          </w:p>
        </w:tc>
        <w:tc>
          <w:tcPr>
            <w:tcW w:w="1701" w:type="dxa"/>
          </w:tcPr>
          <w:p w14:paraId="6492EC96" w14:textId="3FDCF76C" w:rsidR="008B53D8" w:rsidRDefault="008B53D8" w:rsidP="008B53D8">
            <w:pPr>
              <w:pStyle w:val="TableTextRight"/>
            </w:pPr>
            <w:r w:rsidRPr="00654BBF">
              <w:t>103,582</w:t>
            </w:r>
          </w:p>
        </w:tc>
      </w:tr>
      <w:tr w:rsidR="008B53D8" w14:paraId="2BAEBC5E" w14:textId="77777777" w:rsidTr="00D76798">
        <w:trPr>
          <w:trHeight w:val="60"/>
        </w:trPr>
        <w:tc>
          <w:tcPr>
            <w:tcW w:w="7371" w:type="dxa"/>
          </w:tcPr>
          <w:p w14:paraId="3BAA7FC6" w14:textId="51EAD42C" w:rsidR="008B53D8" w:rsidRDefault="008B53D8" w:rsidP="008B53D8">
            <w:pPr>
              <w:pStyle w:val="TableText"/>
            </w:pPr>
            <w:r w:rsidRPr="00654BBF">
              <w:t>Other operating costs</w:t>
            </w:r>
          </w:p>
        </w:tc>
        <w:tc>
          <w:tcPr>
            <w:tcW w:w="1701" w:type="dxa"/>
          </w:tcPr>
          <w:p w14:paraId="16F49298" w14:textId="77777777" w:rsidR="008B53D8" w:rsidRDefault="008B53D8" w:rsidP="008B53D8">
            <w:pPr>
              <w:pStyle w:val="TableTextRight"/>
            </w:pPr>
          </w:p>
        </w:tc>
        <w:tc>
          <w:tcPr>
            <w:tcW w:w="1701" w:type="dxa"/>
          </w:tcPr>
          <w:p w14:paraId="3FA88585" w14:textId="2F7C961C" w:rsidR="008B53D8" w:rsidRDefault="008B53D8" w:rsidP="008B53D8">
            <w:pPr>
              <w:pStyle w:val="TableTextRight"/>
            </w:pPr>
            <w:r w:rsidRPr="00654BBF">
              <w:t>1,372,809</w:t>
            </w:r>
          </w:p>
        </w:tc>
        <w:tc>
          <w:tcPr>
            <w:tcW w:w="1701" w:type="dxa"/>
          </w:tcPr>
          <w:p w14:paraId="3F1710EA" w14:textId="255FC939" w:rsidR="008B53D8" w:rsidRDefault="008B53D8" w:rsidP="008B53D8">
            <w:pPr>
              <w:pStyle w:val="TableTextRight"/>
            </w:pPr>
            <w:r w:rsidRPr="00654BBF">
              <w:t>366,841</w:t>
            </w:r>
          </w:p>
        </w:tc>
        <w:tc>
          <w:tcPr>
            <w:tcW w:w="1701" w:type="dxa"/>
          </w:tcPr>
          <w:p w14:paraId="72F0B36D" w14:textId="1FC451CF" w:rsidR="008B53D8" w:rsidRDefault="008B53D8" w:rsidP="008B53D8">
            <w:pPr>
              <w:pStyle w:val="TableTextRight"/>
            </w:pPr>
            <w:r w:rsidRPr="00654BBF">
              <w:t>273,390</w:t>
            </w:r>
          </w:p>
        </w:tc>
        <w:tc>
          <w:tcPr>
            <w:tcW w:w="1701" w:type="dxa"/>
          </w:tcPr>
          <w:p w14:paraId="1720554F" w14:textId="4973F68F" w:rsidR="008B53D8" w:rsidRDefault="008B53D8" w:rsidP="008B53D8">
            <w:pPr>
              <w:pStyle w:val="TableTextRight"/>
            </w:pPr>
            <w:r w:rsidRPr="00654BBF">
              <w:t>1,253,285</w:t>
            </w:r>
          </w:p>
        </w:tc>
        <w:tc>
          <w:tcPr>
            <w:tcW w:w="1701" w:type="dxa"/>
          </w:tcPr>
          <w:p w14:paraId="4E758327" w14:textId="614B971C" w:rsidR="008B53D8" w:rsidRDefault="008B53D8" w:rsidP="008B53D8">
            <w:pPr>
              <w:pStyle w:val="TableTextRight"/>
            </w:pPr>
            <w:r w:rsidRPr="00654BBF">
              <w:t>177,862</w:t>
            </w:r>
          </w:p>
        </w:tc>
        <w:tc>
          <w:tcPr>
            <w:tcW w:w="1701" w:type="dxa"/>
          </w:tcPr>
          <w:p w14:paraId="0D3545A3" w14:textId="591F5E92" w:rsidR="008B53D8" w:rsidRDefault="008B53D8" w:rsidP="008B53D8">
            <w:pPr>
              <w:pStyle w:val="TableTextRight"/>
            </w:pPr>
            <w:r w:rsidRPr="00654BBF">
              <w:t>1,032,170</w:t>
            </w:r>
          </w:p>
        </w:tc>
        <w:tc>
          <w:tcPr>
            <w:tcW w:w="1701" w:type="dxa"/>
          </w:tcPr>
          <w:p w14:paraId="4FBD4938" w14:textId="64B94F07" w:rsidR="008B53D8" w:rsidRDefault="008B53D8" w:rsidP="008B53D8">
            <w:pPr>
              <w:pStyle w:val="TableTextRight"/>
            </w:pPr>
            <w:r w:rsidRPr="00654BBF">
              <w:t>4,476,356</w:t>
            </w:r>
          </w:p>
        </w:tc>
      </w:tr>
      <w:tr w:rsidR="008B53D8" w14:paraId="3598C6CD" w14:textId="77777777" w:rsidTr="00D76798">
        <w:trPr>
          <w:trHeight w:val="60"/>
        </w:trPr>
        <w:tc>
          <w:tcPr>
            <w:tcW w:w="7371" w:type="dxa"/>
          </w:tcPr>
          <w:p w14:paraId="697D1F83" w14:textId="558B515C" w:rsidR="008B53D8" w:rsidRDefault="008B53D8" w:rsidP="008B53D8">
            <w:pPr>
              <w:pStyle w:val="TableText"/>
            </w:pPr>
            <w:r w:rsidRPr="00654BBF">
              <w:t>Net Transfers out</w:t>
            </w:r>
          </w:p>
        </w:tc>
        <w:tc>
          <w:tcPr>
            <w:tcW w:w="1701" w:type="dxa"/>
          </w:tcPr>
          <w:p w14:paraId="002EDBBB" w14:textId="77777777" w:rsidR="008B53D8" w:rsidRDefault="008B53D8" w:rsidP="008B53D8">
            <w:pPr>
              <w:pStyle w:val="TableTextRight"/>
            </w:pPr>
          </w:p>
        </w:tc>
        <w:tc>
          <w:tcPr>
            <w:tcW w:w="1701" w:type="dxa"/>
          </w:tcPr>
          <w:p w14:paraId="20B04112" w14:textId="77777777" w:rsidR="008B53D8" w:rsidRDefault="008B53D8" w:rsidP="008B53D8">
            <w:pPr>
              <w:pStyle w:val="TableTextRight"/>
            </w:pPr>
          </w:p>
        </w:tc>
        <w:tc>
          <w:tcPr>
            <w:tcW w:w="1701" w:type="dxa"/>
          </w:tcPr>
          <w:p w14:paraId="24BD027E" w14:textId="77777777" w:rsidR="008B53D8" w:rsidRDefault="008B53D8" w:rsidP="008B53D8">
            <w:pPr>
              <w:pStyle w:val="TableTextRight"/>
            </w:pPr>
          </w:p>
        </w:tc>
        <w:tc>
          <w:tcPr>
            <w:tcW w:w="1701" w:type="dxa"/>
          </w:tcPr>
          <w:p w14:paraId="0215716C" w14:textId="5B9BB238" w:rsidR="008B53D8" w:rsidRDefault="008B53D8" w:rsidP="008B53D8">
            <w:pPr>
              <w:pStyle w:val="TableTextRight"/>
            </w:pPr>
            <w:r w:rsidRPr="00654BBF">
              <w:t>12,000,000</w:t>
            </w:r>
          </w:p>
        </w:tc>
        <w:tc>
          <w:tcPr>
            <w:tcW w:w="1701" w:type="dxa"/>
          </w:tcPr>
          <w:p w14:paraId="0BACE0F4" w14:textId="77777777" w:rsidR="008B53D8" w:rsidRDefault="008B53D8" w:rsidP="008B53D8">
            <w:pPr>
              <w:pStyle w:val="TableTextRight"/>
            </w:pPr>
          </w:p>
        </w:tc>
        <w:tc>
          <w:tcPr>
            <w:tcW w:w="1701" w:type="dxa"/>
          </w:tcPr>
          <w:p w14:paraId="023EA446" w14:textId="77777777" w:rsidR="008B53D8" w:rsidRDefault="008B53D8" w:rsidP="008B53D8">
            <w:pPr>
              <w:pStyle w:val="TableTextRight"/>
            </w:pPr>
          </w:p>
        </w:tc>
        <w:tc>
          <w:tcPr>
            <w:tcW w:w="1701" w:type="dxa"/>
          </w:tcPr>
          <w:p w14:paraId="3830BB4E" w14:textId="477CDB2D" w:rsidR="008B53D8" w:rsidRDefault="008B53D8" w:rsidP="008B53D8">
            <w:pPr>
              <w:pStyle w:val="TableTextRight"/>
            </w:pPr>
            <w:r w:rsidRPr="00654BBF">
              <w:t>14,600,000</w:t>
            </w:r>
          </w:p>
        </w:tc>
        <w:tc>
          <w:tcPr>
            <w:tcW w:w="1701" w:type="dxa"/>
          </w:tcPr>
          <w:p w14:paraId="408E7E87" w14:textId="0DB2AB87" w:rsidR="008B53D8" w:rsidRDefault="008B53D8" w:rsidP="008B53D8">
            <w:pPr>
              <w:pStyle w:val="TableTextRight"/>
            </w:pPr>
            <w:r w:rsidRPr="00654BBF">
              <w:t>26,600,000</w:t>
            </w:r>
          </w:p>
        </w:tc>
      </w:tr>
      <w:tr w:rsidR="008B53D8" w14:paraId="6A8B49C1" w14:textId="77777777" w:rsidTr="00D76798">
        <w:trPr>
          <w:trHeight w:val="60"/>
        </w:trPr>
        <w:tc>
          <w:tcPr>
            <w:tcW w:w="7371" w:type="dxa"/>
          </w:tcPr>
          <w:p w14:paraId="410F846F" w14:textId="1706C399" w:rsidR="008B53D8" w:rsidRDefault="008B53D8" w:rsidP="008B53D8">
            <w:pPr>
              <w:pStyle w:val="TableText"/>
            </w:pPr>
            <w:r w:rsidRPr="00654BBF">
              <w:t>Outsourced contracted costs</w:t>
            </w:r>
          </w:p>
        </w:tc>
        <w:tc>
          <w:tcPr>
            <w:tcW w:w="1701" w:type="dxa"/>
          </w:tcPr>
          <w:p w14:paraId="0B5867A0" w14:textId="77777777" w:rsidR="008B53D8" w:rsidRDefault="008B53D8" w:rsidP="008B53D8">
            <w:pPr>
              <w:pStyle w:val="TableTextRight"/>
            </w:pPr>
          </w:p>
        </w:tc>
        <w:tc>
          <w:tcPr>
            <w:tcW w:w="1701" w:type="dxa"/>
          </w:tcPr>
          <w:p w14:paraId="598C1BAC" w14:textId="77777777" w:rsidR="008B53D8" w:rsidRDefault="008B53D8" w:rsidP="008B53D8">
            <w:pPr>
              <w:pStyle w:val="TableTextRight"/>
            </w:pPr>
          </w:p>
        </w:tc>
        <w:tc>
          <w:tcPr>
            <w:tcW w:w="1701" w:type="dxa"/>
          </w:tcPr>
          <w:p w14:paraId="6F0E7850" w14:textId="77777777" w:rsidR="008B53D8" w:rsidRDefault="008B53D8" w:rsidP="008B53D8">
            <w:pPr>
              <w:pStyle w:val="TableTextRight"/>
            </w:pPr>
          </w:p>
        </w:tc>
        <w:tc>
          <w:tcPr>
            <w:tcW w:w="1701" w:type="dxa"/>
          </w:tcPr>
          <w:p w14:paraId="192A854F" w14:textId="4F01B692" w:rsidR="008B53D8" w:rsidRDefault="008B53D8" w:rsidP="008B53D8">
            <w:pPr>
              <w:pStyle w:val="TableTextRight"/>
            </w:pPr>
            <w:r w:rsidRPr="00654BBF">
              <w:t>5,441,230</w:t>
            </w:r>
          </w:p>
        </w:tc>
        <w:tc>
          <w:tcPr>
            <w:tcW w:w="1701" w:type="dxa"/>
          </w:tcPr>
          <w:p w14:paraId="0F48DEED" w14:textId="77777777" w:rsidR="008B53D8" w:rsidRDefault="008B53D8" w:rsidP="008B53D8">
            <w:pPr>
              <w:pStyle w:val="TableTextRight"/>
            </w:pPr>
          </w:p>
        </w:tc>
        <w:tc>
          <w:tcPr>
            <w:tcW w:w="1701" w:type="dxa"/>
          </w:tcPr>
          <w:p w14:paraId="799CD88D" w14:textId="77777777" w:rsidR="008B53D8" w:rsidRDefault="008B53D8" w:rsidP="008B53D8">
            <w:pPr>
              <w:pStyle w:val="TableTextRight"/>
            </w:pPr>
          </w:p>
        </w:tc>
        <w:tc>
          <w:tcPr>
            <w:tcW w:w="1701" w:type="dxa"/>
          </w:tcPr>
          <w:p w14:paraId="112C8ABE" w14:textId="77777777" w:rsidR="008B53D8" w:rsidRDefault="008B53D8" w:rsidP="008B53D8">
            <w:pPr>
              <w:pStyle w:val="TableTextRight"/>
            </w:pPr>
          </w:p>
        </w:tc>
        <w:tc>
          <w:tcPr>
            <w:tcW w:w="1701" w:type="dxa"/>
          </w:tcPr>
          <w:p w14:paraId="74D355B0" w14:textId="350F768C" w:rsidR="008B53D8" w:rsidRDefault="008B53D8" w:rsidP="008B53D8">
            <w:pPr>
              <w:pStyle w:val="TableTextRight"/>
            </w:pPr>
            <w:r w:rsidRPr="00654BBF">
              <w:t>5,441,230</w:t>
            </w:r>
          </w:p>
        </w:tc>
      </w:tr>
      <w:tr w:rsidR="00C65EA8" w14:paraId="44072A4F" w14:textId="77777777" w:rsidTr="00C65EA8">
        <w:trPr>
          <w:trHeight w:val="60"/>
        </w:trPr>
        <w:tc>
          <w:tcPr>
            <w:tcW w:w="7371" w:type="dxa"/>
            <w:shd w:val="clear" w:color="auto" w:fill="D3DBEE"/>
          </w:tcPr>
          <w:p w14:paraId="7C9964E0" w14:textId="18F79108" w:rsidR="008B53D8" w:rsidRDefault="008B53D8" w:rsidP="008B53D8">
            <w:pPr>
              <w:pStyle w:val="TableTextBold"/>
            </w:pPr>
            <w:r w:rsidRPr="00654BBF">
              <w:t>Total CAV Trust Funds Expenditure</w:t>
            </w:r>
          </w:p>
        </w:tc>
        <w:tc>
          <w:tcPr>
            <w:tcW w:w="1701" w:type="dxa"/>
            <w:shd w:val="clear" w:color="auto" w:fill="D3DBEE"/>
          </w:tcPr>
          <w:p w14:paraId="23BFD791" w14:textId="0E46ED73" w:rsidR="008B53D8" w:rsidRDefault="008B53D8" w:rsidP="008B53D8">
            <w:pPr>
              <w:pStyle w:val="TableTextRightBold"/>
            </w:pPr>
            <w:r w:rsidRPr="00654BBF">
              <w:t>1,327,420</w:t>
            </w:r>
          </w:p>
        </w:tc>
        <w:tc>
          <w:tcPr>
            <w:tcW w:w="1701" w:type="dxa"/>
            <w:shd w:val="clear" w:color="auto" w:fill="D3DBEE"/>
          </w:tcPr>
          <w:p w14:paraId="11BDA8A0" w14:textId="4DC2E425" w:rsidR="008B53D8" w:rsidRDefault="008B53D8" w:rsidP="008B53D8">
            <w:pPr>
              <w:pStyle w:val="TableTextRightBold"/>
            </w:pPr>
            <w:r w:rsidRPr="00654BBF">
              <w:t>18,215,969</w:t>
            </w:r>
          </w:p>
        </w:tc>
        <w:tc>
          <w:tcPr>
            <w:tcW w:w="1701" w:type="dxa"/>
            <w:shd w:val="clear" w:color="auto" w:fill="D3DBEE"/>
          </w:tcPr>
          <w:p w14:paraId="33FAB886" w14:textId="38A18AE1" w:rsidR="008B53D8" w:rsidRDefault="008B53D8" w:rsidP="008B53D8">
            <w:pPr>
              <w:pStyle w:val="TableTextRightBold"/>
            </w:pPr>
            <w:r w:rsidRPr="00654BBF">
              <w:t>1,995,625</w:t>
            </w:r>
          </w:p>
        </w:tc>
        <w:tc>
          <w:tcPr>
            <w:tcW w:w="1701" w:type="dxa"/>
            <w:shd w:val="clear" w:color="auto" w:fill="D3DBEE"/>
          </w:tcPr>
          <w:p w14:paraId="3485C193" w14:textId="14900356" w:rsidR="008B53D8" w:rsidRDefault="008B53D8" w:rsidP="008B53D8">
            <w:pPr>
              <w:pStyle w:val="TableTextRightBold"/>
            </w:pPr>
            <w:r w:rsidRPr="00654BBF">
              <w:t>22,526,502</w:t>
            </w:r>
          </w:p>
        </w:tc>
        <w:tc>
          <w:tcPr>
            <w:tcW w:w="1701" w:type="dxa"/>
            <w:shd w:val="clear" w:color="auto" w:fill="D3DBEE"/>
          </w:tcPr>
          <w:p w14:paraId="0A5FF687" w14:textId="765CE25B" w:rsidR="008B53D8" w:rsidRDefault="008B53D8" w:rsidP="008B53D8">
            <w:pPr>
              <w:pStyle w:val="TableTextRightBold"/>
            </w:pPr>
            <w:r w:rsidRPr="00654BBF">
              <w:t>30,872,101</w:t>
            </w:r>
          </w:p>
        </w:tc>
        <w:tc>
          <w:tcPr>
            <w:tcW w:w="1701" w:type="dxa"/>
            <w:shd w:val="clear" w:color="auto" w:fill="D3DBEE"/>
          </w:tcPr>
          <w:p w14:paraId="1E814F85" w14:textId="04762ADB" w:rsidR="008B53D8" w:rsidRDefault="008B53D8" w:rsidP="008B53D8">
            <w:pPr>
              <w:pStyle w:val="TableTextRightBold"/>
            </w:pPr>
            <w:r w:rsidRPr="00654BBF">
              <w:t>1,869,926</w:t>
            </w:r>
          </w:p>
        </w:tc>
        <w:tc>
          <w:tcPr>
            <w:tcW w:w="1701" w:type="dxa"/>
            <w:shd w:val="clear" w:color="auto" w:fill="D3DBEE"/>
          </w:tcPr>
          <w:p w14:paraId="61D456D0" w14:textId="4D753497" w:rsidR="008B53D8" w:rsidRDefault="008B53D8" w:rsidP="008B53D8">
            <w:pPr>
              <w:pStyle w:val="TableTextRightBold"/>
            </w:pPr>
            <w:r w:rsidRPr="00654BBF">
              <w:t>34,012,844</w:t>
            </w:r>
          </w:p>
        </w:tc>
        <w:tc>
          <w:tcPr>
            <w:tcW w:w="1701" w:type="dxa"/>
            <w:shd w:val="clear" w:color="auto" w:fill="D3DBEE"/>
          </w:tcPr>
          <w:p w14:paraId="2A135DEE" w14:textId="6222E6B8" w:rsidR="008B53D8" w:rsidRDefault="008B53D8" w:rsidP="008B53D8">
            <w:pPr>
              <w:pStyle w:val="TableTextRightBold"/>
            </w:pPr>
            <w:r w:rsidRPr="00654BBF">
              <w:t>110,820,388</w:t>
            </w:r>
          </w:p>
        </w:tc>
      </w:tr>
      <w:tr w:rsidR="008B53D8" w14:paraId="200EB88D" w14:textId="77777777" w:rsidTr="00D76798">
        <w:trPr>
          <w:trHeight w:val="60"/>
        </w:trPr>
        <w:tc>
          <w:tcPr>
            <w:tcW w:w="7371" w:type="dxa"/>
          </w:tcPr>
          <w:p w14:paraId="61EEF10A" w14:textId="664EE382" w:rsidR="008B53D8" w:rsidRDefault="008B53D8" w:rsidP="008B53D8">
            <w:pPr>
              <w:pStyle w:val="TableTextBold"/>
            </w:pPr>
            <w:r w:rsidRPr="00654BBF">
              <w:t>Trust Funds, opening equity 1 July 2022</w:t>
            </w:r>
          </w:p>
        </w:tc>
        <w:tc>
          <w:tcPr>
            <w:tcW w:w="1701" w:type="dxa"/>
          </w:tcPr>
          <w:p w14:paraId="26A1EC65" w14:textId="347A113E" w:rsidR="008B53D8" w:rsidRDefault="008B53D8" w:rsidP="008B53D8">
            <w:pPr>
              <w:pStyle w:val="TableTextRightBold"/>
            </w:pPr>
            <w:r w:rsidRPr="00654BBF">
              <w:t>3,735,194</w:t>
            </w:r>
          </w:p>
        </w:tc>
        <w:tc>
          <w:tcPr>
            <w:tcW w:w="1701" w:type="dxa"/>
          </w:tcPr>
          <w:p w14:paraId="2CF6976A" w14:textId="389DDF9A" w:rsidR="008B53D8" w:rsidRDefault="008B53D8" w:rsidP="008B53D8">
            <w:pPr>
              <w:pStyle w:val="TableTextRightBold"/>
            </w:pPr>
            <w:r w:rsidRPr="00654BBF">
              <w:t>31,201,808</w:t>
            </w:r>
          </w:p>
        </w:tc>
        <w:tc>
          <w:tcPr>
            <w:tcW w:w="1701" w:type="dxa"/>
          </w:tcPr>
          <w:p w14:paraId="0B1B843E" w14:textId="2DE36D5E" w:rsidR="008B53D8" w:rsidRDefault="008B53D8" w:rsidP="008B53D8">
            <w:pPr>
              <w:pStyle w:val="TableTextRightBold"/>
            </w:pPr>
            <w:r w:rsidRPr="00654BBF">
              <w:t>7,939,933</w:t>
            </w:r>
          </w:p>
        </w:tc>
        <w:tc>
          <w:tcPr>
            <w:tcW w:w="1701" w:type="dxa"/>
          </w:tcPr>
          <w:p w14:paraId="39AD03FC" w14:textId="32B643A8" w:rsidR="008B53D8" w:rsidRDefault="008B53D8" w:rsidP="008B53D8">
            <w:pPr>
              <w:pStyle w:val="TableTextRightBold"/>
            </w:pPr>
            <w:r w:rsidRPr="00654BBF">
              <w:t>42,650,219</w:t>
            </w:r>
          </w:p>
        </w:tc>
        <w:tc>
          <w:tcPr>
            <w:tcW w:w="1701" w:type="dxa"/>
          </w:tcPr>
          <w:p w14:paraId="3D7E9CA2" w14:textId="7851DE41" w:rsidR="008B53D8" w:rsidRDefault="008B53D8" w:rsidP="008B53D8">
            <w:pPr>
              <w:pStyle w:val="TableTextRightBold"/>
            </w:pPr>
            <w:r w:rsidRPr="00654BBF">
              <w:t>27,760,543</w:t>
            </w:r>
          </w:p>
        </w:tc>
        <w:tc>
          <w:tcPr>
            <w:tcW w:w="1701" w:type="dxa"/>
          </w:tcPr>
          <w:p w14:paraId="3D4BD4A2" w14:textId="5A34C281" w:rsidR="008B53D8" w:rsidRDefault="008B53D8" w:rsidP="008B53D8">
            <w:pPr>
              <w:pStyle w:val="TableTextRightBold"/>
            </w:pPr>
            <w:r w:rsidRPr="00654BBF">
              <w:t>350,560</w:t>
            </w:r>
          </w:p>
        </w:tc>
        <w:tc>
          <w:tcPr>
            <w:tcW w:w="1701" w:type="dxa"/>
          </w:tcPr>
          <w:p w14:paraId="21292644" w14:textId="42CE41FE" w:rsidR="008B53D8" w:rsidRDefault="008B53D8" w:rsidP="008B53D8">
            <w:pPr>
              <w:pStyle w:val="TableTextRightBold"/>
            </w:pPr>
            <w:r w:rsidRPr="00654BBF">
              <w:t>124,942,407</w:t>
            </w:r>
          </w:p>
        </w:tc>
        <w:tc>
          <w:tcPr>
            <w:tcW w:w="1701" w:type="dxa"/>
          </w:tcPr>
          <w:p w14:paraId="42ADC942" w14:textId="432081E2" w:rsidR="008B53D8" w:rsidRDefault="008B53D8" w:rsidP="008B53D8">
            <w:pPr>
              <w:pStyle w:val="TableTextRightBold"/>
            </w:pPr>
            <w:r w:rsidRPr="00654BBF">
              <w:t>238,580,665</w:t>
            </w:r>
          </w:p>
        </w:tc>
      </w:tr>
      <w:tr w:rsidR="008B53D8" w14:paraId="1E3AF3B8" w14:textId="77777777" w:rsidTr="00D76798">
        <w:trPr>
          <w:trHeight w:val="60"/>
        </w:trPr>
        <w:tc>
          <w:tcPr>
            <w:tcW w:w="7371" w:type="dxa"/>
          </w:tcPr>
          <w:p w14:paraId="6FCACF50" w14:textId="5A4CD34B" w:rsidR="008B53D8" w:rsidRDefault="008B53D8" w:rsidP="008B53D8">
            <w:pPr>
              <w:pStyle w:val="TableText"/>
            </w:pPr>
            <w:r w:rsidRPr="00654BBF">
              <w:t>Current year operating surplus/(deficit)</w:t>
            </w:r>
          </w:p>
        </w:tc>
        <w:tc>
          <w:tcPr>
            <w:tcW w:w="1701" w:type="dxa"/>
          </w:tcPr>
          <w:p w14:paraId="528024F3" w14:textId="14F0BA06" w:rsidR="008B53D8" w:rsidRDefault="008B53D8" w:rsidP="008B53D8">
            <w:pPr>
              <w:pStyle w:val="TableTextRight"/>
            </w:pPr>
            <w:r w:rsidRPr="00654BBF">
              <w:t>(1,115,243)</w:t>
            </w:r>
          </w:p>
        </w:tc>
        <w:tc>
          <w:tcPr>
            <w:tcW w:w="1701" w:type="dxa"/>
          </w:tcPr>
          <w:p w14:paraId="191665E8" w14:textId="666B0352" w:rsidR="008B53D8" w:rsidRDefault="008B53D8" w:rsidP="008B53D8">
            <w:pPr>
              <w:pStyle w:val="TableTextRight"/>
            </w:pPr>
            <w:r w:rsidRPr="00654BBF">
              <w:t>5,055,165</w:t>
            </w:r>
          </w:p>
        </w:tc>
        <w:tc>
          <w:tcPr>
            <w:tcW w:w="1701" w:type="dxa"/>
          </w:tcPr>
          <w:p w14:paraId="0B5030C7" w14:textId="5727FEFC" w:rsidR="008B53D8" w:rsidRDefault="008B53D8" w:rsidP="008B53D8">
            <w:pPr>
              <w:pStyle w:val="TableTextRight"/>
            </w:pPr>
            <w:r w:rsidRPr="00654BBF">
              <w:t>2,043,579</w:t>
            </w:r>
          </w:p>
        </w:tc>
        <w:tc>
          <w:tcPr>
            <w:tcW w:w="1701" w:type="dxa"/>
          </w:tcPr>
          <w:p w14:paraId="1E6BFE50" w14:textId="7AB2B0DA" w:rsidR="008B53D8" w:rsidRDefault="008B53D8" w:rsidP="008B53D8">
            <w:pPr>
              <w:pStyle w:val="TableTextRight"/>
            </w:pPr>
            <w:r w:rsidRPr="00654BBF">
              <w:t>24,670,086</w:t>
            </w:r>
          </w:p>
        </w:tc>
        <w:tc>
          <w:tcPr>
            <w:tcW w:w="1701" w:type="dxa"/>
          </w:tcPr>
          <w:p w14:paraId="3008097F" w14:textId="5417EC63" w:rsidR="008B53D8" w:rsidRDefault="008B53D8" w:rsidP="008B53D8">
            <w:pPr>
              <w:pStyle w:val="TableTextRight"/>
            </w:pPr>
            <w:r w:rsidRPr="00654BBF">
              <w:t>(472,295)</w:t>
            </w:r>
          </w:p>
        </w:tc>
        <w:tc>
          <w:tcPr>
            <w:tcW w:w="1701" w:type="dxa"/>
          </w:tcPr>
          <w:p w14:paraId="3F611D16" w14:textId="560D1A6D" w:rsidR="008B53D8" w:rsidRDefault="008B53D8" w:rsidP="008B53D8">
            <w:pPr>
              <w:pStyle w:val="TableTextRight"/>
            </w:pPr>
            <w:r w:rsidRPr="00654BBF">
              <w:t>(296,851)</w:t>
            </w:r>
          </w:p>
        </w:tc>
        <w:tc>
          <w:tcPr>
            <w:tcW w:w="1701" w:type="dxa"/>
          </w:tcPr>
          <w:p w14:paraId="0BA5A791" w14:textId="6EED57AC" w:rsidR="008B53D8" w:rsidRDefault="008B53D8" w:rsidP="008B53D8">
            <w:pPr>
              <w:pStyle w:val="TableTextRight"/>
            </w:pPr>
            <w:r w:rsidRPr="00654BBF">
              <w:t>60,317,714</w:t>
            </w:r>
          </w:p>
        </w:tc>
        <w:tc>
          <w:tcPr>
            <w:tcW w:w="1701" w:type="dxa"/>
          </w:tcPr>
          <w:p w14:paraId="6D1A1F98" w14:textId="724FA49D" w:rsidR="008B53D8" w:rsidRDefault="008B53D8" w:rsidP="008B53D8">
            <w:pPr>
              <w:pStyle w:val="TableTextRight"/>
            </w:pPr>
            <w:r w:rsidRPr="00654BBF">
              <w:t>90,202,154</w:t>
            </w:r>
          </w:p>
        </w:tc>
      </w:tr>
      <w:tr w:rsidR="008B53D8" w14:paraId="4C18BC46" w14:textId="77777777" w:rsidTr="00D76798">
        <w:trPr>
          <w:trHeight w:val="60"/>
        </w:trPr>
        <w:tc>
          <w:tcPr>
            <w:tcW w:w="7371" w:type="dxa"/>
          </w:tcPr>
          <w:p w14:paraId="56A4AA17" w14:textId="492985B3" w:rsidR="008B53D8" w:rsidRDefault="008B53D8" w:rsidP="008B53D8">
            <w:pPr>
              <w:pStyle w:val="TableTextBold"/>
            </w:pPr>
            <w:r w:rsidRPr="00654BBF">
              <w:t>Trust Funds, closing equity 30 June 2023</w:t>
            </w:r>
          </w:p>
        </w:tc>
        <w:tc>
          <w:tcPr>
            <w:tcW w:w="1701" w:type="dxa"/>
          </w:tcPr>
          <w:p w14:paraId="061E22CE" w14:textId="32F7DC25" w:rsidR="008B53D8" w:rsidRDefault="008B53D8" w:rsidP="008B53D8">
            <w:pPr>
              <w:pStyle w:val="TableTextRightBold"/>
            </w:pPr>
            <w:r w:rsidRPr="00654BBF">
              <w:t>2,619,952</w:t>
            </w:r>
          </w:p>
        </w:tc>
        <w:tc>
          <w:tcPr>
            <w:tcW w:w="1701" w:type="dxa"/>
          </w:tcPr>
          <w:p w14:paraId="4D29E245" w14:textId="5078D816" w:rsidR="008B53D8" w:rsidRDefault="008B53D8" w:rsidP="008B53D8">
            <w:pPr>
              <w:pStyle w:val="TableTextRightBold"/>
            </w:pPr>
            <w:r w:rsidRPr="00654BBF">
              <w:t>36,256,973</w:t>
            </w:r>
          </w:p>
        </w:tc>
        <w:tc>
          <w:tcPr>
            <w:tcW w:w="1701" w:type="dxa"/>
          </w:tcPr>
          <w:p w14:paraId="5ADA5C10" w14:textId="67B31A14" w:rsidR="008B53D8" w:rsidRDefault="008B53D8" w:rsidP="008B53D8">
            <w:pPr>
              <w:pStyle w:val="TableTextRightBold"/>
            </w:pPr>
            <w:r w:rsidRPr="00654BBF">
              <w:t>9,983,512</w:t>
            </w:r>
          </w:p>
        </w:tc>
        <w:tc>
          <w:tcPr>
            <w:tcW w:w="1701" w:type="dxa"/>
          </w:tcPr>
          <w:p w14:paraId="060ABA57" w14:textId="58863DB3" w:rsidR="008B53D8" w:rsidRDefault="008B53D8" w:rsidP="008B53D8">
            <w:pPr>
              <w:pStyle w:val="TableTextRightBold"/>
            </w:pPr>
            <w:r w:rsidRPr="00654BBF">
              <w:t>67,320,305</w:t>
            </w:r>
          </w:p>
        </w:tc>
        <w:tc>
          <w:tcPr>
            <w:tcW w:w="1701" w:type="dxa"/>
          </w:tcPr>
          <w:p w14:paraId="649B5DFD" w14:textId="7DFB5B62" w:rsidR="008B53D8" w:rsidRDefault="008B53D8" w:rsidP="008B53D8">
            <w:pPr>
              <w:pStyle w:val="TableTextRightBold"/>
            </w:pPr>
            <w:r w:rsidRPr="00654BBF">
              <w:t>27,291,741</w:t>
            </w:r>
          </w:p>
        </w:tc>
        <w:tc>
          <w:tcPr>
            <w:tcW w:w="1701" w:type="dxa"/>
          </w:tcPr>
          <w:p w14:paraId="3771B091" w14:textId="708184CE" w:rsidR="008B53D8" w:rsidRDefault="008B53D8" w:rsidP="008B53D8">
            <w:pPr>
              <w:pStyle w:val="TableTextRightBold"/>
            </w:pPr>
            <w:r w:rsidRPr="00654BBF">
              <w:t>53,709</w:t>
            </w:r>
          </w:p>
        </w:tc>
        <w:tc>
          <w:tcPr>
            <w:tcW w:w="1701" w:type="dxa"/>
          </w:tcPr>
          <w:p w14:paraId="1F8F759B" w14:textId="6D28D935" w:rsidR="008B53D8" w:rsidRDefault="008B53D8" w:rsidP="008B53D8">
            <w:pPr>
              <w:pStyle w:val="TableTextRightBold"/>
            </w:pPr>
            <w:r w:rsidRPr="00654BBF">
              <w:t>185,260,121</w:t>
            </w:r>
          </w:p>
        </w:tc>
        <w:tc>
          <w:tcPr>
            <w:tcW w:w="1701" w:type="dxa"/>
          </w:tcPr>
          <w:p w14:paraId="5D9F875C" w14:textId="5048F986" w:rsidR="008B53D8" w:rsidRDefault="008B53D8" w:rsidP="008B53D8">
            <w:pPr>
              <w:pStyle w:val="TableTextRightBold"/>
            </w:pPr>
            <w:r w:rsidRPr="00654BBF">
              <w:t>328,786,312</w:t>
            </w:r>
          </w:p>
        </w:tc>
      </w:tr>
    </w:tbl>
    <w:p w14:paraId="0CA42630" w14:textId="33AE9C0E" w:rsidR="0006192A" w:rsidRPr="00D76798" w:rsidRDefault="0006192A" w:rsidP="00D76798">
      <w:pPr>
        <w:pStyle w:val="BodyText"/>
        <w:spacing w:before="0" w:after="0" w:line="240" w:lineRule="auto"/>
        <w:rPr>
          <w:sz w:val="12"/>
          <w:szCs w:val="12"/>
        </w:rPr>
      </w:pPr>
    </w:p>
    <w:p w14:paraId="763A1A6F" w14:textId="77777777" w:rsidR="00F22B33" w:rsidRPr="00D76798" w:rsidRDefault="00F22B33" w:rsidP="00D76798">
      <w:pPr>
        <w:pStyle w:val="BodyText"/>
        <w:spacing w:before="0" w:after="0" w:line="240" w:lineRule="auto"/>
        <w:rPr>
          <w:sz w:val="12"/>
          <w:szCs w:val="12"/>
        </w:rPr>
        <w:sectPr w:rsidR="00F22B33" w:rsidRPr="00D76798" w:rsidSect="003C5B62">
          <w:footnotePr>
            <w:pos w:val="beneathText"/>
            <w:numRestart w:val="eachPage"/>
          </w:footnotePr>
          <w:pgSz w:w="23811" w:h="16838" w:orient="landscape" w:code="8"/>
          <w:pgMar w:top="1418" w:right="1418" w:bottom="1418" w:left="1134" w:header="510" w:footer="510" w:gutter="0"/>
          <w:cols w:space="708"/>
          <w:docGrid w:linePitch="360"/>
        </w:sectPr>
      </w:pPr>
    </w:p>
    <w:p w14:paraId="2168FE74" w14:textId="0BC89086" w:rsidR="00084111" w:rsidRDefault="00084111" w:rsidP="00084111">
      <w:pPr>
        <w:pStyle w:val="Heading2"/>
      </w:pPr>
      <w:bookmarkStart w:id="21" w:name="_Toc149678444"/>
      <w:r>
        <w:t>Regulations made, commenced, revoked in</w:t>
      </w:r>
      <w:r w:rsidR="00D76798">
        <w:t> </w:t>
      </w:r>
      <w:r>
        <w:t>2022–23</w:t>
      </w:r>
      <w:bookmarkEnd w:id="21"/>
    </w:p>
    <w:p w14:paraId="53F678FD" w14:textId="77777777" w:rsidR="00084111" w:rsidRDefault="00084111" w:rsidP="00084111">
      <w:pPr>
        <w:pStyle w:val="Heading3"/>
      </w:pPr>
      <w:bookmarkStart w:id="22" w:name="_Toc149678445"/>
      <w:r>
        <w:t>Regulations made</w:t>
      </w:r>
      <w:bookmarkEnd w:id="22"/>
    </w:p>
    <w:tbl>
      <w:tblPr>
        <w:tblStyle w:val="TableGrid"/>
        <w:tblW w:w="9072" w:type="dxa"/>
        <w:tblLayout w:type="fixed"/>
        <w:tblLook w:val="06A0" w:firstRow="1" w:lastRow="0" w:firstColumn="1" w:lastColumn="0" w:noHBand="1" w:noVBand="1"/>
      </w:tblPr>
      <w:tblGrid>
        <w:gridCol w:w="6804"/>
        <w:gridCol w:w="2268"/>
      </w:tblGrid>
      <w:tr w:rsidR="00084111" w14:paraId="69A5452B" w14:textId="77777777" w:rsidTr="007A404D">
        <w:trPr>
          <w:cnfStyle w:val="100000000000" w:firstRow="1" w:lastRow="0" w:firstColumn="0" w:lastColumn="0" w:oddVBand="0" w:evenVBand="0" w:oddHBand="0" w:evenHBand="0" w:firstRowFirstColumn="0" w:firstRowLastColumn="0" w:lastRowFirstColumn="0" w:lastRowLastColumn="0"/>
          <w:trHeight w:val="283"/>
          <w:tblHeader/>
        </w:trPr>
        <w:tc>
          <w:tcPr>
            <w:tcW w:w="6804" w:type="dxa"/>
          </w:tcPr>
          <w:p w14:paraId="318C5B60" w14:textId="77777777" w:rsidR="00084111" w:rsidRDefault="00084111" w:rsidP="00163339">
            <w:pPr>
              <w:pStyle w:val="TableColHead"/>
            </w:pPr>
            <w:r>
              <w:t>Name</w:t>
            </w:r>
          </w:p>
        </w:tc>
        <w:tc>
          <w:tcPr>
            <w:tcW w:w="2268" w:type="dxa"/>
          </w:tcPr>
          <w:p w14:paraId="709A4711" w14:textId="77777777" w:rsidR="00084111" w:rsidRDefault="00084111" w:rsidP="00163339">
            <w:pPr>
              <w:pStyle w:val="TableColHead"/>
            </w:pPr>
            <w:r>
              <w:t>Date made</w:t>
            </w:r>
          </w:p>
        </w:tc>
      </w:tr>
      <w:tr w:rsidR="00084111" w14:paraId="022E973A" w14:textId="77777777" w:rsidTr="007A404D">
        <w:trPr>
          <w:trHeight w:val="283"/>
        </w:trPr>
        <w:tc>
          <w:tcPr>
            <w:tcW w:w="6804" w:type="dxa"/>
          </w:tcPr>
          <w:p w14:paraId="045B7557" w14:textId="77777777" w:rsidR="00084111" w:rsidRDefault="00084111" w:rsidP="00163339">
            <w:pPr>
              <w:pStyle w:val="TableText"/>
            </w:pPr>
            <w:r>
              <w:t>Residential Tenancies (Rooming House Standards) Regulations 2023</w:t>
            </w:r>
          </w:p>
        </w:tc>
        <w:tc>
          <w:tcPr>
            <w:tcW w:w="2268" w:type="dxa"/>
          </w:tcPr>
          <w:p w14:paraId="43B1419A" w14:textId="77777777" w:rsidR="00084111" w:rsidRDefault="00084111" w:rsidP="00163339">
            <w:pPr>
              <w:pStyle w:val="TableText"/>
            </w:pPr>
            <w:r>
              <w:t>21 February 2023</w:t>
            </w:r>
          </w:p>
        </w:tc>
      </w:tr>
      <w:tr w:rsidR="00084111" w14:paraId="30AA1230" w14:textId="77777777" w:rsidTr="007A404D">
        <w:trPr>
          <w:trHeight w:val="283"/>
        </w:trPr>
        <w:tc>
          <w:tcPr>
            <w:tcW w:w="6804" w:type="dxa"/>
          </w:tcPr>
          <w:p w14:paraId="506C3D39" w14:textId="77777777" w:rsidR="00084111" w:rsidRDefault="00084111" w:rsidP="00163339">
            <w:pPr>
              <w:pStyle w:val="TableText"/>
            </w:pPr>
            <w:r>
              <w:t>Partnership (Fees) Regulations 2023</w:t>
            </w:r>
          </w:p>
        </w:tc>
        <w:tc>
          <w:tcPr>
            <w:tcW w:w="2268" w:type="dxa"/>
          </w:tcPr>
          <w:p w14:paraId="6375938A" w14:textId="77777777" w:rsidR="00084111" w:rsidRDefault="00084111" w:rsidP="00163339">
            <w:pPr>
              <w:pStyle w:val="TableText"/>
            </w:pPr>
            <w:r>
              <w:t>24 June 2023</w:t>
            </w:r>
          </w:p>
        </w:tc>
      </w:tr>
      <w:tr w:rsidR="00084111" w14:paraId="3D87ADC4" w14:textId="77777777" w:rsidTr="007A404D">
        <w:trPr>
          <w:trHeight w:val="283"/>
        </w:trPr>
        <w:tc>
          <w:tcPr>
            <w:tcW w:w="6804" w:type="dxa"/>
          </w:tcPr>
          <w:p w14:paraId="07889B59" w14:textId="77777777" w:rsidR="00084111" w:rsidRDefault="00084111" w:rsidP="00163339">
            <w:pPr>
              <w:pStyle w:val="TableText"/>
            </w:pPr>
            <w:r>
              <w:t>Subordinate Legislation (Business Licensing Authority Regulations 2013) Extension Regulations 2023</w:t>
            </w:r>
          </w:p>
        </w:tc>
        <w:tc>
          <w:tcPr>
            <w:tcW w:w="2268" w:type="dxa"/>
          </w:tcPr>
          <w:p w14:paraId="1EBC6BFE" w14:textId="77777777" w:rsidR="00084111" w:rsidRDefault="00084111" w:rsidP="00163339">
            <w:pPr>
              <w:pStyle w:val="TableText"/>
            </w:pPr>
            <w:r>
              <w:t>7 March 2023</w:t>
            </w:r>
          </w:p>
        </w:tc>
      </w:tr>
    </w:tbl>
    <w:p w14:paraId="4829E38D" w14:textId="77777777" w:rsidR="00084111" w:rsidRDefault="00084111" w:rsidP="00084111">
      <w:pPr>
        <w:pStyle w:val="Heading3"/>
      </w:pPr>
      <w:bookmarkStart w:id="23" w:name="_Toc149678446"/>
      <w:r>
        <w:t>Regulations commenced</w:t>
      </w:r>
      <w:bookmarkEnd w:id="23"/>
    </w:p>
    <w:tbl>
      <w:tblPr>
        <w:tblStyle w:val="TableGrid"/>
        <w:tblW w:w="9072" w:type="dxa"/>
        <w:tblLayout w:type="fixed"/>
        <w:tblLook w:val="06A0" w:firstRow="1" w:lastRow="0" w:firstColumn="1" w:lastColumn="0" w:noHBand="1" w:noVBand="1"/>
      </w:tblPr>
      <w:tblGrid>
        <w:gridCol w:w="6804"/>
        <w:gridCol w:w="2268"/>
      </w:tblGrid>
      <w:tr w:rsidR="00084111" w14:paraId="60AB0C00" w14:textId="77777777" w:rsidTr="007A404D">
        <w:trPr>
          <w:cnfStyle w:val="100000000000" w:firstRow="1" w:lastRow="0" w:firstColumn="0" w:lastColumn="0" w:oddVBand="0" w:evenVBand="0" w:oddHBand="0" w:evenHBand="0" w:firstRowFirstColumn="0" w:firstRowLastColumn="0" w:lastRowFirstColumn="0" w:lastRowLastColumn="0"/>
          <w:trHeight w:val="283"/>
          <w:tblHeader/>
        </w:trPr>
        <w:tc>
          <w:tcPr>
            <w:tcW w:w="6804" w:type="dxa"/>
          </w:tcPr>
          <w:p w14:paraId="0A0B7729" w14:textId="77777777" w:rsidR="00084111" w:rsidRDefault="00084111" w:rsidP="00163339">
            <w:pPr>
              <w:pStyle w:val="TableColHead"/>
            </w:pPr>
            <w:r>
              <w:t>Name</w:t>
            </w:r>
          </w:p>
        </w:tc>
        <w:tc>
          <w:tcPr>
            <w:tcW w:w="2268" w:type="dxa"/>
          </w:tcPr>
          <w:p w14:paraId="74E718B0" w14:textId="77777777" w:rsidR="00084111" w:rsidRDefault="00084111" w:rsidP="00163339">
            <w:pPr>
              <w:pStyle w:val="TableColHead"/>
            </w:pPr>
            <w:r>
              <w:t>Date commenced</w:t>
            </w:r>
          </w:p>
        </w:tc>
      </w:tr>
      <w:tr w:rsidR="00084111" w14:paraId="52087D58" w14:textId="77777777" w:rsidTr="007A404D">
        <w:trPr>
          <w:trHeight w:val="283"/>
        </w:trPr>
        <w:tc>
          <w:tcPr>
            <w:tcW w:w="6804" w:type="dxa"/>
          </w:tcPr>
          <w:p w14:paraId="1CF843C7" w14:textId="77777777" w:rsidR="00084111" w:rsidRDefault="00084111" w:rsidP="00163339">
            <w:pPr>
              <w:pStyle w:val="TableText"/>
            </w:pPr>
            <w:r>
              <w:t>Residential Tenancies (Rooming House Standards) Regulations 2023</w:t>
            </w:r>
          </w:p>
        </w:tc>
        <w:tc>
          <w:tcPr>
            <w:tcW w:w="2268" w:type="dxa"/>
          </w:tcPr>
          <w:p w14:paraId="7B4CF2B8" w14:textId="77777777" w:rsidR="00084111" w:rsidRDefault="00084111" w:rsidP="00163339">
            <w:pPr>
              <w:pStyle w:val="TableText"/>
            </w:pPr>
            <w:r>
              <w:t>26 February 2023</w:t>
            </w:r>
          </w:p>
        </w:tc>
      </w:tr>
      <w:tr w:rsidR="00084111" w14:paraId="2E64B78A" w14:textId="77777777" w:rsidTr="007A404D">
        <w:trPr>
          <w:trHeight w:val="283"/>
        </w:trPr>
        <w:tc>
          <w:tcPr>
            <w:tcW w:w="6804" w:type="dxa"/>
          </w:tcPr>
          <w:p w14:paraId="2ABD8697" w14:textId="77777777" w:rsidR="00084111" w:rsidRDefault="00084111" w:rsidP="00163339">
            <w:pPr>
              <w:pStyle w:val="TableText"/>
            </w:pPr>
            <w:r>
              <w:t>Partnership (Fees) Regulations 2023</w:t>
            </w:r>
          </w:p>
        </w:tc>
        <w:tc>
          <w:tcPr>
            <w:tcW w:w="2268" w:type="dxa"/>
          </w:tcPr>
          <w:p w14:paraId="43E11EBB" w14:textId="77777777" w:rsidR="00084111" w:rsidRDefault="00084111" w:rsidP="00163339">
            <w:pPr>
              <w:pStyle w:val="TableText"/>
            </w:pPr>
            <w:r>
              <w:t>24 June 2023</w:t>
            </w:r>
          </w:p>
        </w:tc>
      </w:tr>
      <w:tr w:rsidR="00084111" w14:paraId="503641F1" w14:textId="77777777" w:rsidTr="007A404D">
        <w:trPr>
          <w:trHeight w:val="283"/>
        </w:trPr>
        <w:tc>
          <w:tcPr>
            <w:tcW w:w="6804" w:type="dxa"/>
          </w:tcPr>
          <w:p w14:paraId="68E1E72C" w14:textId="77777777" w:rsidR="00084111" w:rsidRDefault="00084111" w:rsidP="00163339">
            <w:pPr>
              <w:pStyle w:val="TableText"/>
            </w:pPr>
            <w:r>
              <w:t>Subordinate Legislation (Business Licensing Authority Regulations 2013) Extension Regulations 2023</w:t>
            </w:r>
          </w:p>
        </w:tc>
        <w:tc>
          <w:tcPr>
            <w:tcW w:w="2268" w:type="dxa"/>
          </w:tcPr>
          <w:p w14:paraId="3D6E6C1C" w14:textId="77777777" w:rsidR="00084111" w:rsidRDefault="00084111" w:rsidP="00163339">
            <w:pPr>
              <w:pStyle w:val="TableText"/>
            </w:pPr>
            <w:r>
              <w:t>7 March 2023</w:t>
            </w:r>
          </w:p>
        </w:tc>
      </w:tr>
    </w:tbl>
    <w:p w14:paraId="4892CD16" w14:textId="77777777" w:rsidR="00084111" w:rsidRDefault="00084111" w:rsidP="00084111">
      <w:pPr>
        <w:pStyle w:val="Heading3"/>
      </w:pPr>
      <w:bookmarkStart w:id="24" w:name="_Toc149678447"/>
      <w:r>
        <w:t>Regulations revoked</w:t>
      </w:r>
      <w:bookmarkEnd w:id="24"/>
    </w:p>
    <w:tbl>
      <w:tblPr>
        <w:tblStyle w:val="TableGrid"/>
        <w:tblW w:w="9072" w:type="dxa"/>
        <w:tblLayout w:type="fixed"/>
        <w:tblLook w:val="06A0" w:firstRow="1" w:lastRow="0" w:firstColumn="1" w:lastColumn="0" w:noHBand="1" w:noVBand="1"/>
      </w:tblPr>
      <w:tblGrid>
        <w:gridCol w:w="6804"/>
        <w:gridCol w:w="2268"/>
      </w:tblGrid>
      <w:tr w:rsidR="00084111" w14:paraId="492DA85C" w14:textId="77777777" w:rsidTr="007A404D">
        <w:trPr>
          <w:cnfStyle w:val="100000000000" w:firstRow="1" w:lastRow="0" w:firstColumn="0" w:lastColumn="0" w:oddVBand="0" w:evenVBand="0" w:oddHBand="0" w:evenHBand="0" w:firstRowFirstColumn="0" w:firstRowLastColumn="0" w:lastRowFirstColumn="0" w:lastRowLastColumn="0"/>
          <w:trHeight w:val="283"/>
          <w:tblHeader/>
        </w:trPr>
        <w:tc>
          <w:tcPr>
            <w:tcW w:w="6804" w:type="dxa"/>
          </w:tcPr>
          <w:p w14:paraId="42D29B3C" w14:textId="77777777" w:rsidR="00084111" w:rsidRDefault="00084111" w:rsidP="00163339">
            <w:pPr>
              <w:pStyle w:val="TableColHead"/>
            </w:pPr>
            <w:r>
              <w:t>Name</w:t>
            </w:r>
          </w:p>
        </w:tc>
        <w:tc>
          <w:tcPr>
            <w:tcW w:w="2268" w:type="dxa"/>
          </w:tcPr>
          <w:p w14:paraId="249A2943" w14:textId="77777777" w:rsidR="00084111" w:rsidRDefault="00084111" w:rsidP="00163339">
            <w:pPr>
              <w:pStyle w:val="TableColHead"/>
            </w:pPr>
            <w:r>
              <w:t>Date revoked</w:t>
            </w:r>
          </w:p>
        </w:tc>
      </w:tr>
      <w:tr w:rsidR="00084111" w14:paraId="5D96E0C3" w14:textId="77777777" w:rsidTr="007A404D">
        <w:trPr>
          <w:trHeight w:val="283"/>
        </w:trPr>
        <w:tc>
          <w:tcPr>
            <w:tcW w:w="6804" w:type="dxa"/>
          </w:tcPr>
          <w:p w14:paraId="77A0B406" w14:textId="77777777" w:rsidR="00084111" w:rsidRDefault="00084111" w:rsidP="00163339">
            <w:pPr>
              <w:pStyle w:val="TableText"/>
            </w:pPr>
            <w:r>
              <w:t>Residential Tenancies (Rooming House Standards) Regulations 2012</w:t>
            </w:r>
          </w:p>
        </w:tc>
        <w:tc>
          <w:tcPr>
            <w:tcW w:w="2268" w:type="dxa"/>
          </w:tcPr>
          <w:p w14:paraId="6B274BE1" w14:textId="77777777" w:rsidR="00084111" w:rsidRDefault="00084111" w:rsidP="00163339">
            <w:pPr>
              <w:pStyle w:val="TableText"/>
            </w:pPr>
            <w:r>
              <w:t>21 February 2023</w:t>
            </w:r>
          </w:p>
        </w:tc>
      </w:tr>
      <w:tr w:rsidR="00084111" w14:paraId="0DB9042F" w14:textId="77777777" w:rsidTr="007A404D">
        <w:trPr>
          <w:trHeight w:val="283"/>
        </w:trPr>
        <w:tc>
          <w:tcPr>
            <w:tcW w:w="6804" w:type="dxa"/>
          </w:tcPr>
          <w:p w14:paraId="00397395" w14:textId="77777777" w:rsidR="00084111" w:rsidRDefault="00084111" w:rsidP="00163339">
            <w:pPr>
              <w:pStyle w:val="TableText"/>
            </w:pPr>
            <w:r>
              <w:t>Partnership (Fees) Regulations 2013</w:t>
            </w:r>
          </w:p>
        </w:tc>
        <w:tc>
          <w:tcPr>
            <w:tcW w:w="2268" w:type="dxa"/>
          </w:tcPr>
          <w:p w14:paraId="3713CD55" w14:textId="77777777" w:rsidR="00084111" w:rsidRDefault="00084111" w:rsidP="00163339">
            <w:pPr>
              <w:pStyle w:val="TableText"/>
            </w:pPr>
            <w:r>
              <w:t>24 June 2023</w:t>
            </w:r>
          </w:p>
        </w:tc>
      </w:tr>
    </w:tbl>
    <w:p w14:paraId="3AD0F05A" w14:textId="379F4EAE" w:rsidR="00084111" w:rsidRDefault="00084111" w:rsidP="00084111">
      <w:pPr>
        <w:pStyle w:val="Heading2"/>
      </w:pPr>
      <w:bookmarkStart w:id="25" w:name="_Toc149678448"/>
      <w:r>
        <w:t>Legislation administered by CAV</w:t>
      </w:r>
      <w:r w:rsidR="0063446F">
        <w:br/>
      </w:r>
      <w:r>
        <w:t>as at 30 June 2023</w:t>
      </w:r>
      <w:bookmarkEnd w:id="25"/>
    </w:p>
    <w:p w14:paraId="7CA175F9" w14:textId="77777777" w:rsidR="00084111" w:rsidRPr="008A66FE" w:rsidRDefault="00084111" w:rsidP="00084111">
      <w:pPr>
        <w:pStyle w:val="ListBullet"/>
        <w:rPr>
          <w:rStyle w:val="Emphasis"/>
        </w:rPr>
      </w:pPr>
      <w:r w:rsidRPr="008A66FE">
        <w:rPr>
          <w:rStyle w:val="Emphasis"/>
        </w:rPr>
        <w:t>Associations Incorporation Reform Act 2012</w:t>
      </w:r>
    </w:p>
    <w:p w14:paraId="5937C405" w14:textId="77777777" w:rsidR="00084111" w:rsidRPr="008A66FE" w:rsidRDefault="00084111" w:rsidP="00084111">
      <w:pPr>
        <w:pStyle w:val="ListBullet"/>
        <w:rPr>
          <w:rStyle w:val="Emphasis"/>
        </w:rPr>
      </w:pPr>
      <w:r w:rsidRPr="008A66FE">
        <w:rPr>
          <w:rStyle w:val="Emphasis"/>
        </w:rPr>
        <w:t>Australian Consumer Law and Fair Trading Act 2012</w:t>
      </w:r>
    </w:p>
    <w:p w14:paraId="4B67E9AE" w14:textId="77777777" w:rsidR="00084111" w:rsidRPr="008A66FE" w:rsidRDefault="00084111" w:rsidP="00084111">
      <w:pPr>
        <w:pStyle w:val="ListBullet"/>
        <w:rPr>
          <w:rStyle w:val="Emphasis"/>
        </w:rPr>
      </w:pPr>
      <w:r w:rsidRPr="008A66FE">
        <w:rPr>
          <w:rStyle w:val="Emphasis"/>
        </w:rPr>
        <w:t>Business Names (Commonwealth Powers) Act 2011</w:t>
      </w:r>
    </w:p>
    <w:p w14:paraId="6C7C8755" w14:textId="77777777" w:rsidR="00084111" w:rsidRPr="008A66FE" w:rsidRDefault="00084111" w:rsidP="00084111">
      <w:pPr>
        <w:pStyle w:val="ListBullet"/>
        <w:rPr>
          <w:rStyle w:val="Emphasis"/>
        </w:rPr>
      </w:pPr>
      <w:r w:rsidRPr="008A66FE">
        <w:rPr>
          <w:rStyle w:val="Emphasis"/>
        </w:rPr>
        <w:t>Chattel Securities Act 1987</w:t>
      </w:r>
    </w:p>
    <w:p w14:paraId="0060C0E4" w14:textId="77777777" w:rsidR="00084111" w:rsidRPr="008A66FE" w:rsidRDefault="00084111" w:rsidP="00084111">
      <w:pPr>
        <w:pStyle w:val="ListBullet"/>
        <w:rPr>
          <w:rStyle w:val="Emphasis"/>
        </w:rPr>
      </w:pPr>
      <w:r w:rsidRPr="008A66FE">
        <w:rPr>
          <w:rStyle w:val="Emphasis"/>
        </w:rPr>
        <w:t>Company Titles (Home Units) Act 2013</w:t>
      </w:r>
    </w:p>
    <w:p w14:paraId="1AD4ABCB" w14:textId="77777777" w:rsidR="00084111" w:rsidRPr="008A66FE" w:rsidRDefault="00084111" w:rsidP="00084111">
      <w:pPr>
        <w:pStyle w:val="ListBullet"/>
        <w:rPr>
          <w:rStyle w:val="Emphasis"/>
        </w:rPr>
      </w:pPr>
      <w:r w:rsidRPr="008A66FE">
        <w:rPr>
          <w:rStyle w:val="Emphasis"/>
        </w:rPr>
        <w:t>Consumer Credit (Victoria) Act 1995</w:t>
      </w:r>
    </w:p>
    <w:p w14:paraId="6BCF50BA" w14:textId="77777777" w:rsidR="00084111" w:rsidRPr="008A66FE" w:rsidRDefault="00084111" w:rsidP="00084111">
      <w:pPr>
        <w:pStyle w:val="ListBullet"/>
        <w:rPr>
          <w:rStyle w:val="Emphasis"/>
        </w:rPr>
      </w:pPr>
      <w:r w:rsidRPr="008A66FE">
        <w:rPr>
          <w:rStyle w:val="Emphasis"/>
        </w:rPr>
        <w:t>Conveyancers Act 2006</w:t>
      </w:r>
    </w:p>
    <w:p w14:paraId="0B58F0D3" w14:textId="77777777" w:rsidR="00084111" w:rsidRDefault="00084111" w:rsidP="00084111">
      <w:pPr>
        <w:pStyle w:val="ListBullet2"/>
      </w:pPr>
      <w:r>
        <w:t>except in so far as it relates to the licensing and registration functions of the Business Licensing Authority (in so far as it relates to those matters, the Act is administered by the Minister for Small Business)</w:t>
      </w:r>
    </w:p>
    <w:p w14:paraId="6E1B8EDD" w14:textId="77777777" w:rsidR="00084111" w:rsidRPr="008A66FE" w:rsidRDefault="00084111" w:rsidP="00084111">
      <w:pPr>
        <w:pStyle w:val="ListBullet"/>
        <w:rPr>
          <w:rStyle w:val="Emphasis"/>
        </w:rPr>
      </w:pPr>
      <w:r w:rsidRPr="008A66FE">
        <w:rPr>
          <w:rStyle w:val="Emphasis"/>
        </w:rPr>
        <w:t>Co-operatives National Law Application Act 2013</w:t>
      </w:r>
    </w:p>
    <w:p w14:paraId="3244A7AD" w14:textId="77777777" w:rsidR="00084111" w:rsidRPr="008A66FE" w:rsidRDefault="00084111" w:rsidP="00084111">
      <w:pPr>
        <w:pStyle w:val="ListBullet"/>
        <w:rPr>
          <w:rStyle w:val="Emphasis"/>
        </w:rPr>
      </w:pPr>
      <w:r w:rsidRPr="008A66FE">
        <w:rPr>
          <w:rStyle w:val="Emphasis"/>
        </w:rPr>
        <w:t>Co-operatives National Law (Victoria)</w:t>
      </w:r>
    </w:p>
    <w:p w14:paraId="0EE16733" w14:textId="77777777" w:rsidR="00084111" w:rsidRPr="008A66FE" w:rsidRDefault="00084111" w:rsidP="00084111">
      <w:pPr>
        <w:pStyle w:val="ListBullet"/>
        <w:rPr>
          <w:rStyle w:val="Emphasis"/>
        </w:rPr>
      </w:pPr>
      <w:r w:rsidRPr="008A66FE">
        <w:rPr>
          <w:rStyle w:val="Emphasis"/>
        </w:rPr>
        <w:t>Credit Act 1984</w:t>
      </w:r>
    </w:p>
    <w:p w14:paraId="7840D0B6" w14:textId="77777777" w:rsidR="00084111" w:rsidRPr="008A66FE" w:rsidRDefault="00084111" w:rsidP="00084111">
      <w:pPr>
        <w:pStyle w:val="ListBullet"/>
        <w:rPr>
          <w:rStyle w:val="Emphasis"/>
        </w:rPr>
      </w:pPr>
      <w:r w:rsidRPr="008A66FE">
        <w:rPr>
          <w:rStyle w:val="Emphasis"/>
        </w:rPr>
        <w:t>Credit (Administration) Act 1984</w:t>
      </w:r>
    </w:p>
    <w:p w14:paraId="6993D75E" w14:textId="77777777" w:rsidR="00084111" w:rsidRPr="008A66FE" w:rsidRDefault="00084111" w:rsidP="00084111">
      <w:pPr>
        <w:pStyle w:val="ListBullet"/>
        <w:rPr>
          <w:rStyle w:val="Emphasis"/>
        </w:rPr>
      </w:pPr>
      <w:r w:rsidRPr="008A66FE">
        <w:rPr>
          <w:rStyle w:val="Emphasis"/>
        </w:rPr>
        <w:t>Credit (Commonwealth Powers) Act 2010</w:t>
      </w:r>
    </w:p>
    <w:p w14:paraId="67BA17B9" w14:textId="77777777" w:rsidR="00084111" w:rsidRPr="008A66FE" w:rsidRDefault="00084111" w:rsidP="00084111">
      <w:pPr>
        <w:pStyle w:val="ListBullet"/>
        <w:rPr>
          <w:rStyle w:val="Emphasis"/>
        </w:rPr>
      </w:pPr>
      <w:r w:rsidRPr="008A66FE">
        <w:rPr>
          <w:rStyle w:val="Emphasis"/>
        </w:rPr>
        <w:t>Domestic Building Contracts Act 1995</w:t>
      </w:r>
    </w:p>
    <w:p w14:paraId="692D0798" w14:textId="77777777" w:rsidR="00084111" w:rsidRDefault="00084111" w:rsidP="00084111">
      <w:pPr>
        <w:pStyle w:val="ListBullet2"/>
      </w:pPr>
      <w:r>
        <w:t>except Part 5 (administered by the Attorney-General)</w:t>
      </w:r>
    </w:p>
    <w:p w14:paraId="7F8947ED" w14:textId="77777777" w:rsidR="00084111" w:rsidRPr="008A66FE" w:rsidRDefault="00084111" w:rsidP="00084111">
      <w:pPr>
        <w:pStyle w:val="ListBullet"/>
        <w:rPr>
          <w:rStyle w:val="Emphasis"/>
        </w:rPr>
      </w:pPr>
      <w:r w:rsidRPr="008A66FE">
        <w:rPr>
          <w:rStyle w:val="Emphasis"/>
        </w:rPr>
        <w:t>Estate Agents Act 1980</w:t>
      </w:r>
    </w:p>
    <w:p w14:paraId="50995D03" w14:textId="77777777" w:rsidR="00084111" w:rsidRDefault="00084111" w:rsidP="00084111">
      <w:pPr>
        <w:pStyle w:val="ListBullet2"/>
      </w:pPr>
      <w:r>
        <w:t>Except in so far as it relates to the licensing and registration functions of the Business Licensing Authority (in so far as it relates to those matters, the Act is administered by the Minister for Small Business)</w:t>
      </w:r>
    </w:p>
    <w:p w14:paraId="26921721" w14:textId="77777777" w:rsidR="00084111" w:rsidRPr="008A66FE" w:rsidRDefault="00084111" w:rsidP="00084111">
      <w:pPr>
        <w:pStyle w:val="ListBullet"/>
        <w:rPr>
          <w:rStyle w:val="Emphasis"/>
        </w:rPr>
      </w:pPr>
      <w:r w:rsidRPr="008A66FE">
        <w:rPr>
          <w:rStyle w:val="Emphasis"/>
        </w:rPr>
        <w:t>Fundraising Act 1998</w:t>
      </w:r>
    </w:p>
    <w:p w14:paraId="4D8E1B10" w14:textId="77777777" w:rsidR="00084111" w:rsidRPr="008A66FE" w:rsidRDefault="00084111" w:rsidP="00084111">
      <w:pPr>
        <w:pStyle w:val="ListBullet"/>
        <w:rPr>
          <w:rStyle w:val="Emphasis"/>
        </w:rPr>
      </w:pPr>
      <w:r w:rsidRPr="008A66FE">
        <w:rPr>
          <w:rStyle w:val="Emphasis"/>
        </w:rPr>
        <w:t>Funerals Act 2006</w:t>
      </w:r>
    </w:p>
    <w:p w14:paraId="5FB118FD" w14:textId="77777777" w:rsidR="00084111" w:rsidRPr="008A66FE" w:rsidRDefault="00084111" w:rsidP="00084111">
      <w:pPr>
        <w:pStyle w:val="ListBullet"/>
        <w:rPr>
          <w:rStyle w:val="Emphasis"/>
        </w:rPr>
      </w:pPr>
      <w:r w:rsidRPr="008A66FE">
        <w:rPr>
          <w:rStyle w:val="Emphasis"/>
        </w:rPr>
        <w:t>Goods Act 1958</w:t>
      </w:r>
    </w:p>
    <w:p w14:paraId="28189C7F" w14:textId="77777777" w:rsidR="00084111" w:rsidRPr="008A66FE" w:rsidRDefault="00084111" w:rsidP="00084111">
      <w:pPr>
        <w:pStyle w:val="ListBullet"/>
        <w:rPr>
          <w:rStyle w:val="Emphasis"/>
        </w:rPr>
      </w:pPr>
      <w:r w:rsidRPr="008A66FE">
        <w:rPr>
          <w:rStyle w:val="Emphasis"/>
        </w:rPr>
        <w:t>Motor Car Traders Act 1986</w:t>
      </w:r>
    </w:p>
    <w:p w14:paraId="53386DE8" w14:textId="77777777" w:rsidR="00084111" w:rsidRDefault="00084111" w:rsidP="00084111">
      <w:pPr>
        <w:pStyle w:val="ListBullet2"/>
      </w:pPr>
      <w:r>
        <w:t>Except in so far as it relates to the licensing and registration functions of the Business Licensing Authority (in so far as it relates to those matters, the Act is administered by the Minister for Small Business)</w:t>
      </w:r>
    </w:p>
    <w:p w14:paraId="36DD38D8" w14:textId="77777777" w:rsidR="00084111" w:rsidRPr="008A66FE" w:rsidRDefault="00084111" w:rsidP="00084111">
      <w:pPr>
        <w:pStyle w:val="ListBullet"/>
        <w:rPr>
          <w:rStyle w:val="Emphasis"/>
        </w:rPr>
      </w:pPr>
      <w:r w:rsidRPr="008A66FE">
        <w:rPr>
          <w:rStyle w:val="Emphasis"/>
        </w:rPr>
        <w:t>Owners Corporations Act 2006</w:t>
      </w:r>
    </w:p>
    <w:p w14:paraId="5FDA8EF5" w14:textId="77777777" w:rsidR="00084111" w:rsidRDefault="00084111" w:rsidP="00084111">
      <w:pPr>
        <w:pStyle w:val="ListBullet2"/>
      </w:pPr>
      <w:r>
        <w:t>Except in so far as it relates to the licensing and registration functions of the Business Licensing Authority (in so far as it relates to those matters, the Act is administered by the Minister for Small Business)</w:t>
      </w:r>
    </w:p>
    <w:p w14:paraId="5EAB3AB3" w14:textId="77777777" w:rsidR="00084111" w:rsidRPr="008A66FE" w:rsidRDefault="00084111" w:rsidP="00084111">
      <w:pPr>
        <w:pStyle w:val="ListBullet"/>
        <w:rPr>
          <w:rStyle w:val="Emphasis"/>
        </w:rPr>
      </w:pPr>
      <w:r w:rsidRPr="008A66FE">
        <w:rPr>
          <w:rStyle w:val="Emphasis"/>
        </w:rPr>
        <w:t>Partnership Act 1958</w:t>
      </w:r>
    </w:p>
    <w:p w14:paraId="69F7BBDE" w14:textId="77777777" w:rsidR="00084111" w:rsidRPr="008A66FE" w:rsidRDefault="00084111" w:rsidP="00084111">
      <w:pPr>
        <w:pStyle w:val="ListBullet"/>
        <w:rPr>
          <w:rStyle w:val="Emphasis"/>
        </w:rPr>
      </w:pPr>
      <w:r w:rsidRPr="008A66FE">
        <w:rPr>
          <w:rStyle w:val="Emphasis"/>
        </w:rPr>
        <w:t>Professional Engineers Registration Act 2019</w:t>
      </w:r>
    </w:p>
    <w:p w14:paraId="1683055C" w14:textId="77777777" w:rsidR="00DF73E7" w:rsidRPr="00DF73E7" w:rsidRDefault="00DF73E7" w:rsidP="00DF73E7">
      <w:pPr>
        <w:pStyle w:val="BodyText"/>
      </w:pPr>
      <w:r w:rsidRPr="00DF73E7">
        <w:br w:type="page"/>
      </w:r>
    </w:p>
    <w:p w14:paraId="5FEF217E" w14:textId="6BA43B47" w:rsidR="00084111" w:rsidRPr="008A66FE" w:rsidRDefault="00084111" w:rsidP="00084111">
      <w:pPr>
        <w:pStyle w:val="ListBullet"/>
        <w:rPr>
          <w:rStyle w:val="Emphasis"/>
        </w:rPr>
      </w:pPr>
      <w:r w:rsidRPr="008A66FE">
        <w:rPr>
          <w:rStyle w:val="Emphasis"/>
        </w:rPr>
        <w:t>Residential Tenancies Act 1997</w:t>
      </w:r>
    </w:p>
    <w:p w14:paraId="73E4C38D" w14:textId="6E89A831" w:rsidR="00084111" w:rsidRPr="0063446F" w:rsidRDefault="00084111" w:rsidP="00084111">
      <w:pPr>
        <w:pStyle w:val="ListBullet2"/>
      </w:pPr>
      <w:r w:rsidRPr="0063446F">
        <w:t>Sections 23A-25, 27, 32, 33, 45–48, 74–77, 82, 90, 91, 91A, 102, 102A, 103, 104(1), 104(4), 104(5), 104(6), 105(2), 105(2A), 105(3), 124,128, 130–134, 141–142B, 142D–212, 213AA–215, 230,323–234, 241, 277, 289A, 291–327, 329–333, 335–339, 341, 343–366, 373–376, 385, 388, 388A, 390, 390A, 395–398, 399A–439M, 480, 486–499, 501–504 and 505A–510C</w:t>
      </w:r>
    </w:p>
    <w:p w14:paraId="2A2EDDD4" w14:textId="77777777" w:rsidR="00084111" w:rsidRDefault="00084111" w:rsidP="00084111">
      <w:pPr>
        <w:pStyle w:val="ListBullet2"/>
      </w:pPr>
      <w:r>
        <w:t>Section 66(1) (this section is jointly administered with the Minister for Housing)</w:t>
      </w:r>
    </w:p>
    <w:p w14:paraId="6300CD2E" w14:textId="77777777" w:rsidR="00084111" w:rsidRDefault="00084111" w:rsidP="00084111">
      <w:pPr>
        <w:pStyle w:val="ListBullet2"/>
      </w:pPr>
      <w:r>
        <w:t>Section 142C (this section is jointly and severally administered with the Minister for Housing)</w:t>
      </w:r>
    </w:p>
    <w:p w14:paraId="30CC3C46" w14:textId="77777777" w:rsidR="00084111" w:rsidRDefault="00084111" w:rsidP="00084111">
      <w:pPr>
        <w:pStyle w:val="ListBullet2"/>
      </w:pPr>
      <w:r>
        <w:t>Part 12A and section 511 (these provisions are jointly and severally administered with the Minister for Disability, Ageing and Carers and the Minister for Housing)</w:t>
      </w:r>
    </w:p>
    <w:p w14:paraId="263105C0" w14:textId="77777777" w:rsidR="00084111" w:rsidRDefault="00084111" w:rsidP="00084111">
      <w:pPr>
        <w:pStyle w:val="ListBullet2"/>
      </w:pPr>
      <w:r>
        <w:t>Part 16 (this Part is jointly and severally administered with the minister for Disability, Ageing and Carers and the Minister for Housing)</w:t>
      </w:r>
    </w:p>
    <w:p w14:paraId="41B652B1" w14:textId="77777777" w:rsidR="00084111" w:rsidRDefault="00084111" w:rsidP="00084111">
      <w:pPr>
        <w:pStyle w:val="ListBullet2"/>
      </w:pPr>
      <w:r>
        <w:t>The Act is otherwise administered by the Attorney-General, the Minister for Housing and the Minister for Planning.</w:t>
      </w:r>
    </w:p>
    <w:p w14:paraId="0A8F3622" w14:textId="77777777" w:rsidR="00084111" w:rsidRPr="008A66FE" w:rsidRDefault="00084111" w:rsidP="00084111">
      <w:pPr>
        <w:pStyle w:val="ListBullet"/>
        <w:rPr>
          <w:rStyle w:val="Emphasis"/>
        </w:rPr>
      </w:pPr>
      <w:r w:rsidRPr="008A66FE">
        <w:rPr>
          <w:rStyle w:val="Emphasis"/>
        </w:rPr>
        <w:t>Retirement Villages Act 1986</w:t>
      </w:r>
    </w:p>
    <w:p w14:paraId="331C640F" w14:textId="77777777" w:rsidR="00084111" w:rsidRPr="008A66FE" w:rsidRDefault="00084111" w:rsidP="00084111">
      <w:pPr>
        <w:pStyle w:val="ListBullet"/>
        <w:rPr>
          <w:rStyle w:val="Emphasis"/>
        </w:rPr>
      </w:pPr>
      <w:r w:rsidRPr="008A66FE">
        <w:rPr>
          <w:rStyle w:val="Emphasis"/>
        </w:rPr>
        <w:t>Rooming House Operators Act 2016</w:t>
      </w:r>
    </w:p>
    <w:p w14:paraId="633765A5" w14:textId="77777777" w:rsidR="00084111" w:rsidRDefault="00084111" w:rsidP="00084111">
      <w:pPr>
        <w:pStyle w:val="ListBullet2"/>
      </w:pPr>
      <w:r>
        <w:t>Except in so far as it relates to the licensing and registration functions of the Business Licensing Authority (in so far as it relates to those matters, the Act is administered by the Minister for Small Business)</w:t>
      </w:r>
    </w:p>
    <w:p w14:paraId="5F434EBF" w14:textId="77777777" w:rsidR="00084111" w:rsidRPr="008A66FE" w:rsidRDefault="00084111" w:rsidP="00084111">
      <w:pPr>
        <w:pStyle w:val="ListBullet"/>
        <w:rPr>
          <w:rStyle w:val="Emphasis"/>
        </w:rPr>
      </w:pPr>
      <w:r w:rsidRPr="008A66FE">
        <w:rPr>
          <w:rStyle w:val="Emphasis"/>
        </w:rPr>
        <w:t>Sale of Land Act 1962</w:t>
      </w:r>
    </w:p>
    <w:p w14:paraId="3430CD21" w14:textId="77777777" w:rsidR="00084111" w:rsidRPr="008A66FE" w:rsidRDefault="00084111" w:rsidP="00084111">
      <w:pPr>
        <w:pStyle w:val="ListBullet"/>
        <w:rPr>
          <w:rStyle w:val="Emphasis"/>
        </w:rPr>
      </w:pPr>
      <w:r w:rsidRPr="008A66FE">
        <w:rPr>
          <w:rStyle w:val="Emphasis"/>
        </w:rPr>
        <w:t>Second-Hand Dealers and Pawnbrokers Act 1989</w:t>
      </w:r>
    </w:p>
    <w:p w14:paraId="4F3A395D" w14:textId="77777777" w:rsidR="00084111" w:rsidRDefault="00084111" w:rsidP="00084111">
      <w:pPr>
        <w:pStyle w:val="ListBullet2"/>
      </w:pPr>
      <w:r>
        <w:t>Except in so far as it relates to the licensing and registration functions of the Business Licensing Authority (in so far as it relates to those matters, the Act is administered by the Minister for Small Business)</w:t>
      </w:r>
    </w:p>
    <w:p w14:paraId="07B77E7A" w14:textId="77777777" w:rsidR="00084111" w:rsidRPr="008A66FE" w:rsidRDefault="00084111" w:rsidP="00084111">
      <w:pPr>
        <w:pStyle w:val="ListBullet"/>
        <w:rPr>
          <w:rStyle w:val="Emphasis"/>
        </w:rPr>
      </w:pPr>
      <w:r w:rsidRPr="008A66FE">
        <w:rPr>
          <w:rStyle w:val="Emphasis"/>
        </w:rPr>
        <w:t>Sex Work Act 1994</w:t>
      </w:r>
    </w:p>
    <w:p w14:paraId="257BD20F" w14:textId="77777777" w:rsidR="00084111" w:rsidRPr="008A66FE" w:rsidRDefault="00084111" w:rsidP="00084111">
      <w:pPr>
        <w:pStyle w:val="ListBullet"/>
        <w:rPr>
          <w:rStyle w:val="Emphasis"/>
        </w:rPr>
      </w:pPr>
      <w:r w:rsidRPr="008A66FE">
        <w:rPr>
          <w:rStyle w:val="Emphasis"/>
        </w:rPr>
        <w:t>Sex Work Decriminalisation Act 2022</w:t>
      </w:r>
    </w:p>
    <w:p w14:paraId="1A3644B8" w14:textId="16DC038D" w:rsidR="00084111" w:rsidRPr="008A66FE" w:rsidRDefault="00084111" w:rsidP="00084111">
      <w:pPr>
        <w:pStyle w:val="ListBullet"/>
        <w:rPr>
          <w:rStyle w:val="Emphasis"/>
        </w:rPr>
      </w:pPr>
      <w:r w:rsidRPr="008A66FE">
        <w:rPr>
          <w:rStyle w:val="Emphasis"/>
        </w:rPr>
        <w:t>Subdivision Act 1988</w:t>
      </w:r>
    </w:p>
    <w:p w14:paraId="2EF71452" w14:textId="77777777" w:rsidR="00084111" w:rsidRDefault="00084111" w:rsidP="00084111">
      <w:pPr>
        <w:pStyle w:val="ListBullet2"/>
      </w:pPr>
      <w:r>
        <w:t>Part 5</w:t>
      </w:r>
    </w:p>
    <w:p w14:paraId="57D36095" w14:textId="77777777" w:rsidR="00084111" w:rsidRDefault="00084111" w:rsidP="00084111">
      <w:pPr>
        <w:pStyle w:val="ListBullet2"/>
      </w:pPr>
      <w:r>
        <w:t>Section 43 (in so far as it relates to Part 5)</w:t>
      </w:r>
    </w:p>
    <w:p w14:paraId="632D2951" w14:textId="77777777" w:rsidR="00084111" w:rsidRDefault="00084111" w:rsidP="00084111">
      <w:pPr>
        <w:pStyle w:val="ListBullet2"/>
      </w:pPr>
      <w:r>
        <w:t>The Act is otherwise administered by the Minister for Planning.</w:t>
      </w:r>
    </w:p>
    <w:p w14:paraId="5696E590" w14:textId="77777777" w:rsidR="00084111" w:rsidRPr="008A66FE" w:rsidRDefault="00084111" w:rsidP="00084111">
      <w:pPr>
        <w:pStyle w:val="ListBullet"/>
        <w:rPr>
          <w:rStyle w:val="Emphasis"/>
        </w:rPr>
      </w:pPr>
      <w:r w:rsidRPr="008A66FE">
        <w:rPr>
          <w:rStyle w:val="Emphasis"/>
        </w:rPr>
        <w:t>Travel Agents Repeal Act 2014</w:t>
      </w:r>
    </w:p>
    <w:p w14:paraId="75F196AF" w14:textId="285D1ADB" w:rsidR="00084111" w:rsidRPr="008A66FE" w:rsidRDefault="00084111" w:rsidP="00084111">
      <w:pPr>
        <w:pStyle w:val="ListBullet"/>
        <w:rPr>
          <w:rStyle w:val="Emphasis"/>
        </w:rPr>
      </w:pPr>
      <w:r w:rsidRPr="008A66FE">
        <w:rPr>
          <w:rStyle w:val="Emphasis"/>
        </w:rPr>
        <w:t>Veterans Act 2005</w:t>
      </w:r>
    </w:p>
    <w:p w14:paraId="502E9B74" w14:textId="77777777" w:rsidR="00084111" w:rsidRDefault="00084111" w:rsidP="00084111">
      <w:pPr>
        <w:pStyle w:val="ListBullet2"/>
      </w:pPr>
      <w:r>
        <w:t>Part 4</w:t>
      </w:r>
    </w:p>
    <w:p w14:paraId="270E8FED" w14:textId="77777777" w:rsidR="00084111" w:rsidRDefault="00084111" w:rsidP="00084111">
      <w:pPr>
        <w:pStyle w:val="ListBullet2"/>
      </w:pPr>
      <w:r>
        <w:t>The Act is otherwise administered by the Minister for Veterans.</w:t>
      </w:r>
    </w:p>
    <w:p w14:paraId="74B44851" w14:textId="77777777" w:rsidR="00084111" w:rsidRDefault="00084111" w:rsidP="00084111">
      <w:pPr>
        <w:pStyle w:val="ListBullet"/>
      </w:pPr>
      <w:r w:rsidRPr="008A66FE">
        <w:rPr>
          <w:rStyle w:val="Emphasis"/>
        </w:rPr>
        <w:t>Warehousemen’s Liens Act 1958</w:t>
      </w:r>
    </w:p>
    <w:p w14:paraId="54540408" w14:textId="77777777" w:rsidR="0032615F" w:rsidRDefault="0032615F">
      <w:pPr>
        <w:spacing w:after="0" w:line="240" w:lineRule="auto"/>
        <w:rPr>
          <w:rFonts w:ascii="Arial" w:eastAsia="Times New Roman" w:hAnsi="Arial" w:cs="Arial"/>
          <w:sz w:val="20"/>
          <w:szCs w:val="24"/>
        </w:rPr>
      </w:pPr>
      <w:r>
        <w:br w:type="page"/>
      </w:r>
    </w:p>
    <w:p w14:paraId="434747BB" w14:textId="4C1ECAB9" w:rsidR="00084111" w:rsidRDefault="00084111" w:rsidP="00084111">
      <w:pPr>
        <w:pStyle w:val="BodyText"/>
      </w:pPr>
      <w:r>
        <w:t>Consumer Affairs Victoria (part of the Department of Government Services) acknowledges the Aboriginal and Torres Strait Islander people as the Traditional Custodians of the land. The department also acknowledges and pays respect to their Elders, past and present.</w:t>
      </w:r>
    </w:p>
    <w:p w14:paraId="2097B7F6" w14:textId="77777777" w:rsidR="00084111" w:rsidRDefault="00084111" w:rsidP="00084111">
      <w:pPr>
        <w:pStyle w:val="BodyText"/>
      </w:pPr>
      <w:r>
        <w:t>Authorised and published by the Victorian Government, 1 Treasury Place, Melbourne.</w:t>
      </w:r>
    </w:p>
    <w:p w14:paraId="777928D6" w14:textId="77777777" w:rsidR="00084111" w:rsidRDefault="00084111" w:rsidP="00084111">
      <w:pPr>
        <w:pStyle w:val="BodyText"/>
      </w:pPr>
      <w:r>
        <w:t>October 2023</w:t>
      </w:r>
    </w:p>
    <w:p w14:paraId="7E209D17" w14:textId="77777777" w:rsidR="00084111" w:rsidRDefault="00084111" w:rsidP="00084111">
      <w:pPr>
        <w:pStyle w:val="BodyText"/>
      </w:pPr>
      <w:r w:rsidRPr="002515E1">
        <w:rPr>
          <w:rStyle w:val="Strong"/>
        </w:rPr>
        <w:t>ISSN</w:t>
      </w:r>
      <w:r>
        <w:t xml:space="preserve"> 2209-4768 - </w:t>
      </w:r>
      <w:r w:rsidRPr="002515E1">
        <w:rPr>
          <w:rStyle w:val="Strong"/>
        </w:rPr>
        <w:t>Online (pdf/word)</w:t>
      </w:r>
    </w:p>
    <w:p w14:paraId="4437653B" w14:textId="77777777" w:rsidR="00084111" w:rsidRDefault="00084111" w:rsidP="00084111">
      <w:pPr>
        <w:pStyle w:val="BodyText"/>
      </w:pPr>
      <w:r>
        <w:t>Unless indicated otherwise, this work is made available under the terms of the Creative Commons Attribution 4.0 International licence.</w:t>
      </w:r>
    </w:p>
    <w:p w14:paraId="1C33553D" w14:textId="1F5C3C6E" w:rsidR="00084111" w:rsidRDefault="00084111" w:rsidP="00084111">
      <w:pPr>
        <w:pStyle w:val="BodyText"/>
      </w:pPr>
      <w:r>
        <w:t>To view a copy of this licence, visit</w:t>
      </w:r>
      <w:r w:rsidR="00BE26A8">
        <w:t xml:space="preserve"> the </w:t>
      </w:r>
      <w:hyperlink r:id="rId15" w:history="1">
        <w:r w:rsidR="00BE26A8" w:rsidRPr="00BE26A8">
          <w:rPr>
            <w:rStyle w:val="Hyperlink"/>
          </w:rPr>
          <w:t>Creative Commons website</w:t>
        </w:r>
      </w:hyperlink>
      <w:r>
        <w:t xml:space="preserve"> </w:t>
      </w:r>
      <w:r w:rsidR="00BE26A8">
        <w:t>&lt;</w:t>
      </w:r>
      <w:r w:rsidRPr="00BE26A8">
        <w:t>creativecommons.org/licenses/by/4.0</w:t>
      </w:r>
      <w:r w:rsidR="00BE26A8">
        <w:t>&gt;.</w:t>
      </w:r>
    </w:p>
    <w:p w14:paraId="7859BF9A" w14:textId="77777777" w:rsidR="00084111" w:rsidRDefault="00084111" w:rsidP="00084111">
      <w:pPr>
        <w:pStyle w:val="BodyText"/>
      </w:pPr>
      <w:r>
        <w:t>It is a condition of this Creative Commons Attribution 4.0 Licence that you give credit to the original author, who is the State of Victoria.</w:t>
      </w:r>
    </w:p>
    <w:p w14:paraId="26186ADC" w14:textId="77777777" w:rsidR="00084111" w:rsidRPr="0032615F" w:rsidRDefault="00084111" w:rsidP="0032615F">
      <w:pPr>
        <w:pStyle w:val="Heading2small"/>
      </w:pPr>
      <w:r w:rsidRPr="0032615F">
        <w:t>Accessibility</w:t>
      </w:r>
    </w:p>
    <w:p w14:paraId="11C853C4" w14:textId="6BAAC7C6" w:rsidR="00084111" w:rsidRDefault="00084111" w:rsidP="00084111">
      <w:pPr>
        <w:pStyle w:val="BodyText"/>
      </w:pPr>
      <w:r>
        <w:t>If you would like to receive this publication in an accessible format, please visit</w:t>
      </w:r>
      <w:r w:rsidR="00BE26A8">
        <w:t xml:space="preserve"> the </w:t>
      </w:r>
      <w:hyperlink r:id="rId16" w:history="1">
        <w:r w:rsidR="00BE26A8" w:rsidRPr="004746BC">
          <w:rPr>
            <w:rStyle w:val="Hyperlink"/>
          </w:rPr>
          <w:t>Consumer</w:t>
        </w:r>
        <w:r w:rsidR="00BE26A8">
          <w:rPr>
            <w:rStyle w:val="Hyperlink"/>
          </w:rPr>
          <w:t xml:space="preserve"> </w:t>
        </w:r>
        <w:r w:rsidR="00BE26A8" w:rsidRPr="004746BC">
          <w:rPr>
            <w:rStyle w:val="Hyperlink"/>
          </w:rPr>
          <w:t>Affairs</w:t>
        </w:r>
        <w:r w:rsidR="00BE26A8">
          <w:rPr>
            <w:rStyle w:val="Hyperlink"/>
          </w:rPr>
          <w:t xml:space="preserve"> </w:t>
        </w:r>
        <w:r w:rsidR="00BE26A8" w:rsidRPr="004746BC">
          <w:rPr>
            <w:rStyle w:val="Hyperlink"/>
          </w:rPr>
          <w:t>Victoria</w:t>
        </w:r>
        <w:r w:rsidR="00BE26A8">
          <w:rPr>
            <w:rStyle w:val="Hyperlink"/>
          </w:rPr>
          <w:t xml:space="preserve"> </w:t>
        </w:r>
        <w:r w:rsidR="00BE26A8" w:rsidRPr="004746BC">
          <w:rPr>
            <w:rStyle w:val="Hyperlink"/>
          </w:rPr>
          <w:t>website</w:t>
        </w:r>
      </w:hyperlink>
      <w:r w:rsidR="00BE26A8">
        <w:t xml:space="preserve"> &lt;consumer.vic.gov.au&gt;.</w:t>
      </w:r>
    </w:p>
    <w:p w14:paraId="4D423183" w14:textId="30119A07" w:rsidR="00084111" w:rsidRDefault="0032615F" w:rsidP="0032615F">
      <w:pPr>
        <w:pStyle w:val="BodyText"/>
      </w:pPr>
      <w:r>
        <w:t xml:space="preserve">Published by order, or under the authority, </w:t>
      </w:r>
      <w:r>
        <w:br/>
        <w:t>of the Parliament of Victoria</w:t>
      </w:r>
      <w:r>
        <w:br/>
        <w:t>October 2023</w:t>
      </w:r>
    </w:p>
    <w:p w14:paraId="524B7D82" w14:textId="04CAB890" w:rsidR="00A41E9C" w:rsidRDefault="00A41E9C" w:rsidP="00DF73E7">
      <w:pPr>
        <w:pStyle w:val="Heading2small"/>
      </w:pPr>
      <w:r>
        <w:t>Consumer</w:t>
      </w:r>
      <w:r w:rsidR="00D733E1">
        <w:t xml:space="preserve"> </w:t>
      </w:r>
      <w:r>
        <w:t>Affairs</w:t>
      </w:r>
      <w:r w:rsidR="00D733E1">
        <w:t xml:space="preserve"> </w:t>
      </w:r>
      <w:r>
        <w:t>Victoria</w:t>
      </w:r>
    </w:p>
    <w:p w14:paraId="351AD359" w14:textId="610E1F4B" w:rsidR="00A41E9C" w:rsidRDefault="00802064" w:rsidP="00A41E9C">
      <w:pPr>
        <w:pStyle w:val="BodyText"/>
      </w:pPr>
      <w:hyperlink r:id="rId17" w:history="1">
        <w:r w:rsidR="00A41E9C" w:rsidRPr="004746BC">
          <w:rPr>
            <w:rStyle w:val="Hyperlink"/>
          </w:rPr>
          <w:t>Consumer</w:t>
        </w:r>
        <w:r w:rsidR="00D733E1">
          <w:rPr>
            <w:rStyle w:val="Hyperlink"/>
          </w:rPr>
          <w:t xml:space="preserve"> </w:t>
        </w:r>
        <w:r w:rsidR="00A41E9C" w:rsidRPr="004746BC">
          <w:rPr>
            <w:rStyle w:val="Hyperlink"/>
          </w:rPr>
          <w:t>Affairs</w:t>
        </w:r>
        <w:r w:rsidR="00D733E1">
          <w:rPr>
            <w:rStyle w:val="Hyperlink"/>
          </w:rPr>
          <w:t xml:space="preserve"> </w:t>
        </w:r>
        <w:r w:rsidR="00A41E9C" w:rsidRPr="004746BC">
          <w:rPr>
            <w:rStyle w:val="Hyperlink"/>
          </w:rPr>
          <w:t>Victoria</w:t>
        </w:r>
        <w:r w:rsidR="00D733E1">
          <w:rPr>
            <w:rStyle w:val="Hyperlink"/>
          </w:rPr>
          <w:t xml:space="preserve"> </w:t>
        </w:r>
        <w:r w:rsidR="00A41E9C" w:rsidRPr="004746BC">
          <w:rPr>
            <w:rStyle w:val="Hyperlink"/>
          </w:rPr>
          <w:t>website</w:t>
        </w:r>
      </w:hyperlink>
      <w:r w:rsidR="00D733E1">
        <w:t xml:space="preserve"> </w:t>
      </w:r>
      <w:r w:rsidR="00A41E9C">
        <w:t>&lt;consumer.vic.gov.au&gt;</w:t>
      </w:r>
    </w:p>
    <w:p w14:paraId="2A910B2D" w14:textId="53687EE0" w:rsidR="00020B2C" w:rsidRPr="00DF73E7" w:rsidRDefault="00682029" w:rsidP="00DF73E7">
      <w:pPr>
        <w:pStyle w:val="BodyText"/>
        <w:spacing w:before="800"/>
      </w:pPr>
      <w:r>
        <w:rPr>
          <w:noProof/>
          <w:lang w:val="en-GB"/>
        </w:rPr>
        <w:drawing>
          <wp:inline distT="0" distB="0" distL="0" distR="0" wp14:anchorId="47F58D7F" wp14:editId="6AD83C3A">
            <wp:extent cx="1565640" cy="468000"/>
            <wp:effectExtent l="0" t="0" r="0" b="8255"/>
            <wp:docPr id="1558025786" name="Picture 1" descr="Victoria State Government - Governmen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025786" name="Picture 1" descr="Victoria State Government - Government Service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65640" cy="468000"/>
                    </a:xfrm>
                    <a:prstGeom prst="rect">
                      <a:avLst/>
                    </a:prstGeom>
                  </pic:spPr>
                </pic:pic>
              </a:graphicData>
            </a:graphic>
          </wp:inline>
        </w:drawing>
      </w:r>
    </w:p>
    <w:sectPr w:rsidR="00020B2C" w:rsidRPr="00DF73E7" w:rsidSect="00783BEE">
      <w:footnotePr>
        <w:pos w:val="beneathText"/>
        <w:numRestart w:val="eachPage"/>
      </w:footnotePr>
      <w:pgSz w:w="11906" w:h="16838" w:code="9"/>
      <w:pgMar w:top="1418" w:right="1418" w:bottom="1134"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FEF4C" w14:textId="0CC42314" w:rsidR="006F187D" w:rsidRDefault="006F187D" w:rsidP="00C71F11">
      <w:pPr>
        <w:spacing w:after="0" w:line="240" w:lineRule="auto"/>
      </w:pPr>
      <w:r>
        <w:separator/>
      </w:r>
    </w:p>
    <w:p w14:paraId="6BCC1970" w14:textId="77777777" w:rsidR="006F187D" w:rsidRDefault="006F187D"/>
    <w:p w14:paraId="53145404" w14:textId="77777777" w:rsidR="006F187D" w:rsidRDefault="006F187D"/>
    <w:p w14:paraId="2B67FF8B" w14:textId="77777777" w:rsidR="006F187D" w:rsidRDefault="006F187D"/>
    <w:p w14:paraId="3DE7BBCF" w14:textId="77777777" w:rsidR="006F187D" w:rsidRDefault="006F187D"/>
  </w:endnote>
  <w:endnote w:type="continuationSeparator" w:id="0">
    <w:p w14:paraId="5703E0FE" w14:textId="2C270545" w:rsidR="006F187D" w:rsidRDefault="006F187D" w:rsidP="00C71F11">
      <w:pPr>
        <w:spacing w:after="0" w:line="240" w:lineRule="auto"/>
      </w:pPr>
      <w:r>
        <w:continuationSeparator/>
      </w:r>
    </w:p>
    <w:p w14:paraId="4ADB47F0" w14:textId="77777777" w:rsidR="006F187D" w:rsidRDefault="006F187D"/>
    <w:p w14:paraId="39C3E3F3" w14:textId="77777777" w:rsidR="006F187D" w:rsidRDefault="006F187D"/>
    <w:p w14:paraId="067C890F" w14:textId="77777777" w:rsidR="006F187D" w:rsidRDefault="006F187D"/>
    <w:p w14:paraId="3602B039" w14:textId="77777777" w:rsidR="006F187D" w:rsidRDefault="006F187D"/>
  </w:endnote>
  <w:endnote w:type="continuationNotice" w:id="1">
    <w:p w14:paraId="606227D0" w14:textId="21A2EE76" w:rsidR="006F187D" w:rsidRDefault="006F187D">
      <w:pPr>
        <w:spacing w:after="0" w:line="240" w:lineRule="auto"/>
      </w:pPr>
    </w:p>
    <w:p w14:paraId="309E404A" w14:textId="77777777" w:rsidR="006F187D" w:rsidRDefault="006F187D"/>
    <w:p w14:paraId="42DC8DBF" w14:textId="77777777" w:rsidR="006F187D" w:rsidRDefault="006F187D"/>
    <w:p w14:paraId="7C2A1C5E" w14:textId="77777777" w:rsidR="006F187D" w:rsidRDefault="006F187D"/>
    <w:p w14:paraId="00A32585" w14:textId="77777777" w:rsidR="006F187D" w:rsidRDefault="006F1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IC-Regular">
    <w:altName w:val="VIC"/>
    <w:panose1 w:val="00000000000000000000"/>
    <w:charset w:val="4D"/>
    <w:family w:val="auto"/>
    <w:notTrueType/>
    <w:pitch w:val="default"/>
    <w:sig w:usb0="00000003" w:usb1="00000000" w:usb2="00000000" w:usb3="00000000" w:csb0="00000001" w:csb1="00000000"/>
  </w:font>
  <w:font w:name="VIC-SemiBold">
    <w:altName w:val="Courier New"/>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C7D0" w14:textId="242EBFCF" w:rsidR="006F187D" w:rsidRDefault="006F187D" w:rsidP="00006DE3">
    <w:pPr>
      <w:pStyle w:val="Footer"/>
    </w:pPr>
    <w:r w:rsidRPr="00783BEE">
      <w:t>Consumer</w:t>
    </w:r>
    <w:r w:rsidR="00D733E1">
      <w:t xml:space="preserve"> </w:t>
    </w:r>
    <w:r w:rsidRPr="00783BEE">
      <w:t>Affairs</w:t>
    </w:r>
    <w:r w:rsidR="00D733E1">
      <w:t xml:space="preserve"> </w:t>
    </w:r>
    <w:r>
      <w:t>Victoria:</w:t>
    </w:r>
    <w:r w:rsidR="00D733E1">
      <w:t xml:space="preserve"> </w:t>
    </w:r>
    <w:r>
      <w:t>Annual</w:t>
    </w:r>
    <w:r w:rsidR="00D733E1">
      <w:t xml:space="preserve"> </w:t>
    </w:r>
    <w:r>
      <w:t>Report</w:t>
    </w:r>
    <w:r w:rsidR="00D733E1">
      <w:t xml:space="preserve"> </w:t>
    </w:r>
    <w:r>
      <w:t>20</w:t>
    </w:r>
    <w:r w:rsidR="00D56D64">
      <w:t>2</w:t>
    </w:r>
    <w:r w:rsidR="00150C87">
      <w:t>2</w:t>
    </w:r>
    <w:r w:rsidR="00D56D64">
      <w:t>–2</w:t>
    </w:r>
    <w:r w:rsidR="00150C87">
      <w:t>3</w:t>
    </w:r>
    <w:r>
      <w:ptab w:relativeTo="margin" w:alignment="right" w:leader="none"/>
    </w:r>
    <w:r w:rsidRPr="00783BEE">
      <w:fldChar w:fldCharType="begin"/>
    </w:r>
    <w:r w:rsidRPr="00783BEE">
      <w:instrText xml:space="preserve"> PAGE   \* MERGEFORMAT </w:instrText>
    </w:r>
    <w:r w:rsidRPr="00783BEE">
      <w:fldChar w:fldCharType="separate"/>
    </w:r>
    <w:r>
      <w:rPr>
        <w:noProof/>
      </w:rPr>
      <w:t>41</w:t>
    </w:r>
    <w:r w:rsidRPr="00783BE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65652" w14:textId="77777777" w:rsidR="006F187D" w:rsidRPr="004D56A7" w:rsidRDefault="006F187D" w:rsidP="00880587">
      <w:pPr>
        <w:spacing w:after="0" w:line="240" w:lineRule="auto"/>
        <w:rPr>
          <w:color w:val="FFFFFF" w:themeColor="background1"/>
          <w:sz w:val="8"/>
          <w:szCs w:val="8"/>
        </w:rPr>
      </w:pPr>
    </w:p>
  </w:footnote>
  <w:footnote w:type="continuationSeparator" w:id="0">
    <w:p w14:paraId="7D728B39" w14:textId="327CB8A8" w:rsidR="006F187D" w:rsidRDefault="006F187D" w:rsidP="00C71F11">
      <w:pPr>
        <w:spacing w:after="0" w:line="240" w:lineRule="auto"/>
      </w:pPr>
      <w:r>
        <w:continuationSeparator/>
      </w:r>
    </w:p>
    <w:p w14:paraId="2E540BA2" w14:textId="77777777" w:rsidR="006F187D" w:rsidRDefault="006F187D"/>
    <w:p w14:paraId="544502F1" w14:textId="77777777" w:rsidR="006F187D" w:rsidRDefault="006F187D"/>
    <w:p w14:paraId="2EBE0AE3" w14:textId="77777777" w:rsidR="006F187D" w:rsidRDefault="006F187D"/>
    <w:p w14:paraId="5935D54E" w14:textId="77777777" w:rsidR="006F187D" w:rsidRDefault="006F187D"/>
  </w:footnote>
  <w:footnote w:type="continuationNotice" w:id="1">
    <w:p w14:paraId="1B519D0B" w14:textId="775395A6" w:rsidR="006F187D" w:rsidRDefault="006F187D">
      <w:pPr>
        <w:spacing w:after="0" w:line="240" w:lineRule="auto"/>
      </w:pPr>
    </w:p>
    <w:p w14:paraId="25027D99" w14:textId="77777777" w:rsidR="006F187D" w:rsidRDefault="006F187D"/>
    <w:p w14:paraId="061B29B1" w14:textId="77777777" w:rsidR="006F187D" w:rsidRDefault="006F187D"/>
    <w:p w14:paraId="75742922" w14:textId="77777777" w:rsidR="006F187D" w:rsidRDefault="006F187D"/>
    <w:p w14:paraId="1546F981" w14:textId="77777777" w:rsidR="006F187D" w:rsidRDefault="006F187D"/>
  </w:footnote>
  <w:footnote w:id="2">
    <w:p w14:paraId="322984C5" w14:textId="08CEC175" w:rsidR="00D733E1" w:rsidRDefault="00D733E1" w:rsidP="00D666F6">
      <w:pPr>
        <w:pStyle w:val="FootnoteText"/>
      </w:pPr>
      <w:r w:rsidRPr="00020B2C">
        <w:footnoteRef/>
      </w:r>
      <w:r w:rsidRPr="00020B2C">
        <w:tab/>
      </w:r>
      <w:r>
        <w:t>The lower 2022–23 actual is due to a change in the methodology of the measurement for the 2022–23 target. The 2022–23 target includes both online and written services and face-to-face funded services. Online service delivery remains high, however people assisted by face-to-face services have been requiring longer and more intensive support.</w:t>
      </w:r>
    </w:p>
  </w:footnote>
  <w:footnote w:id="3">
    <w:p w14:paraId="4693C661" w14:textId="70E8E648" w:rsidR="00D733E1" w:rsidRDefault="00D733E1" w:rsidP="00D666F6">
      <w:pPr>
        <w:pStyle w:val="FootnoteText"/>
      </w:pPr>
      <w:r w:rsidRPr="00020B2C">
        <w:footnoteRef/>
      </w:r>
      <w:r w:rsidRPr="00020B2C">
        <w:tab/>
      </w:r>
      <w:r>
        <w:t>The lower 2022–23 actual is due to ongoing service model changes that promote online advice where appropriate, while ensuring telephone support for those who need it. In addition, some resources were prioritised to flood responses during Quarter 2 2022–23.</w:t>
      </w:r>
    </w:p>
  </w:footnote>
  <w:footnote w:id="4">
    <w:p w14:paraId="412006FE" w14:textId="221EF3F3" w:rsidR="00D733E1" w:rsidRDefault="00D733E1" w:rsidP="00D666F6">
      <w:pPr>
        <w:pStyle w:val="FootnoteText"/>
      </w:pPr>
      <w:r w:rsidRPr="00020B2C">
        <w:footnoteRef/>
      </w:r>
      <w:r w:rsidRPr="00020B2C">
        <w:tab/>
      </w:r>
      <w:r>
        <w:t>The lower 2022–23 actual is due to the prioritisation of support following the October 2022 floods and CAV’s</w:t>
      </w:r>
      <w:r w:rsidR="00F42D0F">
        <w:t> </w:t>
      </w:r>
      <w:r>
        <w:t>response to rent reviews.</w:t>
      </w:r>
    </w:p>
  </w:footnote>
  <w:footnote w:id="5">
    <w:p w14:paraId="490A82CC" w14:textId="40FB88E4" w:rsidR="00D733E1" w:rsidRDefault="00D733E1" w:rsidP="00D666F6">
      <w:pPr>
        <w:pStyle w:val="FootnoteText"/>
      </w:pPr>
      <w:r w:rsidRPr="00020B2C">
        <w:footnoteRef/>
      </w:r>
      <w:r w:rsidRPr="00020B2C">
        <w:tab/>
      </w:r>
      <w:hyperlink r:id="rId1" w:history="1">
        <w:r w:rsidR="004F75BD" w:rsidRPr="004F75BD">
          <w:rPr>
            <w:rStyle w:val="Hyperlink"/>
          </w:rPr>
          <w:t>Homes Victoria Rental Report June quarter 2023</w:t>
        </w:r>
      </w:hyperlink>
    </w:p>
  </w:footnote>
  <w:footnote w:id="6">
    <w:p w14:paraId="09221806" w14:textId="05E14BC4" w:rsidR="008B53D8" w:rsidRPr="008B53D8" w:rsidRDefault="008B53D8">
      <w:pPr>
        <w:pStyle w:val="FootnoteText"/>
        <w:rPr>
          <w:lang w:val="en-US"/>
        </w:rPr>
      </w:pPr>
      <w:r w:rsidRPr="008B53D8">
        <w:footnoteRef/>
      </w:r>
      <w:r>
        <w:rPr>
          <w:lang w:val="en-US"/>
        </w:rPr>
        <w:tab/>
      </w:r>
      <w:r w:rsidRPr="008B53D8">
        <w:t>Domestic Building Dispute Levy and Registration Fees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048E8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C34A50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F4EFE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B20E4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14A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82BB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ACC6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4467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74D7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8864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16393"/>
    <w:multiLevelType w:val="multilevel"/>
    <w:tmpl w:val="8B9C5D6A"/>
    <w:styleLink w:val="CAVListStyleBullets"/>
    <w:lvl w:ilvl="0">
      <w:start w:val="1"/>
      <w:numFmt w:val="bullet"/>
      <w:lvlText w:val="•"/>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54270D4"/>
    <w:multiLevelType w:val="hybridMultilevel"/>
    <w:tmpl w:val="818EB01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09065395"/>
    <w:multiLevelType w:val="hybridMultilevel"/>
    <w:tmpl w:val="8348D644"/>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C106B55"/>
    <w:multiLevelType w:val="hybridMultilevel"/>
    <w:tmpl w:val="B2641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445F47"/>
    <w:multiLevelType w:val="hybridMultilevel"/>
    <w:tmpl w:val="F880F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5A6114"/>
    <w:multiLevelType w:val="hybridMultilevel"/>
    <w:tmpl w:val="AE403FA6"/>
    <w:lvl w:ilvl="0" w:tplc="8F74EDB4">
      <w:start w:val="1"/>
      <w:numFmt w:val="bullet"/>
      <w:lvlText w:val=""/>
      <w:lvlJc w:val="left"/>
      <w:pPr>
        <w:tabs>
          <w:tab w:val="num" w:pos="851"/>
        </w:tabs>
        <w:ind w:left="851" w:hanging="284"/>
      </w:pPr>
      <w:rPr>
        <w:rFonts w:ascii="Symbol" w:hAnsi="Symbol" w:hint="default"/>
        <w:b w:val="0"/>
        <w:i w:val="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A74DF"/>
    <w:multiLevelType w:val="hybridMultilevel"/>
    <w:tmpl w:val="D6A06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EE46CD"/>
    <w:multiLevelType w:val="hybridMultilevel"/>
    <w:tmpl w:val="5F7CA888"/>
    <w:lvl w:ilvl="0" w:tplc="F8765A4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F73B3E"/>
    <w:multiLevelType w:val="hybridMultilevel"/>
    <w:tmpl w:val="FDE49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495426"/>
    <w:multiLevelType w:val="hybridMultilevel"/>
    <w:tmpl w:val="1BB8D972"/>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0" w15:restartNumberingAfterBreak="0">
    <w:nsid w:val="22F30DF7"/>
    <w:multiLevelType w:val="hybridMultilevel"/>
    <w:tmpl w:val="F732B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B947FC"/>
    <w:multiLevelType w:val="multilevel"/>
    <w:tmpl w:val="A888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B3190C"/>
    <w:multiLevelType w:val="hybridMultilevel"/>
    <w:tmpl w:val="DF880314"/>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3" w15:restartNumberingAfterBreak="0">
    <w:nsid w:val="32D70CCF"/>
    <w:multiLevelType w:val="hybridMultilevel"/>
    <w:tmpl w:val="4EAEF642"/>
    <w:lvl w:ilvl="0" w:tplc="14E4BDA0">
      <w:start w:val="1"/>
      <w:numFmt w:val="decimal"/>
      <w:lvlText w:val="%1."/>
      <w:lvlJc w:val="left"/>
      <w:pPr>
        <w:ind w:left="397" w:hanging="397"/>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42E13FF"/>
    <w:multiLevelType w:val="hybridMultilevel"/>
    <w:tmpl w:val="3EC21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92785C"/>
    <w:multiLevelType w:val="multilevel"/>
    <w:tmpl w:val="8B96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437DD1"/>
    <w:multiLevelType w:val="hybridMultilevel"/>
    <w:tmpl w:val="134A7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CE1F1A"/>
    <w:multiLevelType w:val="hybridMultilevel"/>
    <w:tmpl w:val="183E646A"/>
    <w:lvl w:ilvl="0" w:tplc="BC3CCCD8">
      <w:start w:val="1"/>
      <w:numFmt w:val="bullet"/>
      <w:lvlText w:val=""/>
      <w:lvlJc w:val="left"/>
      <w:pPr>
        <w:tabs>
          <w:tab w:val="num" w:pos="360"/>
        </w:tabs>
        <w:ind w:left="227" w:hanging="227"/>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AC733A"/>
    <w:multiLevelType w:val="hybridMultilevel"/>
    <w:tmpl w:val="B5D68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84191D"/>
    <w:multiLevelType w:val="hybridMultilevel"/>
    <w:tmpl w:val="46720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94059E"/>
    <w:multiLevelType w:val="hybridMultilevel"/>
    <w:tmpl w:val="78444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B61156"/>
    <w:multiLevelType w:val="multilevel"/>
    <w:tmpl w:val="8ABE064E"/>
    <w:styleLink w:val="ZZListBullets"/>
    <w:lvl w:ilvl="0">
      <w:start w:val="1"/>
      <w:numFmt w:val="bullet"/>
      <w:pStyle w:val="ListBullet"/>
      <w:lvlText w:val="•"/>
      <w:lvlJc w:val="left"/>
      <w:pPr>
        <w:ind w:left="284" w:hanging="284"/>
      </w:pPr>
      <w:rPr>
        <w:rFonts w:ascii="Calibri" w:hAnsi="Calibri" w:hint="default"/>
      </w:rPr>
    </w:lvl>
    <w:lvl w:ilvl="1">
      <w:numFmt w:val="bullet"/>
      <w:lvlRestart w:val="0"/>
      <w:pStyle w:val="ListBullet2"/>
      <w:lvlText w:val="–"/>
      <w:lvlJc w:val="left"/>
      <w:pPr>
        <w:ind w:left="567" w:hanging="283"/>
      </w:pPr>
      <w:rPr>
        <w:rFonts w:ascii="Calibri" w:hAnsi="Calibri"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32" w15:restartNumberingAfterBreak="0">
    <w:nsid w:val="483E28E2"/>
    <w:multiLevelType w:val="hybridMultilevel"/>
    <w:tmpl w:val="9574F4EE"/>
    <w:lvl w:ilvl="0" w:tplc="7548AAB0">
      <w:numFmt w:val="bullet"/>
      <w:lvlText w:val="•"/>
      <w:lvlJc w:val="left"/>
      <w:pPr>
        <w:ind w:left="1080" w:hanging="72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0014BF"/>
    <w:multiLevelType w:val="hybridMultilevel"/>
    <w:tmpl w:val="4C305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012922"/>
    <w:multiLevelType w:val="hybridMultilevel"/>
    <w:tmpl w:val="54B4D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2A6CF6"/>
    <w:multiLevelType w:val="hybridMultilevel"/>
    <w:tmpl w:val="B6D45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FC02C0"/>
    <w:multiLevelType w:val="hybridMultilevel"/>
    <w:tmpl w:val="5058D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D13DC4"/>
    <w:multiLevelType w:val="hybridMultilevel"/>
    <w:tmpl w:val="AC7A3DA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4507075">
    <w:abstractNumId w:val="28"/>
  </w:num>
  <w:num w:numId="2" w16cid:durableId="1080297500">
    <w:abstractNumId w:val="12"/>
  </w:num>
  <w:num w:numId="3" w16cid:durableId="2013415474">
    <w:abstractNumId w:val="22"/>
  </w:num>
  <w:num w:numId="4" w16cid:durableId="1511220616">
    <w:abstractNumId w:val="23"/>
  </w:num>
  <w:num w:numId="5" w16cid:durableId="1144468203">
    <w:abstractNumId w:val="18"/>
  </w:num>
  <w:num w:numId="6" w16cid:durableId="1803573751">
    <w:abstractNumId w:val="19"/>
  </w:num>
  <w:num w:numId="7" w16cid:durableId="1259366875">
    <w:abstractNumId w:val="10"/>
  </w:num>
  <w:num w:numId="8" w16cid:durableId="534777360">
    <w:abstractNumId w:val="24"/>
  </w:num>
  <w:num w:numId="9" w16cid:durableId="488519805">
    <w:abstractNumId w:val="25"/>
  </w:num>
  <w:num w:numId="10" w16cid:durableId="1772629259">
    <w:abstractNumId w:val="20"/>
  </w:num>
  <w:num w:numId="11" w16cid:durableId="803351209">
    <w:abstractNumId w:val="11"/>
  </w:num>
  <w:num w:numId="12" w16cid:durableId="2128310588">
    <w:abstractNumId w:val="27"/>
  </w:num>
  <w:num w:numId="13" w16cid:durableId="891620716">
    <w:abstractNumId w:val="29"/>
  </w:num>
  <w:num w:numId="14" w16cid:durableId="236400486">
    <w:abstractNumId w:val="21"/>
  </w:num>
  <w:num w:numId="15" w16cid:durableId="1102726869">
    <w:abstractNumId w:val="26"/>
  </w:num>
  <w:num w:numId="16" w16cid:durableId="841121019">
    <w:abstractNumId w:val="17"/>
  </w:num>
  <w:num w:numId="17" w16cid:durableId="1506096131">
    <w:abstractNumId w:val="13"/>
  </w:num>
  <w:num w:numId="18" w16cid:durableId="706874525">
    <w:abstractNumId w:val="15"/>
  </w:num>
  <w:num w:numId="19" w16cid:durableId="564337777">
    <w:abstractNumId w:val="37"/>
  </w:num>
  <w:num w:numId="20" w16cid:durableId="1070536314">
    <w:abstractNumId w:val="30"/>
  </w:num>
  <w:num w:numId="21" w16cid:durableId="1318067524">
    <w:abstractNumId w:val="33"/>
  </w:num>
  <w:num w:numId="22" w16cid:durableId="841242281">
    <w:abstractNumId w:val="34"/>
  </w:num>
  <w:num w:numId="23" w16cid:durableId="1060784712">
    <w:abstractNumId w:val="32"/>
  </w:num>
  <w:num w:numId="24" w16cid:durableId="1542397534">
    <w:abstractNumId w:val="16"/>
  </w:num>
  <w:num w:numId="25" w16cid:durableId="1570073383">
    <w:abstractNumId w:val="35"/>
  </w:num>
  <w:num w:numId="26" w16cid:durableId="1278218731">
    <w:abstractNumId w:val="36"/>
  </w:num>
  <w:num w:numId="27" w16cid:durableId="1578898999">
    <w:abstractNumId w:val="14"/>
  </w:num>
  <w:num w:numId="28" w16cid:durableId="174538978">
    <w:abstractNumId w:val="9"/>
  </w:num>
  <w:num w:numId="29" w16cid:durableId="1897858772">
    <w:abstractNumId w:val="7"/>
  </w:num>
  <w:num w:numId="30" w16cid:durableId="353923576">
    <w:abstractNumId w:val="8"/>
  </w:num>
  <w:num w:numId="31" w16cid:durableId="1374890061">
    <w:abstractNumId w:val="3"/>
  </w:num>
  <w:num w:numId="32" w16cid:durableId="1221479507">
    <w:abstractNumId w:val="8"/>
    <w:lvlOverride w:ilvl="0">
      <w:startOverride w:val="1"/>
    </w:lvlOverride>
  </w:num>
  <w:num w:numId="33" w16cid:durableId="367024211">
    <w:abstractNumId w:val="6"/>
  </w:num>
  <w:num w:numId="34" w16cid:durableId="1530530608">
    <w:abstractNumId w:val="5"/>
  </w:num>
  <w:num w:numId="35" w16cid:durableId="1460496382">
    <w:abstractNumId w:val="4"/>
  </w:num>
  <w:num w:numId="36" w16cid:durableId="1656101097">
    <w:abstractNumId w:val="2"/>
  </w:num>
  <w:num w:numId="37" w16cid:durableId="703553969">
    <w:abstractNumId w:val="1"/>
  </w:num>
  <w:num w:numId="38" w16cid:durableId="1248660191">
    <w:abstractNumId w:val="0"/>
  </w:num>
  <w:num w:numId="39" w16cid:durableId="94149707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SortMethod w:val="0000"/>
  <w:defaultTabStop w:val="720"/>
  <w:characterSpacingControl w:val="doNotCompress"/>
  <w:hdrShapeDefaults>
    <o:shapedefaults v:ext="edit" spidmax="138241"/>
  </w:hdrShapeDefaults>
  <w:footnotePr>
    <w:pos w:val="beneathText"/>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80"/>
    <w:rsid w:val="000067F2"/>
    <w:rsid w:val="00006DE3"/>
    <w:rsid w:val="000113E0"/>
    <w:rsid w:val="00020B2C"/>
    <w:rsid w:val="00021DA6"/>
    <w:rsid w:val="0002752D"/>
    <w:rsid w:val="00030169"/>
    <w:rsid w:val="00031B1C"/>
    <w:rsid w:val="00035675"/>
    <w:rsid w:val="000359C2"/>
    <w:rsid w:val="00040AF8"/>
    <w:rsid w:val="00041B76"/>
    <w:rsid w:val="00042358"/>
    <w:rsid w:val="00045784"/>
    <w:rsid w:val="00050E63"/>
    <w:rsid w:val="00052A73"/>
    <w:rsid w:val="00052AFF"/>
    <w:rsid w:val="00056D7F"/>
    <w:rsid w:val="0006192A"/>
    <w:rsid w:val="00062049"/>
    <w:rsid w:val="00064594"/>
    <w:rsid w:val="00064C94"/>
    <w:rsid w:val="0006613F"/>
    <w:rsid w:val="000662A2"/>
    <w:rsid w:val="00077DCC"/>
    <w:rsid w:val="00080476"/>
    <w:rsid w:val="00084111"/>
    <w:rsid w:val="00084F8C"/>
    <w:rsid w:val="00086AF2"/>
    <w:rsid w:val="00091597"/>
    <w:rsid w:val="000965E1"/>
    <w:rsid w:val="000A16BF"/>
    <w:rsid w:val="000A4BC7"/>
    <w:rsid w:val="000A4D4B"/>
    <w:rsid w:val="000A74E4"/>
    <w:rsid w:val="000A7D79"/>
    <w:rsid w:val="000B151C"/>
    <w:rsid w:val="000B176A"/>
    <w:rsid w:val="000B7932"/>
    <w:rsid w:val="000C1F95"/>
    <w:rsid w:val="000C2B36"/>
    <w:rsid w:val="000C5AA2"/>
    <w:rsid w:val="000C7BFD"/>
    <w:rsid w:val="000D0E83"/>
    <w:rsid w:val="000D3108"/>
    <w:rsid w:val="000D3E79"/>
    <w:rsid w:val="000D42DF"/>
    <w:rsid w:val="000D4FAE"/>
    <w:rsid w:val="000E344B"/>
    <w:rsid w:val="000F3E1B"/>
    <w:rsid w:val="000F504E"/>
    <w:rsid w:val="000F5315"/>
    <w:rsid w:val="000F63E3"/>
    <w:rsid w:val="000F719D"/>
    <w:rsid w:val="001034D1"/>
    <w:rsid w:val="001035E3"/>
    <w:rsid w:val="0010370A"/>
    <w:rsid w:val="00104254"/>
    <w:rsid w:val="00107B62"/>
    <w:rsid w:val="00110D4C"/>
    <w:rsid w:val="00112400"/>
    <w:rsid w:val="0011415A"/>
    <w:rsid w:val="00120E5A"/>
    <w:rsid w:val="00122E20"/>
    <w:rsid w:val="00122EB0"/>
    <w:rsid w:val="00122F87"/>
    <w:rsid w:val="00132675"/>
    <w:rsid w:val="00134625"/>
    <w:rsid w:val="00134A2A"/>
    <w:rsid w:val="001369DC"/>
    <w:rsid w:val="0014134E"/>
    <w:rsid w:val="0014204E"/>
    <w:rsid w:val="0014272B"/>
    <w:rsid w:val="00142DE7"/>
    <w:rsid w:val="00143662"/>
    <w:rsid w:val="0014701D"/>
    <w:rsid w:val="00150C87"/>
    <w:rsid w:val="001510E8"/>
    <w:rsid w:val="00151EF4"/>
    <w:rsid w:val="00155192"/>
    <w:rsid w:val="001556C0"/>
    <w:rsid w:val="00155B9A"/>
    <w:rsid w:val="00156239"/>
    <w:rsid w:val="00156617"/>
    <w:rsid w:val="00160E40"/>
    <w:rsid w:val="00163339"/>
    <w:rsid w:val="0016680E"/>
    <w:rsid w:val="00171D5F"/>
    <w:rsid w:val="0017389E"/>
    <w:rsid w:val="00177DC1"/>
    <w:rsid w:val="001809C5"/>
    <w:rsid w:val="00181631"/>
    <w:rsid w:val="001864FB"/>
    <w:rsid w:val="00187474"/>
    <w:rsid w:val="00192B14"/>
    <w:rsid w:val="001A1A0A"/>
    <w:rsid w:val="001A3474"/>
    <w:rsid w:val="001B12D8"/>
    <w:rsid w:val="001B2499"/>
    <w:rsid w:val="001B396A"/>
    <w:rsid w:val="001B4898"/>
    <w:rsid w:val="001C0A36"/>
    <w:rsid w:val="001C330C"/>
    <w:rsid w:val="001C3C79"/>
    <w:rsid w:val="001C410E"/>
    <w:rsid w:val="001C50E6"/>
    <w:rsid w:val="001C56C0"/>
    <w:rsid w:val="001D144A"/>
    <w:rsid w:val="001E0DD0"/>
    <w:rsid w:val="001E5B35"/>
    <w:rsid w:val="001F6E72"/>
    <w:rsid w:val="00201270"/>
    <w:rsid w:val="00201342"/>
    <w:rsid w:val="00204AE7"/>
    <w:rsid w:val="00211EFF"/>
    <w:rsid w:val="00215056"/>
    <w:rsid w:val="00217576"/>
    <w:rsid w:val="00224C4B"/>
    <w:rsid w:val="002255C8"/>
    <w:rsid w:val="00226FBE"/>
    <w:rsid w:val="00232A4C"/>
    <w:rsid w:val="002334B6"/>
    <w:rsid w:val="0023482B"/>
    <w:rsid w:val="002352A5"/>
    <w:rsid w:val="00244EF7"/>
    <w:rsid w:val="002457A3"/>
    <w:rsid w:val="0024584B"/>
    <w:rsid w:val="002515E1"/>
    <w:rsid w:val="0025416A"/>
    <w:rsid w:val="00256840"/>
    <w:rsid w:val="00271A02"/>
    <w:rsid w:val="00275C07"/>
    <w:rsid w:val="00275D03"/>
    <w:rsid w:val="0027662D"/>
    <w:rsid w:val="002776C0"/>
    <w:rsid w:val="0027789E"/>
    <w:rsid w:val="00281B8A"/>
    <w:rsid w:val="002853DB"/>
    <w:rsid w:val="002875FA"/>
    <w:rsid w:val="002876F2"/>
    <w:rsid w:val="00295CF5"/>
    <w:rsid w:val="002A0546"/>
    <w:rsid w:val="002A3CA6"/>
    <w:rsid w:val="002B3B90"/>
    <w:rsid w:val="002B74E5"/>
    <w:rsid w:val="002C08C6"/>
    <w:rsid w:val="002C3944"/>
    <w:rsid w:val="002C5076"/>
    <w:rsid w:val="002D316F"/>
    <w:rsid w:val="002D7EB3"/>
    <w:rsid w:val="002E4FF0"/>
    <w:rsid w:val="002F063F"/>
    <w:rsid w:val="002F22DF"/>
    <w:rsid w:val="002F48D7"/>
    <w:rsid w:val="002F5743"/>
    <w:rsid w:val="002F5F13"/>
    <w:rsid w:val="002F6DD5"/>
    <w:rsid w:val="003055D0"/>
    <w:rsid w:val="003118E2"/>
    <w:rsid w:val="00311EE4"/>
    <w:rsid w:val="00312562"/>
    <w:rsid w:val="00314ABC"/>
    <w:rsid w:val="003151CE"/>
    <w:rsid w:val="00315661"/>
    <w:rsid w:val="00320590"/>
    <w:rsid w:val="00320BE0"/>
    <w:rsid w:val="0032140C"/>
    <w:rsid w:val="00321A0C"/>
    <w:rsid w:val="00321B25"/>
    <w:rsid w:val="00323337"/>
    <w:rsid w:val="0032485B"/>
    <w:rsid w:val="00325C37"/>
    <w:rsid w:val="0032615F"/>
    <w:rsid w:val="00332305"/>
    <w:rsid w:val="00332BF3"/>
    <w:rsid w:val="00333E76"/>
    <w:rsid w:val="003346A8"/>
    <w:rsid w:val="00336935"/>
    <w:rsid w:val="003369A3"/>
    <w:rsid w:val="00336D25"/>
    <w:rsid w:val="003379FA"/>
    <w:rsid w:val="00342EAB"/>
    <w:rsid w:val="00344045"/>
    <w:rsid w:val="00347F6C"/>
    <w:rsid w:val="003544EC"/>
    <w:rsid w:val="00355028"/>
    <w:rsid w:val="003641AB"/>
    <w:rsid w:val="0036577F"/>
    <w:rsid w:val="00366166"/>
    <w:rsid w:val="00370249"/>
    <w:rsid w:val="003719B9"/>
    <w:rsid w:val="003725FC"/>
    <w:rsid w:val="00372D46"/>
    <w:rsid w:val="00373B3B"/>
    <w:rsid w:val="00376E0E"/>
    <w:rsid w:val="003802F6"/>
    <w:rsid w:val="00380D27"/>
    <w:rsid w:val="003833C8"/>
    <w:rsid w:val="0038367D"/>
    <w:rsid w:val="00383C48"/>
    <w:rsid w:val="00384747"/>
    <w:rsid w:val="00384BF6"/>
    <w:rsid w:val="003913BB"/>
    <w:rsid w:val="003932B1"/>
    <w:rsid w:val="003A2203"/>
    <w:rsid w:val="003A23B1"/>
    <w:rsid w:val="003A2F75"/>
    <w:rsid w:val="003B43FE"/>
    <w:rsid w:val="003B47C4"/>
    <w:rsid w:val="003B545A"/>
    <w:rsid w:val="003B79FA"/>
    <w:rsid w:val="003C1B11"/>
    <w:rsid w:val="003C4F38"/>
    <w:rsid w:val="003C5053"/>
    <w:rsid w:val="003C53F3"/>
    <w:rsid w:val="003C5B62"/>
    <w:rsid w:val="003C78F2"/>
    <w:rsid w:val="003D009B"/>
    <w:rsid w:val="003D3259"/>
    <w:rsid w:val="003D4D1D"/>
    <w:rsid w:val="003D521F"/>
    <w:rsid w:val="003D666F"/>
    <w:rsid w:val="003E061F"/>
    <w:rsid w:val="003E5E4C"/>
    <w:rsid w:val="003F183F"/>
    <w:rsid w:val="003F25B0"/>
    <w:rsid w:val="003F5D67"/>
    <w:rsid w:val="003F5F99"/>
    <w:rsid w:val="003F6265"/>
    <w:rsid w:val="00400AFE"/>
    <w:rsid w:val="00402906"/>
    <w:rsid w:val="00405DA7"/>
    <w:rsid w:val="004104CB"/>
    <w:rsid w:val="00410D44"/>
    <w:rsid w:val="00410EF4"/>
    <w:rsid w:val="0041175F"/>
    <w:rsid w:val="004166EA"/>
    <w:rsid w:val="00416A25"/>
    <w:rsid w:val="004211EB"/>
    <w:rsid w:val="0042297C"/>
    <w:rsid w:val="00422C46"/>
    <w:rsid w:val="00430D03"/>
    <w:rsid w:val="004311F8"/>
    <w:rsid w:val="00431A7C"/>
    <w:rsid w:val="00433859"/>
    <w:rsid w:val="00433A4A"/>
    <w:rsid w:val="00435045"/>
    <w:rsid w:val="00435C2C"/>
    <w:rsid w:val="0044031A"/>
    <w:rsid w:val="00440488"/>
    <w:rsid w:val="00444135"/>
    <w:rsid w:val="00452669"/>
    <w:rsid w:val="00452C50"/>
    <w:rsid w:val="0045425D"/>
    <w:rsid w:val="004555A8"/>
    <w:rsid w:val="00455A12"/>
    <w:rsid w:val="004603E1"/>
    <w:rsid w:val="00461D0C"/>
    <w:rsid w:val="004641BD"/>
    <w:rsid w:val="00464373"/>
    <w:rsid w:val="004645C0"/>
    <w:rsid w:val="00464A7E"/>
    <w:rsid w:val="004657E1"/>
    <w:rsid w:val="004702BE"/>
    <w:rsid w:val="0047465C"/>
    <w:rsid w:val="00476A12"/>
    <w:rsid w:val="0048011B"/>
    <w:rsid w:val="004804BA"/>
    <w:rsid w:val="00483EF3"/>
    <w:rsid w:val="004840FA"/>
    <w:rsid w:val="004842F6"/>
    <w:rsid w:val="00484D0A"/>
    <w:rsid w:val="004851FB"/>
    <w:rsid w:val="00486872"/>
    <w:rsid w:val="00486A5D"/>
    <w:rsid w:val="00492B18"/>
    <w:rsid w:val="004967EC"/>
    <w:rsid w:val="00496AB9"/>
    <w:rsid w:val="004A02E4"/>
    <w:rsid w:val="004A4969"/>
    <w:rsid w:val="004B411F"/>
    <w:rsid w:val="004B59DF"/>
    <w:rsid w:val="004B67E1"/>
    <w:rsid w:val="004B6CD0"/>
    <w:rsid w:val="004C0801"/>
    <w:rsid w:val="004C0ADA"/>
    <w:rsid w:val="004C2D08"/>
    <w:rsid w:val="004C66BC"/>
    <w:rsid w:val="004D0490"/>
    <w:rsid w:val="004D0BA4"/>
    <w:rsid w:val="004D56A7"/>
    <w:rsid w:val="004D744A"/>
    <w:rsid w:val="004D7DD4"/>
    <w:rsid w:val="004D7E60"/>
    <w:rsid w:val="004E05CC"/>
    <w:rsid w:val="004E0BCF"/>
    <w:rsid w:val="004E4902"/>
    <w:rsid w:val="004F0321"/>
    <w:rsid w:val="004F061C"/>
    <w:rsid w:val="004F75BD"/>
    <w:rsid w:val="004F765E"/>
    <w:rsid w:val="005003AA"/>
    <w:rsid w:val="005020E1"/>
    <w:rsid w:val="005038A8"/>
    <w:rsid w:val="00506885"/>
    <w:rsid w:val="00513074"/>
    <w:rsid w:val="0051734E"/>
    <w:rsid w:val="005222D9"/>
    <w:rsid w:val="00524553"/>
    <w:rsid w:val="00524BC8"/>
    <w:rsid w:val="00526DF1"/>
    <w:rsid w:val="00535227"/>
    <w:rsid w:val="005419C2"/>
    <w:rsid w:val="00542656"/>
    <w:rsid w:val="00543432"/>
    <w:rsid w:val="00552098"/>
    <w:rsid w:val="00552326"/>
    <w:rsid w:val="00555997"/>
    <w:rsid w:val="005567D4"/>
    <w:rsid w:val="00556DF5"/>
    <w:rsid w:val="00562C43"/>
    <w:rsid w:val="005638A4"/>
    <w:rsid w:val="00564D6C"/>
    <w:rsid w:val="00570715"/>
    <w:rsid w:val="00570982"/>
    <w:rsid w:val="00570CAD"/>
    <w:rsid w:val="00573381"/>
    <w:rsid w:val="00575180"/>
    <w:rsid w:val="0058055D"/>
    <w:rsid w:val="0058291E"/>
    <w:rsid w:val="00587380"/>
    <w:rsid w:val="00597C5A"/>
    <w:rsid w:val="005A21FA"/>
    <w:rsid w:val="005A6618"/>
    <w:rsid w:val="005B1D31"/>
    <w:rsid w:val="005B35AF"/>
    <w:rsid w:val="005C0C79"/>
    <w:rsid w:val="005C2B48"/>
    <w:rsid w:val="005C51B2"/>
    <w:rsid w:val="005C6CCD"/>
    <w:rsid w:val="005C7DB4"/>
    <w:rsid w:val="005C7EDC"/>
    <w:rsid w:val="005D12A7"/>
    <w:rsid w:val="005D2771"/>
    <w:rsid w:val="005D5646"/>
    <w:rsid w:val="005E393E"/>
    <w:rsid w:val="005F13E6"/>
    <w:rsid w:val="005F1BCD"/>
    <w:rsid w:val="005F58AA"/>
    <w:rsid w:val="006018AB"/>
    <w:rsid w:val="00604689"/>
    <w:rsid w:val="00605CF0"/>
    <w:rsid w:val="00607163"/>
    <w:rsid w:val="00607734"/>
    <w:rsid w:val="00610391"/>
    <w:rsid w:val="006136D4"/>
    <w:rsid w:val="00616491"/>
    <w:rsid w:val="00621D83"/>
    <w:rsid w:val="00624207"/>
    <w:rsid w:val="0062480A"/>
    <w:rsid w:val="00624CAA"/>
    <w:rsid w:val="00625180"/>
    <w:rsid w:val="00631074"/>
    <w:rsid w:val="0063411C"/>
    <w:rsid w:val="0063446F"/>
    <w:rsid w:val="0063768F"/>
    <w:rsid w:val="0064116B"/>
    <w:rsid w:val="00644683"/>
    <w:rsid w:val="00646284"/>
    <w:rsid w:val="00646671"/>
    <w:rsid w:val="00647A02"/>
    <w:rsid w:val="00647CC3"/>
    <w:rsid w:val="006524E8"/>
    <w:rsid w:val="00653983"/>
    <w:rsid w:val="00654297"/>
    <w:rsid w:val="00654592"/>
    <w:rsid w:val="006546F2"/>
    <w:rsid w:val="00654C98"/>
    <w:rsid w:val="0066310A"/>
    <w:rsid w:val="006674B6"/>
    <w:rsid w:val="00671F59"/>
    <w:rsid w:val="0067302D"/>
    <w:rsid w:val="00673898"/>
    <w:rsid w:val="00674866"/>
    <w:rsid w:val="00675216"/>
    <w:rsid w:val="00676450"/>
    <w:rsid w:val="00676836"/>
    <w:rsid w:val="00676BE9"/>
    <w:rsid w:val="0068108F"/>
    <w:rsid w:val="00682029"/>
    <w:rsid w:val="00682042"/>
    <w:rsid w:val="006832C1"/>
    <w:rsid w:val="006960B9"/>
    <w:rsid w:val="006A447C"/>
    <w:rsid w:val="006A44B1"/>
    <w:rsid w:val="006B0F6A"/>
    <w:rsid w:val="006B51F3"/>
    <w:rsid w:val="006C3CC1"/>
    <w:rsid w:val="006D6A04"/>
    <w:rsid w:val="006D76BE"/>
    <w:rsid w:val="006E0D11"/>
    <w:rsid w:val="006E113C"/>
    <w:rsid w:val="006E194B"/>
    <w:rsid w:val="006E2DB8"/>
    <w:rsid w:val="006F0C9B"/>
    <w:rsid w:val="006F187D"/>
    <w:rsid w:val="006F4C0B"/>
    <w:rsid w:val="006F57E8"/>
    <w:rsid w:val="006F608E"/>
    <w:rsid w:val="006F7BE3"/>
    <w:rsid w:val="00700C5E"/>
    <w:rsid w:val="00713E14"/>
    <w:rsid w:val="00716A03"/>
    <w:rsid w:val="007174AB"/>
    <w:rsid w:val="00722D2C"/>
    <w:rsid w:val="00724BD6"/>
    <w:rsid w:val="0072626D"/>
    <w:rsid w:val="00731D68"/>
    <w:rsid w:val="00732553"/>
    <w:rsid w:val="00733F03"/>
    <w:rsid w:val="007350A4"/>
    <w:rsid w:val="00735A3B"/>
    <w:rsid w:val="00742620"/>
    <w:rsid w:val="00742A5C"/>
    <w:rsid w:val="00743C19"/>
    <w:rsid w:val="00743E4B"/>
    <w:rsid w:val="00744281"/>
    <w:rsid w:val="007470E2"/>
    <w:rsid w:val="00753B06"/>
    <w:rsid w:val="0075750A"/>
    <w:rsid w:val="00767BD4"/>
    <w:rsid w:val="0077304F"/>
    <w:rsid w:val="00773AA7"/>
    <w:rsid w:val="00773D96"/>
    <w:rsid w:val="00777C8E"/>
    <w:rsid w:val="0078191F"/>
    <w:rsid w:val="00783BEE"/>
    <w:rsid w:val="00785126"/>
    <w:rsid w:val="0079033F"/>
    <w:rsid w:val="00792F91"/>
    <w:rsid w:val="007935D2"/>
    <w:rsid w:val="00793BF9"/>
    <w:rsid w:val="0079591B"/>
    <w:rsid w:val="007959A9"/>
    <w:rsid w:val="00797D7C"/>
    <w:rsid w:val="007A0FAA"/>
    <w:rsid w:val="007A2137"/>
    <w:rsid w:val="007A2663"/>
    <w:rsid w:val="007A3786"/>
    <w:rsid w:val="007A404D"/>
    <w:rsid w:val="007A49A6"/>
    <w:rsid w:val="007A4B26"/>
    <w:rsid w:val="007A5331"/>
    <w:rsid w:val="007A655A"/>
    <w:rsid w:val="007A66C2"/>
    <w:rsid w:val="007A75A8"/>
    <w:rsid w:val="007B1576"/>
    <w:rsid w:val="007B200E"/>
    <w:rsid w:val="007B6433"/>
    <w:rsid w:val="007B6E26"/>
    <w:rsid w:val="007C1C7B"/>
    <w:rsid w:val="007C1EED"/>
    <w:rsid w:val="007C37DD"/>
    <w:rsid w:val="007D188A"/>
    <w:rsid w:val="007D235B"/>
    <w:rsid w:val="007D39F7"/>
    <w:rsid w:val="007D59ED"/>
    <w:rsid w:val="007D750A"/>
    <w:rsid w:val="007E4229"/>
    <w:rsid w:val="007E454A"/>
    <w:rsid w:val="007F21DE"/>
    <w:rsid w:val="007F7301"/>
    <w:rsid w:val="00802064"/>
    <w:rsid w:val="00802CE4"/>
    <w:rsid w:val="00804AB6"/>
    <w:rsid w:val="00805CBE"/>
    <w:rsid w:val="008150FD"/>
    <w:rsid w:val="00817D14"/>
    <w:rsid w:val="008225EF"/>
    <w:rsid w:val="00830E55"/>
    <w:rsid w:val="00834159"/>
    <w:rsid w:val="00834561"/>
    <w:rsid w:val="0083734C"/>
    <w:rsid w:val="0084359B"/>
    <w:rsid w:val="008451CB"/>
    <w:rsid w:val="008570CA"/>
    <w:rsid w:val="0086119C"/>
    <w:rsid w:val="008621E5"/>
    <w:rsid w:val="00865C50"/>
    <w:rsid w:val="008661E1"/>
    <w:rsid w:val="00867443"/>
    <w:rsid w:val="00867E8A"/>
    <w:rsid w:val="0087028F"/>
    <w:rsid w:val="00872738"/>
    <w:rsid w:val="008734EB"/>
    <w:rsid w:val="00876740"/>
    <w:rsid w:val="008800C6"/>
    <w:rsid w:val="00880587"/>
    <w:rsid w:val="00883165"/>
    <w:rsid w:val="008962BD"/>
    <w:rsid w:val="00896A7C"/>
    <w:rsid w:val="0089767F"/>
    <w:rsid w:val="008A134C"/>
    <w:rsid w:val="008A1B58"/>
    <w:rsid w:val="008A2567"/>
    <w:rsid w:val="008A5248"/>
    <w:rsid w:val="008A66FE"/>
    <w:rsid w:val="008A75EF"/>
    <w:rsid w:val="008B12F9"/>
    <w:rsid w:val="008B141D"/>
    <w:rsid w:val="008B1747"/>
    <w:rsid w:val="008B53D8"/>
    <w:rsid w:val="008C1BE0"/>
    <w:rsid w:val="008C3AD5"/>
    <w:rsid w:val="008C5A12"/>
    <w:rsid w:val="008C6D11"/>
    <w:rsid w:val="008D7EFA"/>
    <w:rsid w:val="008E1660"/>
    <w:rsid w:val="008E44BD"/>
    <w:rsid w:val="008E6B10"/>
    <w:rsid w:val="008F07FE"/>
    <w:rsid w:val="008F2BD9"/>
    <w:rsid w:val="008F4AB1"/>
    <w:rsid w:val="00901F97"/>
    <w:rsid w:val="00902C22"/>
    <w:rsid w:val="009031C0"/>
    <w:rsid w:val="009055D9"/>
    <w:rsid w:val="0090722D"/>
    <w:rsid w:val="0091162E"/>
    <w:rsid w:val="00911E04"/>
    <w:rsid w:val="00914245"/>
    <w:rsid w:val="00916163"/>
    <w:rsid w:val="00921F95"/>
    <w:rsid w:val="009229EE"/>
    <w:rsid w:val="00922A21"/>
    <w:rsid w:val="00923264"/>
    <w:rsid w:val="00925FF5"/>
    <w:rsid w:val="00930316"/>
    <w:rsid w:val="009368F4"/>
    <w:rsid w:val="00940BF1"/>
    <w:rsid w:val="00941062"/>
    <w:rsid w:val="00942470"/>
    <w:rsid w:val="0094275C"/>
    <w:rsid w:val="0094409D"/>
    <w:rsid w:val="00955130"/>
    <w:rsid w:val="009564E9"/>
    <w:rsid w:val="009569B2"/>
    <w:rsid w:val="00965DC0"/>
    <w:rsid w:val="00973A16"/>
    <w:rsid w:val="00973EC1"/>
    <w:rsid w:val="00974789"/>
    <w:rsid w:val="009750F4"/>
    <w:rsid w:val="009812F7"/>
    <w:rsid w:val="009860BF"/>
    <w:rsid w:val="00986354"/>
    <w:rsid w:val="00986E1E"/>
    <w:rsid w:val="009913D8"/>
    <w:rsid w:val="00995B04"/>
    <w:rsid w:val="0099615E"/>
    <w:rsid w:val="009A28FC"/>
    <w:rsid w:val="009A5322"/>
    <w:rsid w:val="009A58E3"/>
    <w:rsid w:val="009A5D08"/>
    <w:rsid w:val="009A7231"/>
    <w:rsid w:val="009B0FC1"/>
    <w:rsid w:val="009B2409"/>
    <w:rsid w:val="009B302A"/>
    <w:rsid w:val="009B4066"/>
    <w:rsid w:val="009B4514"/>
    <w:rsid w:val="009B486B"/>
    <w:rsid w:val="009C1266"/>
    <w:rsid w:val="009C226D"/>
    <w:rsid w:val="009C46FB"/>
    <w:rsid w:val="009C4C18"/>
    <w:rsid w:val="009C5F00"/>
    <w:rsid w:val="009C77A0"/>
    <w:rsid w:val="009D153A"/>
    <w:rsid w:val="009D64E4"/>
    <w:rsid w:val="009E527F"/>
    <w:rsid w:val="009F0D4B"/>
    <w:rsid w:val="009F40AB"/>
    <w:rsid w:val="009F69D8"/>
    <w:rsid w:val="009F76FB"/>
    <w:rsid w:val="009F79CB"/>
    <w:rsid w:val="00A01A33"/>
    <w:rsid w:val="00A03F43"/>
    <w:rsid w:val="00A048DA"/>
    <w:rsid w:val="00A0641C"/>
    <w:rsid w:val="00A10A1B"/>
    <w:rsid w:val="00A11832"/>
    <w:rsid w:val="00A178C0"/>
    <w:rsid w:val="00A17D48"/>
    <w:rsid w:val="00A22F65"/>
    <w:rsid w:val="00A231D9"/>
    <w:rsid w:val="00A25744"/>
    <w:rsid w:val="00A26139"/>
    <w:rsid w:val="00A30ADD"/>
    <w:rsid w:val="00A37095"/>
    <w:rsid w:val="00A3768B"/>
    <w:rsid w:val="00A41E9C"/>
    <w:rsid w:val="00A4311B"/>
    <w:rsid w:val="00A433D9"/>
    <w:rsid w:val="00A446E5"/>
    <w:rsid w:val="00A46E9E"/>
    <w:rsid w:val="00A47141"/>
    <w:rsid w:val="00A509E4"/>
    <w:rsid w:val="00A54548"/>
    <w:rsid w:val="00A548EF"/>
    <w:rsid w:val="00A55D56"/>
    <w:rsid w:val="00A560FA"/>
    <w:rsid w:val="00A60484"/>
    <w:rsid w:val="00A61C24"/>
    <w:rsid w:val="00A61C76"/>
    <w:rsid w:val="00A61DA5"/>
    <w:rsid w:val="00A61E43"/>
    <w:rsid w:val="00A6563E"/>
    <w:rsid w:val="00A660B5"/>
    <w:rsid w:val="00A66856"/>
    <w:rsid w:val="00A66C4F"/>
    <w:rsid w:val="00A66F3D"/>
    <w:rsid w:val="00A73103"/>
    <w:rsid w:val="00A73820"/>
    <w:rsid w:val="00A75F3C"/>
    <w:rsid w:val="00A762B1"/>
    <w:rsid w:val="00A765B2"/>
    <w:rsid w:val="00A76634"/>
    <w:rsid w:val="00A81648"/>
    <w:rsid w:val="00A82BDC"/>
    <w:rsid w:val="00A8331C"/>
    <w:rsid w:val="00A83F96"/>
    <w:rsid w:val="00A9006E"/>
    <w:rsid w:val="00A9379F"/>
    <w:rsid w:val="00A95B5B"/>
    <w:rsid w:val="00A95E63"/>
    <w:rsid w:val="00AA5C2C"/>
    <w:rsid w:val="00AB0C30"/>
    <w:rsid w:val="00AB5289"/>
    <w:rsid w:val="00AB5EBE"/>
    <w:rsid w:val="00AB604F"/>
    <w:rsid w:val="00AB72A6"/>
    <w:rsid w:val="00AC142D"/>
    <w:rsid w:val="00AC7C0D"/>
    <w:rsid w:val="00AD2B07"/>
    <w:rsid w:val="00AD429A"/>
    <w:rsid w:val="00AD45E8"/>
    <w:rsid w:val="00AD49B7"/>
    <w:rsid w:val="00AE374E"/>
    <w:rsid w:val="00AE4B06"/>
    <w:rsid w:val="00AF1C8B"/>
    <w:rsid w:val="00AF252C"/>
    <w:rsid w:val="00AF5E57"/>
    <w:rsid w:val="00B00608"/>
    <w:rsid w:val="00B0122B"/>
    <w:rsid w:val="00B04B74"/>
    <w:rsid w:val="00B14F5B"/>
    <w:rsid w:val="00B17387"/>
    <w:rsid w:val="00B20526"/>
    <w:rsid w:val="00B20F92"/>
    <w:rsid w:val="00B34E68"/>
    <w:rsid w:val="00B35A06"/>
    <w:rsid w:val="00B434B7"/>
    <w:rsid w:val="00B45028"/>
    <w:rsid w:val="00B4504C"/>
    <w:rsid w:val="00B4559F"/>
    <w:rsid w:val="00B46CB4"/>
    <w:rsid w:val="00B4776C"/>
    <w:rsid w:val="00B47AE6"/>
    <w:rsid w:val="00B5056D"/>
    <w:rsid w:val="00B5207C"/>
    <w:rsid w:val="00B6073B"/>
    <w:rsid w:val="00B61B3E"/>
    <w:rsid w:val="00B63D30"/>
    <w:rsid w:val="00B65A4B"/>
    <w:rsid w:val="00B67745"/>
    <w:rsid w:val="00B71611"/>
    <w:rsid w:val="00B74A1F"/>
    <w:rsid w:val="00B75A3A"/>
    <w:rsid w:val="00B8015C"/>
    <w:rsid w:val="00B840D0"/>
    <w:rsid w:val="00B92DA9"/>
    <w:rsid w:val="00BA1C6E"/>
    <w:rsid w:val="00BA5EC4"/>
    <w:rsid w:val="00BA73CD"/>
    <w:rsid w:val="00BB1712"/>
    <w:rsid w:val="00BB1C65"/>
    <w:rsid w:val="00BC0C25"/>
    <w:rsid w:val="00BC0F49"/>
    <w:rsid w:val="00BC1A18"/>
    <w:rsid w:val="00BC3086"/>
    <w:rsid w:val="00BC710E"/>
    <w:rsid w:val="00BD3E39"/>
    <w:rsid w:val="00BE26A8"/>
    <w:rsid w:val="00BE2991"/>
    <w:rsid w:val="00BE38F4"/>
    <w:rsid w:val="00BE6921"/>
    <w:rsid w:val="00BF1C17"/>
    <w:rsid w:val="00BF1DDE"/>
    <w:rsid w:val="00BF2582"/>
    <w:rsid w:val="00BF3355"/>
    <w:rsid w:val="00BF4177"/>
    <w:rsid w:val="00BF4C8D"/>
    <w:rsid w:val="00C02F22"/>
    <w:rsid w:val="00C04AF5"/>
    <w:rsid w:val="00C076AD"/>
    <w:rsid w:val="00C1109D"/>
    <w:rsid w:val="00C119F0"/>
    <w:rsid w:val="00C1318E"/>
    <w:rsid w:val="00C14083"/>
    <w:rsid w:val="00C168AB"/>
    <w:rsid w:val="00C21CCC"/>
    <w:rsid w:val="00C21F93"/>
    <w:rsid w:val="00C23DEB"/>
    <w:rsid w:val="00C24CCD"/>
    <w:rsid w:val="00C26742"/>
    <w:rsid w:val="00C33158"/>
    <w:rsid w:val="00C343DC"/>
    <w:rsid w:val="00C344CE"/>
    <w:rsid w:val="00C4593F"/>
    <w:rsid w:val="00C459D9"/>
    <w:rsid w:val="00C46399"/>
    <w:rsid w:val="00C47290"/>
    <w:rsid w:val="00C50534"/>
    <w:rsid w:val="00C55852"/>
    <w:rsid w:val="00C6201E"/>
    <w:rsid w:val="00C659AA"/>
    <w:rsid w:val="00C65EA8"/>
    <w:rsid w:val="00C66D4D"/>
    <w:rsid w:val="00C71F11"/>
    <w:rsid w:val="00C720E1"/>
    <w:rsid w:val="00C72669"/>
    <w:rsid w:val="00C74C37"/>
    <w:rsid w:val="00C75A9B"/>
    <w:rsid w:val="00C77B2D"/>
    <w:rsid w:val="00C80444"/>
    <w:rsid w:val="00C84E51"/>
    <w:rsid w:val="00C90E80"/>
    <w:rsid w:val="00C931D0"/>
    <w:rsid w:val="00C968C2"/>
    <w:rsid w:val="00CA2659"/>
    <w:rsid w:val="00CA292C"/>
    <w:rsid w:val="00CA3A3D"/>
    <w:rsid w:val="00CA4CBC"/>
    <w:rsid w:val="00CA51C7"/>
    <w:rsid w:val="00CA6435"/>
    <w:rsid w:val="00CB56D1"/>
    <w:rsid w:val="00CB60E1"/>
    <w:rsid w:val="00CC0AD3"/>
    <w:rsid w:val="00CC2D56"/>
    <w:rsid w:val="00CC2DB9"/>
    <w:rsid w:val="00CC71B2"/>
    <w:rsid w:val="00CD3C2E"/>
    <w:rsid w:val="00CE0746"/>
    <w:rsid w:val="00CE2CE5"/>
    <w:rsid w:val="00CE2ED4"/>
    <w:rsid w:val="00CE79C3"/>
    <w:rsid w:val="00CE7A30"/>
    <w:rsid w:val="00CF0935"/>
    <w:rsid w:val="00CF1401"/>
    <w:rsid w:val="00CF4293"/>
    <w:rsid w:val="00CF66CA"/>
    <w:rsid w:val="00D0059A"/>
    <w:rsid w:val="00D0096D"/>
    <w:rsid w:val="00D03A6F"/>
    <w:rsid w:val="00D06633"/>
    <w:rsid w:val="00D074DB"/>
    <w:rsid w:val="00D0795D"/>
    <w:rsid w:val="00D13EEA"/>
    <w:rsid w:val="00D1678F"/>
    <w:rsid w:val="00D172EB"/>
    <w:rsid w:val="00D20883"/>
    <w:rsid w:val="00D2163E"/>
    <w:rsid w:val="00D21863"/>
    <w:rsid w:val="00D2321D"/>
    <w:rsid w:val="00D23ECC"/>
    <w:rsid w:val="00D25C43"/>
    <w:rsid w:val="00D261F8"/>
    <w:rsid w:val="00D272EB"/>
    <w:rsid w:val="00D30C2C"/>
    <w:rsid w:val="00D31BFE"/>
    <w:rsid w:val="00D365B6"/>
    <w:rsid w:val="00D366EA"/>
    <w:rsid w:val="00D3688B"/>
    <w:rsid w:val="00D47362"/>
    <w:rsid w:val="00D51FF2"/>
    <w:rsid w:val="00D524F2"/>
    <w:rsid w:val="00D54B9E"/>
    <w:rsid w:val="00D55621"/>
    <w:rsid w:val="00D56D64"/>
    <w:rsid w:val="00D56F91"/>
    <w:rsid w:val="00D57116"/>
    <w:rsid w:val="00D6001A"/>
    <w:rsid w:val="00D600AA"/>
    <w:rsid w:val="00D60893"/>
    <w:rsid w:val="00D62EFC"/>
    <w:rsid w:val="00D666F6"/>
    <w:rsid w:val="00D6675A"/>
    <w:rsid w:val="00D72B9A"/>
    <w:rsid w:val="00D733E1"/>
    <w:rsid w:val="00D73F9D"/>
    <w:rsid w:val="00D76798"/>
    <w:rsid w:val="00D7722E"/>
    <w:rsid w:val="00D86219"/>
    <w:rsid w:val="00D8797C"/>
    <w:rsid w:val="00D90A2F"/>
    <w:rsid w:val="00D933A2"/>
    <w:rsid w:val="00D9667B"/>
    <w:rsid w:val="00D967BB"/>
    <w:rsid w:val="00D97603"/>
    <w:rsid w:val="00DA1B8D"/>
    <w:rsid w:val="00DA3262"/>
    <w:rsid w:val="00DA3E9A"/>
    <w:rsid w:val="00DA50C0"/>
    <w:rsid w:val="00DA685F"/>
    <w:rsid w:val="00DB2D0C"/>
    <w:rsid w:val="00DC0D3F"/>
    <w:rsid w:val="00DC4139"/>
    <w:rsid w:val="00DD7CF3"/>
    <w:rsid w:val="00DE084A"/>
    <w:rsid w:val="00DE3B0D"/>
    <w:rsid w:val="00DE629A"/>
    <w:rsid w:val="00DE723C"/>
    <w:rsid w:val="00DF0BE8"/>
    <w:rsid w:val="00DF586C"/>
    <w:rsid w:val="00DF6358"/>
    <w:rsid w:val="00DF73E7"/>
    <w:rsid w:val="00E0180B"/>
    <w:rsid w:val="00E0216D"/>
    <w:rsid w:val="00E02D71"/>
    <w:rsid w:val="00E12FF0"/>
    <w:rsid w:val="00E15E1B"/>
    <w:rsid w:val="00E15F69"/>
    <w:rsid w:val="00E20138"/>
    <w:rsid w:val="00E21774"/>
    <w:rsid w:val="00E22FCC"/>
    <w:rsid w:val="00E26D06"/>
    <w:rsid w:val="00E316E3"/>
    <w:rsid w:val="00E320F3"/>
    <w:rsid w:val="00E324F1"/>
    <w:rsid w:val="00E33D24"/>
    <w:rsid w:val="00E3430A"/>
    <w:rsid w:val="00E3488C"/>
    <w:rsid w:val="00E3598E"/>
    <w:rsid w:val="00E35F92"/>
    <w:rsid w:val="00E44B22"/>
    <w:rsid w:val="00E44BB1"/>
    <w:rsid w:val="00E5265B"/>
    <w:rsid w:val="00E52787"/>
    <w:rsid w:val="00E56F47"/>
    <w:rsid w:val="00E611C5"/>
    <w:rsid w:val="00E623E3"/>
    <w:rsid w:val="00E63928"/>
    <w:rsid w:val="00E64C56"/>
    <w:rsid w:val="00E72BDE"/>
    <w:rsid w:val="00E769DC"/>
    <w:rsid w:val="00E8019B"/>
    <w:rsid w:val="00E871C1"/>
    <w:rsid w:val="00E87BCB"/>
    <w:rsid w:val="00E953DB"/>
    <w:rsid w:val="00E96742"/>
    <w:rsid w:val="00EA01CD"/>
    <w:rsid w:val="00EA1DE2"/>
    <w:rsid w:val="00EA437D"/>
    <w:rsid w:val="00EA4A06"/>
    <w:rsid w:val="00EA541C"/>
    <w:rsid w:val="00EA58F3"/>
    <w:rsid w:val="00EA67A5"/>
    <w:rsid w:val="00EB1889"/>
    <w:rsid w:val="00EB465D"/>
    <w:rsid w:val="00EC47EE"/>
    <w:rsid w:val="00EC5022"/>
    <w:rsid w:val="00EC5A1F"/>
    <w:rsid w:val="00ED133B"/>
    <w:rsid w:val="00ED345C"/>
    <w:rsid w:val="00ED4864"/>
    <w:rsid w:val="00ED6A34"/>
    <w:rsid w:val="00ED78BD"/>
    <w:rsid w:val="00EE29E7"/>
    <w:rsid w:val="00EE2EF2"/>
    <w:rsid w:val="00EE3875"/>
    <w:rsid w:val="00EE5B1B"/>
    <w:rsid w:val="00EF0311"/>
    <w:rsid w:val="00EF1095"/>
    <w:rsid w:val="00EF2417"/>
    <w:rsid w:val="00F001C0"/>
    <w:rsid w:val="00F00CF3"/>
    <w:rsid w:val="00F03D10"/>
    <w:rsid w:val="00F04442"/>
    <w:rsid w:val="00F04806"/>
    <w:rsid w:val="00F10516"/>
    <w:rsid w:val="00F130EB"/>
    <w:rsid w:val="00F16268"/>
    <w:rsid w:val="00F22B33"/>
    <w:rsid w:val="00F23412"/>
    <w:rsid w:val="00F2784E"/>
    <w:rsid w:val="00F3485C"/>
    <w:rsid w:val="00F3632D"/>
    <w:rsid w:val="00F36802"/>
    <w:rsid w:val="00F400E9"/>
    <w:rsid w:val="00F4149E"/>
    <w:rsid w:val="00F41A61"/>
    <w:rsid w:val="00F42046"/>
    <w:rsid w:val="00F420A4"/>
    <w:rsid w:val="00F421E8"/>
    <w:rsid w:val="00F42D0F"/>
    <w:rsid w:val="00F51FB8"/>
    <w:rsid w:val="00F55B08"/>
    <w:rsid w:val="00F55E4C"/>
    <w:rsid w:val="00F568B3"/>
    <w:rsid w:val="00F56DD5"/>
    <w:rsid w:val="00F6299A"/>
    <w:rsid w:val="00F657D2"/>
    <w:rsid w:val="00F663C9"/>
    <w:rsid w:val="00F71DC9"/>
    <w:rsid w:val="00F7724B"/>
    <w:rsid w:val="00F86F41"/>
    <w:rsid w:val="00F87043"/>
    <w:rsid w:val="00F90055"/>
    <w:rsid w:val="00F91196"/>
    <w:rsid w:val="00FA03AD"/>
    <w:rsid w:val="00FA1D02"/>
    <w:rsid w:val="00FA2FB5"/>
    <w:rsid w:val="00FB00B6"/>
    <w:rsid w:val="00FB2F9B"/>
    <w:rsid w:val="00FB35C3"/>
    <w:rsid w:val="00FB38BE"/>
    <w:rsid w:val="00FB4DA0"/>
    <w:rsid w:val="00FB4DDA"/>
    <w:rsid w:val="00FB7AB9"/>
    <w:rsid w:val="00FC025D"/>
    <w:rsid w:val="00FC2CA1"/>
    <w:rsid w:val="00FC31F0"/>
    <w:rsid w:val="00FC5621"/>
    <w:rsid w:val="00FC56D9"/>
    <w:rsid w:val="00FD3DDC"/>
    <w:rsid w:val="00FE08DA"/>
    <w:rsid w:val="00FE3D90"/>
    <w:rsid w:val="00FE6587"/>
    <w:rsid w:val="00FE7C21"/>
    <w:rsid w:val="00FF0EE1"/>
    <w:rsid w:val="00FF22A3"/>
    <w:rsid w:val="00FF30B8"/>
    <w:rsid w:val="00FF7A3C"/>
    <w:rsid w:val="00FF7E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8241"/>
    <o:shapelayout v:ext="edit">
      <o:idmap v:ext="edit" data="1"/>
    </o:shapelayout>
  </w:shapeDefaults>
  <w:decimalSymbol w:val="."/>
  <w:listSeparator w:val=","/>
  <w14:docId w14:val="4A24B676"/>
  <w15:docId w15:val="{046EB9A6-F3E4-4945-BB38-85519CA1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semiHidden="1" w:uiPriority="98" w:qFormat="1"/>
    <w:lsdException w:name="Closing" w:semiHidden="1" w:unhideWhenUsed="1"/>
    <w:lsdException w:name="Signature" w:semiHidden="1" w:unhideWhenUsed="1"/>
    <w:lsdException w:name="Default Paragraph Font" w:semiHidden="1" w:uiPriority="98"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98" w:qFormat="1"/>
    <w:lsdException w:name="Intense Quote" w:semiHidden="1"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semiHidden="1" w:uiPriority="98" w:qFormat="1"/>
    <w:lsdException w:name="Subtle Reference" w:semiHidden="1" w:uiPriority="98" w:qFormat="1"/>
    <w:lsdException w:name="Intense Reference" w:semiHidden="1" w:uiPriority="98" w:qFormat="1"/>
    <w:lsdException w:name="Book Title" w:semiHidden="1" w:uiPriority="9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59F"/>
    <w:pPr>
      <w:spacing w:after="160" w:line="259" w:lineRule="auto"/>
    </w:pPr>
    <w:rPr>
      <w:sz w:val="22"/>
      <w:szCs w:val="22"/>
      <w:lang w:eastAsia="en-US"/>
    </w:rPr>
  </w:style>
  <w:style w:type="paragraph" w:styleId="Heading1">
    <w:name w:val="heading 1"/>
    <w:basedOn w:val="Normal"/>
    <w:next w:val="Normal"/>
    <w:link w:val="Heading1Char"/>
    <w:uiPriority w:val="9"/>
    <w:qFormat/>
    <w:rsid w:val="00062049"/>
    <w:pPr>
      <w:jc w:val="center"/>
      <w:outlineLvl w:val="0"/>
    </w:pPr>
    <w:rPr>
      <w:rFonts w:ascii="Arial" w:hAnsi="Arial" w:cs="Arial"/>
      <w:sz w:val="48"/>
      <w:szCs w:val="48"/>
    </w:rPr>
  </w:style>
  <w:style w:type="paragraph" w:styleId="Heading2">
    <w:name w:val="heading 2"/>
    <w:basedOn w:val="Normal"/>
    <w:next w:val="Normal"/>
    <w:link w:val="Heading2Char"/>
    <w:uiPriority w:val="9"/>
    <w:unhideWhenUsed/>
    <w:qFormat/>
    <w:rsid w:val="00902C22"/>
    <w:pPr>
      <w:keepNext/>
      <w:keepLines/>
      <w:pageBreakBefore/>
      <w:spacing w:after="400" w:line="240" w:lineRule="auto"/>
      <w:outlineLvl w:val="1"/>
    </w:pPr>
    <w:rPr>
      <w:rFonts w:ascii="Arial" w:eastAsia="Times New Roman" w:hAnsi="Arial"/>
      <w:bCs/>
      <w:iCs/>
      <w:sz w:val="44"/>
      <w:szCs w:val="28"/>
    </w:rPr>
  </w:style>
  <w:style w:type="paragraph" w:styleId="Heading3">
    <w:name w:val="heading 3"/>
    <w:basedOn w:val="Normal"/>
    <w:next w:val="Normal"/>
    <w:link w:val="Heading3Char"/>
    <w:uiPriority w:val="9"/>
    <w:unhideWhenUsed/>
    <w:qFormat/>
    <w:rsid w:val="00B4559F"/>
    <w:pPr>
      <w:keepNext/>
      <w:keepLines/>
      <w:spacing w:before="300" w:after="120" w:line="240" w:lineRule="auto"/>
      <w:outlineLvl w:val="2"/>
    </w:pPr>
    <w:rPr>
      <w:rFonts w:ascii="Arial" w:eastAsia="Times New Roman" w:hAnsi="Arial"/>
      <w:b/>
      <w:bCs/>
      <w:color w:val="2464AB"/>
      <w:sz w:val="30"/>
      <w:szCs w:val="28"/>
    </w:rPr>
  </w:style>
  <w:style w:type="paragraph" w:styleId="Heading4">
    <w:name w:val="heading 4"/>
    <w:basedOn w:val="Normal"/>
    <w:next w:val="Normal"/>
    <w:link w:val="Heading4Char"/>
    <w:uiPriority w:val="9"/>
    <w:unhideWhenUsed/>
    <w:qFormat/>
    <w:rsid w:val="00C076AD"/>
    <w:pPr>
      <w:keepNext/>
      <w:keepLines/>
      <w:spacing w:before="300" w:after="120" w:line="240" w:lineRule="auto"/>
      <w:outlineLvl w:val="3"/>
    </w:pPr>
    <w:rPr>
      <w:rFonts w:ascii="Arial" w:eastAsia="Times New Roman" w:hAnsi="Arial"/>
      <w:b/>
      <w:bCs/>
      <w:sz w:val="26"/>
      <w:szCs w:val="26"/>
    </w:rPr>
  </w:style>
  <w:style w:type="paragraph" w:styleId="Heading5">
    <w:name w:val="heading 5"/>
    <w:basedOn w:val="Normal"/>
    <w:next w:val="Normal"/>
    <w:link w:val="Heading5Char"/>
    <w:uiPriority w:val="9"/>
    <w:unhideWhenUsed/>
    <w:qFormat/>
    <w:rsid w:val="00D03A6F"/>
    <w:pPr>
      <w:keepNext/>
      <w:keepLines/>
      <w:spacing w:before="300" w:after="120" w:line="240" w:lineRule="auto"/>
      <w:outlineLvl w:val="4"/>
    </w:pPr>
    <w:rPr>
      <w:rFonts w:ascii="Arial" w:eastAsia="Times New Roman" w:hAnsi="Arial"/>
      <w:b/>
      <w:bCs/>
      <w:iCs/>
      <w:szCs w:val="26"/>
    </w:rPr>
  </w:style>
  <w:style w:type="paragraph" w:styleId="Heading6">
    <w:name w:val="heading 6"/>
    <w:basedOn w:val="Normal"/>
    <w:next w:val="Normal"/>
    <w:link w:val="Heading6Char"/>
    <w:uiPriority w:val="9"/>
    <w:unhideWhenUsed/>
    <w:qFormat/>
    <w:rsid w:val="00DF73E7"/>
    <w:pPr>
      <w:keepNext/>
      <w:keepLines/>
      <w:spacing w:before="240" w:after="60"/>
      <w:outlineLvl w:val="5"/>
    </w:pPr>
    <w:rPr>
      <w:rFonts w:ascii="Arial" w:eastAsia="Times New Roman"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62049"/>
    <w:rPr>
      <w:rFonts w:ascii="Arial" w:hAnsi="Arial" w:cs="Arial"/>
      <w:sz w:val="48"/>
      <w:szCs w:val="48"/>
      <w:lang w:eastAsia="en-US"/>
    </w:rPr>
  </w:style>
  <w:style w:type="paragraph" w:customStyle="1" w:styleId="TableText">
    <w:name w:val="Table Text"/>
    <w:basedOn w:val="Normal"/>
    <w:uiPriority w:val="11"/>
    <w:qFormat/>
    <w:rsid w:val="00A178C0"/>
    <w:pPr>
      <w:spacing w:before="80" w:after="60" w:line="240" w:lineRule="auto"/>
    </w:pPr>
    <w:rPr>
      <w:rFonts w:ascii="Arial" w:hAnsi="Arial"/>
      <w:sz w:val="18"/>
    </w:rPr>
  </w:style>
  <w:style w:type="character" w:customStyle="1" w:styleId="Heading2Char">
    <w:name w:val="Heading 2 Char"/>
    <w:link w:val="Heading2"/>
    <w:uiPriority w:val="9"/>
    <w:rsid w:val="00902C22"/>
    <w:rPr>
      <w:rFonts w:ascii="Arial" w:eastAsia="Times New Roman" w:hAnsi="Arial"/>
      <w:bCs/>
      <w:iCs/>
      <w:sz w:val="44"/>
      <w:szCs w:val="28"/>
      <w:lang w:eastAsia="en-US"/>
    </w:rPr>
  </w:style>
  <w:style w:type="character" w:customStyle="1" w:styleId="Heading3Char">
    <w:name w:val="Heading 3 Char"/>
    <w:link w:val="Heading3"/>
    <w:uiPriority w:val="9"/>
    <w:rsid w:val="00B4559F"/>
    <w:rPr>
      <w:rFonts w:ascii="Arial" w:eastAsia="Times New Roman" w:hAnsi="Arial"/>
      <w:b/>
      <w:bCs/>
      <w:color w:val="2464AB"/>
      <w:sz w:val="30"/>
      <w:szCs w:val="28"/>
      <w:lang w:eastAsia="en-US"/>
    </w:rPr>
  </w:style>
  <w:style w:type="paragraph" w:styleId="TOC1">
    <w:name w:val="toc 1"/>
    <w:basedOn w:val="Normal"/>
    <w:next w:val="Normal"/>
    <w:autoRedefine/>
    <w:uiPriority w:val="39"/>
    <w:unhideWhenUsed/>
    <w:rsid w:val="00122E20"/>
    <w:pPr>
      <w:tabs>
        <w:tab w:val="right" w:leader="dot" w:pos="9072"/>
      </w:tabs>
      <w:spacing w:before="200" w:after="80"/>
    </w:pPr>
    <w:rPr>
      <w:rFonts w:ascii="Arial" w:hAnsi="Arial"/>
      <w:b/>
      <w:sz w:val="20"/>
    </w:rPr>
  </w:style>
  <w:style w:type="paragraph" w:styleId="TOC2">
    <w:name w:val="toc 2"/>
    <w:basedOn w:val="Normal"/>
    <w:next w:val="Normal"/>
    <w:autoRedefine/>
    <w:uiPriority w:val="39"/>
    <w:unhideWhenUsed/>
    <w:rsid w:val="004B59DF"/>
    <w:pPr>
      <w:tabs>
        <w:tab w:val="right" w:leader="dot" w:pos="9072"/>
      </w:tabs>
      <w:spacing w:before="120" w:after="120" w:line="240" w:lineRule="auto"/>
    </w:pPr>
    <w:rPr>
      <w:rFonts w:ascii="Arial" w:hAnsi="Arial"/>
      <w:noProof/>
      <w:sz w:val="20"/>
    </w:rPr>
  </w:style>
  <w:style w:type="paragraph" w:styleId="TOC3">
    <w:name w:val="toc 3"/>
    <w:basedOn w:val="Normal"/>
    <w:next w:val="Normal"/>
    <w:autoRedefine/>
    <w:uiPriority w:val="39"/>
    <w:unhideWhenUsed/>
    <w:rsid w:val="00C90E80"/>
    <w:pPr>
      <w:ind w:left="440"/>
    </w:pPr>
  </w:style>
  <w:style w:type="character" w:styleId="Hyperlink">
    <w:name w:val="Hyperlink"/>
    <w:uiPriority w:val="99"/>
    <w:unhideWhenUsed/>
    <w:rsid w:val="00B4559F"/>
    <w:rPr>
      <w:color w:val="2464AB"/>
      <w:u w:val="single"/>
    </w:rPr>
  </w:style>
  <w:style w:type="paragraph" w:styleId="BodyText">
    <w:name w:val="Body Text"/>
    <w:link w:val="BodyTextChar"/>
    <w:uiPriority w:val="99"/>
    <w:rsid w:val="00D51FF2"/>
    <w:pPr>
      <w:spacing w:before="160" w:after="160" w:line="312" w:lineRule="auto"/>
    </w:pPr>
    <w:rPr>
      <w:rFonts w:ascii="Arial" w:eastAsia="Times New Roman" w:hAnsi="Arial" w:cs="Arial"/>
      <w:szCs w:val="24"/>
      <w:lang w:eastAsia="en-US"/>
    </w:rPr>
  </w:style>
  <w:style w:type="character" w:customStyle="1" w:styleId="BodyTextChar">
    <w:name w:val="Body Text Char"/>
    <w:link w:val="BodyText"/>
    <w:uiPriority w:val="99"/>
    <w:rsid w:val="00D51FF2"/>
    <w:rPr>
      <w:rFonts w:ascii="Arial" w:eastAsia="Times New Roman" w:hAnsi="Arial" w:cs="Arial"/>
      <w:szCs w:val="24"/>
      <w:lang w:eastAsia="en-US"/>
    </w:rPr>
  </w:style>
  <w:style w:type="paragraph" w:customStyle="1" w:styleId="TableColHead">
    <w:name w:val="Table Col Head"/>
    <w:basedOn w:val="Normal"/>
    <w:uiPriority w:val="11"/>
    <w:qFormat/>
    <w:rsid w:val="00A178C0"/>
    <w:pPr>
      <w:spacing w:before="80" w:after="60" w:line="240" w:lineRule="auto"/>
    </w:pPr>
    <w:rPr>
      <w:rFonts w:ascii="Arial" w:hAnsi="Arial" w:cs="Arial"/>
      <w:b/>
      <w:color w:val="FFFFFF"/>
      <w:w w:val="110"/>
      <w:sz w:val="18"/>
      <w:szCs w:val="18"/>
    </w:rPr>
  </w:style>
  <w:style w:type="paragraph" w:customStyle="1" w:styleId="TableTextRight">
    <w:name w:val="Table Text Right"/>
    <w:basedOn w:val="TableText"/>
    <w:qFormat/>
    <w:rsid w:val="008C1BE0"/>
    <w:pPr>
      <w:jc w:val="right"/>
    </w:pPr>
  </w:style>
  <w:style w:type="table" w:styleId="TableGrid">
    <w:name w:val="Table Grid"/>
    <w:basedOn w:val="TableNormal"/>
    <w:uiPriority w:val="39"/>
    <w:rsid w:val="006674B6"/>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EF1F9"/>
    </w:tcPr>
    <w:tblStylePr w:type="firstRow">
      <w:tblPr/>
      <w:tcPr>
        <w:shd w:val="clear" w:color="auto" w:fill="2464AB"/>
        <w:vAlign w:val="bottom"/>
      </w:tcPr>
    </w:tblStylePr>
  </w:style>
  <w:style w:type="paragraph" w:styleId="Header">
    <w:name w:val="header"/>
    <w:basedOn w:val="Normal"/>
    <w:link w:val="HeaderChar"/>
    <w:uiPriority w:val="99"/>
    <w:unhideWhenUsed/>
    <w:rsid w:val="00C71F11"/>
    <w:pPr>
      <w:tabs>
        <w:tab w:val="center" w:pos="4513"/>
        <w:tab w:val="right" w:pos="9026"/>
      </w:tabs>
    </w:pPr>
  </w:style>
  <w:style w:type="character" w:customStyle="1" w:styleId="HeaderChar">
    <w:name w:val="Header Char"/>
    <w:link w:val="Header"/>
    <w:uiPriority w:val="99"/>
    <w:rsid w:val="00C71F11"/>
    <w:rPr>
      <w:sz w:val="22"/>
      <w:szCs w:val="22"/>
      <w:lang w:eastAsia="en-US"/>
    </w:rPr>
  </w:style>
  <w:style w:type="paragraph" w:styleId="Footer">
    <w:name w:val="footer"/>
    <w:basedOn w:val="Normal"/>
    <w:link w:val="FooterChar"/>
    <w:uiPriority w:val="99"/>
    <w:unhideWhenUsed/>
    <w:rsid w:val="00783BEE"/>
    <w:pPr>
      <w:tabs>
        <w:tab w:val="right" w:pos="9072"/>
      </w:tabs>
      <w:spacing w:after="0" w:line="240" w:lineRule="auto"/>
    </w:pPr>
    <w:rPr>
      <w:rFonts w:ascii="Arial" w:hAnsi="Arial"/>
      <w:sz w:val="18"/>
    </w:rPr>
  </w:style>
  <w:style w:type="character" w:customStyle="1" w:styleId="FooterChar">
    <w:name w:val="Footer Char"/>
    <w:link w:val="Footer"/>
    <w:uiPriority w:val="99"/>
    <w:rsid w:val="00783BEE"/>
    <w:rPr>
      <w:rFonts w:ascii="Arial" w:hAnsi="Arial"/>
      <w:sz w:val="18"/>
      <w:szCs w:val="22"/>
      <w:lang w:eastAsia="en-US"/>
    </w:rPr>
  </w:style>
  <w:style w:type="paragraph" w:styleId="Caption">
    <w:name w:val="caption"/>
    <w:basedOn w:val="Normal"/>
    <w:next w:val="Normal"/>
    <w:uiPriority w:val="35"/>
    <w:unhideWhenUsed/>
    <w:qFormat/>
    <w:rsid w:val="003544EC"/>
    <w:pPr>
      <w:keepNext/>
      <w:keepLines/>
      <w:spacing w:before="300" w:after="120" w:line="240" w:lineRule="auto"/>
    </w:pPr>
    <w:rPr>
      <w:rFonts w:ascii="Arial" w:hAnsi="Arial" w:cs="Arial"/>
      <w:b/>
      <w:bCs/>
      <w:szCs w:val="20"/>
    </w:rPr>
  </w:style>
  <w:style w:type="paragraph" w:styleId="TOC4">
    <w:name w:val="toc 4"/>
    <w:basedOn w:val="Normal"/>
    <w:next w:val="Normal"/>
    <w:autoRedefine/>
    <w:uiPriority w:val="39"/>
    <w:semiHidden/>
    <w:rsid w:val="004F0321"/>
    <w:pPr>
      <w:spacing w:after="100"/>
      <w:ind w:left="660"/>
    </w:pPr>
    <w:rPr>
      <w:rFonts w:eastAsia="Times New Roman"/>
      <w:lang w:eastAsia="en-AU"/>
    </w:rPr>
  </w:style>
  <w:style w:type="paragraph" w:styleId="TOC5">
    <w:name w:val="toc 5"/>
    <w:basedOn w:val="Normal"/>
    <w:next w:val="Normal"/>
    <w:autoRedefine/>
    <w:uiPriority w:val="39"/>
    <w:semiHidden/>
    <w:rsid w:val="004F0321"/>
    <w:pPr>
      <w:spacing w:after="100"/>
      <w:ind w:left="880"/>
    </w:pPr>
    <w:rPr>
      <w:rFonts w:eastAsia="Times New Roman"/>
      <w:lang w:eastAsia="en-AU"/>
    </w:rPr>
  </w:style>
  <w:style w:type="paragraph" w:styleId="TOC6">
    <w:name w:val="toc 6"/>
    <w:basedOn w:val="Normal"/>
    <w:next w:val="Normal"/>
    <w:autoRedefine/>
    <w:uiPriority w:val="39"/>
    <w:semiHidden/>
    <w:rsid w:val="004F0321"/>
    <w:pPr>
      <w:spacing w:after="100"/>
      <w:ind w:left="1100"/>
    </w:pPr>
    <w:rPr>
      <w:rFonts w:eastAsia="Times New Roman"/>
      <w:lang w:eastAsia="en-AU"/>
    </w:rPr>
  </w:style>
  <w:style w:type="paragraph" w:styleId="TOC7">
    <w:name w:val="toc 7"/>
    <w:basedOn w:val="Normal"/>
    <w:next w:val="Normal"/>
    <w:autoRedefine/>
    <w:uiPriority w:val="39"/>
    <w:semiHidden/>
    <w:rsid w:val="004F0321"/>
    <w:pPr>
      <w:spacing w:after="100"/>
      <w:ind w:left="1320"/>
    </w:pPr>
    <w:rPr>
      <w:rFonts w:eastAsia="Times New Roman"/>
      <w:lang w:eastAsia="en-AU"/>
    </w:rPr>
  </w:style>
  <w:style w:type="paragraph" w:styleId="TOC8">
    <w:name w:val="toc 8"/>
    <w:basedOn w:val="Normal"/>
    <w:next w:val="Normal"/>
    <w:autoRedefine/>
    <w:uiPriority w:val="39"/>
    <w:semiHidden/>
    <w:rsid w:val="004F0321"/>
    <w:pPr>
      <w:spacing w:after="100"/>
      <w:ind w:left="1540"/>
    </w:pPr>
    <w:rPr>
      <w:rFonts w:eastAsia="Times New Roman"/>
      <w:lang w:eastAsia="en-AU"/>
    </w:rPr>
  </w:style>
  <w:style w:type="paragraph" w:styleId="TOC9">
    <w:name w:val="toc 9"/>
    <w:basedOn w:val="Normal"/>
    <w:next w:val="Normal"/>
    <w:autoRedefine/>
    <w:uiPriority w:val="39"/>
    <w:semiHidden/>
    <w:rsid w:val="004F0321"/>
    <w:pPr>
      <w:spacing w:after="100"/>
      <w:ind w:left="1760"/>
    </w:pPr>
    <w:rPr>
      <w:rFonts w:eastAsia="Times New Roman"/>
      <w:lang w:eastAsia="en-AU"/>
    </w:rPr>
  </w:style>
  <w:style w:type="paragraph" w:styleId="NoSpacing">
    <w:name w:val="No Spacing"/>
    <w:uiPriority w:val="98"/>
    <w:qFormat/>
    <w:rsid w:val="004F0321"/>
    <w:rPr>
      <w:sz w:val="22"/>
      <w:szCs w:val="22"/>
      <w:lang w:eastAsia="en-US"/>
    </w:rPr>
  </w:style>
  <w:style w:type="paragraph" w:styleId="NormalWeb">
    <w:name w:val="Normal (Web)"/>
    <w:basedOn w:val="Normal"/>
    <w:uiPriority w:val="99"/>
    <w:semiHidden/>
    <w:rsid w:val="00B74A1F"/>
    <w:rPr>
      <w:rFonts w:ascii="Times New Roman" w:hAnsi="Times New Roman"/>
      <w:sz w:val="24"/>
      <w:szCs w:val="24"/>
    </w:rPr>
  </w:style>
  <w:style w:type="paragraph" w:styleId="ListParagraph">
    <w:name w:val="List Paragraph"/>
    <w:basedOn w:val="Normal"/>
    <w:uiPriority w:val="99"/>
    <w:qFormat/>
    <w:rsid w:val="00A26139"/>
    <w:pPr>
      <w:spacing w:after="200" w:line="276" w:lineRule="auto"/>
      <w:ind w:left="720"/>
      <w:contextualSpacing/>
    </w:pPr>
  </w:style>
  <w:style w:type="paragraph" w:customStyle="1" w:styleId="TableColHeadRight">
    <w:name w:val="Table Col Head Right"/>
    <w:basedOn w:val="TableColHead"/>
    <w:qFormat/>
    <w:rsid w:val="008C1BE0"/>
    <w:pPr>
      <w:jc w:val="right"/>
    </w:pPr>
  </w:style>
  <w:style w:type="paragraph" w:customStyle="1" w:styleId="TableTextBold">
    <w:name w:val="Table Text Bold"/>
    <w:basedOn w:val="TableText"/>
    <w:qFormat/>
    <w:rsid w:val="00CE2CE5"/>
    <w:rPr>
      <w:b/>
    </w:rPr>
  </w:style>
  <w:style w:type="paragraph" w:styleId="ListBullet2">
    <w:name w:val="List Bullet 2"/>
    <w:basedOn w:val="BodyText"/>
    <w:uiPriority w:val="99"/>
    <w:rsid w:val="009C77A0"/>
    <w:pPr>
      <w:numPr>
        <w:ilvl w:val="1"/>
        <w:numId w:val="39"/>
      </w:numPr>
      <w:spacing w:before="0" w:after="40"/>
      <w:ind w:left="568" w:hanging="284"/>
    </w:pPr>
  </w:style>
  <w:style w:type="numbering" w:customStyle="1" w:styleId="CAVListStyleBullets">
    <w:name w:val="CAV List Style: Bullets"/>
    <w:uiPriority w:val="99"/>
    <w:rsid w:val="00C659AA"/>
    <w:pPr>
      <w:numPr>
        <w:numId w:val="7"/>
      </w:numPr>
    </w:pPr>
  </w:style>
  <w:style w:type="paragraph" w:styleId="BlockText">
    <w:name w:val="Block Text"/>
    <w:basedOn w:val="Normal"/>
    <w:semiHidden/>
    <w:rsid w:val="00C04AF5"/>
    <w:pPr>
      <w:spacing w:before="240" w:after="120" w:line="240" w:lineRule="auto"/>
      <w:ind w:left="1440" w:right="1440"/>
    </w:pPr>
    <w:rPr>
      <w:rFonts w:ascii="Arial" w:hAnsi="Arial" w:cs="Arial"/>
      <w:color w:val="FF0000"/>
      <w:u w:val="single"/>
      <w:lang w:eastAsia="en-AU"/>
    </w:rPr>
  </w:style>
  <w:style w:type="paragraph" w:styleId="FootnoteText">
    <w:name w:val="footnote text"/>
    <w:basedOn w:val="Normal"/>
    <w:link w:val="FootnoteTextChar"/>
    <w:uiPriority w:val="99"/>
    <w:rsid w:val="00A54548"/>
    <w:pPr>
      <w:spacing w:before="60" w:after="60" w:line="264" w:lineRule="auto"/>
      <w:ind w:left="340" w:hanging="340"/>
    </w:pPr>
    <w:rPr>
      <w:rFonts w:ascii="Arial" w:hAnsi="Arial" w:cs="Arial"/>
      <w:sz w:val="18"/>
      <w:szCs w:val="16"/>
    </w:rPr>
  </w:style>
  <w:style w:type="character" w:styleId="Emphasis">
    <w:name w:val="Emphasis"/>
    <w:uiPriority w:val="20"/>
    <w:qFormat/>
    <w:rsid w:val="00422C46"/>
    <w:rPr>
      <w:i/>
      <w:iCs/>
    </w:rPr>
  </w:style>
  <w:style w:type="character" w:styleId="Strong">
    <w:name w:val="Strong"/>
    <w:uiPriority w:val="22"/>
    <w:qFormat/>
    <w:rsid w:val="008A5248"/>
    <w:rPr>
      <w:b/>
      <w:bCs/>
    </w:rPr>
  </w:style>
  <w:style w:type="character" w:styleId="CommentReference">
    <w:name w:val="annotation reference"/>
    <w:uiPriority w:val="99"/>
    <w:semiHidden/>
    <w:unhideWhenUsed/>
    <w:rsid w:val="00E44B22"/>
    <w:rPr>
      <w:sz w:val="16"/>
      <w:szCs w:val="16"/>
    </w:rPr>
  </w:style>
  <w:style w:type="paragraph" w:styleId="CommentText">
    <w:name w:val="annotation text"/>
    <w:basedOn w:val="Normal"/>
    <w:link w:val="CommentTextChar"/>
    <w:uiPriority w:val="99"/>
    <w:semiHidden/>
    <w:unhideWhenUsed/>
    <w:rsid w:val="00E44B22"/>
    <w:rPr>
      <w:sz w:val="20"/>
      <w:szCs w:val="20"/>
    </w:rPr>
  </w:style>
  <w:style w:type="character" w:customStyle="1" w:styleId="CommentTextChar">
    <w:name w:val="Comment Text Char"/>
    <w:link w:val="CommentText"/>
    <w:uiPriority w:val="99"/>
    <w:semiHidden/>
    <w:rsid w:val="00E44B22"/>
    <w:rPr>
      <w:lang w:eastAsia="en-US"/>
    </w:rPr>
  </w:style>
  <w:style w:type="paragraph" w:styleId="CommentSubject">
    <w:name w:val="annotation subject"/>
    <w:basedOn w:val="CommentText"/>
    <w:next w:val="CommentText"/>
    <w:link w:val="CommentSubjectChar"/>
    <w:uiPriority w:val="99"/>
    <w:semiHidden/>
    <w:unhideWhenUsed/>
    <w:rsid w:val="00E44B22"/>
    <w:rPr>
      <w:b/>
      <w:bCs/>
    </w:rPr>
  </w:style>
  <w:style w:type="character" w:customStyle="1" w:styleId="CommentSubjectChar">
    <w:name w:val="Comment Subject Char"/>
    <w:link w:val="CommentSubject"/>
    <w:uiPriority w:val="99"/>
    <w:semiHidden/>
    <w:rsid w:val="00E44B22"/>
    <w:rPr>
      <w:b/>
      <w:bCs/>
      <w:lang w:eastAsia="en-US"/>
    </w:rPr>
  </w:style>
  <w:style w:type="paragraph" w:styleId="BalloonText">
    <w:name w:val="Balloon Text"/>
    <w:basedOn w:val="Normal"/>
    <w:link w:val="BalloonTextChar"/>
    <w:uiPriority w:val="99"/>
    <w:semiHidden/>
    <w:unhideWhenUsed/>
    <w:rsid w:val="00E44B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44B22"/>
    <w:rPr>
      <w:rFonts w:ascii="Segoe UI" w:hAnsi="Segoe UI" w:cs="Segoe UI"/>
      <w:sz w:val="18"/>
      <w:szCs w:val="18"/>
      <w:lang w:eastAsia="en-US"/>
    </w:rPr>
  </w:style>
  <w:style w:type="character" w:customStyle="1" w:styleId="Heading4Char">
    <w:name w:val="Heading 4 Char"/>
    <w:link w:val="Heading4"/>
    <w:uiPriority w:val="9"/>
    <w:rsid w:val="00C076AD"/>
    <w:rPr>
      <w:rFonts w:ascii="Arial" w:eastAsia="Times New Roman" w:hAnsi="Arial"/>
      <w:b/>
      <w:bCs/>
      <w:sz w:val="26"/>
      <w:szCs w:val="26"/>
      <w:lang w:eastAsia="en-US"/>
    </w:rPr>
  </w:style>
  <w:style w:type="paragraph" w:styleId="Revision">
    <w:name w:val="Revision"/>
    <w:hidden/>
    <w:uiPriority w:val="99"/>
    <w:semiHidden/>
    <w:rsid w:val="00A73820"/>
    <w:rPr>
      <w:sz w:val="22"/>
      <w:szCs w:val="22"/>
      <w:lang w:eastAsia="en-US"/>
    </w:rPr>
  </w:style>
  <w:style w:type="character" w:customStyle="1" w:styleId="FootnoteTextChar">
    <w:name w:val="Footnote Text Char"/>
    <w:link w:val="FootnoteText"/>
    <w:uiPriority w:val="99"/>
    <w:rsid w:val="00A54548"/>
    <w:rPr>
      <w:rFonts w:ascii="Arial" w:hAnsi="Arial" w:cs="Arial"/>
      <w:sz w:val="18"/>
      <w:szCs w:val="16"/>
      <w:lang w:eastAsia="en-US"/>
    </w:rPr>
  </w:style>
  <w:style w:type="character" w:styleId="FootnoteReference">
    <w:name w:val="footnote reference"/>
    <w:uiPriority w:val="99"/>
    <w:rsid w:val="003D521F"/>
    <w:rPr>
      <w:vertAlign w:val="superscript"/>
    </w:rPr>
  </w:style>
  <w:style w:type="paragraph" w:styleId="TableofFigures">
    <w:name w:val="table of figures"/>
    <w:basedOn w:val="Normal"/>
    <w:next w:val="Normal"/>
    <w:uiPriority w:val="99"/>
    <w:semiHidden/>
    <w:unhideWhenUsed/>
    <w:rsid w:val="00624207"/>
  </w:style>
  <w:style w:type="character" w:styleId="FollowedHyperlink">
    <w:name w:val="FollowedHyperlink"/>
    <w:uiPriority w:val="99"/>
    <w:rsid w:val="004F061C"/>
    <w:rPr>
      <w:color w:val="954F72"/>
      <w:u w:val="single"/>
    </w:rPr>
  </w:style>
  <w:style w:type="paragraph" w:styleId="ListBullet">
    <w:name w:val="List Bullet"/>
    <w:basedOn w:val="BodyText"/>
    <w:uiPriority w:val="99"/>
    <w:rsid w:val="009C77A0"/>
    <w:pPr>
      <w:numPr>
        <w:numId w:val="39"/>
      </w:numPr>
      <w:spacing w:before="0" w:after="40"/>
    </w:pPr>
  </w:style>
  <w:style w:type="character" w:customStyle="1" w:styleId="Heading5Char">
    <w:name w:val="Heading 5 Char"/>
    <w:link w:val="Heading5"/>
    <w:uiPriority w:val="9"/>
    <w:rsid w:val="00D03A6F"/>
    <w:rPr>
      <w:rFonts w:ascii="Arial" w:eastAsia="Times New Roman" w:hAnsi="Arial"/>
      <w:b/>
      <w:bCs/>
      <w:iCs/>
      <w:sz w:val="22"/>
      <w:szCs w:val="26"/>
      <w:lang w:eastAsia="en-US"/>
    </w:rPr>
  </w:style>
  <w:style w:type="paragraph" w:styleId="ListNumber">
    <w:name w:val="List Number"/>
    <w:basedOn w:val="Normal"/>
    <w:uiPriority w:val="99"/>
    <w:rsid w:val="00896A7C"/>
    <w:pPr>
      <w:numPr>
        <w:numId w:val="30"/>
      </w:numPr>
      <w:spacing w:line="312" w:lineRule="auto"/>
      <w:ind w:left="357" w:hanging="357"/>
      <w:contextualSpacing/>
    </w:pPr>
    <w:rPr>
      <w:rFonts w:ascii="Arial" w:hAnsi="Arial"/>
      <w:sz w:val="20"/>
    </w:rPr>
  </w:style>
  <w:style w:type="character" w:customStyle="1" w:styleId="UnresolvedMention1">
    <w:name w:val="Unresolved Mention1"/>
    <w:uiPriority w:val="99"/>
    <w:semiHidden/>
    <w:unhideWhenUsed/>
    <w:rsid w:val="003B545A"/>
    <w:rPr>
      <w:color w:val="808080"/>
      <w:shd w:val="clear" w:color="auto" w:fill="E6E6E6"/>
    </w:rPr>
  </w:style>
  <w:style w:type="character" w:customStyle="1" w:styleId="Heading6Char">
    <w:name w:val="Heading 6 Char"/>
    <w:link w:val="Heading6"/>
    <w:uiPriority w:val="9"/>
    <w:rsid w:val="00DF73E7"/>
    <w:rPr>
      <w:rFonts w:ascii="Arial" w:eastAsia="Times New Roman" w:hAnsi="Arial"/>
      <w:b/>
      <w:bCs/>
      <w:szCs w:val="22"/>
      <w:lang w:eastAsia="en-US"/>
    </w:rPr>
  </w:style>
  <w:style w:type="paragraph" w:customStyle="1" w:styleId="TableTextRightBold">
    <w:name w:val="Table Text Right Bold"/>
    <w:basedOn w:val="TableTextRight"/>
    <w:qFormat/>
    <w:rsid w:val="00006DE3"/>
    <w:rPr>
      <w:b/>
    </w:rPr>
  </w:style>
  <w:style w:type="paragraph" w:styleId="TOCHeading">
    <w:name w:val="TOC Heading"/>
    <w:basedOn w:val="Heading1"/>
    <w:next w:val="Normal"/>
    <w:uiPriority w:val="39"/>
    <w:semiHidden/>
    <w:unhideWhenUsed/>
    <w:qFormat/>
    <w:rsid w:val="00C77B2D"/>
    <w:pPr>
      <w:keepNext/>
      <w:keepLines/>
      <w:spacing w:before="480" w:after="0"/>
      <w:jc w:val="left"/>
      <w:outlineLvl w:val="9"/>
    </w:pPr>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D31BFE"/>
    <w:rPr>
      <w:color w:val="605E5C"/>
      <w:shd w:val="clear" w:color="auto" w:fill="E1DFDD"/>
    </w:rPr>
  </w:style>
  <w:style w:type="numbering" w:customStyle="1" w:styleId="ZZListBullets">
    <w:name w:val="ZZ List Bullets"/>
    <w:uiPriority w:val="99"/>
    <w:rsid w:val="00E320F3"/>
    <w:pPr>
      <w:numPr>
        <w:numId w:val="39"/>
      </w:numPr>
    </w:pPr>
  </w:style>
  <w:style w:type="paragraph" w:customStyle="1" w:styleId="Heading2small">
    <w:name w:val="Heading 2 small"/>
    <w:basedOn w:val="Heading2"/>
    <w:qFormat/>
    <w:rsid w:val="0032615F"/>
    <w:pPr>
      <w:pageBreakBefore w:val="0"/>
      <w:spacing w:before="280" w:after="120"/>
    </w:pPr>
    <w:rPr>
      <w:b/>
      <w:bCs w:val="0"/>
      <w:sz w:val="24"/>
      <w:szCs w:val="24"/>
    </w:rPr>
  </w:style>
  <w:style w:type="paragraph" w:customStyle="1" w:styleId="TableFootnote">
    <w:name w:val="Table Footnote"/>
    <w:basedOn w:val="Normal"/>
    <w:uiPriority w:val="99"/>
    <w:rsid w:val="008B53D8"/>
    <w:pPr>
      <w:widowControl w:val="0"/>
      <w:suppressAutoHyphens/>
      <w:autoSpaceDE w:val="0"/>
      <w:autoSpaceDN w:val="0"/>
      <w:adjustRightInd w:val="0"/>
      <w:spacing w:after="43" w:line="220" w:lineRule="atLeast"/>
      <w:ind w:left="283" w:hanging="283"/>
      <w:textAlignment w:val="center"/>
    </w:pPr>
    <w:rPr>
      <w:rFonts w:ascii="VIC-Regular" w:eastAsiaTheme="minorEastAsia" w:hAnsi="VIC-Regular" w:cs="VIC-Regular"/>
      <w:color w:val="000000"/>
      <w:sz w:val="18"/>
      <w:szCs w:val="18"/>
      <w:lang w:val="en-GB"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724">
      <w:bodyDiv w:val="1"/>
      <w:marLeft w:val="0"/>
      <w:marRight w:val="0"/>
      <w:marTop w:val="0"/>
      <w:marBottom w:val="0"/>
      <w:divBdr>
        <w:top w:val="none" w:sz="0" w:space="0" w:color="auto"/>
        <w:left w:val="none" w:sz="0" w:space="0" w:color="auto"/>
        <w:bottom w:val="none" w:sz="0" w:space="0" w:color="auto"/>
        <w:right w:val="none" w:sz="0" w:space="0" w:color="auto"/>
      </w:divBdr>
    </w:div>
    <w:div w:id="67700473">
      <w:bodyDiv w:val="1"/>
      <w:marLeft w:val="0"/>
      <w:marRight w:val="0"/>
      <w:marTop w:val="0"/>
      <w:marBottom w:val="0"/>
      <w:divBdr>
        <w:top w:val="none" w:sz="0" w:space="0" w:color="auto"/>
        <w:left w:val="none" w:sz="0" w:space="0" w:color="auto"/>
        <w:bottom w:val="none" w:sz="0" w:space="0" w:color="auto"/>
        <w:right w:val="none" w:sz="0" w:space="0" w:color="auto"/>
      </w:divBdr>
    </w:div>
    <w:div w:id="78991551">
      <w:bodyDiv w:val="1"/>
      <w:marLeft w:val="0"/>
      <w:marRight w:val="0"/>
      <w:marTop w:val="0"/>
      <w:marBottom w:val="0"/>
      <w:divBdr>
        <w:top w:val="none" w:sz="0" w:space="0" w:color="auto"/>
        <w:left w:val="none" w:sz="0" w:space="0" w:color="auto"/>
        <w:bottom w:val="none" w:sz="0" w:space="0" w:color="auto"/>
        <w:right w:val="none" w:sz="0" w:space="0" w:color="auto"/>
      </w:divBdr>
    </w:div>
    <w:div w:id="94137366">
      <w:bodyDiv w:val="1"/>
      <w:marLeft w:val="0"/>
      <w:marRight w:val="0"/>
      <w:marTop w:val="0"/>
      <w:marBottom w:val="0"/>
      <w:divBdr>
        <w:top w:val="none" w:sz="0" w:space="0" w:color="auto"/>
        <w:left w:val="none" w:sz="0" w:space="0" w:color="auto"/>
        <w:bottom w:val="none" w:sz="0" w:space="0" w:color="auto"/>
        <w:right w:val="none" w:sz="0" w:space="0" w:color="auto"/>
      </w:divBdr>
    </w:div>
    <w:div w:id="119108128">
      <w:bodyDiv w:val="1"/>
      <w:marLeft w:val="0"/>
      <w:marRight w:val="0"/>
      <w:marTop w:val="0"/>
      <w:marBottom w:val="0"/>
      <w:divBdr>
        <w:top w:val="none" w:sz="0" w:space="0" w:color="auto"/>
        <w:left w:val="none" w:sz="0" w:space="0" w:color="auto"/>
        <w:bottom w:val="none" w:sz="0" w:space="0" w:color="auto"/>
        <w:right w:val="none" w:sz="0" w:space="0" w:color="auto"/>
      </w:divBdr>
    </w:div>
    <w:div w:id="177160737">
      <w:bodyDiv w:val="1"/>
      <w:marLeft w:val="0"/>
      <w:marRight w:val="0"/>
      <w:marTop w:val="0"/>
      <w:marBottom w:val="0"/>
      <w:divBdr>
        <w:top w:val="none" w:sz="0" w:space="0" w:color="auto"/>
        <w:left w:val="none" w:sz="0" w:space="0" w:color="auto"/>
        <w:bottom w:val="none" w:sz="0" w:space="0" w:color="auto"/>
        <w:right w:val="none" w:sz="0" w:space="0" w:color="auto"/>
      </w:divBdr>
    </w:div>
    <w:div w:id="179854712">
      <w:bodyDiv w:val="1"/>
      <w:marLeft w:val="0"/>
      <w:marRight w:val="0"/>
      <w:marTop w:val="0"/>
      <w:marBottom w:val="0"/>
      <w:divBdr>
        <w:top w:val="none" w:sz="0" w:space="0" w:color="auto"/>
        <w:left w:val="none" w:sz="0" w:space="0" w:color="auto"/>
        <w:bottom w:val="none" w:sz="0" w:space="0" w:color="auto"/>
        <w:right w:val="none" w:sz="0" w:space="0" w:color="auto"/>
      </w:divBdr>
    </w:div>
    <w:div w:id="246889497">
      <w:bodyDiv w:val="1"/>
      <w:marLeft w:val="0"/>
      <w:marRight w:val="0"/>
      <w:marTop w:val="0"/>
      <w:marBottom w:val="0"/>
      <w:divBdr>
        <w:top w:val="none" w:sz="0" w:space="0" w:color="auto"/>
        <w:left w:val="none" w:sz="0" w:space="0" w:color="auto"/>
        <w:bottom w:val="none" w:sz="0" w:space="0" w:color="auto"/>
        <w:right w:val="none" w:sz="0" w:space="0" w:color="auto"/>
      </w:divBdr>
    </w:div>
    <w:div w:id="248735409">
      <w:bodyDiv w:val="1"/>
      <w:marLeft w:val="0"/>
      <w:marRight w:val="0"/>
      <w:marTop w:val="0"/>
      <w:marBottom w:val="0"/>
      <w:divBdr>
        <w:top w:val="none" w:sz="0" w:space="0" w:color="auto"/>
        <w:left w:val="none" w:sz="0" w:space="0" w:color="auto"/>
        <w:bottom w:val="none" w:sz="0" w:space="0" w:color="auto"/>
        <w:right w:val="none" w:sz="0" w:space="0" w:color="auto"/>
      </w:divBdr>
    </w:div>
    <w:div w:id="269624268">
      <w:bodyDiv w:val="1"/>
      <w:marLeft w:val="0"/>
      <w:marRight w:val="0"/>
      <w:marTop w:val="0"/>
      <w:marBottom w:val="0"/>
      <w:divBdr>
        <w:top w:val="none" w:sz="0" w:space="0" w:color="auto"/>
        <w:left w:val="none" w:sz="0" w:space="0" w:color="auto"/>
        <w:bottom w:val="none" w:sz="0" w:space="0" w:color="auto"/>
        <w:right w:val="none" w:sz="0" w:space="0" w:color="auto"/>
      </w:divBdr>
    </w:div>
    <w:div w:id="306325682">
      <w:bodyDiv w:val="1"/>
      <w:marLeft w:val="0"/>
      <w:marRight w:val="0"/>
      <w:marTop w:val="0"/>
      <w:marBottom w:val="0"/>
      <w:divBdr>
        <w:top w:val="none" w:sz="0" w:space="0" w:color="auto"/>
        <w:left w:val="none" w:sz="0" w:space="0" w:color="auto"/>
        <w:bottom w:val="none" w:sz="0" w:space="0" w:color="auto"/>
        <w:right w:val="none" w:sz="0" w:space="0" w:color="auto"/>
      </w:divBdr>
    </w:div>
    <w:div w:id="324090989">
      <w:bodyDiv w:val="1"/>
      <w:marLeft w:val="0"/>
      <w:marRight w:val="0"/>
      <w:marTop w:val="0"/>
      <w:marBottom w:val="0"/>
      <w:divBdr>
        <w:top w:val="none" w:sz="0" w:space="0" w:color="auto"/>
        <w:left w:val="none" w:sz="0" w:space="0" w:color="auto"/>
        <w:bottom w:val="none" w:sz="0" w:space="0" w:color="auto"/>
        <w:right w:val="none" w:sz="0" w:space="0" w:color="auto"/>
      </w:divBdr>
    </w:div>
    <w:div w:id="447622962">
      <w:bodyDiv w:val="1"/>
      <w:marLeft w:val="0"/>
      <w:marRight w:val="0"/>
      <w:marTop w:val="0"/>
      <w:marBottom w:val="0"/>
      <w:divBdr>
        <w:top w:val="none" w:sz="0" w:space="0" w:color="auto"/>
        <w:left w:val="none" w:sz="0" w:space="0" w:color="auto"/>
        <w:bottom w:val="none" w:sz="0" w:space="0" w:color="auto"/>
        <w:right w:val="none" w:sz="0" w:space="0" w:color="auto"/>
      </w:divBdr>
    </w:div>
    <w:div w:id="602615279">
      <w:bodyDiv w:val="1"/>
      <w:marLeft w:val="0"/>
      <w:marRight w:val="0"/>
      <w:marTop w:val="0"/>
      <w:marBottom w:val="0"/>
      <w:divBdr>
        <w:top w:val="none" w:sz="0" w:space="0" w:color="auto"/>
        <w:left w:val="none" w:sz="0" w:space="0" w:color="auto"/>
        <w:bottom w:val="none" w:sz="0" w:space="0" w:color="auto"/>
        <w:right w:val="none" w:sz="0" w:space="0" w:color="auto"/>
      </w:divBdr>
    </w:div>
    <w:div w:id="604195287">
      <w:bodyDiv w:val="1"/>
      <w:marLeft w:val="0"/>
      <w:marRight w:val="0"/>
      <w:marTop w:val="0"/>
      <w:marBottom w:val="0"/>
      <w:divBdr>
        <w:top w:val="none" w:sz="0" w:space="0" w:color="auto"/>
        <w:left w:val="none" w:sz="0" w:space="0" w:color="auto"/>
        <w:bottom w:val="none" w:sz="0" w:space="0" w:color="auto"/>
        <w:right w:val="none" w:sz="0" w:space="0" w:color="auto"/>
      </w:divBdr>
    </w:div>
    <w:div w:id="615451468">
      <w:bodyDiv w:val="1"/>
      <w:marLeft w:val="0"/>
      <w:marRight w:val="0"/>
      <w:marTop w:val="0"/>
      <w:marBottom w:val="0"/>
      <w:divBdr>
        <w:top w:val="none" w:sz="0" w:space="0" w:color="auto"/>
        <w:left w:val="none" w:sz="0" w:space="0" w:color="auto"/>
        <w:bottom w:val="none" w:sz="0" w:space="0" w:color="auto"/>
        <w:right w:val="none" w:sz="0" w:space="0" w:color="auto"/>
      </w:divBdr>
    </w:div>
    <w:div w:id="687145850">
      <w:bodyDiv w:val="1"/>
      <w:marLeft w:val="0"/>
      <w:marRight w:val="0"/>
      <w:marTop w:val="0"/>
      <w:marBottom w:val="0"/>
      <w:divBdr>
        <w:top w:val="none" w:sz="0" w:space="0" w:color="auto"/>
        <w:left w:val="none" w:sz="0" w:space="0" w:color="auto"/>
        <w:bottom w:val="none" w:sz="0" w:space="0" w:color="auto"/>
        <w:right w:val="none" w:sz="0" w:space="0" w:color="auto"/>
      </w:divBdr>
    </w:div>
    <w:div w:id="719675233">
      <w:bodyDiv w:val="1"/>
      <w:marLeft w:val="0"/>
      <w:marRight w:val="0"/>
      <w:marTop w:val="0"/>
      <w:marBottom w:val="0"/>
      <w:divBdr>
        <w:top w:val="none" w:sz="0" w:space="0" w:color="auto"/>
        <w:left w:val="none" w:sz="0" w:space="0" w:color="auto"/>
        <w:bottom w:val="none" w:sz="0" w:space="0" w:color="auto"/>
        <w:right w:val="none" w:sz="0" w:space="0" w:color="auto"/>
      </w:divBdr>
    </w:div>
    <w:div w:id="756513019">
      <w:bodyDiv w:val="1"/>
      <w:marLeft w:val="0"/>
      <w:marRight w:val="0"/>
      <w:marTop w:val="0"/>
      <w:marBottom w:val="0"/>
      <w:divBdr>
        <w:top w:val="none" w:sz="0" w:space="0" w:color="auto"/>
        <w:left w:val="none" w:sz="0" w:space="0" w:color="auto"/>
        <w:bottom w:val="none" w:sz="0" w:space="0" w:color="auto"/>
        <w:right w:val="none" w:sz="0" w:space="0" w:color="auto"/>
      </w:divBdr>
    </w:div>
    <w:div w:id="1287397041">
      <w:bodyDiv w:val="1"/>
      <w:marLeft w:val="0"/>
      <w:marRight w:val="0"/>
      <w:marTop w:val="0"/>
      <w:marBottom w:val="0"/>
      <w:divBdr>
        <w:top w:val="none" w:sz="0" w:space="0" w:color="auto"/>
        <w:left w:val="none" w:sz="0" w:space="0" w:color="auto"/>
        <w:bottom w:val="none" w:sz="0" w:space="0" w:color="auto"/>
        <w:right w:val="none" w:sz="0" w:space="0" w:color="auto"/>
      </w:divBdr>
    </w:div>
    <w:div w:id="1322276776">
      <w:bodyDiv w:val="1"/>
      <w:marLeft w:val="0"/>
      <w:marRight w:val="0"/>
      <w:marTop w:val="0"/>
      <w:marBottom w:val="0"/>
      <w:divBdr>
        <w:top w:val="none" w:sz="0" w:space="0" w:color="auto"/>
        <w:left w:val="none" w:sz="0" w:space="0" w:color="auto"/>
        <w:bottom w:val="none" w:sz="0" w:space="0" w:color="auto"/>
        <w:right w:val="none" w:sz="0" w:space="0" w:color="auto"/>
      </w:divBdr>
    </w:div>
    <w:div w:id="1328286301">
      <w:bodyDiv w:val="1"/>
      <w:marLeft w:val="0"/>
      <w:marRight w:val="0"/>
      <w:marTop w:val="0"/>
      <w:marBottom w:val="0"/>
      <w:divBdr>
        <w:top w:val="none" w:sz="0" w:space="0" w:color="auto"/>
        <w:left w:val="none" w:sz="0" w:space="0" w:color="auto"/>
        <w:bottom w:val="none" w:sz="0" w:space="0" w:color="auto"/>
        <w:right w:val="none" w:sz="0" w:space="0" w:color="auto"/>
      </w:divBdr>
    </w:div>
    <w:div w:id="1437676124">
      <w:bodyDiv w:val="1"/>
      <w:marLeft w:val="0"/>
      <w:marRight w:val="0"/>
      <w:marTop w:val="0"/>
      <w:marBottom w:val="0"/>
      <w:divBdr>
        <w:top w:val="none" w:sz="0" w:space="0" w:color="auto"/>
        <w:left w:val="none" w:sz="0" w:space="0" w:color="auto"/>
        <w:bottom w:val="none" w:sz="0" w:space="0" w:color="auto"/>
        <w:right w:val="none" w:sz="0" w:space="0" w:color="auto"/>
      </w:divBdr>
    </w:div>
    <w:div w:id="1467624668">
      <w:bodyDiv w:val="1"/>
      <w:marLeft w:val="0"/>
      <w:marRight w:val="0"/>
      <w:marTop w:val="0"/>
      <w:marBottom w:val="0"/>
      <w:divBdr>
        <w:top w:val="none" w:sz="0" w:space="0" w:color="auto"/>
        <w:left w:val="none" w:sz="0" w:space="0" w:color="auto"/>
        <w:bottom w:val="none" w:sz="0" w:space="0" w:color="auto"/>
        <w:right w:val="none" w:sz="0" w:space="0" w:color="auto"/>
      </w:divBdr>
    </w:div>
    <w:div w:id="1484932626">
      <w:bodyDiv w:val="1"/>
      <w:marLeft w:val="0"/>
      <w:marRight w:val="0"/>
      <w:marTop w:val="0"/>
      <w:marBottom w:val="0"/>
      <w:divBdr>
        <w:top w:val="none" w:sz="0" w:space="0" w:color="auto"/>
        <w:left w:val="none" w:sz="0" w:space="0" w:color="auto"/>
        <w:bottom w:val="none" w:sz="0" w:space="0" w:color="auto"/>
        <w:right w:val="none" w:sz="0" w:space="0" w:color="auto"/>
      </w:divBdr>
      <w:divsChild>
        <w:div w:id="1172337714">
          <w:marLeft w:val="0"/>
          <w:marRight w:val="0"/>
          <w:marTop w:val="0"/>
          <w:marBottom w:val="0"/>
          <w:divBdr>
            <w:top w:val="none" w:sz="0" w:space="0" w:color="auto"/>
            <w:left w:val="none" w:sz="0" w:space="0" w:color="auto"/>
            <w:bottom w:val="none" w:sz="0" w:space="0" w:color="auto"/>
            <w:right w:val="none" w:sz="0" w:space="0" w:color="auto"/>
          </w:divBdr>
        </w:div>
      </w:divsChild>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13640862">
      <w:bodyDiv w:val="1"/>
      <w:marLeft w:val="0"/>
      <w:marRight w:val="0"/>
      <w:marTop w:val="0"/>
      <w:marBottom w:val="0"/>
      <w:divBdr>
        <w:top w:val="none" w:sz="0" w:space="0" w:color="auto"/>
        <w:left w:val="none" w:sz="0" w:space="0" w:color="auto"/>
        <w:bottom w:val="none" w:sz="0" w:space="0" w:color="auto"/>
        <w:right w:val="none" w:sz="0" w:space="0" w:color="auto"/>
      </w:divBdr>
    </w:div>
    <w:div w:id="1525553732">
      <w:bodyDiv w:val="1"/>
      <w:marLeft w:val="0"/>
      <w:marRight w:val="0"/>
      <w:marTop w:val="0"/>
      <w:marBottom w:val="0"/>
      <w:divBdr>
        <w:top w:val="none" w:sz="0" w:space="0" w:color="auto"/>
        <w:left w:val="none" w:sz="0" w:space="0" w:color="auto"/>
        <w:bottom w:val="none" w:sz="0" w:space="0" w:color="auto"/>
        <w:right w:val="none" w:sz="0" w:space="0" w:color="auto"/>
      </w:divBdr>
      <w:divsChild>
        <w:div w:id="372467232">
          <w:marLeft w:val="274"/>
          <w:marRight w:val="0"/>
          <w:marTop w:val="86"/>
          <w:marBottom w:val="0"/>
          <w:divBdr>
            <w:top w:val="none" w:sz="0" w:space="0" w:color="auto"/>
            <w:left w:val="none" w:sz="0" w:space="0" w:color="auto"/>
            <w:bottom w:val="none" w:sz="0" w:space="0" w:color="auto"/>
            <w:right w:val="none" w:sz="0" w:space="0" w:color="auto"/>
          </w:divBdr>
        </w:div>
        <w:div w:id="1300647180">
          <w:marLeft w:val="274"/>
          <w:marRight w:val="0"/>
          <w:marTop w:val="86"/>
          <w:marBottom w:val="0"/>
          <w:divBdr>
            <w:top w:val="none" w:sz="0" w:space="0" w:color="auto"/>
            <w:left w:val="none" w:sz="0" w:space="0" w:color="auto"/>
            <w:bottom w:val="none" w:sz="0" w:space="0" w:color="auto"/>
            <w:right w:val="none" w:sz="0" w:space="0" w:color="auto"/>
          </w:divBdr>
        </w:div>
        <w:div w:id="1693341467">
          <w:marLeft w:val="274"/>
          <w:marRight w:val="0"/>
          <w:marTop w:val="86"/>
          <w:marBottom w:val="0"/>
          <w:divBdr>
            <w:top w:val="none" w:sz="0" w:space="0" w:color="auto"/>
            <w:left w:val="none" w:sz="0" w:space="0" w:color="auto"/>
            <w:bottom w:val="none" w:sz="0" w:space="0" w:color="auto"/>
            <w:right w:val="none" w:sz="0" w:space="0" w:color="auto"/>
          </w:divBdr>
        </w:div>
      </w:divsChild>
    </w:div>
    <w:div w:id="1697073557">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806922394">
      <w:bodyDiv w:val="1"/>
      <w:marLeft w:val="0"/>
      <w:marRight w:val="0"/>
      <w:marTop w:val="0"/>
      <w:marBottom w:val="0"/>
      <w:divBdr>
        <w:top w:val="none" w:sz="0" w:space="0" w:color="auto"/>
        <w:left w:val="none" w:sz="0" w:space="0" w:color="auto"/>
        <w:bottom w:val="none" w:sz="0" w:space="0" w:color="auto"/>
        <w:right w:val="none" w:sz="0" w:space="0" w:color="auto"/>
      </w:divBdr>
    </w:div>
    <w:div w:id="1813980390">
      <w:bodyDiv w:val="1"/>
      <w:marLeft w:val="0"/>
      <w:marRight w:val="0"/>
      <w:marTop w:val="0"/>
      <w:marBottom w:val="0"/>
      <w:divBdr>
        <w:top w:val="none" w:sz="0" w:space="0" w:color="auto"/>
        <w:left w:val="none" w:sz="0" w:space="0" w:color="auto"/>
        <w:bottom w:val="none" w:sz="0" w:space="0" w:color="auto"/>
        <w:right w:val="none" w:sz="0" w:space="0" w:color="auto"/>
      </w:divBdr>
    </w:div>
    <w:div w:id="1816216685">
      <w:bodyDiv w:val="1"/>
      <w:marLeft w:val="0"/>
      <w:marRight w:val="0"/>
      <w:marTop w:val="0"/>
      <w:marBottom w:val="0"/>
      <w:divBdr>
        <w:top w:val="none" w:sz="0" w:space="0" w:color="auto"/>
        <w:left w:val="none" w:sz="0" w:space="0" w:color="auto"/>
        <w:bottom w:val="none" w:sz="0" w:space="0" w:color="auto"/>
        <w:right w:val="none" w:sz="0" w:space="0" w:color="auto"/>
      </w:divBdr>
    </w:div>
    <w:div w:id="1874076455">
      <w:bodyDiv w:val="1"/>
      <w:marLeft w:val="0"/>
      <w:marRight w:val="0"/>
      <w:marTop w:val="0"/>
      <w:marBottom w:val="0"/>
      <w:divBdr>
        <w:top w:val="none" w:sz="0" w:space="0" w:color="auto"/>
        <w:left w:val="none" w:sz="0" w:space="0" w:color="auto"/>
        <w:bottom w:val="none" w:sz="0" w:space="0" w:color="auto"/>
        <w:right w:val="none" w:sz="0" w:space="0" w:color="auto"/>
      </w:divBdr>
    </w:div>
    <w:div w:id="1911038311">
      <w:bodyDiv w:val="1"/>
      <w:marLeft w:val="0"/>
      <w:marRight w:val="0"/>
      <w:marTop w:val="0"/>
      <w:marBottom w:val="0"/>
      <w:divBdr>
        <w:top w:val="none" w:sz="0" w:space="0" w:color="auto"/>
        <w:left w:val="none" w:sz="0" w:space="0" w:color="auto"/>
        <w:bottom w:val="none" w:sz="0" w:space="0" w:color="auto"/>
        <w:right w:val="none" w:sz="0" w:space="0" w:color="auto"/>
      </w:divBdr>
    </w:div>
    <w:div w:id="1934164282">
      <w:bodyDiv w:val="1"/>
      <w:marLeft w:val="0"/>
      <w:marRight w:val="0"/>
      <w:marTop w:val="0"/>
      <w:marBottom w:val="0"/>
      <w:divBdr>
        <w:top w:val="none" w:sz="0" w:space="0" w:color="auto"/>
        <w:left w:val="none" w:sz="0" w:space="0" w:color="auto"/>
        <w:bottom w:val="none" w:sz="0" w:space="0" w:color="auto"/>
        <w:right w:val="none" w:sz="0" w:space="0" w:color="auto"/>
      </w:divBdr>
    </w:div>
    <w:div w:id="1949459399">
      <w:bodyDiv w:val="1"/>
      <w:marLeft w:val="0"/>
      <w:marRight w:val="0"/>
      <w:marTop w:val="0"/>
      <w:marBottom w:val="0"/>
      <w:divBdr>
        <w:top w:val="none" w:sz="0" w:space="0" w:color="auto"/>
        <w:left w:val="none" w:sz="0" w:space="0" w:color="auto"/>
        <w:bottom w:val="none" w:sz="0" w:space="0" w:color="auto"/>
        <w:right w:val="none" w:sz="0" w:space="0" w:color="auto"/>
      </w:divBdr>
    </w:div>
    <w:div w:id="2026129576">
      <w:bodyDiv w:val="1"/>
      <w:marLeft w:val="0"/>
      <w:marRight w:val="0"/>
      <w:marTop w:val="0"/>
      <w:marBottom w:val="0"/>
      <w:divBdr>
        <w:top w:val="none" w:sz="0" w:space="0" w:color="auto"/>
        <w:left w:val="none" w:sz="0" w:space="0" w:color="auto"/>
        <w:bottom w:val="none" w:sz="0" w:space="0" w:color="auto"/>
        <w:right w:val="none" w:sz="0" w:space="0" w:color="auto"/>
      </w:divBdr>
    </w:div>
    <w:div w:id="2066440490">
      <w:bodyDiv w:val="1"/>
      <w:marLeft w:val="0"/>
      <w:marRight w:val="0"/>
      <w:marTop w:val="0"/>
      <w:marBottom w:val="0"/>
      <w:divBdr>
        <w:top w:val="none" w:sz="0" w:space="0" w:color="auto"/>
        <w:left w:val="none" w:sz="0" w:space="0" w:color="auto"/>
        <w:bottom w:val="none" w:sz="0" w:space="0" w:color="auto"/>
        <w:right w:val="none" w:sz="0" w:space="0" w:color="auto"/>
      </w:divBdr>
    </w:div>
    <w:div w:id="2089302896">
      <w:bodyDiv w:val="1"/>
      <w:marLeft w:val="0"/>
      <w:marRight w:val="0"/>
      <w:marTop w:val="0"/>
      <w:marBottom w:val="0"/>
      <w:divBdr>
        <w:top w:val="none" w:sz="0" w:space="0" w:color="auto"/>
        <w:left w:val="none" w:sz="0" w:space="0" w:color="auto"/>
        <w:bottom w:val="none" w:sz="0" w:space="0" w:color="auto"/>
        <w:right w:val="none" w:sz="0" w:space="0" w:color="auto"/>
      </w:divBdr>
    </w:div>
    <w:div w:id="2128087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nsumer.vic.gov.au/about-us" TargetMode="External"/><Relationship Id="rId18"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yperlink" Target="https://www.consumer.vic.gov.au/" TargetMode="External"/><Relationship Id="rId2" Type="http://schemas.openxmlformats.org/officeDocument/2006/relationships/customXml" Target="../customXml/item2.xml"/><Relationship Id="rId16" Type="http://schemas.openxmlformats.org/officeDocument/2006/relationships/hyperlink" Target="https://www.consumer.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s://creativecommons.org/licenses/by/4.0"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dffh.vic.gov.au/publications/renta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13A83-F3EF-4BC5-B324-F68E5B173B56}">
  <ds:schemaRefs>
    <ds:schemaRef ds:uri="http://schemas.openxmlformats.org/officeDocument/2006/bibliography"/>
  </ds:schemaRefs>
</ds:datastoreItem>
</file>

<file path=customXml/itemProps2.xml><?xml version="1.0" encoding="utf-8"?>
<ds:datastoreItem xmlns:ds="http://schemas.openxmlformats.org/officeDocument/2006/customXml" ds:itemID="{926D2FBC-62FC-444A-A0D0-E2A3A33B2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11162</Words>
  <Characters>63630</Characters>
  <Application>Microsoft Office Word</Application>
  <DocSecurity>4</DocSecurity>
  <Lines>530</Lines>
  <Paragraphs>149</Paragraphs>
  <ScaleCrop>false</ScaleCrop>
  <HeadingPairs>
    <vt:vector size="2" baseType="variant">
      <vt:variant>
        <vt:lpstr>Title</vt:lpstr>
      </vt:variant>
      <vt:variant>
        <vt:i4>1</vt:i4>
      </vt:variant>
    </vt:vector>
  </HeadingPairs>
  <TitlesOfParts>
    <vt:vector size="1" baseType="lpstr">
      <vt:lpstr>Consumer Affairs Victoria Annual Report 2022-23</vt:lpstr>
    </vt:vector>
  </TitlesOfParts>
  <Company>Victorian Department of Government Services</Company>
  <LinksUpToDate>false</LinksUpToDate>
  <CharactersWithSpaces>74643</CharactersWithSpaces>
  <SharedDoc>false</SharedDoc>
  <HLinks>
    <vt:vector size="132" baseType="variant">
      <vt:variant>
        <vt:i4>3211309</vt:i4>
      </vt:variant>
      <vt:variant>
        <vt:i4>120</vt:i4>
      </vt:variant>
      <vt:variant>
        <vt:i4>0</vt:i4>
      </vt:variant>
      <vt:variant>
        <vt:i4>5</vt:i4>
      </vt:variant>
      <vt:variant>
        <vt:lpwstr>http://www.youtube.com/consumervic</vt:lpwstr>
      </vt:variant>
      <vt:variant>
        <vt:lpwstr/>
      </vt:variant>
      <vt:variant>
        <vt:i4>7536702</vt:i4>
      </vt:variant>
      <vt:variant>
        <vt:i4>117</vt:i4>
      </vt:variant>
      <vt:variant>
        <vt:i4>0</vt:i4>
      </vt:variant>
      <vt:variant>
        <vt:i4>5</vt:i4>
      </vt:variant>
      <vt:variant>
        <vt:lpwstr>https://twitter.com/consumervic</vt:lpwstr>
      </vt:variant>
      <vt:variant>
        <vt:lpwstr/>
      </vt:variant>
      <vt:variant>
        <vt:i4>4718659</vt:i4>
      </vt:variant>
      <vt:variant>
        <vt:i4>114</vt:i4>
      </vt:variant>
      <vt:variant>
        <vt:i4>0</vt:i4>
      </vt:variant>
      <vt:variant>
        <vt:i4>5</vt:i4>
      </vt:variant>
      <vt:variant>
        <vt:lpwstr>https://www.facebook.com/ConsumerAffairsVictoria</vt:lpwstr>
      </vt:variant>
      <vt:variant>
        <vt:lpwstr/>
      </vt:variant>
      <vt:variant>
        <vt:i4>65536</vt:i4>
      </vt:variant>
      <vt:variant>
        <vt:i4>111</vt:i4>
      </vt:variant>
      <vt:variant>
        <vt:i4>0</vt:i4>
      </vt:variant>
      <vt:variant>
        <vt:i4>5</vt:i4>
      </vt:variant>
      <vt:variant>
        <vt:lpwstr>https://www.consumer.vic.gov.au/</vt:lpwstr>
      </vt:variant>
      <vt:variant>
        <vt:lpwstr/>
      </vt:variant>
      <vt:variant>
        <vt:i4>1900594</vt:i4>
      </vt:variant>
      <vt:variant>
        <vt:i4>104</vt:i4>
      </vt:variant>
      <vt:variant>
        <vt:i4>0</vt:i4>
      </vt:variant>
      <vt:variant>
        <vt:i4>5</vt:i4>
      </vt:variant>
      <vt:variant>
        <vt:lpwstr/>
      </vt:variant>
      <vt:variant>
        <vt:lpwstr>_Toc524534097</vt:lpwstr>
      </vt:variant>
      <vt:variant>
        <vt:i4>1900594</vt:i4>
      </vt:variant>
      <vt:variant>
        <vt:i4>98</vt:i4>
      </vt:variant>
      <vt:variant>
        <vt:i4>0</vt:i4>
      </vt:variant>
      <vt:variant>
        <vt:i4>5</vt:i4>
      </vt:variant>
      <vt:variant>
        <vt:lpwstr/>
      </vt:variant>
      <vt:variant>
        <vt:lpwstr>_Toc524534096</vt:lpwstr>
      </vt:variant>
      <vt:variant>
        <vt:i4>1900594</vt:i4>
      </vt:variant>
      <vt:variant>
        <vt:i4>92</vt:i4>
      </vt:variant>
      <vt:variant>
        <vt:i4>0</vt:i4>
      </vt:variant>
      <vt:variant>
        <vt:i4>5</vt:i4>
      </vt:variant>
      <vt:variant>
        <vt:lpwstr/>
      </vt:variant>
      <vt:variant>
        <vt:lpwstr>_Toc524534095</vt:lpwstr>
      </vt:variant>
      <vt:variant>
        <vt:i4>1900594</vt:i4>
      </vt:variant>
      <vt:variant>
        <vt:i4>86</vt:i4>
      </vt:variant>
      <vt:variant>
        <vt:i4>0</vt:i4>
      </vt:variant>
      <vt:variant>
        <vt:i4>5</vt:i4>
      </vt:variant>
      <vt:variant>
        <vt:lpwstr/>
      </vt:variant>
      <vt:variant>
        <vt:lpwstr>_Toc524534094</vt:lpwstr>
      </vt:variant>
      <vt:variant>
        <vt:i4>1900594</vt:i4>
      </vt:variant>
      <vt:variant>
        <vt:i4>80</vt:i4>
      </vt:variant>
      <vt:variant>
        <vt:i4>0</vt:i4>
      </vt:variant>
      <vt:variant>
        <vt:i4>5</vt:i4>
      </vt:variant>
      <vt:variant>
        <vt:lpwstr/>
      </vt:variant>
      <vt:variant>
        <vt:lpwstr>_Toc524534093</vt:lpwstr>
      </vt:variant>
      <vt:variant>
        <vt:i4>1900594</vt:i4>
      </vt:variant>
      <vt:variant>
        <vt:i4>74</vt:i4>
      </vt:variant>
      <vt:variant>
        <vt:i4>0</vt:i4>
      </vt:variant>
      <vt:variant>
        <vt:i4>5</vt:i4>
      </vt:variant>
      <vt:variant>
        <vt:lpwstr/>
      </vt:variant>
      <vt:variant>
        <vt:lpwstr>_Toc524534092</vt:lpwstr>
      </vt:variant>
      <vt:variant>
        <vt:i4>1900594</vt:i4>
      </vt:variant>
      <vt:variant>
        <vt:i4>68</vt:i4>
      </vt:variant>
      <vt:variant>
        <vt:i4>0</vt:i4>
      </vt:variant>
      <vt:variant>
        <vt:i4>5</vt:i4>
      </vt:variant>
      <vt:variant>
        <vt:lpwstr/>
      </vt:variant>
      <vt:variant>
        <vt:lpwstr>_Toc524534091</vt:lpwstr>
      </vt:variant>
      <vt:variant>
        <vt:i4>1900594</vt:i4>
      </vt:variant>
      <vt:variant>
        <vt:i4>62</vt:i4>
      </vt:variant>
      <vt:variant>
        <vt:i4>0</vt:i4>
      </vt:variant>
      <vt:variant>
        <vt:i4>5</vt:i4>
      </vt:variant>
      <vt:variant>
        <vt:lpwstr/>
      </vt:variant>
      <vt:variant>
        <vt:lpwstr>_Toc524534090</vt:lpwstr>
      </vt:variant>
      <vt:variant>
        <vt:i4>1835058</vt:i4>
      </vt:variant>
      <vt:variant>
        <vt:i4>56</vt:i4>
      </vt:variant>
      <vt:variant>
        <vt:i4>0</vt:i4>
      </vt:variant>
      <vt:variant>
        <vt:i4>5</vt:i4>
      </vt:variant>
      <vt:variant>
        <vt:lpwstr/>
      </vt:variant>
      <vt:variant>
        <vt:lpwstr>_Toc524534089</vt:lpwstr>
      </vt:variant>
      <vt:variant>
        <vt:i4>1835058</vt:i4>
      </vt:variant>
      <vt:variant>
        <vt:i4>50</vt:i4>
      </vt:variant>
      <vt:variant>
        <vt:i4>0</vt:i4>
      </vt:variant>
      <vt:variant>
        <vt:i4>5</vt:i4>
      </vt:variant>
      <vt:variant>
        <vt:lpwstr/>
      </vt:variant>
      <vt:variant>
        <vt:lpwstr>_Toc524534088</vt:lpwstr>
      </vt:variant>
      <vt:variant>
        <vt:i4>1835058</vt:i4>
      </vt:variant>
      <vt:variant>
        <vt:i4>44</vt:i4>
      </vt:variant>
      <vt:variant>
        <vt:i4>0</vt:i4>
      </vt:variant>
      <vt:variant>
        <vt:i4>5</vt:i4>
      </vt:variant>
      <vt:variant>
        <vt:lpwstr/>
      </vt:variant>
      <vt:variant>
        <vt:lpwstr>_Toc524534087</vt:lpwstr>
      </vt:variant>
      <vt:variant>
        <vt:i4>1835058</vt:i4>
      </vt:variant>
      <vt:variant>
        <vt:i4>38</vt:i4>
      </vt:variant>
      <vt:variant>
        <vt:i4>0</vt:i4>
      </vt:variant>
      <vt:variant>
        <vt:i4>5</vt:i4>
      </vt:variant>
      <vt:variant>
        <vt:lpwstr/>
      </vt:variant>
      <vt:variant>
        <vt:lpwstr>_Toc524534086</vt:lpwstr>
      </vt:variant>
      <vt:variant>
        <vt:i4>1835058</vt:i4>
      </vt:variant>
      <vt:variant>
        <vt:i4>32</vt:i4>
      </vt:variant>
      <vt:variant>
        <vt:i4>0</vt:i4>
      </vt:variant>
      <vt:variant>
        <vt:i4>5</vt:i4>
      </vt:variant>
      <vt:variant>
        <vt:lpwstr/>
      </vt:variant>
      <vt:variant>
        <vt:lpwstr>_Toc524534085</vt:lpwstr>
      </vt:variant>
      <vt:variant>
        <vt:i4>1835058</vt:i4>
      </vt:variant>
      <vt:variant>
        <vt:i4>26</vt:i4>
      </vt:variant>
      <vt:variant>
        <vt:i4>0</vt:i4>
      </vt:variant>
      <vt:variant>
        <vt:i4>5</vt:i4>
      </vt:variant>
      <vt:variant>
        <vt:lpwstr/>
      </vt:variant>
      <vt:variant>
        <vt:lpwstr>_Toc524534084</vt:lpwstr>
      </vt:variant>
      <vt:variant>
        <vt:i4>1835058</vt:i4>
      </vt:variant>
      <vt:variant>
        <vt:i4>20</vt:i4>
      </vt:variant>
      <vt:variant>
        <vt:i4>0</vt:i4>
      </vt:variant>
      <vt:variant>
        <vt:i4>5</vt:i4>
      </vt:variant>
      <vt:variant>
        <vt:lpwstr/>
      </vt:variant>
      <vt:variant>
        <vt:lpwstr>_Toc524534083</vt:lpwstr>
      </vt:variant>
      <vt:variant>
        <vt:i4>1835058</vt:i4>
      </vt:variant>
      <vt:variant>
        <vt:i4>14</vt:i4>
      </vt:variant>
      <vt:variant>
        <vt:i4>0</vt:i4>
      </vt:variant>
      <vt:variant>
        <vt:i4>5</vt:i4>
      </vt:variant>
      <vt:variant>
        <vt:lpwstr/>
      </vt:variant>
      <vt:variant>
        <vt:lpwstr>_Toc524534082</vt:lpwstr>
      </vt:variant>
      <vt:variant>
        <vt:i4>1835058</vt:i4>
      </vt:variant>
      <vt:variant>
        <vt:i4>8</vt:i4>
      </vt:variant>
      <vt:variant>
        <vt:i4>0</vt:i4>
      </vt:variant>
      <vt:variant>
        <vt:i4>5</vt:i4>
      </vt:variant>
      <vt:variant>
        <vt:lpwstr/>
      </vt:variant>
      <vt:variant>
        <vt:lpwstr>_Toc524534081</vt:lpwstr>
      </vt:variant>
      <vt:variant>
        <vt:i4>1835058</vt:i4>
      </vt:variant>
      <vt:variant>
        <vt:i4>2</vt:i4>
      </vt:variant>
      <vt:variant>
        <vt:i4>0</vt:i4>
      </vt:variant>
      <vt:variant>
        <vt:i4>5</vt:i4>
      </vt:variant>
      <vt:variant>
        <vt:lpwstr/>
      </vt:variant>
      <vt:variant>
        <vt:lpwstr>_Toc524534080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Affairs Victoria Annual Report 2022-23</dc:title>
  <dc:subject/>
  <dc:creator>Consumer Affairs Victoria</dc:creator>
  <cp:keywords/>
  <dc:description/>
  <cp:lastModifiedBy>David M Darragh (DGS)</cp:lastModifiedBy>
  <cp:revision>2</cp:revision>
  <cp:lastPrinted>2021-10-23T09:20:00Z</cp:lastPrinted>
  <dcterms:created xsi:type="dcterms:W3CDTF">2023-11-01T22:22:00Z</dcterms:created>
  <dcterms:modified xsi:type="dcterms:W3CDTF">2023-11-01T22:22:00Z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