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4FA1" w14:textId="6615BEB7" w:rsidR="00C90E80" w:rsidRPr="00062049" w:rsidRDefault="00C90E80" w:rsidP="00E15E1B">
      <w:pPr>
        <w:pStyle w:val="Heading1"/>
        <w:spacing w:before="4400" w:after="8400"/>
      </w:pPr>
      <w:r w:rsidRPr="001B396A">
        <w:t>Annual</w:t>
      </w:r>
      <w:r w:rsidR="00D23ECC">
        <w:t xml:space="preserve"> </w:t>
      </w:r>
      <w:r w:rsidRPr="001B396A">
        <w:t>Report</w:t>
      </w:r>
      <w:r w:rsidR="00D23ECC">
        <w:t xml:space="preserve"> </w:t>
      </w:r>
      <w:r w:rsidRPr="001B396A">
        <w:t>20</w:t>
      </w:r>
      <w:r w:rsidR="00DE3B0D">
        <w:t>2</w:t>
      </w:r>
      <w:r w:rsidR="009564E9">
        <w:t>1</w:t>
      </w:r>
      <w:r w:rsidR="00A66C4F">
        <w:t>–2</w:t>
      </w:r>
      <w:r w:rsidR="009564E9">
        <w:t>2</w:t>
      </w:r>
    </w:p>
    <w:p w14:paraId="1564C41C" w14:textId="77777777" w:rsidR="00062049" w:rsidRPr="003D521F" w:rsidRDefault="002D316F" w:rsidP="00FF30B8">
      <w:pPr>
        <w:pStyle w:val="BodyText"/>
        <w:jc w:val="right"/>
      </w:pPr>
      <w:r>
        <w:rPr>
          <w:noProof/>
          <w:lang w:eastAsia="en-AU"/>
        </w:rPr>
        <w:drawing>
          <wp:inline distT="0" distB="0" distL="0" distR="0" wp14:anchorId="0DE8F0AD" wp14:editId="15A39AE9">
            <wp:extent cx="1889157" cy="525145"/>
            <wp:effectExtent l="0" t="0" r="0" b="8255"/>
            <wp:docPr id="1" name="Picture 1"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 Affairs Victoria"/>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89157" cy="525145"/>
                    </a:xfrm>
                    <a:prstGeom prst="rect">
                      <a:avLst/>
                    </a:prstGeom>
                    <a:noFill/>
                    <a:ln>
                      <a:noFill/>
                    </a:ln>
                  </pic:spPr>
                </pic:pic>
              </a:graphicData>
            </a:graphic>
          </wp:inline>
        </w:drawing>
      </w:r>
    </w:p>
    <w:p w14:paraId="7F0B3FD9" w14:textId="77777777" w:rsidR="008E1660" w:rsidRDefault="008E1660" w:rsidP="008E1660">
      <w:pPr>
        <w:pStyle w:val="Heading2"/>
      </w:pPr>
      <w:bookmarkStart w:id="0" w:name="_Toc122097053"/>
      <w:r>
        <w:lastRenderedPageBreak/>
        <w:t>Contents</w:t>
      </w:r>
      <w:bookmarkEnd w:id="0"/>
    </w:p>
    <w:p w14:paraId="010F406A" w14:textId="1180C2DB" w:rsidR="00965DC0" w:rsidRDefault="009569B2">
      <w:pPr>
        <w:pStyle w:val="TOC1"/>
        <w:rPr>
          <w:rFonts w:asciiTheme="minorHAnsi" w:eastAsiaTheme="minorEastAsia" w:hAnsiTheme="minorHAnsi" w:cstheme="minorBidi"/>
          <w:b w:val="0"/>
          <w:noProof/>
          <w:sz w:val="22"/>
          <w:lang w:eastAsia="en-AU"/>
        </w:rPr>
      </w:pPr>
      <w:r>
        <w:fldChar w:fldCharType="begin"/>
      </w:r>
      <w:r>
        <w:instrText xml:space="preserve"> TOC \h \z \u \t "Heading 2,1,Heading 3,2,TOC heading,2" </w:instrText>
      </w:r>
      <w:r>
        <w:fldChar w:fldCharType="separate"/>
      </w:r>
      <w:hyperlink w:anchor="_Toc122097053" w:history="1">
        <w:r w:rsidR="00965DC0" w:rsidRPr="00A9691E">
          <w:rPr>
            <w:rStyle w:val="Hyperlink"/>
            <w:noProof/>
          </w:rPr>
          <w:t>Contents</w:t>
        </w:r>
        <w:r w:rsidR="00965DC0">
          <w:rPr>
            <w:noProof/>
            <w:webHidden/>
          </w:rPr>
          <w:tab/>
        </w:r>
        <w:r w:rsidR="00965DC0">
          <w:rPr>
            <w:noProof/>
            <w:webHidden/>
          </w:rPr>
          <w:fldChar w:fldCharType="begin"/>
        </w:r>
        <w:r w:rsidR="00965DC0">
          <w:rPr>
            <w:noProof/>
            <w:webHidden/>
          </w:rPr>
          <w:instrText xml:space="preserve"> PAGEREF _Toc122097053 \h </w:instrText>
        </w:r>
        <w:r w:rsidR="00965DC0">
          <w:rPr>
            <w:noProof/>
            <w:webHidden/>
          </w:rPr>
        </w:r>
        <w:r w:rsidR="00965DC0">
          <w:rPr>
            <w:noProof/>
            <w:webHidden/>
          </w:rPr>
          <w:fldChar w:fldCharType="separate"/>
        </w:r>
        <w:r w:rsidR="00965DC0">
          <w:rPr>
            <w:noProof/>
            <w:webHidden/>
          </w:rPr>
          <w:t>2</w:t>
        </w:r>
        <w:r w:rsidR="00965DC0">
          <w:rPr>
            <w:noProof/>
            <w:webHidden/>
          </w:rPr>
          <w:fldChar w:fldCharType="end"/>
        </w:r>
      </w:hyperlink>
    </w:p>
    <w:p w14:paraId="4126E14C" w14:textId="75AFBA61" w:rsidR="00965DC0" w:rsidRDefault="000C7BFD">
      <w:pPr>
        <w:pStyle w:val="TOC1"/>
        <w:rPr>
          <w:rFonts w:asciiTheme="minorHAnsi" w:eastAsiaTheme="minorEastAsia" w:hAnsiTheme="minorHAnsi" w:cstheme="minorBidi"/>
          <w:b w:val="0"/>
          <w:noProof/>
          <w:sz w:val="22"/>
          <w:lang w:eastAsia="en-AU"/>
        </w:rPr>
      </w:pPr>
      <w:hyperlink w:anchor="_Toc122097054" w:history="1">
        <w:r w:rsidR="00965DC0" w:rsidRPr="00A9691E">
          <w:rPr>
            <w:rStyle w:val="Hyperlink"/>
            <w:noProof/>
          </w:rPr>
          <w:t>Letter to the Minister</w:t>
        </w:r>
        <w:r w:rsidR="00965DC0">
          <w:rPr>
            <w:noProof/>
            <w:webHidden/>
          </w:rPr>
          <w:tab/>
        </w:r>
        <w:r w:rsidR="00965DC0">
          <w:rPr>
            <w:noProof/>
            <w:webHidden/>
          </w:rPr>
          <w:fldChar w:fldCharType="begin"/>
        </w:r>
        <w:r w:rsidR="00965DC0">
          <w:rPr>
            <w:noProof/>
            <w:webHidden/>
          </w:rPr>
          <w:instrText xml:space="preserve"> PAGEREF _Toc122097054 \h </w:instrText>
        </w:r>
        <w:r w:rsidR="00965DC0">
          <w:rPr>
            <w:noProof/>
            <w:webHidden/>
          </w:rPr>
        </w:r>
        <w:r w:rsidR="00965DC0">
          <w:rPr>
            <w:noProof/>
            <w:webHidden/>
          </w:rPr>
          <w:fldChar w:fldCharType="separate"/>
        </w:r>
        <w:r w:rsidR="00965DC0">
          <w:rPr>
            <w:noProof/>
            <w:webHidden/>
          </w:rPr>
          <w:t>3</w:t>
        </w:r>
        <w:r w:rsidR="00965DC0">
          <w:rPr>
            <w:noProof/>
            <w:webHidden/>
          </w:rPr>
          <w:fldChar w:fldCharType="end"/>
        </w:r>
      </w:hyperlink>
    </w:p>
    <w:p w14:paraId="0B9E02B2" w14:textId="580C14CF" w:rsidR="00965DC0" w:rsidRDefault="000C7BFD">
      <w:pPr>
        <w:pStyle w:val="TOC1"/>
        <w:rPr>
          <w:rFonts w:asciiTheme="minorHAnsi" w:eastAsiaTheme="minorEastAsia" w:hAnsiTheme="minorHAnsi" w:cstheme="minorBidi"/>
          <w:b w:val="0"/>
          <w:noProof/>
          <w:sz w:val="22"/>
          <w:lang w:eastAsia="en-AU"/>
        </w:rPr>
      </w:pPr>
      <w:hyperlink w:anchor="_Toc122097055" w:history="1">
        <w:r w:rsidR="00965DC0" w:rsidRPr="00A9691E">
          <w:rPr>
            <w:rStyle w:val="Hyperlink"/>
            <w:noProof/>
          </w:rPr>
          <w:t>Director’s foreword</w:t>
        </w:r>
        <w:r w:rsidR="00965DC0">
          <w:rPr>
            <w:noProof/>
            <w:webHidden/>
          </w:rPr>
          <w:tab/>
        </w:r>
        <w:r w:rsidR="00965DC0">
          <w:rPr>
            <w:noProof/>
            <w:webHidden/>
          </w:rPr>
          <w:fldChar w:fldCharType="begin"/>
        </w:r>
        <w:r w:rsidR="00965DC0">
          <w:rPr>
            <w:noProof/>
            <w:webHidden/>
          </w:rPr>
          <w:instrText xml:space="preserve"> PAGEREF _Toc122097055 \h </w:instrText>
        </w:r>
        <w:r w:rsidR="00965DC0">
          <w:rPr>
            <w:noProof/>
            <w:webHidden/>
          </w:rPr>
        </w:r>
        <w:r w:rsidR="00965DC0">
          <w:rPr>
            <w:noProof/>
            <w:webHidden/>
          </w:rPr>
          <w:fldChar w:fldCharType="separate"/>
        </w:r>
        <w:r w:rsidR="00965DC0">
          <w:rPr>
            <w:noProof/>
            <w:webHidden/>
          </w:rPr>
          <w:t>4</w:t>
        </w:r>
        <w:r w:rsidR="00965DC0">
          <w:rPr>
            <w:noProof/>
            <w:webHidden/>
          </w:rPr>
          <w:fldChar w:fldCharType="end"/>
        </w:r>
      </w:hyperlink>
    </w:p>
    <w:p w14:paraId="47DA1CB0" w14:textId="58ACCA1C" w:rsidR="00965DC0" w:rsidRDefault="000C7BFD">
      <w:pPr>
        <w:pStyle w:val="TOC1"/>
        <w:rPr>
          <w:rFonts w:asciiTheme="minorHAnsi" w:eastAsiaTheme="minorEastAsia" w:hAnsiTheme="minorHAnsi" w:cstheme="minorBidi"/>
          <w:b w:val="0"/>
          <w:noProof/>
          <w:sz w:val="22"/>
          <w:lang w:eastAsia="en-AU"/>
        </w:rPr>
      </w:pPr>
      <w:hyperlink w:anchor="_Toc122097056" w:history="1">
        <w:r w:rsidR="00965DC0" w:rsidRPr="00A9691E">
          <w:rPr>
            <w:rStyle w:val="Hyperlink"/>
            <w:noProof/>
          </w:rPr>
          <w:t>About us</w:t>
        </w:r>
        <w:r w:rsidR="00965DC0">
          <w:rPr>
            <w:noProof/>
            <w:webHidden/>
          </w:rPr>
          <w:tab/>
        </w:r>
        <w:r w:rsidR="00965DC0">
          <w:rPr>
            <w:noProof/>
            <w:webHidden/>
          </w:rPr>
          <w:fldChar w:fldCharType="begin"/>
        </w:r>
        <w:r w:rsidR="00965DC0">
          <w:rPr>
            <w:noProof/>
            <w:webHidden/>
          </w:rPr>
          <w:instrText xml:space="preserve"> PAGEREF _Toc122097056 \h </w:instrText>
        </w:r>
        <w:r w:rsidR="00965DC0">
          <w:rPr>
            <w:noProof/>
            <w:webHidden/>
          </w:rPr>
        </w:r>
        <w:r w:rsidR="00965DC0">
          <w:rPr>
            <w:noProof/>
            <w:webHidden/>
          </w:rPr>
          <w:fldChar w:fldCharType="separate"/>
        </w:r>
        <w:r w:rsidR="00965DC0">
          <w:rPr>
            <w:noProof/>
            <w:webHidden/>
          </w:rPr>
          <w:t>6</w:t>
        </w:r>
        <w:r w:rsidR="00965DC0">
          <w:rPr>
            <w:noProof/>
            <w:webHidden/>
          </w:rPr>
          <w:fldChar w:fldCharType="end"/>
        </w:r>
      </w:hyperlink>
    </w:p>
    <w:p w14:paraId="158B645B" w14:textId="318D9AF2" w:rsidR="00965DC0" w:rsidRDefault="000C7BFD">
      <w:pPr>
        <w:pStyle w:val="TOC2"/>
        <w:rPr>
          <w:rFonts w:asciiTheme="minorHAnsi" w:eastAsiaTheme="minorEastAsia" w:hAnsiTheme="minorHAnsi" w:cstheme="minorBidi"/>
          <w:sz w:val="22"/>
          <w:lang w:eastAsia="en-AU"/>
        </w:rPr>
      </w:pPr>
      <w:hyperlink w:anchor="_Toc122097057" w:history="1">
        <w:r w:rsidR="00965DC0" w:rsidRPr="00A9691E">
          <w:rPr>
            <w:rStyle w:val="Hyperlink"/>
          </w:rPr>
          <w:t>Our values</w:t>
        </w:r>
        <w:r w:rsidR="00965DC0">
          <w:rPr>
            <w:webHidden/>
          </w:rPr>
          <w:tab/>
        </w:r>
        <w:r w:rsidR="00965DC0">
          <w:rPr>
            <w:webHidden/>
          </w:rPr>
          <w:fldChar w:fldCharType="begin"/>
        </w:r>
        <w:r w:rsidR="00965DC0">
          <w:rPr>
            <w:webHidden/>
          </w:rPr>
          <w:instrText xml:space="preserve"> PAGEREF _Toc122097057 \h </w:instrText>
        </w:r>
        <w:r w:rsidR="00965DC0">
          <w:rPr>
            <w:webHidden/>
          </w:rPr>
        </w:r>
        <w:r w:rsidR="00965DC0">
          <w:rPr>
            <w:webHidden/>
          </w:rPr>
          <w:fldChar w:fldCharType="separate"/>
        </w:r>
        <w:r w:rsidR="00965DC0">
          <w:rPr>
            <w:webHidden/>
          </w:rPr>
          <w:t>6</w:t>
        </w:r>
        <w:r w:rsidR="00965DC0">
          <w:rPr>
            <w:webHidden/>
          </w:rPr>
          <w:fldChar w:fldCharType="end"/>
        </w:r>
      </w:hyperlink>
    </w:p>
    <w:p w14:paraId="1F95B76D" w14:textId="25DA64F4" w:rsidR="00965DC0" w:rsidRDefault="000C7BFD">
      <w:pPr>
        <w:pStyle w:val="TOC2"/>
        <w:rPr>
          <w:rFonts w:asciiTheme="minorHAnsi" w:eastAsiaTheme="minorEastAsia" w:hAnsiTheme="minorHAnsi" w:cstheme="minorBidi"/>
          <w:sz w:val="22"/>
          <w:lang w:eastAsia="en-AU"/>
        </w:rPr>
      </w:pPr>
      <w:hyperlink w:anchor="_Toc122097058" w:history="1">
        <w:r w:rsidR="00965DC0" w:rsidRPr="00A9691E">
          <w:rPr>
            <w:rStyle w:val="Hyperlink"/>
          </w:rPr>
          <w:t>Our vision</w:t>
        </w:r>
        <w:r w:rsidR="00965DC0">
          <w:rPr>
            <w:webHidden/>
          </w:rPr>
          <w:tab/>
        </w:r>
        <w:r w:rsidR="00965DC0">
          <w:rPr>
            <w:webHidden/>
          </w:rPr>
          <w:fldChar w:fldCharType="begin"/>
        </w:r>
        <w:r w:rsidR="00965DC0">
          <w:rPr>
            <w:webHidden/>
          </w:rPr>
          <w:instrText xml:space="preserve"> PAGEREF _Toc122097058 \h </w:instrText>
        </w:r>
        <w:r w:rsidR="00965DC0">
          <w:rPr>
            <w:webHidden/>
          </w:rPr>
        </w:r>
        <w:r w:rsidR="00965DC0">
          <w:rPr>
            <w:webHidden/>
          </w:rPr>
          <w:fldChar w:fldCharType="separate"/>
        </w:r>
        <w:r w:rsidR="00965DC0">
          <w:rPr>
            <w:webHidden/>
          </w:rPr>
          <w:t>6</w:t>
        </w:r>
        <w:r w:rsidR="00965DC0">
          <w:rPr>
            <w:webHidden/>
          </w:rPr>
          <w:fldChar w:fldCharType="end"/>
        </w:r>
      </w:hyperlink>
    </w:p>
    <w:p w14:paraId="4DAA8532" w14:textId="1EAF8420" w:rsidR="00965DC0" w:rsidRDefault="000C7BFD">
      <w:pPr>
        <w:pStyle w:val="TOC2"/>
        <w:rPr>
          <w:rFonts w:asciiTheme="minorHAnsi" w:eastAsiaTheme="minorEastAsia" w:hAnsiTheme="minorHAnsi" w:cstheme="minorBidi"/>
          <w:sz w:val="22"/>
          <w:lang w:eastAsia="en-AU"/>
        </w:rPr>
      </w:pPr>
      <w:hyperlink w:anchor="_Toc122097059" w:history="1">
        <w:r w:rsidR="00965DC0" w:rsidRPr="00A9691E">
          <w:rPr>
            <w:rStyle w:val="Hyperlink"/>
          </w:rPr>
          <w:t>Our outcomes</w:t>
        </w:r>
        <w:r w:rsidR="00965DC0">
          <w:rPr>
            <w:webHidden/>
          </w:rPr>
          <w:tab/>
        </w:r>
        <w:r w:rsidR="00965DC0">
          <w:rPr>
            <w:webHidden/>
          </w:rPr>
          <w:fldChar w:fldCharType="begin"/>
        </w:r>
        <w:r w:rsidR="00965DC0">
          <w:rPr>
            <w:webHidden/>
          </w:rPr>
          <w:instrText xml:space="preserve"> PAGEREF _Toc122097059 \h </w:instrText>
        </w:r>
        <w:r w:rsidR="00965DC0">
          <w:rPr>
            <w:webHidden/>
          </w:rPr>
        </w:r>
        <w:r w:rsidR="00965DC0">
          <w:rPr>
            <w:webHidden/>
          </w:rPr>
          <w:fldChar w:fldCharType="separate"/>
        </w:r>
        <w:r w:rsidR="00965DC0">
          <w:rPr>
            <w:webHidden/>
          </w:rPr>
          <w:t>6</w:t>
        </w:r>
        <w:r w:rsidR="00965DC0">
          <w:rPr>
            <w:webHidden/>
          </w:rPr>
          <w:fldChar w:fldCharType="end"/>
        </w:r>
      </w:hyperlink>
    </w:p>
    <w:p w14:paraId="21C4BCA3" w14:textId="6B7321B1" w:rsidR="00965DC0" w:rsidRDefault="000C7BFD">
      <w:pPr>
        <w:pStyle w:val="TOC2"/>
        <w:rPr>
          <w:rFonts w:asciiTheme="minorHAnsi" w:eastAsiaTheme="minorEastAsia" w:hAnsiTheme="minorHAnsi" w:cstheme="minorBidi"/>
          <w:sz w:val="22"/>
          <w:lang w:eastAsia="en-AU"/>
        </w:rPr>
      </w:pPr>
      <w:hyperlink w:anchor="_Toc122097060" w:history="1">
        <w:r w:rsidR="00965DC0" w:rsidRPr="00A9691E">
          <w:rPr>
            <w:rStyle w:val="Hyperlink"/>
          </w:rPr>
          <w:t>Our functions</w:t>
        </w:r>
        <w:r w:rsidR="00965DC0">
          <w:rPr>
            <w:webHidden/>
          </w:rPr>
          <w:tab/>
        </w:r>
        <w:r w:rsidR="00965DC0">
          <w:rPr>
            <w:webHidden/>
          </w:rPr>
          <w:fldChar w:fldCharType="begin"/>
        </w:r>
        <w:r w:rsidR="00965DC0">
          <w:rPr>
            <w:webHidden/>
          </w:rPr>
          <w:instrText xml:space="preserve"> PAGEREF _Toc122097060 \h </w:instrText>
        </w:r>
        <w:r w:rsidR="00965DC0">
          <w:rPr>
            <w:webHidden/>
          </w:rPr>
        </w:r>
        <w:r w:rsidR="00965DC0">
          <w:rPr>
            <w:webHidden/>
          </w:rPr>
          <w:fldChar w:fldCharType="separate"/>
        </w:r>
        <w:r w:rsidR="00965DC0">
          <w:rPr>
            <w:webHidden/>
          </w:rPr>
          <w:t>6</w:t>
        </w:r>
        <w:r w:rsidR="00965DC0">
          <w:rPr>
            <w:webHidden/>
          </w:rPr>
          <w:fldChar w:fldCharType="end"/>
        </w:r>
      </w:hyperlink>
    </w:p>
    <w:p w14:paraId="13857B28" w14:textId="46FABDEB" w:rsidR="00965DC0" w:rsidRDefault="000C7BFD">
      <w:pPr>
        <w:pStyle w:val="TOC2"/>
        <w:rPr>
          <w:rFonts w:asciiTheme="minorHAnsi" w:eastAsiaTheme="minorEastAsia" w:hAnsiTheme="minorHAnsi" w:cstheme="minorBidi"/>
          <w:sz w:val="22"/>
          <w:lang w:eastAsia="en-AU"/>
        </w:rPr>
      </w:pPr>
      <w:hyperlink w:anchor="_Toc122097061" w:history="1">
        <w:r w:rsidR="00965DC0" w:rsidRPr="00A9691E">
          <w:rPr>
            <w:rStyle w:val="Hyperlink"/>
          </w:rPr>
          <w:t>Our regulatory approach</w:t>
        </w:r>
        <w:r w:rsidR="00965DC0">
          <w:rPr>
            <w:webHidden/>
          </w:rPr>
          <w:tab/>
        </w:r>
        <w:r w:rsidR="00965DC0">
          <w:rPr>
            <w:webHidden/>
          </w:rPr>
          <w:fldChar w:fldCharType="begin"/>
        </w:r>
        <w:r w:rsidR="00965DC0">
          <w:rPr>
            <w:webHidden/>
          </w:rPr>
          <w:instrText xml:space="preserve"> PAGEREF _Toc122097061 \h </w:instrText>
        </w:r>
        <w:r w:rsidR="00965DC0">
          <w:rPr>
            <w:webHidden/>
          </w:rPr>
        </w:r>
        <w:r w:rsidR="00965DC0">
          <w:rPr>
            <w:webHidden/>
          </w:rPr>
          <w:fldChar w:fldCharType="separate"/>
        </w:r>
        <w:r w:rsidR="00965DC0">
          <w:rPr>
            <w:webHidden/>
          </w:rPr>
          <w:t>7</w:t>
        </w:r>
        <w:r w:rsidR="00965DC0">
          <w:rPr>
            <w:webHidden/>
          </w:rPr>
          <w:fldChar w:fldCharType="end"/>
        </w:r>
      </w:hyperlink>
    </w:p>
    <w:p w14:paraId="02D25B04" w14:textId="0A20CDC8" w:rsidR="00965DC0" w:rsidRDefault="000C7BFD">
      <w:pPr>
        <w:pStyle w:val="TOC1"/>
        <w:rPr>
          <w:rFonts w:asciiTheme="minorHAnsi" w:eastAsiaTheme="minorEastAsia" w:hAnsiTheme="minorHAnsi" w:cstheme="minorBidi"/>
          <w:b w:val="0"/>
          <w:noProof/>
          <w:sz w:val="22"/>
          <w:lang w:eastAsia="en-AU"/>
        </w:rPr>
      </w:pPr>
      <w:hyperlink w:anchor="_Toc122097062" w:history="1">
        <w:r w:rsidR="00965DC0" w:rsidRPr="00A9691E">
          <w:rPr>
            <w:rStyle w:val="Hyperlink"/>
            <w:noProof/>
          </w:rPr>
          <w:t>Our performance</w:t>
        </w:r>
        <w:r w:rsidR="00965DC0">
          <w:rPr>
            <w:noProof/>
            <w:webHidden/>
          </w:rPr>
          <w:tab/>
        </w:r>
        <w:r w:rsidR="00965DC0">
          <w:rPr>
            <w:noProof/>
            <w:webHidden/>
          </w:rPr>
          <w:fldChar w:fldCharType="begin"/>
        </w:r>
        <w:r w:rsidR="00965DC0">
          <w:rPr>
            <w:noProof/>
            <w:webHidden/>
          </w:rPr>
          <w:instrText xml:space="preserve"> PAGEREF _Toc122097062 \h </w:instrText>
        </w:r>
        <w:r w:rsidR="00965DC0">
          <w:rPr>
            <w:noProof/>
            <w:webHidden/>
          </w:rPr>
        </w:r>
        <w:r w:rsidR="00965DC0">
          <w:rPr>
            <w:noProof/>
            <w:webHidden/>
          </w:rPr>
          <w:fldChar w:fldCharType="separate"/>
        </w:r>
        <w:r w:rsidR="00965DC0">
          <w:rPr>
            <w:noProof/>
            <w:webHidden/>
          </w:rPr>
          <w:t>9</w:t>
        </w:r>
        <w:r w:rsidR="00965DC0">
          <w:rPr>
            <w:noProof/>
            <w:webHidden/>
          </w:rPr>
          <w:fldChar w:fldCharType="end"/>
        </w:r>
      </w:hyperlink>
    </w:p>
    <w:p w14:paraId="5AFA65BE" w14:textId="45703BEB" w:rsidR="00965DC0" w:rsidRDefault="000C7BFD">
      <w:pPr>
        <w:pStyle w:val="TOC1"/>
        <w:rPr>
          <w:rFonts w:asciiTheme="minorHAnsi" w:eastAsiaTheme="minorEastAsia" w:hAnsiTheme="minorHAnsi" w:cstheme="minorBidi"/>
          <w:b w:val="0"/>
          <w:noProof/>
          <w:sz w:val="22"/>
          <w:lang w:eastAsia="en-AU"/>
        </w:rPr>
      </w:pPr>
      <w:hyperlink w:anchor="_Toc122097063" w:history="1">
        <w:r w:rsidR="00965DC0" w:rsidRPr="00A9691E">
          <w:rPr>
            <w:rStyle w:val="Hyperlink"/>
            <w:noProof/>
          </w:rPr>
          <w:t>Our achievements</w:t>
        </w:r>
        <w:r w:rsidR="00965DC0">
          <w:rPr>
            <w:noProof/>
            <w:webHidden/>
          </w:rPr>
          <w:tab/>
        </w:r>
        <w:r w:rsidR="00965DC0">
          <w:rPr>
            <w:noProof/>
            <w:webHidden/>
          </w:rPr>
          <w:fldChar w:fldCharType="begin"/>
        </w:r>
        <w:r w:rsidR="00965DC0">
          <w:rPr>
            <w:noProof/>
            <w:webHidden/>
          </w:rPr>
          <w:instrText xml:space="preserve"> PAGEREF _Toc122097063 \h </w:instrText>
        </w:r>
        <w:r w:rsidR="00965DC0">
          <w:rPr>
            <w:noProof/>
            <w:webHidden/>
          </w:rPr>
        </w:r>
        <w:r w:rsidR="00965DC0">
          <w:rPr>
            <w:noProof/>
            <w:webHidden/>
          </w:rPr>
          <w:fldChar w:fldCharType="separate"/>
        </w:r>
        <w:r w:rsidR="00965DC0">
          <w:rPr>
            <w:noProof/>
            <w:webHidden/>
          </w:rPr>
          <w:t>11</w:t>
        </w:r>
        <w:r w:rsidR="00965DC0">
          <w:rPr>
            <w:noProof/>
            <w:webHidden/>
          </w:rPr>
          <w:fldChar w:fldCharType="end"/>
        </w:r>
      </w:hyperlink>
    </w:p>
    <w:p w14:paraId="531E1A31" w14:textId="73F3BCFB" w:rsidR="00965DC0" w:rsidRDefault="000C7BFD">
      <w:pPr>
        <w:pStyle w:val="TOC2"/>
        <w:rPr>
          <w:rFonts w:asciiTheme="minorHAnsi" w:eastAsiaTheme="minorEastAsia" w:hAnsiTheme="minorHAnsi" w:cstheme="minorBidi"/>
          <w:sz w:val="22"/>
          <w:lang w:eastAsia="en-AU"/>
        </w:rPr>
      </w:pPr>
      <w:hyperlink w:anchor="_Toc122097064" w:history="1">
        <w:r w:rsidR="00965DC0" w:rsidRPr="00A9691E">
          <w:rPr>
            <w:rStyle w:val="Hyperlink"/>
          </w:rPr>
          <w:t>Businesses comply with consumer laws</w:t>
        </w:r>
        <w:r w:rsidR="00965DC0">
          <w:rPr>
            <w:webHidden/>
          </w:rPr>
          <w:tab/>
        </w:r>
        <w:r w:rsidR="00965DC0">
          <w:rPr>
            <w:webHidden/>
          </w:rPr>
          <w:fldChar w:fldCharType="begin"/>
        </w:r>
        <w:r w:rsidR="00965DC0">
          <w:rPr>
            <w:webHidden/>
          </w:rPr>
          <w:instrText xml:space="preserve"> PAGEREF _Toc122097064 \h </w:instrText>
        </w:r>
        <w:r w:rsidR="00965DC0">
          <w:rPr>
            <w:webHidden/>
          </w:rPr>
        </w:r>
        <w:r w:rsidR="00965DC0">
          <w:rPr>
            <w:webHidden/>
          </w:rPr>
          <w:fldChar w:fldCharType="separate"/>
        </w:r>
        <w:r w:rsidR="00965DC0">
          <w:rPr>
            <w:webHidden/>
          </w:rPr>
          <w:t>11</w:t>
        </w:r>
        <w:r w:rsidR="00965DC0">
          <w:rPr>
            <w:webHidden/>
          </w:rPr>
          <w:fldChar w:fldCharType="end"/>
        </w:r>
      </w:hyperlink>
    </w:p>
    <w:p w14:paraId="44DFB76C" w14:textId="0550BAC6" w:rsidR="00965DC0" w:rsidRDefault="000C7BFD">
      <w:pPr>
        <w:pStyle w:val="TOC2"/>
        <w:rPr>
          <w:rFonts w:asciiTheme="minorHAnsi" w:eastAsiaTheme="minorEastAsia" w:hAnsiTheme="minorHAnsi" w:cstheme="minorBidi"/>
          <w:sz w:val="22"/>
          <w:lang w:eastAsia="en-AU"/>
        </w:rPr>
      </w:pPr>
      <w:hyperlink w:anchor="_Toc122097065" w:history="1">
        <w:r w:rsidR="00965DC0" w:rsidRPr="00A9691E">
          <w:rPr>
            <w:rStyle w:val="Hyperlink"/>
          </w:rPr>
          <w:t>Victorians exercise their consumer rights</w:t>
        </w:r>
        <w:r w:rsidR="00965DC0">
          <w:rPr>
            <w:webHidden/>
          </w:rPr>
          <w:tab/>
        </w:r>
        <w:r w:rsidR="00965DC0">
          <w:rPr>
            <w:webHidden/>
          </w:rPr>
          <w:fldChar w:fldCharType="begin"/>
        </w:r>
        <w:r w:rsidR="00965DC0">
          <w:rPr>
            <w:webHidden/>
          </w:rPr>
          <w:instrText xml:space="preserve"> PAGEREF _Toc122097065 \h </w:instrText>
        </w:r>
        <w:r w:rsidR="00965DC0">
          <w:rPr>
            <w:webHidden/>
          </w:rPr>
        </w:r>
        <w:r w:rsidR="00965DC0">
          <w:rPr>
            <w:webHidden/>
          </w:rPr>
          <w:fldChar w:fldCharType="separate"/>
        </w:r>
        <w:r w:rsidR="00965DC0">
          <w:rPr>
            <w:webHidden/>
          </w:rPr>
          <w:t>18</w:t>
        </w:r>
        <w:r w:rsidR="00965DC0">
          <w:rPr>
            <w:webHidden/>
          </w:rPr>
          <w:fldChar w:fldCharType="end"/>
        </w:r>
      </w:hyperlink>
    </w:p>
    <w:p w14:paraId="558C7A1B" w14:textId="5444BC9F" w:rsidR="00965DC0" w:rsidRDefault="000C7BFD">
      <w:pPr>
        <w:pStyle w:val="TOC2"/>
        <w:rPr>
          <w:rFonts w:asciiTheme="minorHAnsi" w:eastAsiaTheme="minorEastAsia" w:hAnsiTheme="minorHAnsi" w:cstheme="minorBidi"/>
          <w:sz w:val="22"/>
          <w:lang w:eastAsia="en-AU"/>
        </w:rPr>
      </w:pPr>
      <w:hyperlink w:anchor="_Toc122097066" w:history="1">
        <w:r w:rsidR="00965DC0" w:rsidRPr="00A9691E">
          <w:rPr>
            <w:rStyle w:val="Hyperlink"/>
          </w:rPr>
          <w:t>A fair and safe rental ma</w:t>
        </w:r>
        <w:r w:rsidR="00965DC0" w:rsidRPr="00A9691E">
          <w:rPr>
            <w:rStyle w:val="Hyperlink"/>
          </w:rPr>
          <w:t>r</w:t>
        </w:r>
        <w:r w:rsidR="00965DC0" w:rsidRPr="00A9691E">
          <w:rPr>
            <w:rStyle w:val="Hyperlink"/>
          </w:rPr>
          <w:t>ket</w:t>
        </w:r>
        <w:r w:rsidR="00965DC0">
          <w:rPr>
            <w:webHidden/>
          </w:rPr>
          <w:tab/>
        </w:r>
        <w:r w:rsidR="00965DC0">
          <w:rPr>
            <w:webHidden/>
          </w:rPr>
          <w:fldChar w:fldCharType="begin"/>
        </w:r>
        <w:r w:rsidR="00965DC0">
          <w:rPr>
            <w:webHidden/>
          </w:rPr>
          <w:instrText xml:space="preserve"> PAGEREF _Toc122097066 \h </w:instrText>
        </w:r>
        <w:r w:rsidR="00965DC0">
          <w:rPr>
            <w:webHidden/>
          </w:rPr>
        </w:r>
        <w:r w:rsidR="00965DC0">
          <w:rPr>
            <w:webHidden/>
          </w:rPr>
          <w:fldChar w:fldCharType="separate"/>
        </w:r>
        <w:r w:rsidR="00965DC0">
          <w:rPr>
            <w:webHidden/>
          </w:rPr>
          <w:t>22</w:t>
        </w:r>
        <w:r w:rsidR="00965DC0">
          <w:rPr>
            <w:webHidden/>
          </w:rPr>
          <w:fldChar w:fldCharType="end"/>
        </w:r>
      </w:hyperlink>
    </w:p>
    <w:p w14:paraId="09354FC7" w14:textId="4C5A354C" w:rsidR="00965DC0" w:rsidRDefault="000C7BFD">
      <w:pPr>
        <w:pStyle w:val="TOC1"/>
        <w:rPr>
          <w:rFonts w:asciiTheme="minorHAnsi" w:eastAsiaTheme="minorEastAsia" w:hAnsiTheme="minorHAnsi" w:cstheme="minorBidi"/>
          <w:b w:val="0"/>
          <w:noProof/>
          <w:sz w:val="22"/>
          <w:lang w:eastAsia="en-AU"/>
        </w:rPr>
      </w:pPr>
      <w:hyperlink w:anchor="_Toc122097067" w:history="1">
        <w:r w:rsidR="00965DC0" w:rsidRPr="00A9691E">
          <w:rPr>
            <w:rStyle w:val="Hyperlink"/>
            <w:noProof/>
          </w:rPr>
          <w:t>Statement of Expectations</w:t>
        </w:r>
        <w:r w:rsidR="00965DC0">
          <w:rPr>
            <w:noProof/>
            <w:webHidden/>
          </w:rPr>
          <w:tab/>
        </w:r>
        <w:r w:rsidR="00965DC0">
          <w:rPr>
            <w:noProof/>
            <w:webHidden/>
          </w:rPr>
          <w:fldChar w:fldCharType="begin"/>
        </w:r>
        <w:r w:rsidR="00965DC0">
          <w:rPr>
            <w:noProof/>
            <w:webHidden/>
          </w:rPr>
          <w:instrText xml:space="preserve"> PAGEREF _Toc122097067 \h </w:instrText>
        </w:r>
        <w:r w:rsidR="00965DC0">
          <w:rPr>
            <w:noProof/>
            <w:webHidden/>
          </w:rPr>
        </w:r>
        <w:r w:rsidR="00965DC0">
          <w:rPr>
            <w:noProof/>
            <w:webHidden/>
          </w:rPr>
          <w:fldChar w:fldCharType="separate"/>
        </w:r>
        <w:r w:rsidR="00965DC0">
          <w:rPr>
            <w:noProof/>
            <w:webHidden/>
          </w:rPr>
          <w:t>26</w:t>
        </w:r>
        <w:r w:rsidR="00965DC0">
          <w:rPr>
            <w:noProof/>
            <w:webHidden/>
          </w:rPr>
          <w:fldChar w:fldCharType="end"/>
        </w:r>
      </w:hyperlink>
    </w:p>
    <w:p w14:paraId="5D424355" w14:textId="1BDEAD0F" w:rsidR="00965DC0" w:rsidRDefault="000C7BFD">
      <w:pPr>
        <w:pStyle w:val="TOC2"/>
        <w:rPr>
          <w:rFonts w:asciiTheme="minorHAnsi" w:eastAsiaTheme="minorEastAsia" w:hAnsiTheme="minorHAnsi" w:cstheme="minorBidi"/>
          <w:sz w:val="22"/>
          <w:lang w:eastAsia="en-AU"/>
        </w:rPr>
      </w:pPr>
      <w:hyperlink w:anchor="_Toc122097068" w:history="1">
        <w:r w:rsidR="00965DC0" w:rsidRPr="00A9691E">
          <w:rPr>
            <w:rStyle w:val="Hyperlink"/>
          </w:rPr>
          <w:t>Support economic and social recovery</w:t>
        </w:r>
        <w:r w:rsidR="00965DC0">
          <w:rPr>
            <w:webHidden/>
          </w:rPr>
          <w:tab/>
        </w:r>
        <w:r w:rsidR="00965DC0">
          <w:rPr>
            <w:webHidden/>
          </w:rPr>
          <w:fldChar w:fldCharType="begin"/>
        </w:r>
        <w:r w:rsidR="00965DC0">
          <w:rPr>
            <w:webHidden/>
          </w:rPr>
          <w:instrText xml:space="preserve"> PAGEREF _Toc122097068 \h </w:instrText>
        </w:r>
        <w:r w:rsidR="00965DC0">
          <w:rPr>
            <w:webHidden/>
          </w:rPr>
        </w:r>
        <w:r w:rsidR="00965DC0">
          <w:rPr>
            <w:webHidden/>
          </w:rPr>
          <w:fldChar w:fldCharType="separate"/>
        </w:r>
        <w:r w:rsidR="00965DC0">
          <w:rPr>
            <w:webHidden/>
          </w:rPr>
          <w:t>26</w:t>
        </w:r>
        <w:r w:rsidR="00965DC0">
          <w:rPr>
            <w:webHidden/>
          </w:rPr>
          <w:fldChar w:fldCharType="end"/>
        </w:r>
      </w:hyperlink>
    </w:p>
    <w:p w14:paraId="521DFD01" w14:textId="2ECC025D" w:rsidR="00965DC0" w:rsidRDefault="000C7BFD">
      <w:pPr>
        <w:pStyle w:val="TOC2"/>
        <w:rPr>
          <w:rFonts w:asciiTheme="minorHAnsi" w:eastAsiaTheme="minorEastAsia" w:hAnsiTheme="minorHAnsi" w:cstheme="minorBidi"/>
          <w:sz w:val="22"/>
          <w:lang w:eastAsia="en-AU"/>
        </w:rPr>
      </w:pPr>
      <w:hyperlink w:anchor="_Toc122097069" w:history="1">
        <w:r w:rsidR="00965DC0" w:rsidRPr="00A9691E">
          <w:rPr>
            <w:rStyle w:val="Hyperlink"/>
          </w:rPr>
          <w:t>Improved timeliness</w:t>
        </w:r>
        <w:r w:rsidR="00965DC0">
          <w:rPr>
            <w:webHidden/>
          </w:rPr>
          <w:tab/>
        </w:r>
        <w:r w:rsidR="00965DC0">
          <w:rPr>
            <w:webHidden/>
          </w:rPr>
          <w:fldChar w:fldCharType="begin"/>
        </w:r>
        <w:r w:rsidR="00965DC0">
          <w:rPr>
            <w:webHidden/>
          </w:rPr>
          <w:instrText xml:space="preserve"> PAGEREF _Toc122097069 \h </w:instrText>
        </w:r>
        <w:r w:rsidR="00965DC0">
          <w:rPr>
            <w:webHidden/>
          </w:rPr>
        </w:r>
        <w:r w:rsidR="00965DC0">
          <w:rPr>
            <w:webHidden/>
          </w:rPr>
          <w:fldChar w:fldCharType="separate"/>
        </w:r>
        <w:r w:rsidR="00965DC0">
          <w:rPr>
            <w:webHidden/>
          </w:rPr>
          <w:t>26</w:t>
        </w:r>
        <w:r w:rsidR="00965DC0">
          <w:rPr>
            <w:webHidden/>
          </w:rPr>
          <w:fldChar w:fldCharType="end"/>
        </w:r>
      </w:hyperlink>
    </w:p>
    <w:p w14:paraId="637FE322" w14:textId="19373DC9" w:rsidR="00965DC0" w:rsidRDefault="000C7BFD">
      <w:pPr>
        <w:pStyle w:val="TOC2"/>
        <w:rPr>
          <w:rFonts w:asciiTheme="minorHAnsi" w:eastAsiaTheme="minorEastAsia" w:hAnsiTheme="minorHAnsi" w:cstheme="minorBidi"/>
          <w:sz w:val="22"/>
          <w:lang w:eastAsia="en-AU"/>
        </w:rPr>
      </w:pPr>
      <w:hyperlink w:anchor="_Toc122097070" w:history="1">
        <w:r w:rsidR="00965DC0" w:rsidRPr="00A9691E">
          <w:rPr>
            <w:rStyle w:val="Hyperlink"/>
          </w:rPr>
          <w:t>Risk-based strategies</w:t>
        </w:r>
        <w:r w:rsidR="00965DC0">
          <w:rPr>
            <w:webHidden/>
          </w:rPr>
          <w:tab/>
        </w:r>
        <w:r w:rsidR="00965DC0">
          <w:rPr>
            <w:webHidden/>
          </w:rPr>
          <w:fldChar w:fldCharType="begin"/>
        </w:r>
        <w:r w:rsidR="00965DC0">
          <w:rPr>
            <w:webHidden/>
          </w:rPr>
          <w:instrText xml:space="preserve"> PAGEREF _Toc122097070 \h </w:instrText>
        </w:r>
        <w:r w:rsidR="00965DC0">
          <w:rPr>
            <w:webHidden/>
          </w:rPr>
        </w:r>
        <w:r w:rsidR="00965DC0">
          <w:rPr>
            <w:webHidden/>
          </w:rPr>
          <w:fldChar w:fldCharType="separate"/>
        </w:r>
        <w:r w:rsidR="00965DC0">
          <w:rPr>
            <w:webHidden/>
          </w:rPr>
          <w:t>27</w:t>
        </w:r>
        <w:r w:rsidR="00965DC0">
          <w:rPr>
            <w:webHidden/>
          </w:rPr>
          <w:fldChar w:fldCharType="end"/>
        </w:r>
      </w:hyperlink>
    </w:p>
    <w:p w14:paraId="3C396C0A" w14:textId="2A60F658" w:rsidR="00965DC0" w:rsidRDefault="000C7BFD">
      <w:pPr>
        <w:pStyle w:val="TOC2"/>
        <w:rPr>
          <w:rFonts w:asciiTheme="minorHAnsi" w:eastAsiaTheme="minorEastAsia" w:hAnsiTheme="minorHAnsi" w:cstheme="minorBidi"/>
          <w:sz w:val="22"/>
          <w:lang w:eastAsia="en-AU"/>
        </w:rPr>
      </w:pPr>
      <w:hyperlink w:anchor="_Toc122097071" w:history="1">
        <w:r w:rsidR="00965DC0" w:rsidRPr="00A9691E">
          <w:rPr>
            <w:rStyle w:val="Hyperlink"/>
          </w:rPr>
          <w:t>Compliance related assistance and advice</w:t>
        </w:r>
        <w:r w:rsidR="00965DC0">
          <w:rPr>
            <w:webHidden/>
          </w:rPr>
          <w:tab/>
        </w:r>
        <w:r w:rsidR="00965DC0">
          <w:rPr>
            <w:webHidden/>
          </w:rPr>
          <w:fldChar w:fldCharType="begin"/>
        </w:r>
        <w:r w:rsidR="00965DC0">
          <w:rPr>
            <w:webHidden/>
          </w:rPr>
          <w:instrText xml:space="preserve"> PAGEREF _Toc122097071 \h </w:instrText>
        </w:r>
        <w:r w:rsidR="00965DC0">
          <w:rPr>
            <w:webHidden/>
          </w:rPr>
        </w:r>
        <w:r w:rsidR="00965DC0">
          <w:rPr>
            <w:webHidden/>
          </w:rPr>
          <w:fldChar w:fldCharType="separate"/>
        </w:r>
        <w:r w:rsidR="00965DC0">
          <w:rPr>
            <w:webHidden/>
          </w:rPr>
          <w:t>27</w:t>
        </w:r>
        <w:r w:rsidR="00965DC0">
          <w:rPr>
            <w:webHidden/>
          </w:rPr>
          <w:fldChar w:fldCharType="end"/>
        </w:r>
      </w:hyperlink>
    </w:p>
    <w:p w14:paraId="01F28990" w14:textId="4EC4046A" w:rsidR="00965DC0" w:rsidRDefault="000C7BFD">
      <w:pPr>
        <w:pStyle w:val="TOC1"/>
        <w:rPr>
          <w:rFonts w:asciiTheme="minorHAnsi" w:eastAsiaTheme="minorEastAsia" w:hAnsiTheme="minorHAnsi" w:cstheme="minorBidi"/>
          <w:b w:val="0"/>
          <w:noProof/>
          <w:sz w:val="22"/>
          <w:lang w:eastAsia="en-AU"/>
        </w:rPr>
      </w:pPr>
      <w:hyperlink w:anchor="_Toc122097072" w:history="1">
        <w:r w:rsidR="00965DC0" w:rsidRPr="00A9691E">
          <w:rPr>
            <w:rStyle w:val="Hyperlink"/>
            <w:noProof/>
          </w:rPr>
          <w:t>Trust fund managed by Consumer Affairs Victoria</w:t>
        </w:r>
        <w:r w:rsidR="00965DC0">
          <w:rPr>
            <w:noProof/>
            <w:webHidden/>
          </w:rPr>
          <w:tab/>
        </w:r>
        <w:r w:rsidR="00965DC0">
          <w:rPr>
            <w:noProof/>
            <w:webHidden/>
          </w:rPr>
          <w:fldChar w:fldCharType="begin"/>
        </w:r>
        <w:r w:rsidR="00965DC0">
          <w:rPr>
            <w:noProof/>
            <w:webHidden/>
          </w:rPr>
          <w:instrText xml:space="preserve"> PAGEREF _Toc122097072 \h </w:instrText>
        </w:r>
        <w:r w:rsidR="00965DC0">
          <w:rPr>
            <w:noProof/>
            <w:webHidden/>
          </w:rPr>
        </w:r>
        <w:r w:rsidR="00965DC0">
          <w:rPr>
            <w:noProof/>
            <w:webHidden/>
          </w:rPr>
          <w:fldChar w:fldCharType="separate"/>
        </w:r>
        <w:r w:rsidR="00965DC0">
          <w:rPr>
            <w:noProof/>
            <w:webHidden/>
          </w:rPr>
          <w:t>28</w:t>
        </w:r>
        <w:r w:rsidR="00965DC0">
          <w:rPr>
            <w:noProof/>
            <w:webHidden/>
          </w:rPr>
          <w:fldChar w:fldCharType="end"/>
        </w:r>
      </w:hyperlink>
    </w:p>
    <w:p w14:paraId="50940931" w14:textId="6AF0B1DF" w:rsidR="00965DC0" w:rsidRDefault="000C7BFD">
      <w:pPr>
        <w:pStyle w:val="TOC1"/>
        <w:rPr>
          <w:rFonts w:asciiTheme="minorHAnsi" w:eastAsiaTheme="minorEastAsia" w:hAnsiTheme="minorHAnsi" w:cstheme="minorBidi"/>
          <w:b w:val="0"/>
          <w:noProof/>
          <w:sz w:val="22"/>
          <w:lang w:eastAsia="en-AU"/>
        </w:rPr>
      </w:pPr>
      <w:hyperlink w:anchor="_Toc122097073" w:history="1">
        <w:r w:rsidR="00965DC0" w:rsidRPr="00A9691E">
          <w:rPr>
            <w:rStyle w:val="Hyperlink"/>
            <w:noProof/>
          </w:rPr>
          <w:t>Financial information 2021–22</w:t>
        </w:r>
        <w:r w:rsidR="00965DC0">
          <w:rPr>
            <w:noProof/>
            <w:webHidden/>
          </w:rPr>
          <w:tab/>
        </w:r>
        <w:r w:rsidR="00965DC0">
          <w:rPr>
            <w:noProof/>
            <w:webHidden/>
          </w:rPr>
          <w:fldChar w:fldCharType="begin"/>
        </w:r>
        <w:r w:rsidR="00965DC0">
          <w:rPr>
            <w:noProof/>
            <w:webHidden/>
          </w:rPr>
          <w:instrText xml:space="preserve"> PAGEREF _Toc122097073 \h </w:instrText>
        </w:r>
        <w:r w:rsidR="00965DC0">
          <w:rPr>
            <w:noProof/>
            <w:webHidden/>
          </w:rPr>
        </w:r>
        <w:r w:rsidR="00965DC0">
          <w:rPr>
            <w:noProof/>
            <w:webHidden/>
          </w:rPr>
          <w:fldChar w:fldCharType="separate"/>
        </w:r>
        <w:r w:rsidR="00965DC0">
          <w:rPr>
            <w:noProof/>
            <w:webHidden/>
          </w:rPr>
          <w:t>29</w:t>
        </w:r>
        <w:r w:rsidR="00965DC0">
          <w:rPr>
            <w:noProof/>
            <w:webHidden/>
          </w:rPr>
          <w:fldChar w:fldCharType="end"/>
        </w:r>
      </w:hyperlink>
    </w:p>
    <w:p w14:paraId="5A317943" w14:textId="1893397B" w:rsidR="00965DC0" w:rsidRDefault="000C7BFD">
      <w:pPr>
        <w:pStyle w:val="TOC1"/>
        <w:rPr>
          <w:rFonts w:asciiTheme="minorHAnsi" w:eastAsiaTheme="minorEastAsia" w:hAnsiTheme="minorHAnsi" w:cstheme="minorBidi"/>
          <w:b w:val="0"/>
          <w:noProof/>
          <w:sz w:val="22"/>
          <w:lang w:eastAsia="en-AU"/>
        </w:rPr>
      </w:pPr>
      <w:hyperlink w:anchor="_Toc122097074" w:history="1">
        <w:r w:rsidR="00965DC0" w:rsidRPr="00A9691E">
          <w:rPr>
            <w:rStyle w:val="Hyperlink"/>
            <w:noProof/>
          </w:rPr>
          <w:t xml:space="preserve">Acts and regulations administered by CAV: </w:t>
        </w:r>
        <w:r w:rsidR="00965DC0">
          <w:rPr>
            <w:rStyle w:val="Hyperlink"/>
            <w:noProof/>
          </w:rPr>
          <w:br/>
        </w:r>
        <w:r w:rsidR="00965DC0" w:rsidRPr="00A9691E">
          <w:rPr>
            <w:rStyle w:val="Hyperlink"/>
            <w:noProof/>
          </w:rPr>
          <w:t>passed, commenced, made and revoked in 2021–22</w:t>
        </w:r>
        <w:r w:rsidR="00965DC0">
          <w:rPr>
            <w:noProof/>
            <w:webHidden/>
          </w:rPr>
          <w:tab/>
        </w:r>
        <w:r w:rsidR="00965DC0">
          <w:rPr>
            <w:noProof/>
            <w:webHidden/>
          </w:rPr>
          <w:fldChar w:fldCharType="begin"/>
        </w:r>
        <w:r w:rsidR="00965DC0">
          <w:rPr>
            <w:noProof/>
            <w:webHidden/>
          </w:rPr>
          <w:instrText xml:space="preserve"> PAGEREF _Toc122097074 \h </w:instrText>
        </w:r>
        <w:r w:rsidR="00965DC0">
          <w:rPr>
            <w:noProof/>
            <w:webHidden/>
          </w:rPr>
        </w:r>
        <w:r w:rsidR="00965DC0">
          <w:rPr>
            <w:noProof/>
            <w:webHidden/>
          </w:rPr>
          <w:fldChar w:fldCharType="separate"/>
        </w:r>
        <w:r w:rsidR="00965DC0">
          <w:rPr>
            <w:noProof/>
            <w:webHidden/>
          </w:rPr>
          <w:t>30</w:t>
        </w:r>
        <w:r w:rsidR="00965DC0">
          <w:rPr>
            <w:noProof/>
            <w:webHidden/>
          </w:rPr>
          <w:fldChar w:fldCharType="end"/>
        </w:r>
      </w:hyperlink>
    </w:p>
    <w:p w14:paraId="3705F5BA" w14:textId="4B390236" w:rsidR="00965DC0" w:rsidRDefault="000C7BFD">
      <w:pPr>
        <w:pStyle w:val="TOC2"/>
        <w:rPr>
          <w:rFonts w:asciiTheme="minorHAnsi" w:eastAsiaTheme="minorEastAsia" w:hAnsiTheme="minorHAnsi" w:cstheme="minorBidi"/>
          <w:sz w:val="22"/>
          <w:lang w:eastAsia="en-AU"/>
        </w:rPr>
      </w:pPr>
      <w:hyperlink w:anchor="_Toc122097075" w:history="1">
        <w:r w:rsidR="00965DC0" w:rsidRPr="00A9691E">
          <w:rPr>
            <w:rStyle w:val="Hyperlink"/>
          </w:rPr>
          <w:t>Acts passed</w:t>
        </w:r>
        <w:r w:rsidR="00965DC0">
          <w:rPr>
            <w:webHidden/>
          </w:rPr>
          <w:tab/>
        </w:r>
        <w:r w:rsidR="00965DC0">
          <w:rPr>
            <w:webHidden/>
          </w:rPr>
          <w:fldChar w:fldCharType="begin"/>
        </w:r>
        <w:r w:rsidR="00965DC0">
          <w:rPr>
            <w:webHidden/>
          </w:rPr>
          <w:instrText xml:space="preserve"> PAGEREF _Toc122097075 \h </w:instrText>
        </w:r>
        <w:r w:rsidR="00965DC0">
          <w:rPr>
            <w:webHidden/>
          </w:rPr>
        </w:r>
        <w:r w:rsidR="00965DC0">
          <w:rPr>
            <w:webHidden/>
          </w:rPr>
          <w:fldChar w:fldCharType="separate"/>
        </w:r>
        <w:r w:rsidR="00965DC0">
          <w:rPr>
            <w:webHidden/>
          </w:rPr>
          <w:t>30</w:t>
        </w:r>
        <w:r w:rsidR="00965DC0">
          <w:rPr>
            <w:webHidden/>
          </w:rPr>
          <w:fldChar w:fldCharType="end"/>
        </w:r>
      </w:hyperlink>
    </w:p>
    <w:p w14:paraId="7AB0BA1B" w14:textId="3DD0B1EE" w:rsidR="00965DC0" w:rsidRDefault="000C7BFD">
      <w:pPr>
        <w:pStyle w:val="TOC2"/>
        <w:rPr>
          <w:rFonts w:asciiTheme="minorHAnsi" w:eastAsiaTheme="minorEastAsia" w:hAnsiTheme="minorHAnsi" w:cstheme="minorBidi"/>
          <w:sz w:val="22"/>
          <w:lang w:eastAsia="en-AU"/>
        </w:rPr>
      </w:pPr>
      <w:hyperlink w:anchor="_Toc122097076" w:history="1">
        <w:r w:rsidR="00965DC0" w:rsidRPr="00A9691E">
          <w:rPr>
            <w:rStyle w:val="Hyperlink"/>
          </w:rPr>
          <w:t>Acts commenced</w:t>
        </w:r>
        <w:r w:rsidR="00965DC0">
          <w:rPr>
            <w:webHidden/>
          </w:rPr>
          <w:tab/>
        </w:r>
        <w:r w:rsidR="00965DC0">
          <w:rPr>
            <w:webHidden/>
          </w:rPr>
          <w:fldChar w:fldCharType="begin"/>
        </w:r>
        <w:r w:rsidR="00965DC0">
          <w:rPr>
            <w:webHidden/>
          </w:rPr>
          <w:instrText xml:space="preserve"> PAGEREF _Toc122097076 \h </w:instrText>
        </w:r>
        <w:r w:rsidR="00965DC0">
          <w:rPr>
            <w:webHidden/>
          </w:rPr>
        </w:r>
        <w:r w:rsidR="00965DC0">
          <w:rPr>
            <w:webHidden/>
          </w:rPr>
          <w:fldChar w:fldCharType="separate"/>
        </w:r>
        <w:r w:rsidR="00965DC0">
          <w:rPr>
            <w:webHidden/>
          </w:rPr>
          <w:t>30</w:t>
        </w:r>
        <w:r w:rsidR="00965DC0">
          <w:rPr>
            <w:webHidden/>
          </w:rPr>
          <w:fldChar w:fldCharType="end"/>
        </w:r>
      </w:hyperlink>
    </w:p>
    <w:p w14:paraId="68E0A055" w14:textId="7C7D903A" w:rsidR="00965DC0" w:rsidRDefault="000C7BFD">
      <w:pPr>
        <w:pStyle w:val="TOC2"/>
        <w:rPr>
          <w:rFonts w:asciiTheme="minorHAnsi" w:eastAsiaTheme="minorEastAsia" w:hAnsiTheme="minorHAnsi" w:cstheme="minorBidi"/>
          <w:sz w:val="22"/>
          <w:lang w:eastAsia="en-AU"/>
        </w:rPr>
      </w:pPr>
      <w:hyperlink w:anchor="_Toc122097077" w:history="1">
        <w:r w:rsidR="00965DC0" w:rsidRPr="00A9691E">
          <w:rPr>
            <w:rStyle w:val="Hyperlink"/>
          </w:rPr>
          <w:t>Acts revoked</w:t>
        </w:r>
        <w:r w:rsidR="00965DC0">
          <w:rPr>
            <w:webHidden/>
          </w:rPr>
          <w:tab/>
        </w:r>
        <w:r w:rsidR="00965DC0">
          <w:rPr>
            <w:webHidden/>
          </w:rPr>
          <w:fldChar w:fldCharType="begin"/>
        </w:r>
        <w:r w:rsidR="00965DC0">
          <w:rPr>
            <w:webHidden/>
          </w:rPr>
          <w:instrText xml:space="preserve"> PAGEREF _Toc122097077 \h </w:instrText>
        </w:r>
        <w:r w:rsidR="00965DC0">
          <w:rPr>
            <w:webHidden/>
          </w:rPr>
        </w:r>
        <w:r w:rsidR="00965DC0">
          <w:rPr>
            <w:webHidden/>
          </w:rPr>
          <w:fldChar w:fldCharType="separate"/>
        </w:r>
        <w:r w:rsidR="00965DC0">
          <w:rPr>
            <w:webHidden/>
          </w:rPr>
          <w:t>30</w:t>
        </w:r>
        <w:r w:rsidR="00965DC0">
          <w:rPr>
            <w:webHidden/>
          </w:rPr>
          <w:fldChar w:fldCharType="end"/>
        </w:r>
      </w:hyperlink>
    </w:p>
    <w:p w14:paraId="0C73C6E8" w14:textId="4711962E" w:rsidR="00965DC0" w:rsidRDefault="000C7BFD">
      <w:pPr>
        <w:pStyle w:val="TOC2"/>
        <w:rPr>
          <w:rFonts w:asciiTheme="minorHAnsi" w:eastAsiaTheme="minorEastAsia" w:hAnsiTheme="minorHAnsi" w:cstheme="minorBidi"/>
          <w:sz w:val="22"/>
          <w:lang w:eastAsia="en-AU"/>
        </w:rPr>
      </w:pPr>
      <w:hyperlink w:anchor="_Toc122097078" w:history="1">
        <w:r w:rsidR="00965DC0" w:rsidRPr="00A9691E">
          <w:rPr>
            <w:rStyle w:val="Hyperlink"/>
          </w:rPr>
          <w:t>Regulations made</w:t>
        </w:r>
        <w:r w:rsidR="00965DC0">
          <w:rPr>
            <w:webHidden/>
          </w:rPr>
          <w:tab/>
        </w:r>
        <w:r w:rsidR="00965DC0">
          <w:rPr>
            <w:webHidden/>
          </w:rPr>
          <w:fldChar w:fldCharType="begin"/>
        </w:r>
        <w:r w:rsidR="00965DC0">
          <w:rPr>
            <w:webHidden/>
          </w:rPr>
          <w:instrText xml:space="preserve"> PAGEREF _Toc122097078 \h </w:instrText>
        </w:r>
        <w:r w:rsidR="00965DC0">
          <w:rPr>
            <w:webHidden/>
          </w:rPr>
        </w:r>
        <w:r w:rsidR="00965DC0">
          <w:rPr>
            <w:webHidden/>
          </w:rPr>
          <w:fldChar w:fldCharType="separate"/>
        </w:r>
        <w:r w:rsidR="00965DC0">
          <w:rPr>
            <w:webHidden/>
          </w:rPr>
          <w:t>30</w:t>
        </w:r>
        <w:r w:rsidR="00965DC0">
          <w:rPr>
            <w:webHidden/>
          </w:rPr>
          <w:fldChar w:fldCharType="end"/>
        </w:r>
      </w:hyperlink>
    </w:p>
    <w:p w14:paraId="50A26695" w14:textId="23E8C468" w:rsidR="00965DC0" w:rsidRDefault="000C7BFD">
      <w:pPr>
        <w:pStyle w:val="TOC2"/>
        <w:rPr>
          <w:rFonts w:asciiTheme="minorHAnsi" w:eastAsiaTheme="minorEastAsia" w:hAnsiTheme="minorHAnsi" w:cstheme="minorBidi"/>
          <w:sz w:val="22"/>
          <w:lang w:eastAsia="en-AU"/>
        </w:rPr>
      </w:pPr>
      <w:hyperlink w:anchor="_Toc122097079" w:history="1">
        <w:r w:rsidR="00965DC0" w:rsidRPr="00A9691E">
          <w:rPr>
            <w:rStyle w:val="Hyperlink"/>
          </w:rPr>
          <w:t>Regulations commenced</w:t>
        </w:r>
        <w:r w:rsidR="00965DC0">
          <w:rPr>
            <w:webHidden/>
          </w:rPr>
          <w:tab/>
        </w:r>
        <w:r w:rsidR="00965DC0">
          <w:rPr>
            <w:webHidden/>
          </w:rPr>
          <w:fldChar w:fldCharType="begin"/>
        </w:r>
        <w:r w:rsidR="00965DC0">
          <w:rPr>
            <w:webHidden/>
          </w:rPr>
          <w:instrText xml:space="preserve"> PAGEREF _Toc122097079 \h </w:instrText>
        </w:r>
        <w:r w:rsidR="00965DC0">
          <w:rPr>
            <w:webHidden/>
          </w:rPr>
        </w:r>
        <w:r w:rsidR="00965DC0">
          <w:rPr>
            <w:webHidden/>
          </w:rPr>
          <w:fldChar w:fldCharType="separate"/>
        </w:r>
        <w:r w:rsidR="00965DC0">
          <w:rPr>
            <w:webHidden/>
          </w:rPr>
          <w:t>31</w:t>
        </w:r>
        <w:r w:rsidR="00965DC0">
          <w:rPr>
            <w:webHidden/>
          </w:rPr>
          <w:fldChar w:fldCharType="end"/>
        </w:r>
      </w:hyperlink>
    </w:p>
    <w:p w14:paraId="014633BB" w14:textId="4EE3F5CA" w:rsidR="00965DC0" w:rsidRDefault="000C7BFD">
      <w:pPr>
        <w:pStyle w:val="TOC2"/>
        <w:rPr>
          <w:rFonts w:asciiTheme="minorHAnsi" w:eastAsiaTheme="minorEastAsia" w:hAnsiTheme="minorHAnsi" w:cstheme="minorBidi"/>
          <w:sz w:val="22"/>
          <w:lang w:eastAsia="en-AU"/>
        </w:rPr>
      </w:pPr>
      <w:hyperlink w:anchor="_Toc122097080" w:history="1">
        <w:r w:rsidR="00965DC0" w:rsidRPr="00A9691E">
          <w:rPr>
            <w:rStyle w:val="Hyperlink"/>
          </w:rPr>
          <w:t>Regulations revoked</w:t>
        </w:r>
        <w:r w:rsidR="00965DC0">
          <w:rPr>
            <w:webHidden/>
          </w:rPr>
          <w:tab/>
        </w:r>
        <w:r w:rsidR="00965DC0">
          <w:rPr>
            <w:webHidden/>
          </w:rPr>
          <w:fldChar w:fldCharType="begin"/>
        </w:r>
        <w:r w:rsidR="00965DC0">
          <w:rPr>
            <w:webHidden/>
          </w:rPr>
          <w:instrText xml:space="preserve"> PAGEREF _Toc122097080 \h </w:instrText>
        </w:r>
        <w:r w:rsidR="00965DC0">
          <w:rPr>
            <w:webHidden/>
          </w:rPr>
        </w:r>
        <w:r w:rsidR="00965DC0">
          <w:rPr>
            <w:webHidden/>
          </w:rPr>
          <w:fldChar w:fldCharType="separate"/>
        </w:r>
        <w:r w:rsidR="00965DC0">
          <w:rPr>
            <w:webHidden/>
          </w:rPr>
          <w:t>31</w:t>
        </w:r>
        <w:r w:rsidR="00965DC0">
          <w:rPr>
            <w:webHidden/>
          </w:rPr>
          <w:fldChar w:fldCharType="end"/>
        </w:r>
      </w:hyperlink>
    </w:p>
    <w:p w14:paraId="7D3B38FD" w14:textId="7207E9F1" w:rsidR="00965DC0" w:rsidRDefault="000C7BFD">
      <w:pPr>
        <w:pStyle w:val="TOC1"/>
        <w:rPr>
          <w:rFonts w:asciiTheme="minorHAnsi" w:eastAsiaTheme="minorEastAsia" w:hAnsiTheme="minorHAnsi" w:cstheme="minorBidi"/>
          <w:b w:val="0"/>
          <w:noProof/>
          <w:sz w:val="22"/>
          <w:lang w:eastAsia="en-AU"/>
        </w:rPr>
      </w:pPr>
      <w:hyperlink w:anchor="_Toc122097081" w:history="1">
        <w:r w:rsidR="00965DC0" w:rsidRPr="00A9691E">
          <w:rPr>
            <w:rStyle w:val="Hyperlink"/>
            <w:noProof/>
          </w:rPr>
          <w:t>Legislation administered by CAV as at 30 June 2022</w:t>
        </w:r>
        <w:r w:rsidR="00965DC0">
          <w:rPr>
            <w:noProof/>
            <w:webHidden/>
          </w:rPr>
          <w:tab/>
        </w:r>
        <w:r w:rsidR="00965DC0">
          <w:rPr>
            <w:noProof/>
            <w:webHidden/>
          </w:rPr>
          <w:fldChar w:fldCharType="begin"/>
        </w:r>
        <w:r w:rsidR="00965DC0">
          <w:rPr>
            <w:noProof/>
            <w:webHidden/>
          </w:rPr>
          <w:instrText xml:space="preserve"> PAGEREF _Toc122097081 \h </w:instrText>
        </w:r>
        <w:r w:rsidR="00965DC0">
          <w:rPr>
            <w:noProof/>
            <w:webHidden/>
          </w:rPr>
        </w:r>
        <w:r w:rsidR="00965DC0">
          <w:rPr>
            <w:noProof/>
            <w:webHidden/>
          </w:rPr>
          <w:fldChar w:fldCharType="separate"/>
        </w:r>
        <w:r w:rsidR="00965DC0">
          <w:rPr>
            <w:noProof/>
            <w:webHidden/>
          </w:rPr>
          <w:t>32</w:t>
        </w:r>
        <w:r w:rsidR="00965DC0">
          <w:rPr>
            <w:noProof/>
            <w:webHidden/>
          </w:rPr>
          <w:fldChar w:fldCharType="end"/>
        </w:r>
      </w:hyperlink>
    </w:p>
    <w:p w14:paraId="64063A9E" w14:textId="639CF6EB" w:rsidR="00965DC0" w:rsidRDefault="000C7BFD">
      <w:pPr>
        <w:pStyle w:val="TOC1"/>
        <w:rPr>
          <w:rFonts w:asciiTheme="minorHAnsi" w:eastAsiaTheme="minorEastAsia" w:hAnsiTheme="minorHAnsi" w:cstheme="minorBidi"/>
          <w:b w:val="0"/>
          <w:noProof/>
          <w:sz w:val="22"/>
          <w:lang w:eastAsia="en-AU"/>
        </w:rPr>
      </w:pPr>
      <w:hyperlink w:anchor="_Toc122097082" w:history="1">
        <w:r w:rsidR="00965DC0" w:rsidRPr="00A9691E">
          <w:rPr>
            <w:rStyle w:val="Hyperlink"/>
            <w:noProof/>
          </w:rPr>
          <w:t>Consumer Affairs Victoria</w:t>
        </w:r>
        <w:r w:rsidR="00965DC0">
          <w:rPr>
            <w:noProof/>
            <w:webHidden/>
          </w:rPr>
          <w:tab/>
        </w:r>
        <w:r w:rsidR="00965DC0">
          <w:rPr>
            <w:noProof/>
            <w:webHidden/>
          </w:rPr>
          <w:fldChar w:fldCharType="begin"/>
        </w:r>
        <w:r w:rsidR="00965DC0">
          <w:rPr>
            <w:noProof/>
            <w:webHidden/>
          </w:rPr>
          <w:instrText xml:space="preserve"> PAGEREF _Toc122097082 \h </w:instrText>
        </w:r>
        <w:r w:rsidR="00965DC0">
          <w:rPr>
            <w:noProof/>
            <w:webHidden/>
          </w:rPr>
        </w:r>
        <w:r w:rsidR="00965DC0">
          <w:rPr>
            <w:noProof/>
            <w:webHidden/>
          </w:rPr>
          <w:fldChar w:fldCharType="separate"/>
        </w:r>
        <w:r w:rsidR="00965DC0">
          <w:rPr>
            <w:noProof/>
            <w:webHidden/>
          </w:rPr>
          <w:t>35</w:t>
        </w:r>
        <w:r w:rsidR="00965DC0">
          <w:rPr>
            <w:noProof/>
            <w:webHidden/>
          </w:rPr>
          <w:fldChar w:fldCharType="end"/>
        </w:r>
      </w:hyperlink>
    </w:p>
    <w:p w14:paraId="6779D866" w14:textId="5E03BCC1" w:rsidR="008E1660" w:rsidRDefault="009569B2" w:rsidP="008E1660">
      <w:pPr>
        <w:pStyle w:val="BodyText"/>
      </w:pPr>
      <w:r>
        <w:fldChar w:fldCharType="end"/>
      </w:r>
    </w:p>
    <w:p w14:paraId="7CB5E86D" w14:textId="359F5314" w:rsidR="00D31BFE" w:rsidRDefault="00D31BFE" w:rsidP="00D31BFE">
      <w:pPr>
        <w:pStyle w:val="Heading2"/>
      </w:pPr>
      <w:bookmarkStart w:id="1" w:name="_Toc122097054"/>
      <w:r>
        <w:lastRenderedPageBreak/>
        <w:t>Letter</w:t>
      </w:r>
      <w:r w:rsidR="00D23ECC">
        <w:t xml:space="preserve"> </w:t>
      </w:r>
      <w:r>
        <w:t>to</w:t>
      </w:r>
      <w:r w:rsidR="00D23ECC">
        <w:t xml:space="preserve"> </w:t>
      </w:r>
      <w:r>
        <w:t>the</w:t>
      </w:r>
      <w:r w:rsidR="00D23ECC">
        <w:t xml:space="preserve"> </w:t>
      </w:r>
      <w:r>
        <w:t>Minister</w:t>
      </w:r>
      <w:bookmarkEnd w:id="1"/>
    </w:p>
    <w:p w14:paraId="69A29F39" w14:textId="6E4DD1C8" w:rsidR="00D31BFE" w:rsidRDefault="00187474" w:rsidP="00122F87">
      <w:pPr>
        <w:pStyle w:val="BodyText"/>
        <w:spacing w:after="0"/>
      </w:pPr>
      <w:r>
        <w:rPr>
          <w:noProof/>
        </w:rPr>
        <w:drawing>
          <wp:inline distT="0" distB="0" distL="0" distR="0" wp14:anchorId="3A75E183" wp14:editId="73BE5765">
            <wp:extent cx="1800000" cy="1800000"/>
            <wp:effectExtent l="0" t="0" r="0" b="0"/>
            <wp:docPr id="2" name="Picture 2" descr="Photo of The Hon Danny Pearson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hoto of The Hon Danny Pearson 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6AB6E52E" w14:textId="33C44C01" w:rsidR="00925FF5" w:rsidRPr="00311EE4" w:rsidRDefault="00311EE4" w:rsidP="000D3108">
      <w:pPr>
        <w:pStyle w:val="BodyText"/>
        <w:spacing w:before="60" w:after="60"/>
        <w:rPr>
          <w:rStyle w:val="Strong"/>
          <w:b w:val="0"/>
          <w:bCs w:val="0"/>
        </w:rPr>
      </w:pPr>
      <w:r w:rsidRPr="00311EE4">
        <w:rPr>
          <w:rStyle w:val="Strong"/>
        </w:rPr>
        <w:t xml:space="preserve">The Hon </w:t>
      </w:r>
      <w:r w:rsidR="00925FF5">
        <w:rPr>
          <w:rStyle w:val="Strong"/>
        </w:rPr>
        <w:t>Danny Pearson</w:t>
      </w:r>
      <w:r w:rsidRPr="00311EE4">
        <w:rPr>
          <w:rStyle w:val="Strong"/>
        </w:rPr>
        <w:t xml:space="preserve"> MP</w:t>
      </w:r>
      <w:r w:rsidR="000D3108">
        <w:rPr>
          <w:rStyle w:val="Strong"/>
        </w:rPr>
        <w:br/>
      </w:r>
      <w:r w:rsidRPr="00311EE4">
        <w:rPr>
          <w:rStyle w:val="Strong"/>
          <w:b w:val="0"/>
          <w:bCs w:val="0"/>
        </w:rPr>
        <w:t>Minister for Consumer Affairs</w:t>
      </w:r>
    </w:p>
    <w:p w14:paraId="4FF93DC0" w14:textId="31B1B6AA" w:rsidR="00D31BFE" w:rsidRDefault="00D31BFE" w:rsidP="00187474">
      <w:pPr>
        <w:pStyle w:val="BodyText"/>
        <w:spacing w:before="1000"/>
      </w:pPr>
      <w:r>
        <w:t>Dear</w:t>
      </w:r>
      <w:r w:rsidR="00D23ECC">
        <w:t xml:space="preserve"> </w:t>
      </w:r>
      <w:r>
        <w:t>Minister,</w:t>
      </w:r>
    </w:p>
    <w:p w14:paraId="1FC4F506" w14:textId="77777777" w:rsidR="00311EE4" w:rsidRDefault="00311EE4" w:rsidP="00311EE4">
      <w:pPr>
        <w:pStyle w:val="BodyText"/>
      </w:pPr>
      <w:r>
        <w:t xml:space="preserve">In accordance with the </w:t>
      </w:r>
      <w:r w:rsidRPr="00064C94">
        <w:rPr>
          <w:rStyle w:val="Emphasis"/>
        </w:rPr>
        <w:t>Australian Consumer Law and Fair Trading Act 2012</w:t>
      </w:r>
      <w:r>
        <w:t xml:space="preserve">, the </w:t>
      </w:r>
      <w:r w:rsidRPr="00064C94">
        <w:rPr>
          <w:rStyle w:val="Emphasis"/>
        </w:rPr>
        <w:t>Credit (Administration) Act 1984</w:t>
      </w:r>
      <w:r>
        <w:t xml:space="preserve"> and the </w:t>
      </w:r>
      <w:r w:rsidRPr="00064C94">
        <w:rPr>
          <w:rStyle w:val="Emphasis"/>
        </w:rPr>
        <w:t>Veterans Act 2005</w:t>
      </w:r>
      <w:r>
        <w:t>, I am pleased to present the Consumer Affairs Victoria Annual Report for the year ending 30 June 2022.</w:t>
      </w:r>
    </w:p>
    <w:p w14:paraId="61F8AF1C" w14:textId="77777777" w:rsidR="00311EE4" w:rsidRDefault="00311EE4" w:rsidP="00311EE4">
      <w:pPr>
        <w:pStyle w:val="BodyText"/>
      </w:pPr>
      <w:r>
        <w:t>Yours sincerely,</w:t>
      </w:r>
    </w:p>
    <w:p w14:paraId="2B6178A0" w14:textId="77777777" w:rsidR="00311EE4" w:rsidRDefault="00311EE4" w:rsidP="00311EE4">
      <w:pPr>
        <w:pStyle w:val="BodyText"/>
        <w:spacing w:after="80"/>
      </w:pPr>
      <w:r>
        <w:rPr>
          <w:noProof/>
        </w:rPr>
        <w:drawing>
          <wp:inline distT="0" distB="0" distL="0" distR="0" wp14:anchorId="555D59AE" wp14:editId="794653F4">
            <wp:extent cx="847725" cy="333375"/>
            <wp:effectExtent l="0" t="0" r="9525" b="9525"/>
            <wp:docPr id="4" name="Picture 4" descr="Nicole Ric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icole Rich signature"/>
                    <pic:cNvPicPr/>
                  </pic:nvPicPr>
                  <pic:blipFill>
                    <a:blip r:embed="rId11">
                      <a:extLst>
                        <a:ext uri="{28A0092B-C50C-407E-A947-70E740481C1C}">
                          <a14:useLocalDpi xmlns:a14="http://schemas.microsoft.com/office/drawing/2010/main" val="0"/>
                        </a:ext>
                      </a:extLst>
                    </a:blip>
                    <a:stretch>
                      <a:fillRect/>
                    </a:stretch>
                  </pic:blipFill>
                  <pic:spPr>
                    <a:xfrm>
                      <a:off x="0" y="0"/>
                      <a:ext cx="847725" cy="333375"/>
                    </a:xfrm>
                    <a:prstGeom prst="rect">
                      <a:avLst/>
                    </a:prstGeom>
                  </pic:spPr>
                </pic:pic>
              </a:graphicData>
            </a:graphic>
          </wp:inline>
        </w:drawing>
      </w:r>
    </w:p>
    <w:p w14:paraId="10A2EEEF" w14:textId="1A0FBF7D" w:rsidR="00311EE4" w:rsidRDefault="00311EE4" w:rsidP="00311EE4">
      <w:pPr>
        <w:pStyle w:val="BodyText"/>
      </w:pPr>
      <w:r w:rsidRPr="00064C94">
        <w:rPr>
          <w:rStyle w:val="Strong"/>
        </w:rPr>
        <w:t>Nicole Rich</w:t>
      </w:r>
      <w:r>
        <w:br/>
        <w:t xml:space="preserve">Executive Director, Regulatory Services &amp; </w:t>
      </w:r>
      <w:r>
        <w:br/>
        <w:t>Director, Consumer Affairs Victoria</w:t>
      </w:r>
    </w:p>
    <w:p w14:paraId="795ECEFC" w14:textId="0E5097DA" w:rsidR="00D31BFE" w:rsidRDefault="00D31BFE" w:rsidP="00D31BFE">
      <w:pPr>
        <w:pStyle w:val="Heading2"/>
      </w:pPr>
      <w:bookmarkStart w:id="2" w:name="_Toc122097055"/>
      <w:r>
        <w:lastRenderedPageBreak/>
        <w:t>Director’s</w:t>
      </w:r>
      <w:r w:rsidR="00D23ECC">
        <w:t xml:space="preserve"> </w:t>
      </w:r>
      <w:r>
        <w:t>foreword</w:t>
      </w:r>
      <w:bookmarkEnd w:id="2"/>
    </w:p>
    <w:p w14:paraId="4537842B" w14:textId="64C3047C" w:rsidR="00D31BFE" w:rsidRDefault="00F16268" w:rsidP="00D31BFE">
      <w:pPr>
        <w:pStyle w:val="BodyText"/>
      </w:pPr>
      <w:r>
        <w:rPr>
          <w:noProof/>
        </w:rPr>
        <w:drawing>
          <wp:inline distT="0" distB="0" distL="0" distR="0" wp14:anchorId="288FF9F7" wp14:editId="7113FA20">
            <wp:extent cx="1800000" cy="1804680"/>
            <wp:effectExtent l="0" t="0" r="0" b="5080"/>
            <wp:docPr id="11" name="Picture 11" descr="Photo of Nicole 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hoto of Nicole Rich"/>
                    <pic:cNvPicPr/>
                  </pic:nvPicPr>
                  <pic:blipFill>
                    <a:blip r:embed="rId12">
                      <a:extLst>
                        <a:ext uri="{28A0092B-C50C-407E-A947-70E740481C1C}">
                          <a14:useLocalDpi xmlns:a14="http://schemas.microsoft.com/office/drawing/2010/main" val="0"/>
                        </a:ext>
                      </a:extLst>
                    </a:blip>
                    <a:stretch>
                      <a:fillRect/>
                    </a:stretch>
                  </pic:blipFill>
                  <pic:spPr>
                    <a:xfrm>
                      <a:off x="0" y="0"/>
                      <a:ext cx="1800000" cy="1804680"/>
                    </a:xfrm>
                    <a:prstGeom prst="rect">
                      <a:avLst/>
                    </a:prstGeom>
                  </pic:spPr>
                </pic:pic>
              </a:graphicData>
            </a:graphic>
          </wp:inline>
        </w:drawing>
      </w:r>
    </w:p>
    <w:p w14:paraId="298F3D9E" w14:textId="77777777" w:rsidR="00D20883" w:rsidRDefault="00D20883" w:rsidP="00673898">
      <w:pPr>
        <w:pStyle w:val="BodyText"/>
        <w:spacing w:before="100" w:after="100" w:line="300" w:lineRule="auto"/>
      </w:pPr>
      <w:r>
        <w:t>Consumer Affairs Victoria’s (CAV) 2021–22 year was focused on supporting the Victorian community and businesses to navigate the continued impacts of the COVID-19 pandemic. This included promoting Victoria’s social and economic recovery from the pandemic, and ensuring that as business activity regained momentum, businesses complied with their legal obligations and consumers were aware of and able to exercise their rights.</w:t>
      </w:r>
    </w:p>
    <w:p w14:paraId="773B8F31" w14:textId="77777777" w:rsidR="00D20883" w:rsidRDefault="00D20883" w:rsidP="00673898">
      <w:pPr>
        <w:pStyle w:val="BodyText"/>
        <w:spacing w:before="100" w:after="100" w:line="300" w:lineRule="auto"/>
      </w:pPr>
      <w:r>
        <w:t>In the first half of the year, CAV supported both businesses and consumers to manage the impacts of lockdown restrictions. Businesses in regulated industries received fee waivers, refunds and deadline extensions for annual compliance requirements. While consumers were provided with information and advice on topics such as refunds for cancelled arrangements and the availability and cost of Rapid Antigen Test (RAT) kits. Updated contact centre technology was implemented to support the remote operation of our Information and Dispute Services Centre (IDSC) – the frontline CAV contact centre.</w:t>
      </w:r>
    </w:p>
    <w:p w14:paraId="42F13EDD" w14:textId="77777777" w:rsidR="00D20883" w:rsidRDefault="00D20883" w:rsidP="00673898">
      <w:pPr>
        <w:pStyle w:val="BodyText"/>
        <w:spacing w:before="100" w:after="100" w:line="300" w:lineRule="auto"/>
      </w:pPr>
      <w:r>
        <w:t>Throughout the year, CAV continued to deliver core services, through both new waves of the pandemic and the post-lockdown business regeneration. CAV provided thousands of licensing and registration services to Victorian businesses and community organisations and, where required, compliance and enforcement activities.</w:t>
      </w:r>
    </w:p>
    <w:p w14:paraId="3C058C10" w14:textId="241C0F64" w:rsidR="00D20883" w:rsidRDefault="00D20883" w:rsidP="00673898">
      <w:pPr>
        <w:pStyle w:val="BodyText"/>
        <w:spacing w:before="100" w:after="100" w:line="300" w:lineRule="auto"/>
      </w:pPr>
      <w:r>
        <w:t>2021–22 saw significant digital improvements to the online licensing and registration systems of CAV</w:t>
      </w:r>
      <w:r w:rsidR="00122F87">
        <w:t> </w:t>
      </w:r>
      <w:r>
        <w:t>and the Business Licensing Authority (BLA). The improvements were funded by the Victorian Government’s Regulation Reform Incentive Fund, and have made transactions quicker and easier for</w:t>
      </w:r>
      <w:r w:rsidR="00122F87">
        <w:t> </w:t>
      </w:r>
      <w:r>
        <w:t>businesses, professionals and organisations. Key improvements include online Automatic Mutual Recognition notifications, easier trust accounting notifications and digital identification verification in partnership with Service Victoria.</w:t>
      </w:r>
    </w:p>
    <w:p w14:paraId="3BDB0B3E" w14:textId="77777777" w:rsidR="00D20883" w:rsidRDefault="00D20883" w:rsidP="00673898">
      <w:pPr>
        <w:pStyle w:val="BodyText"/>
        <w:spacing w:before="100" w:after="100" w:line="300" w:lineRule="auto"/>
      </w:pPr>
      <w:r>
        <w:t xml:space="preserve">CAV played an important role in the continued implementation of the </w:t>
      </w:r>
      <w:r w:rsidRPr="00064C94">
        <w:rPr>
          <w:rStyle w:val="Emphasis"/>
        </w:rPr>
        <w:t>Residential Tenancies Amendment Act 2018</w:t>
      </w:r>
      <w:r>
        <w:t>. We monitored the impact of the new rental laws that came into effect in March 2021 and provided information and assistance to both renters and rental providers. The IDSC fielded over 70,000 residential tenancy calls and more than 3,700 online residential tenancy enquiries over the course of 2021–22.</w:t>
      </w:r>
    </w:p>
    <w:p w14:paraId="5D4B23A9" w14:textId="57AD0CB0" w:rsidR="00D20883" w:rsidRDefault="00D20883" w:rsidP="00673898">
      <w:pPr>
        <w:pStyle w:val="BodyText"/>
        <w:spacing w:before="100" w:after="100" w:line="300" w:lineRule="auto"/>
      </w:pPr>
      <w:r>
        <w:t xml:space="preserve">CAV targets its service delivery resources to support the most vulnerable and disadvantaged cohorts and address the most complex problems faced by Victorians. We funded a range of community services throughout the year to support vulnerable and disadvantaged consumers. This included the Financial Counselling Program, the Consumer Assistance and Advocacy Program, Tenancy and Retirement Housing support programs and the Domestic Building Legal Service. Furthermore, CAV continued to prioritise compliance in the rooming house sector, an industry affecting some of Victoria’s most vulnerable residents. Rooming house safety was emphasised in 2021–22, with CAV conducting over 230 rooming house inspections to ensure compliance with the prescribed minimum safety </w:t>
      </w:r>
      <w:r>
        <w:lastRenderedPageBreak/>
        <w:t>standards. As part of CAV’s digital improvements, we also made it easier for rooming house operators to meet their safety obligations, enabling them to upload gas and electrical safety checks online. In</w:t>
      </w:r>
      <w:r w:rsidR="00122F87">
        <w:t> </w:t>
      </w:r>
      <w:r>
        <w:t>2021–22, over 530 safety certificates have been lodged.</w:t>
      </w:r>
    </w:p>
    <w:p w14:paraId="26A3F7F1" w14:textId="5B499A8B" w:rsidR="00D20883" w:rsidRDefault="00D20883" w:rsidP="00673898">
      <w:pPr>
        <w:pStyle w:val="BodyText"/>
        <w:spacing w:before="100" w:after="100" w:line="300" w:lineRule="auto"/>
      </w:pPr>
      <w:r>
        <w:t>Enforcement actions continued to play an important role in CAV’s objective to ensure businesses comply with consumer laws. In 2021–22, we secured a number of important court outcomes and initiated several new court proceedings where breaches of the law occurred. CAV also focused on compliance with essential estate agent obligations regarding trust accounting and underquoting. We</w:t>
      </w:r>
      <w:r w:rsidR="00122F87">
        <w:t> </w:t>
      </w:r>
      <w:r>
        <w:t>issued over 170 infringements and over 220 Official Warnings to 200 estate agents regarding breaches in these areas.</w:t>
      </w:r>
    </w:p>
    <w:p w14:paraId="7B6BA174" w14:textId="77777777" w:rsidR="00D20883" w:rsidRDefault="00D20883" w:rsidP="00673898">
      <w:pPr>
        <w:pStyle w:val="BodyText"/>
        <w:spacing w:before="100" w:after="100" w:line="300" w:lineRule="auto"/>
      </w:pPr>
      <w:r>
        <w:t xml:space="preserve">This year also saw the introduction of the </w:t>
      </w:r>
      <w:r w:rsidRPr="00064C94">
        <w:rPr>
          <w:rStyle w:val="Emphasis"/>
        </w:rPr>
        <w:t>Professional Engineers Registration Act 2019</w:t>
      </w:r>
      <w:r>
        <w:t xml:space="preserve"> on 1 July 2021. CAV led the implementation of the Act, which for the first time introduced a registration scheme and conduct requirements for professional engineers in Victoria, supporting infrastructure delivery and giving Victorians greater confidence in engineering services. In a first for Victoria, the scheme is run under a co-regulatory model, where registration is jointly administered by the BLA, CAV, the Victorian Building Authority and the engineering profession. Registration became mandatory for fire safety engineers on 1 December 2021 and will progressively become mandatory for the other four prescribed areas of engineering by 1 December 2023. Since 1 July 2021, 4,571 engineers have been registered across five areas of engineering.</w:t>
      </w:r>
    </w:p>
    <w:p w14:paraId="6B1DD53A" w14:textId="63FB62FE" w:rsidR="00D20883" w:rsidRDefault="00D20883" w:rsidP="00673898">
      <w:pPr>
        <w:pStyle w:val="BodyText"/>
        <w:spacing w:before="100" w:after="100" w:line="300" w:lineRule="auto"/>
      </w:pPr>
      <w:r>
        <w:t>Another crucial legislative reform implemented this year by the Department of Justice and Community Safety (DJCS) and supported by CAV was the decriminalisation of sex work. Decriminalisation maximises sex workers’ safety, health, and human rights, and improves access to government, health</w:t>
      </w:r>
      <w:r w:rsidR="00122F87">
        <w:t> </w:t>
      </w:r>
      <w:r>
        <w:t xml:space="preserve">and justice services. The </w:t>
      </w:r>
      <w:r w:rsidRPr="00064C94">
        <w:rPr>
          <w:rStyle w:val="Emphasis"/>
        </w:rPr>
        <w:t>Sex Work Decriminalisation Act 2022</w:t>
      </w:r>
      <w:r>
        <w:t xml:space="preserve"> was passed by the Victorian Parliament on 22 February 2022. In June 2022, the BLA and CAV completed the destruction of all records associated with the former exempt small owner-operator register.</w:t>
      </w:r>
    </w:p>
    <w:p w14:paraId="7289F619" w14:textId="245C9ADB" w:rsidR="00D20883" w:rsidRDefault="00D20883" w:rsidP="00673898">
      <w:pPr>
        <w:pStyle w:val="BodyText"/>
        <w:spacing w:before="100" w:after="100" w:line="300" w:lineRule="auto"/>
      </w:pPr>
      <w:r>
        <w:t>Looking ahead to 2022–23, we are committed to focusing on consumer wellbeing, minimising the risk</w:t>
      </w:r>
      <w:r w:rsidR="00122F87">
        <w:t> </w:t>
      </w:r>
      <w:r>
        <w:t>of consumer harm and supporting the confident participation of consumers and businesses in a</w:t>
      </w:r>
      <w:r w:rsidR="00122F87">
        <w:t> </w:t>
      </w:r>
      <w:r>
        <w:t>market still impacted by the pandemic. We will also work with businesses and organisations to ensure regulatory obligations are clearly understood and that it is easier and faster to interact with us.</w:t>
      </w:r>
      <w:r w:rsidR="00122F87">
        <w:t> </w:t>
      </w:r>
      <w:r>
        <w:t>Risk</w:t>
      </w:r>
      <w:r>
        <w:rPr>
          <w:rFonts w:ascii="Times New Roman" w:hAnsi="Times New Roman" w:cs="Times New Roman"/>
        </w:rPr>
        <w:t>‑</w:t>
      </w:r>
      <w:r>
        <w:t>based decision making will be central to our compliance program and working closely with partners will be an important element of achieving these aims.</w:t>
      </w:r>
    </w:p>
    <w:p w14:paraId="31B309CE" w14:textId="12EE85D6" w:rsidR="00D20883" w:rsidRDefault="0025416A" w:rsidP="00673898">
      <w:pPr>
        <w:pStyle w:val="BodyText"/>
        <w:spacing w:before="100" w:after="100" w:line="300" w:lineRule="auto"/>
      </w:pPr>
      <w:r>
        <w:t xml:space="preserve">I </w:t>
      </w:r>
      <w:r w:rsidR="00673898" w:rsidRPr="00673898">
        <w:t>would like to thank the former Minister for Consumer Affairs, Gaming and Liquor Regulation, the Hon Melissa Horne MP for her support over the year covered by this report. I would also like to acknowledge and thank our colleagues in funded agencies working hard every day to provide advice, support and advocacy to vulnerable Victorians. I thank as well as our partners across DJCS and other government agencies and regulators whose support and collaboration is crucial to our work. Our staff have shown ongoing resilience and dedication to achieving positive outcomes for the Victorian community this year and I’d like to recognise and thank them again for their efforts. While it remains unclear what the year ahead will bring in terms of new challenges for the community, we look forward to working with our new Minister, the Hon Danny Pearson, and the new department to continue to focus on how we can best support Victorians in facing these challenges and ensure the market operates fairly and safely for all.</w:t>
      </w:r>
    </w:p>
    <w:p w14:paraId="2D9131B8" w14:textId="77777777" w:rsidR="00F16268" w:rsidRDefault="00F16268" w:rsidP="00F16268">
      <w:pPr>
        <w:pStyle w:val="BodyText"/>
        <w:spacing w:after="80"/>
      </w:pPr>
      <w:r>
        <w:rPr>
          <w:noProof/>
        </w:rPr>
        <w:drawing>
          <wp:inline distT="0" distB="0" distL="0" distR="0" wp14:anchorId="362D3483" wp14:editId="7F44692A">
            <wp:extent cx="847725" cy="333375"/>
            <wp:effectExtent l="0" t="0" r="9525" b="9525"/>
            <wp:docPr id="9" name="Picture 9" descr="Nicole Ric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icole Rich signature"/>
                    <pic:cNvPicPr/>
                  </pic:nvPicPr>
                  <pic:blipFill>
                    <a:blip r:embed="rId11">
                      <a:extLst>
                        <a:ext uri="{28A0092B-C50C-407E-A947-70E740481C1C}">
                          <a14:useLocalDpi xmlns:a14="http://schemas.microsoft.com/office/drawing/2010/main" val="0"/>
                        </a:ext>
                      </a:extLst>
                    </a:blip>
                    <a:stretch>
                      <a:fillRect/>
                    </a:stretch>
                  </pic:blipFill>
                  <pic:spPr>
                    <a:xfrm>
                      <a:off x="0" y="0"/>
                      <a:ext cx="847725" cy="333375"/>
                    </a:xfrm>
                    <a:prstGeom prst="rect">
                      <a:avLst/>
                    </a:prstGeom>
                  </pic:spPr>
                </pic:pic>
              </a:graphicData>
            </a:graphic>
          </wp:inline>
        </w:drawing>
      </w:r>
    </w:p>
    <w:p w14:paraId="68B5CA5A" w14:textId="017C189D" w:rsidR="00D20883" w:rsidRDefault="00D20883" w:rsidP="00D20883">
      <w:pPr>
        <w:pStyle w:val="BodyText"/>
      </w:pPr>
      <w:r w:rsidRPr="00064C94">
        <w:rPr>
          <w:rStyle w:val="Strong"/>
        </w:rPr>
        <w:t>Nicole Rich</w:t>
      </w:r>
      <w:r>
        <w:rPr>
          <w:rStyle w:val="Strong"/>
        </w:rPr>
        <w:br/>
      </w:r>
      <w:r>
        <w:t>Executive Director, Regulatory Services &amp;</w:t>
      </w:r>
      <w:r>
        <w:br/>
        <w:t>Director, Consumer Affairs Victoria</w:t>
      </w:r>
    </w:p>
    <w:p w14:paraId="3ABC6868" w14:textId="77777777" w:rsidR="009564E9" w:rsidRDefault="009564E9" w:rsidP="00802CE4">
      <w:pPr>
        <w:pStyle w:val="Heading2"/>
      </w:pPr>
      <w:bookmarkStart w:id="3" w:name="_Toc122097056"/>
      <w:r>
        <w:lastRenderedPageBreak/>
        <w:t>About us</w:t>
      </w:r>
      <w:bookmarkEnd w:id="3"/>
    </w:p>
    <w:p w14:paraId="68FE2530" w14:textId="5B8EA140" w:rsidR="009564E9" w:rsidRDefault="009564E9" w:rsidP="00A61C76">
      <w:pPr>
        <w:pStyle w:val="BodyText"/>
      </w:pPr>
      <w:r>
        <w:t>We are Victoria’s consumer affairs regulator, operating within the national consumer protection framework. We are part of the Consumer Affairs, Liquor, Gaming and Dispute Services Group of the</w:t>
      </w:r>
      <w:r w:rsidR="00122F87">
        <w:t> </w:t>
      </w:r>
      <w:r>
        <w:t>Department of Justice and Community Safety.</w:t>
      </w:r>
    </w:p>
    <w:p w14:paraId="78E5803F" w14:textId="77777777" w:rsidR="009564E9" w:rsidRDefault="009564E9" w:rsidP="00802CE4">
      <w:pPr>
        <w:pStyle w:val="Heading3"/>
      </w:pPr>
      <w:bookmarkStart w:id="4" w:name="_Toc122097057"/>
      <w:r>
        <w:t>Our values</w:t>
      </w:r>
      <w:bookmarkEnd w:id="4"/>
    </w:p>
    <w:p w14:paraId="1775DA9D" w14:textId="77777777" w:rsidR="009564E9" w:rsidRDefault="009564E9" w:rsidP="00A61C76">
      <w:pPr>
        <w:pStyle w:val="BodyText"/>
      </w:pPr>
      <w:r>
        <w:t>As part of DJCS, we promote and embrace the department’s values of:</w:t>
      </w:r>
    </w:p>
    <w:p w14:paraId="1F5077E7" w14:textId="77777777" w:rsidR="009564E9" w:rsidRDefault="009564E9" w:rsidP="00A61C76">
      <w:pPr>
        <w:pStyle w:val="ListBullet"/>
      </w:pPr>
      <w:r>
        <w:t>working together</w:t>
      </w:r>
    </w:p>
    <w:p w14:paraId="6D149B9A" w14:textId="77777777" w:rsidR="009564E9" w:rsidRDefault="009564E9" w:rsidP="00A61C76">
      <w:pPr>
        <w:pStyle w:val="ListBullet"/>
      </w:pPr>
      <w:r>
        <w:t>making it happen</w:t>
      </w:r>
    </w:p>
    <w:p w14:paraId="4AA2561C" w14:textId="77777777" w:rsidR="009564E9" w:rsidRDefault="009564E9" w:rsidP="00A61C76">
      <w:pPr>
        <w:pStyle w:val="ListBullet"/>
      </w:pPr>
      <w:r>
        <w:t>respecting other people</w:t>
      </w:r>
    </w:p>
    <w:p w14:paraId="50CE510E" w14:textId="77777777" w:rsidR="009564E9" w:rsidRDefault="009564E9" w:rsidP="00A61C76">
      <w:pPr>
        <w:pStyle w:val="ListBullet"/>
      </w:pPr>
      <w:r>
        <w:t>serving the community</w:t>
      </w:r>
    </w:p>
    <w:p w14:paraId="16085A9C" w14:textId="77777777" w:rsidR="009564E9" w:rsidRDefault="009564E9" w:rsidP="00A61C76">
      <w:pPr>
        <w:pStyle w:val="ListBullet"/>
      </w:pPr>
      <w:r>
        <w:t>acting with integrity.</w:t>
      </w:r>
    </w:p>
    <w:p w14:paraId="5988C1F3" w14:textId="49C223B9" w:rsidR="009564E9" w:rsidRDefault="009564E9" w:rsidP="00A61C76">
      <w:pPr>
        <w:pStyle w:val="BodyText"/>
      </w:pPr>
      <w:r>
        <w:t>These values inform the way we do business and are demonstrated every day through the actions of</w:t>
      </w:r>
      <w:r w:rsidR="00122F87">
        <w:t> </w:t>
      </w:r>
      <w:r>
        <w:t>our staff.</w:t>
      </w:r>
    </w:p>
    <w:p w14:paraId="6E8578B7" w14:textId="77777777" w:rsidR="009564E9" w:rsidRDefault="009564E9" w:rsidP="00802CE4">
      <w:pPr>
        <w:pStyle w:val="Heading3"/>
      </w:pPr>
      <w:bookmarkStart w:id="5" w:name="_Toc122097058"/>
      <w:r>
        <w:t>Our vision</w:t>
      </w:r>
      <w:bookmarkEnd w:id="5"/>
    </w:p>
    <w:p w14:paraId="117504D6" w14:textId="77777777" w:rsidR="009564E9" w:rsidRDefault="009564E9" w:rsidP="00A61C76">
      <w:pPr>
        <w:pStyle w:val="BodyText"/>
      </w:pPr>
      <w:r>
        <w:t>A fair and competitive marketplace in Victoria.</w:t>
      </w:r>
    </w:p>
    <w:p w14:paraId="51473F10" w14:textId="77777777" w:rsidR="009564E9" w:rsidRDefault="009564E9" w:rsidP="00802CE4">
      <w:pPr>
        <w:pStyle w:val="Heading3"/>
      </w:pPr>
      <w:bookmarkStart w:id="6" w:name="_Toc122097059"/>
      <w:r>
        <w:t>Our outcomes</w:t>
      </w:r>
      <w:bookmarkEnd w:id="6"/>
    </w:p>
    <w:p w14:paraId="354B20EE" w14:textId="77777777" w:rsidR="009564E9" w:rsidRDefault="009564E9" w:rsidP="00A61C76">
      <w:pPr>
        <w:pStyle w:val="ListBullet"/>
      </w:pPr>
      <w:r>
        <w:t>Businesses comply with consumer laws.</w:t>
      </w:r>
    </w:p>
    <w:p w14:paraId="1E3B1551" w14:textId="77777777" w:rsidR="009564E9" w:rsidRDefault="009564E9" w:rsidP="00A61C76">
      <w:pPr>
        <w:pStyle w:val="ListBullet"/>
      </w:pPr>
      <w:r>
        <w:t>Victorians exercise their consumer rights.</w:t>
      </w:r>
    </w:p>
    <w:p w14:paraId="5BAD8982" w14:textId="77777777" w:rsidR="009564E9" w:rsidRDefault="009564E9" w:rsidP="00A61C76">
      <w:pPr>
        <w:pStyle w:val="ListBullet"/>
      </w:pPr>
      <w:r>
        <w:t>A fair and safe rental market for Victorians.</w:t>
      </w:r>
    </w:p>
    <w:p w14:paraId="2B812C33" w14:textId="77777777" w:rsidR="009564E9" w:rsidRDefault="009564E9" w:rsidP="00802CE4">
      <w:pPr>
        <w:pStyle w:val="Heading3"/>
      </w:pPr>
      <w:bookmarkStart w:id="7" w:name="_Toc122097060"/>
      <w:r>
        <w:t>Our functions</w:t>
      </w:r>
      <w:bookmarkEnd w:id="7"/>
    </w:p>
    <w:p w14:paraId="1589708E" w14:textId="77777777" w:rsidR="009564E9" w:rsidRDefault="009564E9" w:rsidP="00A61C76">
      <w:pPr>
        <w:pStyle w:val="BodyText"/>
      </w:pPr>
      <w:r>
        <w:t>We help Victorians to be responsible and informed businesses and consumers. To do this we:</w:t>
      </w:r>
    </w:p>
    <w:p w14:paraId="54AFAAC3" w14:textId="77777777" w:rsidR="009564E9" w:rsidRDefault="009564E9" w:rsidP="00A61C76">
      <w:pPr>
        <w:pStyle w:val="ListBullet"/>
      </w:pPr>
      <w:r>
        <w:t>provide information and advice to consumers, renters, businesses and rental providers about their rights, responsibilities and changes to relevant laws</w:t>
      </w:r>
    </w:p>
    <w:p w14:paraId="7236D700" w14:textId="77777777" w:rsidR="009564E9" w:rsidRDefault="009564E9" w:rsidP="00A61C76">
      <w:pPr>
        <w:pStyle w:val="ListBullet"/>
      </w:pPr>
      <w:r>
        <w:t>register and license certain businesses and occupations</w:t>
      </w:r>
    </w:p>
    <w:p w14:paraId="3CE304E0" w14:textId="77777777" w:rsidR="009564E9" w:rsidRDefault="009564E9" w:rsidP="00A61C76">
      <w:pPr>
        <w:pStyle w:val="ListBullet"/>
      </w:pPr>
      <w:r>
        <w:t>enforce compliance with consumer laws</w:t>
      </w:r>
    </w:p>
    <w:p w14:paraId="6C3ED22D" w14:textId="77777777" w:rsidR="009564E9" w:rsidRDefault="009564E9" w:rsidP="00A61C76">
      <w:pPr>
        <w:pStyle w:val="ListBullet"/>
      </w:pPr>
      <w:r>
        <w:t>review and advise the Victorian Government on the consumer protection framework.</w:t>
      </w:r>
    </w:p>
    <w:p w14:paraId="4111E928" w14:textId="77777777" w:rsidR="009564E9" w:rsidRDefault="009564E9" w:rsidP="00A61C76">
      <w:pPr>
        <w:pStyle w:val="BodyText"/>
      </w:pPr>
      <w:r>
        <w:t>We also provide administrative support to several statutory offices and bodies. These include the:</w:t>
      </w:r>
    </w:p>
    <w:p w14:paraId="672A7114" w14:textId="77777777" w:rsidR="009564E9" w:rsidRDefault="009564E9" w:rsidP="00A61C76">
      <w:pPr>
        <w:pStyle w:val="ListBullet"/>
      </w:pPr>
      <w:r>
        <w:t>Business Licensing Authority</w:t>
      </w:r>
    </w:p>
    <w:p w14:paraId="62410C64" w14:textId="77777777" w:rsidR="009564E9" w:rsidRDefault="009564E9" w:rsidP="00A61C76">
      <w:pPr>
        <w:pStyle w:val="ListBullet"/>
      </w:pPr>
      <w:r>
        <w:t>Estate Agents Council</w:t>
      </w:r>
    </w:p>
    <w:p w14:paraId="74854964" w14:textId="77777777" w:rsidR="009564E9" w:rsidRDefault="009564E9" w:rsidP="00A61C76">
      <w:pPr>
        <w:pStyle w:val="ListBullet"/>
      </w:pPr>
      <w:r>
        <w:t>Motor Car Traders Claims Committee</w:t>
      </w:r>
    </w:p>
    <w:p w14:paraId="385D8534" w14:textId="77777777" w:rsidR="009564E9" w:rsidRDefault="009564E9" w:rsidP="00A61C76">
      <w:pPr>
        <w:pStyle w:val="ListBullet"/>
      </w:pPr>
      <w:r>
        <w:t>Residential Tenancies Bond Authority.</w:t>
      </w:r>
    </w:p>
    <w:p w14:paraId="76CBE9BD" w14:textId="77777777" w:rsidR="009564E9" w:rsidRDefault="009564E9" w:rsidP="00802CE4">
      <w:pPr>
        <w:pStyle w:val="Heading3"/>
      </w:pPr>
      <w:bookmarkStart w:id="8" w:name="_Toc122097061"/>
      <w:r>
        <w:lastRenderedPageBreak/>
        <w:t>Our regulatory approach</w:t>
      </w:r>
      <w:bookmarkEnd w:id="8"/>
    </w:p>
    <w:p w14:paraId="07D2ED4D" w14:textId="18439E18" w:rsidR="009564E9" w:rsidRDefault="009564E9" w:rsidP="00A61C76">
      <w:pPr>
        <w:pStyle w:val="BodyText"/>
      </w:pPr>
      <w:r>
        <w:t>Our regulatory approach is intelligence-led, risk-based and outcome-focused. This enables us to</w:t>
      </w:r>
      <w:r w:rsidR="00122F87">
        <w:t> </w:t>
      </w:r>
      <w:r>
        <w:t>target the conduct posing the highest risk to Victorians, making the best use of our available resources. Our compliance operating model ensures the approach is embedded in our day-to-day work.</w:t>
      </w:r>
    </w:p>
    <w:p w14:paraId="41E65D31" w14:textId="77777777" w:rsidR="009564E9" w:rsidRDefault="009564E9" w:rsidP="00802CE4">
      <w:pPr>
        <w:pStyle w:val="Heading4"/>
      </w:pPr>
      <w:r>
        <w:t>Intelligence-led</w:t>
      </w:r>
    </w:p>
    <w:p w14:paraId="3D91FFCF" w14:textId="7514D050" w:rsidR="009564E9" w:rsidRDefault="009564E9" w:rsidP="00A61C76">
      <w:pPr>
        <w:pStyle w:val="BodyText"/>
      </w:pPr>
      <w:r>
        <w:t xml:space="preserve">A core element of our regulatory approach is the effective use of intelligence to inform </w:t>
      </w:r>
      <w:r w:rsidR="00122F87">
        <w:br/>
      </w:r>
      <w:r>
        <w:t>decision-making.</w:t>
      </w:r>
    </w:p>
    <w:p w14:paraId="250F8E54" w14:textId="77777777" w:rsidR="009564E9" w:rsidRDefault="009564E9" w:rsidP="00A61C76">
      <w:pPr>
        <w:pStyle w:val="BodyText"/>
      </w:pPr>
      <w:r>
        <w:t>Intelligence gathered in the course of our regulatory operations is supplemented by other sources, including:</w:t>
      </w:r>
    </w:p>
    <w:p w14:paraId="60D3F618" w14:textId="77777777" w:rsidR="009564E9" w:rsidRDefault="009564E9" w:rsidP="00A61C76">
      <w:pPr>
        <w:pStyle w:val="ListBullet"/>
      </w:pPr>
      <w:r>
        <w:t>national information shared among Australian Consumer Law (ACL) regulators</w:t>
      </w:r>
    </w:p>
    <w:p w14:paraId="3E94DECB" w14:textId="77777777" w:rsidR="009564E9" w:rsidRDefault="009564E9" w:rsidP="00A61C76">
      <w:pPr>
        <w:pStyle w:val="ListBullet"/>
      </w:pPr>
      <w:r>
        <w:t>local councils</w:t>
      </w:r>
    </w:p>
    <w:p w14:paraId="7033F70C" w14:textId="77777777" w:rsidR="009564E9" w:rsidRDefault="009564E9" w:rsidP="00A61C76">
      <w:pPr>
        <w:pStyle w:val="ListBullet"/>
      </w:pPr>
      <w:r>
        <w:t>law enforcement organisations</w:t>
      </w:r>
    </w:p>
    <w:p w14:paraId="14997761" w14:textId="77777777" w:rsidR="009564E9" w:rsidRDefault="009564E9" w:rsidP="00A61C76">
      <w:pPr>
        <w:pStyle w:val="ListBullet"/>
      </w:pPr>
      <w:r>
        <w:t>industry stakeholders</w:t>
      </w:r>
    </w:p>
    <w:p w14:paraId="5E858CFE" w14:textId="77777777" w:rsidR="009564E9" w:rsidRDefault="009564E9" w:rsidP="00A61C76">
      <w:pPr>
        <w:pStyle w:val="ListBullet"/>
      </w:pPr>
      <w:r>
        <w:t>online forums and social media</w:t>
      </w:r>
    </w:p>
    <w:p w14:paraId="447ED46C" w14:textId="77777777" w:rsidR="009564E9" w:rsidRDefault="009564E9" w:rsidP="00A61C76">
      <w:pPr>
        <w:pStyle w:val="ListBullet"/>
      </w:pPr>
      <w:r>
        <w:t>business reporting requirements.</w:t>
      </w:r>
    </w:p>
    <w:p w14:paraId="50A81F81" w14:textId="77777777" w:rsidR="009564E9" w:rsidRDefault="009564E9" w:rsidP="00A61C76">
      <w:pPr>
        <w:pStyle w:val="BodyText"/>
      </w:pPr>
      <w:r>
        <w:t>For example, information provided from auditors’ reports on estate agent trust accounts alerts us to businesses that may have problematic practices, allowing us to prioritise inspection activity.</w:t>
      </w:r>
    </w:p>
    <w:p w14:paraId="5CCD83C2" w14:textId="77777777" w:rsidR="009564E9" w:rsidRDefault="009564E9" w:rsidP="00A61C76">
      <w:pPr>
        <w:pStyle w:val="BodyText"/>
      </w:pPr>
      <w:r>
        <w:t>We also receive reports from consumers and their representatives about business conduct or potential breaches of the law. While we do not pursue all of these individually, we use them as an important source of intelligence to help assess risks and take action as appropriate.</w:t>
      </w:r>
    </w:p>
    <w:p w14:paraId="534498E5" w14:textId="77777777" w:rsidR="009564E9" w:rsidRDefault="009564E9" w:rsidP="00802CE4">
      <w:pPr>
        <w:pStyle w:val="Heading4"/>
      </w:pPr>
      <w:r>
        <w:t>Risk-based</w:t>
      </w:r>
    </w:p>
    <w:p w14:paraId="09AA66DB" w14:textId="77777777" w:rsidR="009564E9" w:rsidRDefault="009564E9" w:rsidP="00A61C76">
      <w:pPr>
        <w:pStyle w:val="BodyText"/>
      </w:pPr>
      <w:r>
        <w:t>Where possible, we aim to identify and treat risks before they lead to actual consumer harm.</w:t>
      </w:r>
    </w:p>
    <w:p w14:paraId="693894FB" w14:textId="77777777" w:rsidR="009564E9" w:rsidRDefault="009564E9" w:rsidP="00A61C76">
      <w:pPr>
        <w:pStyle w:val="BodyText"/>
      </w:pPr>
      <w:r>
        <w:t>Regulatory risks are market behaviours that:</w:t>
      </w:r>
    </w:p>
    <w:p w14:paraId="3AB84E94" w14:textId="77777777" w:rsidR="009564E9" w:rsidRDefault="009564E9" w:rsidP="00A61C76">
      <w:pPr>
        <w:pStyle w:val="ListBullet"/>
      </w:pPr>
      <w:r>
        <w:t>represent non-compliance with the laws we administer</w:t>
      </w:r>
    </w:p>
    <w:p w14:paraId="4BAB6519" w14:textId="77777777" w:rsidR="009564E9" w:rsidRDefault="009564E9" w:rsidP="00A61C76">
      <w:pPr>
        <w:pStyle w:val="ListBullet"/>
      </w:pPr>
      <w:r>
        <w:t>present potential or realised consumer harm</w:t>
      </w:r>
    </w:p>
    <w:p w14:paraId="0952480D" w14:textId="77777777" w:rsidR="009564E9" w:rsidRDefault="009564E9" w:rsidP="00A61C76">
      <w:pPr>
        <w:pStyle w:val="ListBullet"/>
      </w:pPr>
      <w:r>
        <w:t>impact on our ability to be an effective regulator</w:t>
      </w:r>
    </w:p>
    <w:p w14:paraId="34A2D7A4" w14:textId="77777777" w:rsidR="009564E9" w:rsidRDefault="009564E9" w:rsidP="00A61C76">
      <w:pPr>
        <w:pStyle w:val="ListBullet"/>
      </w:pPr>
      <w:r>
        <w:t>require a regulatory response due to public concern.</w:t>
      </w:r>
    </w:p>
    <w:p w14:paraId="66377BE7" w14:textId="77777777" w:rsidR="009564E9" w:rsidRDefault="009564E9" w:rsidP="00A61C76">
      <w:pPr>
        <w:pStyle w:val="BodyText"/>
      </w:pPr>
      <w:r>
        <w:t>We monitor markets and use evidence to shape a targeted compliance program, focusing on those issues that pose the highest risk to Victorians. Risks can be posed by:</w:t>
      </w:r>
    </w:p>
    <w:p w14:paraId="79993823" w14:textId="77777777" w:rsidR="009564E9" w:rsidRDefault="009564E9" w:rsidP="00A61C76">
      <w:pPr>
        <w:pStyle w:val="ListBullet"/>
      </w:pPr>
      <w:r>
        <w:t>a product</w:t>
      </w:r>
    </w:p>
    <w:p w14:paraId="060B9426" w14:textId="77777777" w:rsidR="009564E9" w:rsidRDefault="009564E9" w:rsidP="00A61C76">
      <w:pPr>
        <w:pStyle w:val="ListBullet"/>
      </w:pPr>
      <w:r>
        <w:t>a business’s conduct</w:t>
      </w:r>
    </w:p>
    <w:p w14:paraId="053F2BD5" w14:textId="77777777" w:rsidR="009564E9" w:rsidRDefault="009564E9" w:rsidP="00A61C76">
      <w:pPr>
        <w:pStyle w:val="ListBullet"/>
      </w:pPr>
      <w:r>
        <w:t>a new or emerging business practice</w:t>
      </w:r>
    </w:p>
    <w:p w14:paraId="63813C6E" w14:textId="77777777" w:rsidR="009564E9" w:rsidRDefault="009564E9" w:rsidP="00A61C76">
      <w:pPr>
        <w:pStyle w:val="ListBullet"/>
      </w:pPr>
      <w:r>
        <w:t>the conduct or business model of an entire industry.</w:t>
      </w:r>
    </w:p>
    <w:p w14:paraId="6FF82EAF" w14:textId="77777777" w:rsidR="009564E9" w:rsidRDefault="009564E9" w:rsidP="00802CE4">
      <w:pPr>
        <w:pStyle w:val="Heading4"/>
      </w:pPr>
      <w:r>
        <w:lastRenderedPageBreak/>
        <w:t>Outcome-focused</w:t>
      </w:r>
    </w:p>
    <w:p w14:paraId="1F23F0E7" w14:textId="77777777" w:rsidR="009564E9" w:rsidRDefault="009564E9" w:rsidP="00A61C76">
      <w:pPr>
        <w:pStyle w:val="BodyText"/>
      </w:pPr>
      <w:r>
        <w:t>We use a range of compliance tools, underpinned by a compliance strategy that ultimately seeks to affect market outcomes. We make decisions on compliance actions to achieve outcomes that deter unlawful conduct and promote future compliance.</w:t>
      </w:r>
    </w:p>
    <w:p w14:paraId="40DD9506" w14:textId="77777777" w:rsidR="009564E9" w:rsidRDefault="009564E9" w:rsidP="00A61C76">
      <w:pPr>
        <w:pStyle w:val="BodyText"/>
      </w:pPr>
      <w:r>
        <w:t>We take enforcement action to serve the public interest. We exercise discretion, focusing on actions that benefit all consumers. We do not take action on behalf of individuals to obtain redress.</w:t>
      </w:r>
    </w:p>
    <w:p w14:paraId="0FAAEF7C" w14:textId="77777777" w:rsidR="009564E9" w:rsidRDefault="009564E9" w:rsidP="00A61C76">
      <w:pPr>
        <w:pStyle w:val="BodyText"/>
      </w:pPr>
      <w:r>
        <w:t>The nature of the problem and the desired outcome determine which compliance and enforcement approach we use. Where appropriate, we seek voluntary compliance.</w:t>
      </w:r>
    </w:p>
    <w:p w14:paraId="2BB21588" w14:textId="77777777" w:rsidR="009564E9" w:rsidRDefault="009564E9" w:rsidP="00A61C76">
      <w:pPr>
        <w:pStyle w:val="BodyText"/>
      </w:pPr>
      <w:r>
        <w:t>Importantly, we have a full range of tools, including civil and criminal actions, infringements and public warnings to protect the Victorian community by holding businesses accountable for unlawful conduct.</w:t>
      </w:r>
    </w:p>
    <w:p w14:paraId="69F0BFB2" w14:textId="77777777" w:rsidR="009564E9" w:rsidRDefault="009564E9" w:rsidP="00802CE4">
      <w:pPr>
        <w:pStyle w:val="Heading2"/>
      </w:pPr>
      <w:bookmarkStart w:id="9" w:name="_Toc122097062"/>
      <w:r>
        <w:lastRenderedPageBreak/>
        <w:t>Our performance</w:t>
      </w:r>
      <w:bookmarkEnd w:id="9"/>
    </w:p>
    <w:p w14:paraId="53F6FFD5" w14:textId="2283A82E" w:rsidR="009564E9" w:rsidRDefault="009564E9" w:rsidP="00A61C76">
      <w:pPr>
        <w:pStyle w:val="BodyText"/>
      </w:pPr>
      <w:r>
        <w:t>In 2021–22, our performance reflected both the impacts of the COVID-19 pandemic and our efforts to</w:t>
      </w:r>
      <w:r w:rsidR="00122F87">
        <w:t> </w:t>
      </w:r>
      <w:r>
        <w:t>identify and prioritise key areas and activities as more operations resumed following the lifting of restrictions.</w:t>
      </w:r>
    </w:p>
    <w:p w14:paraId="45C164FF" w14:textId="77777777" w:rsidR="009564E9" w:rsidRDefault="009564E9" w:rsidP="00A61C76">
      <w:pPr>
        <w:pStyle w:val="BodyText"/>
      </w:pPr>
      <w:r>
        <w:t>During the period of public health restrictions, some of our performance measures, which are demand-driven and vary across business activity levels, decreased or increased accordingly. As restrictions eased, we focused on the areas most relevant to the community’s recovery. For example, on-site compliance inspections were limited during 2021, and when restrictions lifted, CAV’s resources were directed to the most urgent need for rent and repair inspections.</w:t>
      </w:r>
    </w:p>
    <w:p w14:paraId="274C6394" w14:textId="77777777" w:rsidR="009564E9" w:rsidRDefault="009564E9" w:rsidP="00A61C76">
      <w:pPr>
        <w:pStyle w:val="BodyText"/>
      </w:pPr>
      <w:r>
        <w:t>As restrictions eased, staff started returning to our offices, and we adjusted our services to accommodate a hybrid working arrangement. This included leveraging updated technology to support the remote operation of the contact centre, enabling us to focus on providing crucial information and advice to vulnerable members of the community, including through online services. We adjusted our service model to promote online advice, while ensuring telephone support remained available for those who need it. While this adjustment impacted the amount of information and advice provided to consumers and businesses over the phone, we are proud that we were able to be responsive and flexible in meeting consumer needs.</w:t>
      </w:r>
    </w:p>
    <w:p w14:paraId="3894EF8B" w14:textId="77777777" w:rsidR="009564E9" w:rsidRDefault="009564E9" w:rsidP="00A61C76">
      <w:pPr>
        <w:pStyle w:val="BodyText"/>
      </w:pPr>
      <w:r>
        <w:t>Over the year, CAV delivered thousands of licensing and registration services to Victorian businesses and community organisations as well as, where required, compliance and enforcement activities. Our regulatory transactions activity exceeded expectations as we implemented the Professional Engineers Registration Scheme.</w:t>
      </w:r>
    </w:p>
    <w:p w14:paraId="44B68BFA" w14:textId="77777777" w:rsidR="009564E9" w:rsidRDefault="009564E9" w:rsidP="00A61C76">
      <w:pPr>
        <w:pStyle w:val="BodyText"/>
      </w:pPr>
      <w:r>
        <w:t>We supported financial counselling agencies to deliver critical assistance to Victorians over a year heavily impacted by restrictions on face-to-face service delivery. While the increased complexity of client cases impacted the number of clients we assisted, we are reassured that we are providing meaningful assistance to the most vulnerable Victorians.</w:t>
      </w:r>
    </w:p>
    <w:p w14:paraId="2A24BF8D" w14:textId="77777777" w:rsidR="009564E9" w:rsidRDefault="009564E9" w:rsidP="00A61C76">
      <w:pPr>
        <w:pStyle w:val="BodyText"/>
      </w:pPr>
      <w:r>
        <w:t>We are proud to have played an important role in providing Victorians with the necessary supports and protections during such a challenging year. We continued to focus our efforts on providing the services Victorians most needed during this time and protecting the rights of vulnerable groups to ensure fair and safe treatment.</w:t>
      </w:r>
    </w:p>
    <w:p w14:paraId="5ED553DF" w14:textId="69A9CF1F" w:rsidR="009564E9" w:rsidRDefault="009564E9" w:rsidP="00A61C76">
      <w:pPr>
        <w:pStyle w:val="BodyText"/>
      </w:pPr>
      <w:r>
        <w:t xml:space="preserve">This year, our performance was measured against target outputs specified in Budget Paper 3 </w:t>
      </w:r>
      <w:r w:rsidR="00F42046">
        <w:br/>
      </w:r>
      <w:r>
        <w:t>2021–22. Outputs are those goods and services provided to government by departments, agencies and statutory bodies, and through funding provided to others, such as community agencies.</w:t>
      </w:r>
    </w:p>
    <w:p w14:paraId="18EF0C8A" w14:textId="77777777" w:rsidR="00610391" w:rsidRPr="00610391" w:rsidRDefault="00610391" w:rsidP="00610391">
      <w:pPr>
        <w:pStyle w:val="BodyText"/>
      </w:pPr>
      <w:r w:rsidRPr="00610391">
        <w:br w:type="page"/>
      </w:r>
    </w:p>
    <w:p w14:paraId="38FF6F13" w14:textId="647FE131" w:rsidR="009564E9" w:rsidRDefault="009564E9" w:rsidP="007470E2">
      <w:pPr>
        <w:pStyle w:val="Caption"/>
      </w:pPr>
      <w:r>
        <w:lastRenderedPageBreak/>
        <w:t>Table: BP3 results</w:t>
      </w:r>
    </w:p>
    <w:tbl>
      <w:tblPr>
        <w:tblStyle w:val="TableGrid"/>
        <w:tblW w:w="9072" w:type="dxa"/>
        <w:tblLayout w:type="fixed"/>
        <w:tblLook w:val="06A0" w:firstRow="1" w:lastRow="0" w:firstColumn="1" w:lastColumn="0" w:noHBand="1" w:noVBand="1"/>
      </w:tblPr>
      <w:tblGrid>
        <w:gridCol w:w="3854"/>
        <w:gridCol w:w="1134"/>
        <w:gridCol w:w="1021"/>
        <w:gridCol w:w="1021"/>
        <w:gridCol w:w="1021"/>
        <w:gridCol w:w="1021"/>
      </w:tblGrid>
      <w:tr w:rsidR="009564E9" w14:paraId="4BCE57FB" w14:textId="77777777" w:rsidTr="009368F4">
        <w:trPr>
          <w:cnfStyle w:val="100000000000" w:firstRow="1" w:lastRow="0" w:firstColumn="0" w:lastColumn="0" w:oddVBand="0" w:evenVBand="0" w:oddHBand="0" w:evenHBand="0" w:firstRowFirstColumn="0" w:firstRowLastColumn="0" w:lastRowFirstColumn="0" w:lastRowLastColumn="0"/>
          <w:trHeight w:val="68"/>
          <w:tblHeader/>
        </w:trPr>
        <w:tc>
          <w:tcPr>
            <w:tcW w:w="3856" w:type="dxa"/>
          </w:tcPr>
          <w:p w14:paraId="3A54F64F" w14:textId="77777777" w:rsidR="009564E9" w:rsidRDefault="009564E9" w:rsidP="00E15F69">
            <w:pPr>
              <w:pStyle w:val="TableColHead"/>
              <w:spacing w:before="60" w:after="40"/>
            </w:pPr>
          </w:p>
        </w:tc>
        <w:tc>
          <w:tcPr>
            <w:tcW w:w="1134" w:type="dxa"/>
          </w:tcPr>
          <w:p w14:paraId="6879F656" w14:textId="77777777" w:rsidR="009564E9" w:rsidRDefault="009564E9" w:rsidP="00E15F69">
            <w:pPr>
              <w:pStyle w:val="TableColHead"/>
              <w:spacing w:before="60" w:after="40"/>
            </w:pPr>
            <w:r>
              <w:t>Unit of measure</w:t>
            </w:r>
          </w:p>
        </w:tc>
        <w:tc>
          <w:tcPr>
            <w:tcW w:w="1021" w:type="dxa"/>
          </w:tcPr>
          <w:p w14:paraId="29EC1F94" w14:textId="77777777" w:rsidR="009564E9" w:rsidRDefault="009564E9" w:rsidP="00224C4B">
            <w:pPr>
              <w:pStyle w:val="TableColHeadRight"/>
              <w:spacing w:before="60" w:after="40"/>
            </w:pPr>
            <w:r>
              <w:t>2019–20 actual</w:t>
            </w:r>
          </w:p>
        </w:tc>
        <w:tc>
          <w:tcPr>
            <w:tcW w:w="1021" w:type="dxa"/>
          </w:tcPr>
          <w:p w14:paraId="62843E8A" w14:textId="77777777" w:rsidR="009564E9" w:rsidRDefault="009564E9" w:rsidP="00224C4B">
            <w:pPr>
              <w:pStyle w:val="TableColHeadRight"/>
              <w:spacing w:before="60" w:after="40"/>
            </w:pPr>
            <w:r>
              <w:t>2020–21 actual</w:t>
            </w:r>
          </w:p>
        </w:tc>
        <w:tc>
          <w:tcPr>
            <w:tcW w:w="1021" w:type="dxa"/>
          </w:tcPr>
          <w:p w14:paraId="066022CE" w14:textId="77777777" w:rsidR="009564E9" w:rsidRDefault="009564E9" w:rsidP="00224C4B">
            <w:pPr>
              <w:pStyle w:val="TableColHeadRight"/>
              <w:spacing w:before="60" w:after="40"/>
            </w:pPr>
            <w:r>
              <w:t>2021–22 target</w:t>
            </w:r>
          </w:p>
        </w:tc>
        <w:tc>
          <w:tcPr>
            <w:tcW w:w="1021" w:type="dxa"/>
          </w:tcPr>
          <w:p w14:paraId="3123F72D" w14:textId="77777777" w:rsidR="009564E9" w:rsidRDefault="009564E9" w:rsidP="00224C4B">
            <w:pPr>
              <w:pStyle w:val="TableColHeadRight"/>
              <w:spacing w:before="60" w:after="40"/>
            </w:pPr>
            <w:r>
              <w:t>2021–22 actual</w:t>
            </w:r>
          </w:p>
        </w:tc>
      </w:tr>
      <w:tr w:rsidR="009564E9" w14:paraId="40A8C690" w14:textId="77777777" w:rsidTr="009368F4">
        <w:trPr>
          <w:trHeight w:val="68"/>
        </w:trPr>
        <w:tc>
          <w:tcPr>
            <w:tcW w:w="1134" w:type="dxa"/>
            <w:gridSpan w:val="6"/>
            <w:shd w:val="clear" w:color="auto" w:fill="B2D5F0"/>
          </w:tcPr>
          <w:p w14:paraId="461221D5" w14:textId="77777777" w:rsidR="009564E9" w:rsidRDefault="009564E9" w:rsidP="00E15F69">
            <w:pPr>
              <w:pStyle w:val="TableTextBold"/>
              <w:spacing w:before="60" w:after="40"/>
            </w:pPr>
            <w:r>
              <w:t>Quantity</w:t>
            </w:r>
          </w:p>
        </w:tc>
      </w:tr>
      <w:tr w:rsidR="009564E9" w14:paraId="5144918A" w14:textId="77777777" w:rsidTr="009368F4">
        <w:trPr>
          <w:trHeight w:val="68"/>
        </w:trPr>
        <w:tc>
          <w:tcPr>
            <w:tcW w:w="3856" w:type="dxa"/>
          </w:tcPr>
          <w:p w14:paraId="25D66884" w14:textId="77777777" w:rsidR="009564E9" w:rsidRDefault="009564E9" w:rsidP="00E15F69">
            <w:pPr>
              <w:pStyle w:val="TableText"/>
              <w:spacing w:before="60" w:after="40"/>
            </w:pPr>
            <w:r>
              <w:t>Information and advice provided to consumers, renters, rental providers and businesses: through telephone service</w:t>
            </w:r>
            <w:r>
              <w:rPr>
                <w:rFonts w:ascii="Times New Roman" w:hAnsi="Times New Roman"/>
              </w:rPr>
              <w:t> </w:t>
            </w:r>
            <w:r w:rsidRPr="007470E2">
              <w:rPr>
                <w:rStyle w:val="FootnoteReference"/>
              </w:rPr>
              <w:footnoteReference w:id="2"/>
            </w:r>
          </w:p>
        </w:tc>
        <w:tc>
          <w:tcPr>
            <w:tcW w:w="1134" w:type="dxa"/>
          </w:tcPr>
          <w:p w14:paraId="2D746081" w14:textId="77777777" w:rsidR="009564E9" w:rsidRDefault="009564E9" w:rsidP="00E15F69">
            <w:pPr>
              <w:pStyle w:val="TableText"/>
              <w:spacing w:before="60" w:after="40"/>
            </w:pPr>
            <w:r>
              <w:t>number</w:t>
            </w:r>
          </w:p>
        </w:tc>
        <w:tc>
          <w:tcPr>
            <w:tcW w:w="1021" w:type="dxa"/>
          </w:tcPr>
          <w:p w14:paraId="64A6F274" w14:textId="77777777" w:rsidR="009564E9" w:rsidRDefault="009564E9" w:rsidP="00E15F69">
            <w:pPr>
              <w:pStyle w:val="TableTextRight"/>
              <w:spacing w:before="60" w:after="40"/>
            </w:pPr>
            <w:r>
              <w:t>234,623</w:t>
            </w:r>
          </w:p>
        </w:tc>
        <w:tc>
          <w:tcPr>
            <w:tcW w:w="1021" w:type="dxa"/>
          </w:tcPr>
          <w:p w14:paraId="73B031D1" w14:textId="47C7B6AF" w:rsidR="009564E9" w:rsidRDefault="009564E9" w:rsidP="00E15F69">
            <w:pPr>
              <w:pStyle w:val="TableTextRight"/>
              <w:spacing w:before="60" w:after="40"/>
            </w:pPr>
            <w:r>
              <w:rPr>
                <w:spacing w:val="-2"/>
              </w:rPr>
              <w:t>20</w:t>
            </w:r>
            <w:r w:rsidR="00BC0F49">
              <w:rPr>
                <w:spacing w:val="-2"/>
              </w:rPr>
              <w:t>5,508</w:t>
            </w:r>
            <w:r>
              <w:rPr>
                <w:rFonts w:ascii="Times New Roman" w:hAnsi="Times New Roman"/>
                <w:spacing w:val="-2"/>
              </w:rPr>
              <w:t> </w:t>
            </w:r>
            <w:r w:rsidRPr="007470E2">
              <w:rPr>
                <w:rStyle w:val="FootnoteReference"/>
              </w:rPr>
              <w:footnoteReference w:id="3"/>
            </w:r>
          </w:p>
        </w:tc>
        <w:tc>
          <w:tcPr>
            <w:tcW w:w="1021" w:type="dxa"/>
          </w:tcPr>
          <w:p w14:paraId="49740B6C" w14:textId="77777777" w:rsidR="009564E9" w:rsidRDefault="009564E9" w:rsidP="00E15F69">
            <w:pPr>
              <w:pStyle w:val="TableTextRight"/>
              <w:spacing w:before="60" w:after="40"/>
            </w:pPr>
            <w:r>
              <w:t>302,900</w:t>
            </w:r>
          </w:p>
        </w:tc>
        <w:tc>
          <w:tcPr>
            <w:tcW w:w="1021" w:type="dxa"/>
          </w:tcPr>
          <w:p w14:paraId="03E708AD" w14:textId="77777777" w:rsidR="009564E9" w:rsidRDefault="009564E9" w:rsidP="00E15F69">
            <w:pPr>
              <w:pStyle w:val="TableTextRight"/>
              <w:spacing w:before="60" w:after="40"/>
            </w:pPr>
            <w:r>
              <w:t>245,141</w:t>
            </w:r>
          </w:p>
        </w:tc>
      </w:tr>
      <w:tr w:rsidR="009564E9" w14:paraId="2FA90EC2" w14:textId="77777777" w:rsidTr="009368F4">
        <w:trPr>
          <w:trHeight w:val="68"/>
        </w:trPr>
        <w:tc>
          <w:tcPr>
            <w:tcW w:w="3856" w:type="dxa"/>
          </w:tcPr>
          <w:p w14:paraId="4E9039EB" w14:textId="77777777" w:rsidR="009564E9" w:rsidRDefault="009564E9" w:rsidP="00E15F69">
            <w:pPr>
              <w:pStyle w:val="TableText"/>
              <w:spacing w:before="60" w:after="40"/>
            </w:pPr>
            <w:r>
              <w:t>Information and advice provided to consumers, renters, rental providers and businesses: through other services including written correspondence, face-to-face and dispute assistance</w:t>
            </w:r>
            <w:r>
              <w:rPr>
                <w:rFonts w:ascii="Times New Roman" w:hAnsi="Times New Roman"/>
              </w:rPr>
              <w:t> </w:t>
            </w:r>
            <w:r w:rsidRPr="007470E2">
              <w:rPr>
                <w:rStyle w:val="FootnoteReference"/>
              </w:rPr>
              <w:footnoteReference w:id="4"/>
            </w:r>
          </w:p>
        </w:tc>
        <w:tc>
          <w:tcPr>
            <w:tcW w:w="1134" w:type="dxa"/>
          </w:tcPr>
          <w:p w14:paraId="0E0ABD99" w14:textId="77777777" w:rsidR="009564E9" w:rsidRDefault="009564E9" w:rsidP="00E15F69">
            <w:pPr>
              <w:pStyle w:val="TableText"/>
              <w:spacing w:before="60" w:after="40"/>
            </w:pPr>
            <w:r>
              <w:t>number</w:t>
            </w:r>
          </w:p>
        </w:tc>
        <w:tc>
          <w:tcPr>
            <w:tcW w:w="1021" w:type="dxa"/>
          </w:tcPr>
          <w:p w14:paraId="4D184629" w14:textId="77777777" w:rsidR="009564E9" w:rsidRDefault="009564E9" w:rsidP="00E15F69">
            <w:pPr>
              <w:pStyle w:val="TableTextRight"/>
              <w:spacing w:before="60" w:after="40"/>
            </w:pPr>
            <w:r>
              <w:t>142,695</w:t>
            </w:r>
          </w:p>
        </w:tc>
        <w:tc>
          <w:tcPr>
            <w:tcW w:w="1021" w:type="dxa"/>
          </w:tcPr>
          <w:p w14:paraId="374879D9" w14:textId="77777777" w:rsidR="009564E9" w:rsidRDefault="009564E9" w:rsidP="00E15F69">
            <w:pPr>
              <w:pStyle w:val="TableTextRight"/>
              <w:spacing w:before="60" w:after="40"/>
            </w:pPr>
            <w:r>
              <w:t>144,533</w:t>
            </w:r>
          </w:p>
        </w:tc>
        <w:tc>
          <w:tcPr>
            <w:tcW w:w="1021" w:type="dxa"/>
          </w:tcPr>
          <w:p w14:paraId="72774355" w14:textId="77777777" w:rsidR="009564E9" w:rsidRDefault="009564E9" w:rsidP="00E15F69">
            <w:pPr>
              <w:pStyle w:val="TableTextRight"/>
              <w:spacing w:before="60" w:after="40"/>
            </w:pPr>
            <w:r>
              <w:t>115,700</w:t>
            </w:r>
          </w:p>
        </w:tc>
        <w:tc>
          <w:tcPr>
            <w:tcW w:w="1021" w:type="dxa"/>
          </w:tcPr>
          <w:p w14:paraId="645F1B59" w14:textId="77777777" w:rsidR="009564E9" w:rsidRDefault="009564E9" w:rsidP="00E15F69">
            <w:pPr>
              <w:pStyle w:val="TableTextRight"/>
              <w:spacing w:before="60" w:after="40"/>
            </w:pPr>
            <w:r>
              <w:t>99,191</w:t>
            </w:r>
          </w:p>
        </w:tc>
      </w:tr>
      <w:tr w:rsidR="009564E9" w14:paraId="08483006" w14:textId="77777777" w:rsidTr="009368F4">
        <w:trPr>
          <w:trHeight w:val="68"/>
        </w:trPr>
        <w:tc>
          <w:tcPr>
            <w:tcW w:w="3856" w:type="dxa"/>
          </w:tcPr>
          <w:p w14:paraId="03A7F1C3" w14:textId="77777777" w:rsidR="009564E9" w:rsidRDefault="009564E9" w:rsidP="00E15F69">
            <w:pPr>
              <w:pStyle w:val="TableText"/>
              <w:spacing w:before="60" w:after="40"/>
            </w:pPr>
            <w:r>
              <w:t>Number of court and administrative actions</w:t>
            </w:r>
            <w:r>
              <w:rPr>
                <w:rFonts w:ascii="Times New Roman" w:hAnsi="Times New Roman"/>
              </w:rPr>
              <w:t> </w:t>
            </w:r>
            <w:r w:rsidRPr="007470E2">
              <w:rPr>
                <w:rStyle w:val="FootnoteReference"/>
              </w:rPr>
              <w:footnoteReference w:id="5"/>
            </w:r>
          </w:p>
        </w:tc>
        <w:tc>
          <w:tcPr>
            <w:tcW w:w="1134" w:type="dxa"/>
          </w:tcPr>
          <w:p w14:paraId="5CF26BAD" w14:textId="77777777" w:rsidR="009564E9" w:rsidRDefault="009564E9" w:rsidP="00E15F69">
            <w:pPr>
              <w:pStyle w:val="TableText"/>
              <w:spacing w:before="60" w:after="40"/>
            </w:pPr>
            <w:r>
              <w:t>number</w:t>
            </w:r>
          </w:p>
        </w:tc>
        <w:tc>
          <w:tcPr>
            <w:tcW w:w="1021" w:type="dxa"/>
          </w:tcPr>
          <w:p w14:paraId="5B19C1A2" w14:textId="77777777" w:rsidR="009564E9" w:rsidRDefault="009564E9" w:rsidP="00E15F69">
            <w:pPr>
              <w:pStyle w:val="TableTextRight"/>
              <w:spacing w:before="60" w:after="40"/>
            </w:pPr>
            <w:r>
              <w:t>1,061</w:t>
            </w:r>
          </w:p>
        </w:tc>
        <w:tc>
          <w:tcPr>
            <w:tcW w:w="1021" w:type="dxa"/>
          </w:tcPr>
          <w:p w14:paraId="06265260" w14:textId="77777777" w:rsidR="009564E9" w:rsidRDefault="009564E9" w:rsidP="00E15F69">
            <w:pPr>
              <w:pStyle w:val="TableTextRight"/>
              <w:spacing w:before="60" w:after="40"/>
            </w:pPr>
            <w:r>
              <w:t>533</w:t>
            </w:r>
          </w:p>
        </w:tc>
        <w:tc>
          <w:tcPr>
            <w:tcW w:w="1021" w:type="dxa"/>
          </w:tcPr>
          <w:p w14:paraId="0732DD48" w14:textId="77777777" w:rsidR="009564E9" w:rsidRDefault="009564E9" w:rsidP="00E15F69">
            <w:pPr>
              <w:pStyle w:val="TableTextRight"/>
              <w:spacing w:before="60" w:after="40"/>
            </w:pPr>
            <w:r>
              <w:t>900</w:t>
            </w:r>
          </w:p>
        </w:tc>
        <w:tc>
          <w:tcPr>
            <w:tcW w:w="1021" w:type="dxa"/>
          </w:tcPr>
          <w:p w14:paraId="455FD3AB" w14:textId="77777777" w:rsidR="009564E9" w:rsidRDefault="009564E9" w:rsidP="00E15F69">
            <w:pPr>
              <w:pStyle w:val="TableTextRight"/>
              <w:spacing w:before="60" w:after="40"/>
            </w:pPr>
            <w:r>
              <w:t>628</w:t>
            </w:r>
          </w:p>
        </w:tc>
      </w:tr>
      <w:tr w:rsidR="009564E9" w14:paraId="1A559122" w14:textId="77777777" w:rsidTr="009368F4">
        <w:trPr>
          <w:trHeight w:val="68"/>
        </w:trPr>
        <w:tc>
          <w:tcPr>
            <w:tcW w:w="3856" w:type="dxa"/>
          </w:tcPr>
          <w:p w14:paraId="5467150B" w14:textId="77777777" w:rsidR="009564E9" w:rsidRDefault="009564E9" w:rsidP="00E15F69">
            <w:pPr>
              <w:pStyle w:val="TableText"/>
              <w:spacing w:before="60" w:after="40"/>
            </w:pPr>
            <w:r>
              <w:t>Transactions undertaken: registration and licensing</w:t>
            </w:r>
            <w:r>
              <w:rPr>
                <w:rFonts w:ascii="Times New Roman" w:hAnsi="Times New Roman"/>
              </w:rPr>
              <w:t> </w:t>
            </w:r>
            <w:r w:rsidRPr="007470E2">
              <w:rPr>
                <w:rStyle w:val="FootnoteReference"/>
              </w:rPr>
              <w:footnoteReference w:id="6"/>
            </w:r>
          </w:p>
        </w:tc>
        <w:tc>
          <w:tcPr>
            <w:tcW w:w="1134" w:type="dxa"/>
          </w:tcPr>
          <w:p w14:paraId="119F300C" w14:textId="77777777" w:rsidR="009564E9" w:rsidRDefault="009564E9" w:rsidP="00E15F69">
            <w:pPr>
              <w:pStyle w:val="TableText"/>
              <w:spacing w:before="60" w:after="40"/>
            </w:pPr>
            <w:r>
              <w:t>number</w:t>
            </w:r>
          </w:p>
        </w:tc>
        <w:tc>
          <w:tcPr>
            <w:tcW w:w="1021" w:type="dxa"/>
          </w:tcPr>
          <w:p w14:paraId="2303092A" w14:textId="77777777" w:rsidR="009564E9" w:rsidRDefault="009564E9" w:rsidP="00E15F69">
            <w:pPr>
              <w:pStyle w:val="TableTextRight"/>
              <w:spacing w:before="60" w:after="40"/>
            </w:pPr>
            <w:r>
              <w:t>91,637</w:t>
            </w:r>
          </w:p>
        </w:tc>
        <w:tc>
          <w:tcPr>
            <w:tcW w:w="1021" w:type="dxa"/>
          </w:tcPr>
          <w:p w14:paraId="46834AB4" w14:textId="77777777" w:rsidR="009564E9" w:rsidRDefault="009564E9" w:rsidP="00E15F69">
            <w:pPr>
              <w:pStyle w:val="TableTextRight"/>
              <w:spacing w:before="60" w:after="40"/>
            </w:pPr>
            <w:r>
              <w:t>95,096</w:t>
            </w:r>
          </w:p>
        </w:tc>
        <w:tc>
          <w:tcPr>
            <w:tcW w:w="1021" w:type="dxa"/>
          </w:tcPr>
          <w:p w14:paraId="35D5A8F1" w14:textId="77777777" w:rsidR="009564E9" w:rsidRDefault="009564E9" w:rsidP="00E15F69">
            <w:pPr>
              <w:pStyle w:val="TableTextRight"/>
              <w:spacing w:before="60" w:after="40"/>
            </w:pPr>
            <w:r>
              <w:t>95,500</w:t>
            </w:r>
          </w:p>
        </w:tc>
        <w:tc>
          <w:tcPr>
            <w:tcW w:w="1021" w:type="dxa"/>
          </w:tcPr>
          <w:p w14:paraId="60BEFF50" w14:textId="77777777" w:rsidR="009564E9" w:rsidRDefault="009564E9" w:rsidP="00E15F69">
            <w:pPr>
              <w:pStyle w:val="TableTextRight"/>
              <w:spacing w:before="60" w:after="40"/>
            </w:pPr>
            <w:r>
              <w:t>100,711</w:t>
            </w:r>
          </w:p>
        </w:tc>
      </w:tr>
      <w:tr w:rsidR="009564E9" w14:paraId="29534669" w14:textId="77777777" w:rsidTr="009368F4">
        <w:trPr>
          <w:trHeight w:val="68"/>
        </w:trPr>
        <w:tc>
          <w:tcPr>
            <w:tcW w:w="3856" w:type="dxa"/>
          </w:tcPr>
          <w:p w14:paraId="5FAD7C7F" w14:textId="77777777" w:rsidR="009564E9" w:rsidRDefault="009564E9" w:rsidP="00E15F69">
            <w:pPr>
              <w:pStyle w:val="TableText"/>
              <w:spacing w:before="60" w:after="40"/>
            </w:pPr>
            <w:r>
              <w:t>Transactions undertaken: Residential Tenancies Bond Authority (RTBA)</w:t>
            </w:r>
          </w:p>
        </w:tc>
        <w:tc>
          <w:tcPr>
            <w:tcW w:w="1134" w:type="dxa"/>
          </w:tcPr>
          <w:p w14:paraId="1D8E085A" w14:textId="77777777" w:rsidR="009564E9" w:rsidRDefault="009564E9" w:rsidP="00E15F69">
            <w:pPr>
              <w:pStyle w:val="TableText"/>
              <w:spacing w:before="60" w:after="40"/>
            </w:pPr>
            <w:r>
              <w:rPr>
                <w:color w:val="332F3A"/>
              </w:rPr>
              <w:t>number</w:t>
            </w:r>
          </w:p>
        </w:tc>
        <w:tc>
          <w:tcPr>
            <w:tcW w:w="1021" w:type="dxa"/>
          </w:tcPr>
          <w:p w14:paraId="6CE333F8" w14:textId="77777777" w:rsidR="009564E9" w:rsidRDefault="009564E9" w:rsidP="00E15F69">
            <w:pPr>
              <w:pStyle w:val="TableTextRight"/>
              <w:spacing w:before="60" w:after="40"/>
            </w:pPr>
            <w:r>
              <w:t>492,822</w:t>
            </w:r>
          </w:p>
        </w:tc>
        <w:tc>
          <w:tcPr>
            <w:tcW w:w="1021" w:type="dxa"/>
          </w:tcPr>
          <w:p w14:paraId="634D91AD" w14:textId="77777777" w:rsidR="009564E9" w:rsidRDefault="009564E9" w:rsidP="00E15F69">
            <w:pPr>
              <w:pStyle w:val="TableTextRight"/>
              <w:spacing w:before="60" w:after="40"/>
            </w:pPr>
            <w:r>
              <w:t>498,336</w:t>
            </w:r>
          </w:p>
        </w:tc>
        <w:tc>
          <w:tcPr>
            <w:tcW w:w="1021" w:type="dxa"/>
          </w:tcPr>
          <w:p w14:paraId="31DA78EF" w14:textId="77777777" w:rsidR="009564E9" w:rsidRDefault="009564E9" w:rsidP="00E15F69">
            <w:pPr>
              <w:pStyle w:val="TableTextRight"/>
              <w:spacing w:before="60" w:after="40"/>
            </w:pPr>
            <w:r>
              <w:t>490,000</w:t>
            </w:r>
          </w:p>
        </w:tc>
        <w:tc>
          <w:tcPr>
            <w:tcW w:w="1021" w:type="dxa"/>
          </w:tcPr>
          <w:p w14:paraId="255E2F8F" w14:textId="5ACF1464" w:rsidR="009564E9" w:rsidRDefault="009368F4" w:rsidP="00E15F69">
            <w:pPr>
              <w:pStyle w:val="TableTextRight"/>
              <w:spacing w:before="60" w:after="40"/>
            </w:pPr>
            <w:r w:rsidRPr="009368F4">
              <w:t>494,809</w:t>
            </w:r>
          </w:p>
        </w:tc>
      </w:tr>
      <w:tr w:rsidR="009564E9" w14:paraId="7BC41242" w14:textId="77777777" w:rsidTr="009368F4">
        <w:trPr>
          <w:trHeight w:val="68"/>
        </w:trPr>
        <w:tc>
          <w:tcPr>
            <w:tcW w:w="3856" w:type="dxa"/>
          </w:tcPr>
          <w:p w14:paraId="7AC0EC3A" w14:textId="77777777" w:rsidR="009564E9" w:rsidRDefault="009564E9" w:rsidP="00E15F69">
            <w:pPr>
              <w:pStyle w:val="TableText"/>
              <w:spacing w:before="60" w:after="40"/>
            </w:pPr>
            <w:r>
              <w:t>Victims of family violence assisted with financial counselling</w:t>
            </w:r>
            <w:r>
              <w:rPr>
                <w:rFonts w:ascii="Times New Roman" w:hAnsi="Times New Roman"/>
              </w:rPr>
              <w:t> </w:t>
            </w:r>
            <w:r w:rsidRPr="007470E2">
              <w:rPr>
                <w:rStyle w:val="FootnoteReference"/>
              </w:rPr>
              <w:footnoteReference w:id="7"/>
            </w:r>
          </w:p>
        </w:tc>
        <w:tc>
          <w:tcPr>
            <w:tcW w:w="1134" w:type="dxa"/>
          </w:tcPr>
          <w:p w14:paraId="56337537" w14:textId="77777777" w:rsidR="009564E9" w:rsidRDefault="009564E9" w:rsidP="00E15F69">
            <w:pPr>
              <w:pStyle w:val="TableText"/>
              <w:spacing w:before="60" w:after="40"/>
            </w:pPr>
            <w:r>
              <w:t>number</w:t>
            </w:r>
          </w:p>
        </w:tc>
        <w:tc>
          <w:tcPr>
            <w:tcW w:w="1021" w:type="dxa"/>
          </w:tcPr>
          <w:p w14:paraId="0F249A79" w14:textId="77777777" w:rsidR="009564E9" w:rsidRDefault="009564E9" w:rsidP="00E15F69">
            <w:pPr>
              <w:pStyle w:val="TableTextRight"/>
              <w:spacing w:before="60" w:after="40"/>
            </w:pPr>
            <w:r>
              <w:t>3,439</w:t>
            </w:r>
          </w:p>
        </w:tc>
        <w:tc>
          <w:tcPr>
            <w:tcW w:w="1021" w:type="dxa"/>
          </w:tcPr>
          <w:p w14:paraId="0A46BF1F" w14:textId="77777777" w:rsidR="009564E9" w:rsidRDefault="009564E9" w:rsidP="00E15F69">
            <w:pPr>
              <w:pStyle w:val="TableTextRight"/>
              <w:spacing w:before="60" w:after="40"/>
            </w:pPr>
            <w:r>
              <w:t>3,178</w:t>
            </w:r>
          </w:p>
        </w:tc>
        <w:tc>
          <w:tcPr>
            <w:tcW w:w="1021" w:type="dxa"/>
          </w:tcPr>
          <w:p w14:paraId="571EAD5A" w14:textId="77777777" w:rsidR="009564E9" w:rsidRDefault="009564E9" w:rsidP="00E15F69">
            <w:pPr>
              <w:pStyle w:val="TableTextRight"/>
              <w:spacing w:before="60" w:after="40"/>
            </w:pPr>
            <w:r>
              <w:t>3,750</w:t>
            </w:r>
          </w:p>
        </w:tc>
        <w:tc>
          <w:tcPr>
            <w:tcW w:w="1021" w:type="dxa"/>
          </w:tcPr>
          <w:p w14:paraId="4EED2C29" w14:textId="77777777" w:rsidR="009564E9" w:rsidRDefault="009564E9" w:rsidP="00E15F69">
            <w:pPr>
              <w:pStyle w:val="TableTextRight"/>
              <w:spacing w:before="60" w:after="40"/>
            </w:pPr>
            <w:r>
              <w:t>3,438</w:t>
            </w:r>
          </w:p>
        </w:tc>
      </w:tr>
      <w:tr w:rsidR="009564E9" w14:paraId="7127F12D" w14:textId="77777777" w:rsidTr="009368F4">
        <w:trPr>
          <w:trHeight w:val="68"/>
        </w:trPr>
        <w:tc>
          <w:tcPr>
            <w:tcW w:w="3856" w:type="dxa"/>
          </w:tcPr>
          <w:p w14:paraId="2BFD675D" w14:textId="77777777" w:rsidR="009564E9" w:rsidRDefault="009564E9" w:rsidP="00E15F69">
            <w:pPr>
              <w:pStyle w:val="TableText"/>
              <w:spacing w:before="60" w:after="40"/>
            </w:pPr>
            <w:r>
              <w:t>Dispute resolution services provided by</w:t>
            </w:r>
          </w:p>
          <w:p w14:paraId="33731827" w14:textId="77777777" w:rsidR="009564E9" w:rsidRDefault="009564E9" w:rsidP="00E15F69">
            <w:pPr>
              <w:pStyle w:val="TableText"/>
              <w:spacing w:before="60" w:after="40"/>
            </w:pPr>
            <w:r>
              <w:t>Domestic Building Dispute Resolution Victoria</w:t>
            </w:r>
            <w:r>
              <w:rPr>
                <w:rFonts w:ascii="Times New Roman" w:hAnsi="Times New Roman"/>
              </w:rPr>
              <w:t> </w:t>
            </w:r>
            <w:r w:rsidRPr="007470E2">
              <w:rPr>
                <w:rStyle w:val="FootnoteReference"/>
              </w:rPr>
              <w:footnoteReference w:id="8"/>
            </w:r>
          </w:p>
        </w:tc>
        <w:tc>
          <w:tcPr>
            <w:tcW w:w="1134" w:type="dxa"/>
          </w:tcPr>
          <w:p w14:paraId="617260F0" w14:textId="77777777" w:rsidR="009564E9" w:rsidRDefault="009564E9" w:rsidP="00E15F69">
            <w:pPr>
              <w:pStyle w:val="TableText"/>
              <w:spacing w:before="60" w:after="40"/>
            </w:pPr>
            <w:r>
              <w:t>number</w:t>
            </w:r>
          </w:p>
        </w:tc>
        <w:tc>
          <w:tcPr>
            <w:tcW w:w="1021" w:type="dxa"/>
          </w:tcPr>
          <w:p w14:paraId="7BFDD00B" w14:textId="77777777" w:rsidR="009564E9" w:rsidRDefault="009564E9" w:rsidP="00E15F69">
            <w:pPr>
              <w:pStyle w:val="TableTextRight"/>
              <w:spacing w:before="60" w:after="40"/>
            </w:pPr>
            <w:r>
              <w:t>6,619</w:t>
            </w:r>
          </w:p>
        </w:tc>
        <w:tc>
          <w:tcPr>
            <w:tcW w:w="1021" w:type="dxa"/>
          </w:tcPr>
          <w:p w14:paraId="532335AC" w14:textId="77777777" w:rsidR="009564E9" w:rsidRDefault="009564E9" w:rsidP="00E15F69">
            <w:pPr>
              <w:pStyle w:val="TableTextRight"/>
              <w:spacing w:before="60" w:after="40"/>
            </w:pPr>
            <w:r>
              <w:t>5,175</w:t>
            </w:r>
          </w:p>
        </w:tc>
        <w:tc>
          <w:tcPr>
            <w:tcW w:w="1021" w:type="dxa"/>
          </w:tcPr>
          <w:p w14:paraId="08CEF51C" w14:textId="77777777" w:rsidR="009564E9" w:rsidRDefault="009564E9" w:rsidP="00E15F69">
            <w:pPr>
              <w:pStyle w:val="TableTextRight"/>
              <w:spacing w:before="60" w:after="40"/>
            </w:pPr>
            <w:r>
              <w:t>6,000</w:t>
            </w:r>
          </w:p>
        </w:tc>
        <w:tc>
          <w:tcPr>
            <w:tcW w:w="1021" w:type="dxa"/>
          </w:tcPr>
          <w:p w14:paraId="069DDCB0" w14:textId="77777777" w:rsidR="009564E9" w:rsidRDefault="009564E9" w:rsidP="00E15F69">
            <w:pPr>
              <w:pStyle w:val="TableTextRight"/>
              <w:spacing w:before="60" w:after="40"/>
            </w:pPr>
            <w:r>
              <w:t>5605</w:t>
            </w:r>
          </w:p>
        </w:tc>
      </w:tr>
      <w:tr w:rsidR="009564E9" w14:paraId="7FA0C1DF" w14:textId="77777777" w:rsidTr="009368F4">
        <w:trPr>
          <w:trHeight w:val="68"/>
        </w:trPr>
        <w:tc>
          <w:tcPr>
            <w:tcW w:w="1134" w:type="dxa"/>
            <w:gridSpan w:val="6"/>
            <w:shd w:val="clear" w:color="auto" w:fill="B2D5F0"/>
          </w:tcPr>
          <w:p w14:paraId="245C2FC1" w14:textId="77777777" w:rsidR="009564E9" w:rsidRDefault="009564E9" w:rsidP="00E15F69">
            <w:pPr>
              <w:pStyle w:val="TableTextBold"/>
              <w:spacing w:before="60" w:after="40"/>
            </w:pPr>
            <w:r>
              <w:t>Quality</w:t>
            </w:r>
          </w:p>
        </w:tc>
      </w:tr>
      <w:tr w:rsidR="009564E9" w14:paraId="3439392E" w14:textId="77777777" w:rsidTr="009368F4">
        <w:trPr>
          <w:trHeight w:val="68"/>
        </w:trPr>
        <w:tc>
          <w:tcPr>
            <w:tcW w:w="3856" w:type="dxa"/>
          </w:tcPr>
          <w:p w14:paraId="553A8225" w14:textId="77777777" w:rsidR="009564E9" w:rsidRDefault="009564E9" w:rsidP="00E15F69">
            <w:pPr>
              <w:pStyle w:val="TableText"/>
              <w:spacing w:before="60" w:after="40"/>
            </w:pPr>
            <w:r>
              <w:t>Rate of compliance with key consumer laws</w:t>
            </w:r>
            <w:r>
              <w:rPr>
                <w:rFonts w:ascii="Times New Roman" w:hAnsi="Times New Roman"/>
              </w:rPr>
              <w:t> </w:t>
            </w:r>
            <w:r w:rsidRPr="007470E2">
              <w:rPr>
                <w:rStyle w:val="FootnoteReference"/>
              </w:rPr>
              <w:footnoteReference w:id="9"/>
            </w:r>
          </w:p>
        </w:tc>
        <w:tc>
          <w:tcPr>
            <w:tcW w:w="1134" w:type="dxa"/>
          </w:tcPr>
          <w:p w14:paraId="409FA221" w14:textId="77777777" w:rsidR="009564E9" w:rsidRDefault="009564E9" w:rsidP="00E15F69">
            <w:pPr>
              <w:pStyle w:val="TableText"/>
              <w:spacing w:before="60" w:after="40"/>
            </w:pPr>
            <w:r>
              <w:t>per cent</w:t>
            </w:r>
          </w:p>
        </w:tc>
        <w:tc>
          <w:tcPr>
            <w:tcW w:w="1021" w:type="dxa"/>
          </w:tcPr>
          <w:p w14:paraId="471B99EA" w14:textId="77777777" w:rsidR="009564E9" w:rsidRDefault="009564E9" w:rsidP="00E15F69">
            <w:pPr>
              <w:pStyle w:val="TableTextRight"/>
              <w:spacing w:before="60" w:after="40"/>
            </w:pPr>
            <w:r>
              <w:t>94.5</w:t>
            </w:r>
          </w:p>
        </w:tc>
        <w:tc>
          <w:tcPr>
            <w:tcW w:w="1021" w:type="dxa"/>
          </w:tcPr>
          <w:p w14:paraId="08EC7C41" w14:textId="77777777" w:rsidR="009564E9" w:rsidRDefault="009564E9" w:rsidP="00E15F69">
            <w:pPr>
              <w:pStyle w:val="TableTextRight"/>
              <w:spacing w:before="60" w:after="40"/>
            </w:pPr>
            <w:r>
              <w:t>90</w:t>
            </w:r>
          </w:p>
        </w:tc>
        <w:tc>
          <w:tcPr>
            <w:tcW w:w="1021" w:type="dxa"/>
          </w:tcPr>
          <w:p w14:paraId="73677FB5" w14:textId="77777777" w:rsidR="009564E9" w:rsidRDefault="009564E9" w:rsidP="00E15F69">
            <w:pPr>
              <w:pStyle w:val="TableTextRight"/>
              <w:spacing w:before="60" w:after="40"/>
            </w:pPr>
            <w:r>
              <w:t>95</w:t>
            </w:r>
          </w:p>
        </w:tc>
        <w:tc>
          <w:tcPr>
            <w:tcW w:w="1021" w:type="dxa"/>
          </w:tcPr>
          <w:p w14:paraId="649B4880" w14:textId="77777777" w:rsidR="009564E9" w:rsidRDefault="009564E9" w:rsidP="00E15F69">
            <w:pPr>
              <w:pStyle w:val="TableTextRight"/>
              <w:spacing w:before="60" w:after="40"/>
            </w:pPr>
            <w:r>
              <w:t>90</w:t>
            </w:r>
          </w:p>
        </w:tc>
      </w:tr>
      <w:tr w:rsidR="009564E9" w14:paraId="27C98B48" w14:textId="77777777" w:rsidTr="009368F4">
        <w:trPr>
          <w:trHeight w:val="68"/>
        </w:trPr>
        <w:tc>
          <w:tcPr>
            <w:tcW w:w="1134" w:type="dxa"/>
            <w:gridSpan w:val="6"/>
            <w:shd w:val="clear" w:color="auto" w:fill="B2D5F0"/>
          </w:tcPr>
          <w:p w14:paraId="12537C05" w14:textId="77777777" w:rsidR="009564E9" w:rsidRDefault="009564E9" w:rsidP="00E15F69">
            <w:pPr>
              <w:pStyle w:val="TableTextBold"/>
              <w:spacing w:before="60" w:after="40"/>
            </w:pPr>
            <w:r>
              <w:t>Timeliness</w:t>
            </w:r>
          </w:p>
        </w:tc>
      </w:tr>
      <w:tr w:rsidR="009564E9" w14:paraId="64ACAE9F" w14:textId="77777777" w:rsidTr="009368F4">
        <w:trPr>
          <w:trHeight w:val="68"/>
        </w:trPr>
        <w:tc>
          <w:tcPr>
            <w:tcW w:w="3856" w:type="dxa"/>
          </w:tcPr>
          <w:p w14:paraId="79F11D39" w14:textId="77777777" w:rsidR="009564E9" w:rsidRDefault="009564E9" w:rsidP="00E15F69">
            <w:pPr>
              <w:pStyle w:val="TableText"/>
              <w:spacing w:before="60" w:after="40"/>
            </w:pPr>
            <w:r>
              <w:t>Regulatory functions delivered within agreed time frames</w:t>
            </w:r>
          </w:p>
        </w:tc>
        <w:tc>
          <w:tcPr>
            <w:tcW w:w="1134" w:type="dxa"/>
          </w:tcPr>
          <w:p w14:paraId="31FB0C45" w14:textId="77777777" w:rsidR="009564E9" w:rsidRDefault="009564E9" w:rsidP="00E15F69">
            <w:pPr>
              <w:pStyle w:val="TableText"/>
              <w:spacing w:before="60" w:after="40"/>
            </w:pPr>
            <w:r>
              <w:t>per cent</w:t>
            </w:r>
          </w:p>
        </w:tc>
        <w:tc>
          <w:tcPr>
            <w:tcW w:w="1021" w:type="dxa"/>
          </w:tcPr>
          <w:p w14:paraId="07127096" w14:textId="77777777" w:rsidR="009564E9" w:rsidRDefault="009564E9" w:rsidP="00E15F69">
            <w:pPr>
              <w:pStyle w:val="TableTextRight"/>
              <w:spacing w:before="60" w:after="40"/>
            </w:pPr>
            <w:r>
              <w:t>94.4</w:t>
            </w:r>
          </w:p>
        </w:tc>
        <w:tc>
          <w:tcPr>
            <w:tcW w:w="1021" w:type="dxa"/>
          </w:tcPr>
          <w:p w14:paraId="6975E2D6" w14:textId="77777777" w:rsidR="009564E9" w:rsidRDefault="009564E9" w:rsidP="00E15F69">
            <w:pPr>
              <w:pStyle w:val="TableTextRight"/>
              <w:spacing w:before="60" w:after="40"/>
            </w:pPr>
            <w:r>
              <w:t>96.7</w:t>
            </w:r>
          </w:p>
        </w:tc>
        <w:tc>
          <w:tcPr>
            <w:tcW w:w="1021" w:type="dxa"/>
          </w:tcPr>
          <w:p w14:paraId="6A8C1C5B" w14:textId="77777777" w:rsidR="009564E9" w:rsidRDefault="009564E9" w:rsidP="00E15F69">
            <w:pPr>
              <w:pStyle w:val="TableTextRight"/>
              <w:spacing w:before="60" w:after="40"/>
            </w:pPr>
            <w:r>
              <w:t>95</w:t>
            </w:r>
          </w:p>
        </w:tc>
        <w:tc>
          <w:tcPr>
            <w:tcW w:w="1021" w:type="dxa"/>
          </w:tcPr>
          <w:p w14:paraId="1C28CF7D" w14:textId="77777777" w:rsidR="009564E9" w:rsidRDefault="009564E9" w:rsidP="00E15F69">
            <w:pPr>
              <w:pStyle w:val="TableTextRight"/>
              <w:spacing w:before="60" w:after="40"/>
            </w:pPr>
            <w:r>
              <w:t>96</w:t>
            </w:r>
          </w:p>
        </w:tc>
      </w:tr>
      <w:tr w:rsidR="009564E9" w14:paraId="753DC0D8" w14:textId="77777777" w:rsidTr="009368F4">
        <w:trPr>
          <w:trHeight w:val="68"/>
        </w:trPr>
        <w:tc>
          <w:tcPr>
            <w:tcW w:w="3856" w:type="dxa"/>
          </w:tcPr>
          <w:p w14:paraId="4FB3FD27" w14:textId="77777777" w:rsidR="009564E9" w:rsidRDefault="009564E9" w:rsidP="00E15F69">
            <w:pPr>
              <w:pStyle w:val="TableText"/>
              <w:spacing w:before="60" w:after="40"/>
            </w:pPr>
            <w:r>
              <w:t>Proportion of high priority breaches resulting in regulatory response</w:t>
            </w:r>
          </w:p>
        </w:tc>
        <w:tc>
          <w:tcPr>
            <w:tcW w:w="1134" w:type="dxa"/>
          </w:tcPr>
          <w:p w14:paraId="47039084" w14:textId="77777777" w:rsidR="009564E9" w:rsidRDefault="009564E9" w:rsidP="00E15F69">
            <w:pPr>
              <w:pStyle w:val="TableText"/>
              <w:spacing w:before="60" w:after="40"/>
            </w:pPr>
            <w:r>
              <w:t>per cent</w:t>
            </w:r>
          </w:p>
        </w:tc>
        <w:tc>
          <w:tcPr>
            <w:tcW w:w="1021" w:type="dxa"/>
          </w:tcPr>
          <w:p w14:paraId="6ECBFF80" w14:textId="77777777" w:rsidR="009564E9" w:rsidRDefault="009564E9" w:rsidP="00E15F69">
            <w:pPr>
              <w:pStyle w:val="TableTextRight"/>
              <w:spacing w:before="60" w:after="40"/>
            </w:pPr>
            <w:r>
              <w:t>100</w:t>
            </w:r>
          </w:p>
        </w:tc>
        <w:tc>
          <w:tcPr>
            <w:tcW w:w="1021" w:type="dxa"/>
          </w:tcPr>
          <w:p w14:paraId="2315D2C1" w14:textId="77777777" w:rsidR="009564E9" w:rsidRDefault="009564E9" w:rsidP="00E15F69">
            <w:pPr>
              <w:pStyle w:val="TableTextRight"/>
              <w:spacing w:before="60" w:after="40"/>
            </w:pPr>
            <w:r>
              <w:t>100</w:t>
            </w:r>
          </w:p>
        </w:tc>
        <w:tc>
          <w:tcPr>
            <w:tcW w:w="1021" w:type="dxa"/>
          </w:tcPr>
          <w:p w14:paraId="1742F654" w14:textId="77777777" w:rsidR="009564E9" w:rsidRDefault="009564E9" w:rsidP="00E15F69">
            <w:pPr>
              <w:pStyle w:val="TableTextRight"/>
              <w:spacing w:before="60" w:after="40"/>
            </w:pPr>
            <w:r>
              <w:t>100</w:t>
            </w:r>
          </w:p>
        </w:tc>
        <w:tc>
          <w:tcPr>
            <w:tcW w:w="1021" w:type="dxa"/>
          </w:tcPr>
          <w:p w14:paraId="7EF0C18A" w14:textId="77777777" w:rsidR="009564E9" w:rsidRDefault="009564E9" w:rsidP="00E15F69">
            <w:pPr>
              <w:pStyle w:val="TableTextRight"/>
              <w:spacing w:before="60" w:after="40"/>
            </w:pPr>
            <w:r>
              <w:t>98</w:t>
            </w:r>
          </w:p>
        </w:tc>
      </w:tr>
      <w:tr w:rsidR="009564E9" w14:paraId="1722A8A7" w14:textId="77777777" w:rsidTr="009368F4">
        <w:trPr>
          <w:trHeight w:val="68"/>
        </w:trPr>
        <w:tc>
          <w:tcPr>
            <w:tcW w:w="1134" w:type="dxa"/>
            <w:gridSpan w:val="6"/>
            <w:shd w:val="clear" w:color="auto" w:fill="B2D5F0"/>
          </w:tcPr>
          <w:p w14:paraId="5D1C0618" w14:textId="77777777" w:rsidR="009564E9" w:rsidRDefault="009564E9" w:rsidP="00E15F69">
            <w:pPr>
              <w:pStyle w:val="TableTextBold"/>
              <w:spacing w:before="60" w:after="40"/>
            </w:pPr>
            <w:r>
              <w:t>Cost</w:t>
            </w:r>
          </w:p>
        </w:tc>
      </w:tr>
      <w:tr w:rsidR="009564E9" w14:paraId="48706DD5" w14:textId="77777777" w:rsidTr="009368F4">
        <w:trPr>
          <w:trHeight w:val="68"/>
        </w:trPr>
        <w:tc>
          <w:tcPr>
            <w:tcW w:w="3856" w:type="dxa"/>
          </w:tcPr>
          <w:p w14:paraId="27ACD1A8" w14:textId="77777777" w:rsidR="009564E9" w:rsidRDefault="009564E9" w:rsidP="00E15F69">
            <w:pPr>
              <w:pStyle w:val="TableText"/>
              <w:spacing w:before="60" w:after="40"/>
            </w:pPr>
            <w:r>
              <w:t>Total output cost</w:t>
            </w:r>
          </w:p>
        </w:tc>
        <w:tc>
          <w:tcPr>
            <w:tcW w:w="1134" w:type="dxa"/>
          </w:tcPr>
          <w:p w14:paraId="2BF3DC58" w14:textId="77777777" w:rsidR="009564E9" w:rsidRDefault="009564E9" w:rsidP="003D4D1D">
            <w:pPr>
              <w:pStyle w:val="TableText"/>
              <w:spacing w:before="60" w:after="40"/>
            </w:pPr>
            <w:r>
              <w:t>$ million</w:t>
            </w:r>
          </w:p>
        </w:tc>
        <w:tc>
          <w:tcPr>
            <w:tcW w:w="1021" w:type="dxa"/>
          </w:tcPr>
          <w:p w14:paraId="4558EC4B" w14:textId="77777777" w:rsidR="009564E9" w:rsidRDefault="009564E9" w:rsidP="00E15F69">
            <w:pPr>
              <w:pStyle w:val="TableTextRight"/>
              <w:spacing w:before="60" w:after="40"/>
            </w:pPr>
            <w:r>
              <w:t>127.4</w:t>
            </w:r>
          </w:p>
        </w:tc>
        <w:tc>
          <w:tcPr>
            <w:tcW w:w="1021" w:type="dxa"/>
          </w:tcPr>
          <w:p w14:paraId="7F6DC84B" w14:textId="77777777" w:rsidR="009564E9" w:rsidRDefault="009564E9" w:rsidP="00E15F69">
            <w:pPr>
              <w:pStyle w:val="TableTextRight"/>
              <w:spacing w:before="60" w:after="40"/>
            </w:pPr>
            <w:r>
              <w:t>147.7</w:t>
            </w:r>
          </w:p>
        </w:tc>
        <w:tc>
          <w:tcPr>
            <w:tcW w:w="1021" w:type="dxa"/>
          </w:tcPr>
          <w:p w14:paraId="31A9D74A" w14:textId="77777777" w:rsidR="009564E9" w:rsidRDefault="009564E9" w:rsidP="00E15F69">
            <w:pPr>
              <w:pStyle w:val="TableTextRight"/>
              <w:spacing w:before="60" w:after="40"/>
            </w:pPr>
            <w:r>
              <w:t>137.2</w:t>
            </w:r>
          </w:p>
        </w:tc>
        <w:tc>
          <w:tcPr>
            <w:tcW w:w="1021" w:type="dxa"/>
          </w:tcPr>
          <w:p w14:paraId="5BB4F6E4" w14:textId="77777777" w:rsidR="009564E9" w:rsidRDefault="009564E9" w:rsidP="00E15F69">
            <w:pPr>
              <w:pStyle w:val="TableTextRight"/>
              <w:spacing w:before="60" w:after="40"/>
            </w:pPr>
            <w:r>
              <w:t>127.2</w:t>
            </w:r>
          </w:p>
        </w:tc>
      </w:tr>
    </w:tbl>
    <w:p w14:paraId="527AE5D8" w14:textId="77777777" w:rsidR="009564E9" w:rsidRDefault="009564E9" w:rsidP="00802CE4">
      <w:pPr>
        <w:pStyle w:val="Heading2"/>
      </w:pPr>
      <w:bookmarkStart w:id="10" w:name="_Toc122097063"/>
      <w:r>
        <w:lastRenderedPageBreak/>
        <w:t>Our achievements</w:t>
      </w:r>
      <w:bookmarkEnd w:id="10"/>
    </w:p>
    <w:p w14:paraId="4FD06F27" w14:textId="77777777" w:rsidR="009564E9" w:rsidRDefault="009564E9" w:rsidP="00A61C76">
      <w:pPr>
        <w:pStyle w:val="BodyText"/>
      </w:pPr>
      <w:r>
        <w:t>Our achievements are presented under each of our outcomes.</w:t>
      </w:r>
    </w:p>
    <w:p w14:paraId="0A45034A" w14:textId="77777777" w:rsidR="009564E9" w:rsidRDefault="009564E9" w:rsidP="00802CE4">
      <w:pPr>
        <w:pStyle w:val="Heading3"/>
      </w:pPr>
      <w:bookmarkStart w:id="11" w:name="_Toc122097064"/>
      <w:r>
        <w:t>Businesses comply with consumer laws</w:t>
      </w:r>
      <w:bookmarkEnd w:id="11"/>
    </w:p>
    <w:p w14:paraId="149BD260" w14:textId="77777777" w:rsidR="009564E9" w:rsidRDefault="009564E9" w:rsidP="00A61C76">
      <w:pPr>
        <w:pStyle w:val="BodyText"/>
      </w:pPr>
      <w:r>
        <w:t>A key to achieving a fair and competitive marketplace is ensuring businesses comply with consumer laws. We continue to support businesses to be compliant by giving them information and resources and act quickly against businesses and organisations that are causing the most harm, to protect consumers before there is significant detriment.</w:t>
      </w:r>
    </w:p>
    <w:p w14:paraId="38E271F6" w14:textId="2F44EBCB" w:rsidR="009564E9" w:rsidRDefault="009564E9" w:rsidP="00A61C76">
      <w:pPr>
        <w:pStyle w:val="BodyText"/>
      </w:pPr>
      <w:r>
        <w:t>Over the past year CAV continued to prioritise licensing, registration and compliance activities with a</w:t>
      </w:r>
      <w:r w:rsidR="007C1C7B">
        <w:t> </w:t>
      </w:r>
      <w:r>
        <w:t>focus on rooming house safety and digital improvements to our systems. We prioritised rooming house safety checks to ensure compliance with the prescribed minimum safety standards, including secure doors and windows and up-to-date gas and electrical safety checks.</w:t>
      </w:r>
    </w:p>
    <w:p w14:paraId="623AAFF9" w14:textId="77777777" w:rsidR="009564E9" w:rsidRDefault="009564E9" w:rsidP="00A61C76">
      <w:pPr>
        <w:pStyle w:val="BodyText"/>
      </w:pPr>
      <w:r>
        <w:t>Licensing and registration transactions were made quicker and easier for businesses, professionals, and organisations. This was achieved by implementing several digital improvements to the BLA and CAV’s online licensing and registrations systems. Improvements included Automatic Mutual Recognition notifications, easier trust accounting notifications, and enabling rooming house operators to upload gas and electrical safety checks online.</w:t>
      </w:r>
    </w:p>
    <w:p w14:paraId="007DD9D9" w14:textId="77777777" w:rsidR="009564E9" w:rsidRDefault="009564E9" w:rsidP="007470E2">
      <w:pPr>
        <w:pStyle w:val="Caption"/>
      </w:pPr>
      <w:r>
        <w:t>Table: Compliance, licensing and registration activity undertaken</w:t>
      </w:r>
    </w:p>
    <w:tbl>
      <w:tblPr>
        <w:tblStyle w:val="TableGrid"/>
        <w:tblW w:w="9072" w:type="dxa"/>
        <w:tblLayout w:type="fixed"/>
        <w:tblLook w:val="06A0" w:firstRow="1" w:lastRow="0" w:firstColumn="1" w:lastColumn="0" w:noHBand="1" w:noVBand="1"/>
      </w:tblPr>
      <w:tblGrid>
        <w:gridCol w:w="6009"/>
        <w:gridCol w:w="1021"/>
        <w:gridCol w:w="1021"/>
        <w:gridCol w:w="1021"/>
      </w:tblGrid>
      <w:tr w:rsidR="009564E9" w14:paraId="34FD4AE2" w14:textId="77777777" w:rsidTr="00C21CCC">
        <w:trPr>
          <w:cnfStyle w:val="100000000000" w:firstRow="1" w:lastRow="0" w:firstColumn="0" w:lastColumn="0" w:oddVBand="0" w:evenVBand="0" w:oddHBand="0" w:evenHBand="0" w:firstRowFirstColumn="0" w:firstRowLastColumn="0" w:lastRowFirstColumn="0" w:lastRowLastColumn="0"/>
          <w:trHeight w:val="60"/>
          <w:tblHeader/>
        </w:trPr>
        <w:tc>
          <w:tcPr>
            <w:tcW w:w="6010" w:type="dxa"/>
          </w:tcPr>
          <w:p w14:paraId="771B0D01" w14:textId="77777777" w:rsidR="009564E9" w:rsidRDefault="009564E9" w:rsidP="008451CB">
            <w:pPr>
              <w:pStyle w:val="TableColHead"/>
            </w:pPr>
          </w:p>
        </w:tc>
        <w:tc>
          <w:tcPr>
            <w:tcW w:w="1021" w:type="dxa"/>
          </w:tcPr>
          <w:p w14:paraId="63CEE1E3" w14:textId="77777777" w:rsidR="009564E9" w:rsidRDefault="009564E9" w:rsidP="00224C4B">
            <w:pPr>
              <w:pStyle w:val="TableColHeadRight"/>
            </w:pPr>
            <w:r>
              <w:t>2019–20</w:t>
            </w:r>
          </w:p>
        </w:tc>
        <w:tc>
          <w:tcPr>
            <w:tcW w:w="1021" w:type="dxa"/>
          </w:tcPr>
          <w:p w14:paraId="12BCB6E1" w14:textId="77777777" w:rsidR="009564E9" w:rsidRDefault="009564E9" w:rsidP="00224C4B">
            <w:pPr>
              <w:pStyle w:val="TableColHeadRight"/>
            </w:pPr>
            <w:r>
              <w:t>2020–21</w:t>
            </w:r>
          </w:p>
        </w:tc>
        <w:tc>
          <w:tcPr>
            <w:tcW w:w="1021" w:type="dxa"/>
          </w:tcPr>
          <w:p w14:paraId="6CC0A16A" w14:textId="77777777" w:rsidR="009564E9" w:rsidRDefault="009564E9" w:rsidP="00224C4B">
            <w:pPr>
              <w:pStyle w:val="TableColHeadRight"/>
            </w:pPr>
            <w:r>
              <w:t>2021–22</w:t>
            </w:r>
          </w:p>
        </w:tc>
      </w:tr>
      <w:tr w:rsidR="009564E9" w14:paraId="36C3F30A" w14:textId="77777777" w:rsidTr="00C21CCC">
        <w:trPr>
          <w:trHeight w:val="60"/>
        </w:trPr>
        <w:tc>
          <w:tcPr>
            <w:tcW w:w="6010" w:type="dxa"/>
            <w:gridSpan w:val="4"/>
            <w:shd w:val="clear" w:color="auto" w:fill="B2D5F0"/>
          </w:tcPr>
          <w:p w14:paraId="742E7ED0" w14:textId="77777777" w:rsidR="009564E9" w:rsidRDefault="009564E9" w:rsidP="00BB1712">
            <w:pPr>
              <w:pStyle w:val="TableTextBold"/>
            </w:pPr>
            <w:r>
              <w:t>Compliance</w:t>
            </w:r>
          </w:p>
        </w:tc>
      </w:tr>
      <w:tr w:rsidR="009564E9" w14:paraId="5C5128DE" w14:textId="77777777" w:rsidTr="00C21CCC">
        <w:trPr>
          <w:trHeight w:val="60"/>
        </w:trPr>
        <w:tc>
          <w:tcPr>
            <w:tcW w:w="6010" w:type="dxa"/>
          </w:tcPr>
          <w:p w14:paraId="164F9BAE" w14:textId="77777777" w:rsidR="009564E9" w:rsidRDefault="009564E9" w:rsidP="00BB1712">
            <w:pPr>
              <w:pStyle w:val="TableText"/>
            </w:pPr>
            <w:r>
              <w:t>Inspections</w:t>
            </w:r>
          </w:p>
        </w:tc>
        <w:tc>
          <w:tcPr>
            <w:tcW w:w="1021" w:type="dxa"/>
          </w:tcPr>
          <w:p w14:paraId="07141BE9" w14:textId="77777777" w:rsidR="009564E9" w:rsidRDefault="009564E9" w:rsidP="00BB1712">
            <w:pPr>
              <w:pStyle w:val="TableTextRight"/>
            </w:pPr>
            <w:r>
              <w:t>1,929</w:t>
            </w:r>
          </w:p>
        </w:tc>
        <w:tc>
          <w:tcPr>
            <w:tcW w:w="1021" w:type="dxa"/>
          </w:tcPr>
          <w:p w14:paraId="297F67E1" w14:textId="77777777" w:rsidR="009564E9" w:rsidRDefault="009564E9" w:rsidP="00BB1712">
            <w:pPr>
              <w:pStyle w:val="TableTextRight"/>
            </w:pPr>
            <w:r>
              <w:t>567</w:t>
            </w:r>
          </w:p>
        </w:tc>
        <w:tc>
          <w:tcPr>
            <w:tcW w:w="1021" w:type="dxa"/>
          </w:tcPr>
          <w:p w14:paraId="17C0D8FD" w14:textId="77777777" w:rsidR="009564E9" w:rsidRDefault="009564E9" w:rsidP="00BB1712">
            <w:pPr>
              <w:pStyle w:val="TableTextRight"/>
            </w:pPr>
            <w:r>
              <w:t>1,009</w:t>
            </w:r>
          </w:p>
        </w:tc>
      </w:tr>
      <w:tr w:rsidR="009564E9" w14:paraId="14476956" w14:textId="77777777" w:rsidTr="00C21CCC">
        <w:trPr>
          <w:trHeight w:val="60"/>
        </w:trPr>
        <w:tc>
          <w:tcPr>
            <w:tcW w:w="6010" w:type="dxa"/>
          </w:tcPr>
          <w:p w14:paraId="3099A703" w14:textId="77777777" w:rsidR="009564E9" w:rsidRDefault="009564E9" w:rsidP="00BB1712">
            <w:pPr>
              <w:pStyle w:val="TableText"/>
            </w:pPr>
            <w:r>
              <w:t>Investigations</w:t>
            </w:r>
          </w:p>
        </w:tc>
        <w:tc>
          <w:tcPr>
            <w:tcW w:w="1021" w:type="dxa"/>
          </w:tcPr>
          <w:p w14:paraId="11A8FA2E" w14:textId="77777777" w:rsidR="009564E9" w:rsidRDefault="009564E9" w:rsidP="00BB1712">
            <w:pPr>
              <w:pStyle w:val="TableTextRight"/>
            </w:pPr>
            <w:r>
              <w:t>214</w:t>
            </w:r>
          </w:p>
        </w:tc>
        <w:tc>
          <w:tcPr>
            <w:tcW w:w="1021" w:type="dxa"/>
          </w:tcPr>
          <w:p w14:paraId="1A927341" w14:textId="77777777" w:rsidR="009564E9" w:rsidRDefault="009564E9" w:rsidP="00BB1712">
            <w:pPr>
              <w:pStyle w:val="TableTextRight"/>
            </w:pPr>
            <w:r>
              <w:t>185</w:t>
            </w:r>
          </w:p>
        </w:tc>
        <w:tc>
          <w:tcPr>
            <w:tcW w:w="1021" w:type="dxa"/>
          </w:tcPr>
          <w:p w14:paraId="7F5C5575" w14:textId="77777777" w:rsidR="009564E9" w:rsidRDefault="009564E9" w:rsidP="00BB1712">
            <w:pPr>
              <w:pStyle w:val="TableTextRight"/>
            </w:pPr>
            <w:r>
              <w:t>42</w:t>
            </w:r>
          </w:p>
        </w:tc>
      </w:tr>
      <w:tr w:rsidR="009564E9" w14:paraId="79206F09" w14:textId="77777777" w:rsidTr="00C21CCC">
        <w:trPr>
          <w:trHeight w:val="60"/>
        </w:trPr>
        <w:tc>
          <w:tcPr>
            <w:tcW w:w="6010" w:type="dxa"/>
          </w:tcPr>
          <w:p w14:paraId="12A0B713" w14:textId="77777777" w:rsidR="009564E9" w:rsidRDefault="009564E9" w:rsidP="00BB1712">
            <w:pPr>
              <w:pStyle w:val="TableText"/>
            </w:pPr>
            <w:r>
              <w:t>Parties to criminal proceedings, appeals and re-hearings</w:t>
            </w:r>
          </w:p>
        </w:tc>
        <w:tc>
          <w:tcPr>
            <w:tcW w:w="1021" w:type="dxa"/>
          </w:tcPr>
          <w:p w14:paraId="3A9C1B89" w14:textId="77777777" w:rsidR="009564E9" w:rsidRDefault="009564E9" w:rsidP="00BB1712">
            <w:pPr>
              <w:pStyle w:val="TableTextRight"/>
            </w:pPr>
            <w:r>
              <w:t>8</w:t>
            </w:r>
          </w:p>
        </w:tc>
        <w:tc>
          <w:tcPr>
            <w:tcW w:w="1021" w:type="dxa"/>
          </w:tcPr>
          <w:p w14:paraId="11D92320" w14:textId="77777777" w:rsidR="009564E9" w:rsidRDefault="009564E9" w:rsidP="00BB1712">
            <w:pPr>
              <w:pStyle w:val="TableTextRight"/>
            </w:pPr>
            <w:r>
              <w:t>2</w:t>
            </w:r>
          </w:p>
        </w:tc>
        <w:tc>
          <w:tcPr>
            <w:tcW w:w="1021" w:type="dxa"/>
          </w:tcPr>
          <w:p w14:paraId="5225399F" w14:textId="77777777" w:rsidR="009564E9" w:rsidRDefault="009564E9" w:rsidP="00BB1712">
            <w:pPr>
              <w:pStyle w:val="TableTextRight"/>
            </w:pPr>
            <w:r>
              <w:t>8</w:t>
            </w:r>
          </w:p>
        </w:tc>
      </w:tr>
      <w:tr w:rsidR="009564E9" w14:paraId="480501CE" w14:textId="77777777" w:rsidTr="00C21CCC">
        <w:trPr>
          <w:trHeight w:val="60"/>
        </w:trPr>
        <w:tc>
          <w:tcPr>
            <w:tcW w:w="6010" w:type="dxa"/>
          </w:tcPr>
          <w:p w14:paraId="6C50AA26" w14:textId="77777777" w:rsidR="009564E9" w:rsidRDefault="009564E9" w:rsidP="00BB1712">
            <w:pPr>
              <w:pStyle w:val="TableText"/>
            </w:pPr>
            <w:r>
              <w:t>Parties to civil proceedings</w:t>
            </w:r>
          </w:p>
        </w:tc>
        <w:tc>
          <w:tcPr>
            <w:tcW w:w="1021" w:type="dxa"/>
          </w:tcPr>
          <w:p w14:paraId="6D9C53A3" w14:textId="77777777" w:rsidR="009564E9" w:rsidRDefault="009564E9" w:rsidP="00BB1712">
            <w:pPr>
              <w:pStyle w:val="TableTextRight"/>
            </w:pPr>
            <w:r>
              <w:t>16</w:t>
            </w:r>
          </w:p>
        </w:tc>
        <w:tc>
          <w:tcPr>
            <w:tcW w:w="1021" w:type="dxa"/>
          </w:tcPr>
          <w:p w14:paraId="21417A58" w14:textId="77777777" w:rsidR="009564E9" w:rsidRDefault="009564E9" w:rsidP="00BB1712">
            <w:pPr>
              <w:pStyle w:val="TableTextRight"/>
            </w:pPr>
            <w:r>
              <w:t>9</w:t>
            </w:r>
          </w:p>
        </w:tc>
        <w:tc>
          <w:tcPr>
            <w:tcW w:w="1021" w:type="dxa"/>
          </w:tcPr>
          <w:p w14:paraId="67FF4B9F" w14:textId="77777777" w:rsidR="009564E9" w:rsidRDefault="009564E9" w:rsidP="00BB1712">
            <w:pPr>
              <w:pStyle w:val="TableTextRight"/>
            </w:pPr>
            <w:r>
              <w:t>5</w:t>
            </w:r>
          </w:p>
        </w:tc>
      </w:tr>
      <w:tr w:rsidR="009564E9" w14:paraId="1ED68679" w14:textId="77777777" w:rsidTr="00C21CCC">
        <w:trPr>
          <w:trHeight w:val="60"/>
        </w:trPr>
        <w:tc>
          <w:tcPr>
            <w:tcW w:w="6010" w:type="dxa"/>
          </w:tcPr>
          <w:p w14:paraId="03231D06" w14:textId="77777777" w:rsidR="009564E9" w:rsidRDefault="009564E9" w:rsidP="00BB1712">
            <w:pPr>
              <w:pStyle w:val="TableText"/>
            </w:pPr>
            <w:r>
              <w:t>Parties signed to enforceable undertakings</w:t>
            </w:r>
          </w:p>
        </w:tc>
        <w:tc>
          <w:tcPr>
            <w:tcW w:w="1021" w:type="dxa"/>
          </w:tcPr>
          <w:p w14:paraId="751D12D8" w14:textId="77777777" w:rsidR="009564E9" w:rsidRDefault="009564E9" w:rsidP="00BB1712">
            <w:pPr>
              <w:pStyle w:val="TableTextRight"/>
            </w:pPr>
            <w:r>
              <w:t>1</w:t>
            </w:r>
          </w:p>
        </w:tc>
        <w:tc>
          <w:tcPr>
            <w:tcW w:w="1021" w:type="dxa"/>
          </w:tcPr>
          <w:p w14:paraId="7768D3FD" w14:textId="77777777" w:rsidR="009564E9" w:rsidRDefault="009564E9" w:rsidP="00BB1712">
            <w:pPr>
              <w:pStyle w:val="TableTextRight"/>
            </w:pPr>
            <w:r>
              <w:t>0</w:t>
            </w:r>
          </w:p>
        </w:tc>
        <w:tc>
          <w:tcPr>
            <w:tcW w:w="1021" w:type="dxa"/>
          </w:tcPr>
          <w:p w14:paraId="0B999ADB" w14:textId="77777777" w:rsidR="009564E9" w:rsidRDefault="009564E9" w:rsidP="00BB1712">
            <w:pPr>
              <w:pStyle w:val="TableTextRight"/>
            </w:pPr>
            <w:r>
              <w:t>2</w:t>
            </w:r>
          </w:p>
        </w:tc>
      </w:tr>
      <w:tr w:rsidR="009564E9" w14:paraId="5CBA9B10" w14:textId="77777777" w:rsidTr="00C21CCC">
        <w:trPr>
          <w:trHeight w:val="60"/>
        </w:trPr>
        <w:tc>
          <w:tcPr>
            <w:tcW w:w="6010" w:type="dxa"/>
          </w:tcPr>
          <w:p w14:paraId="26F18B4D" w14:textId="77777777" w:rsidR="009564E9" w:rsidRDefault="009564E9" w:rsidP="00BB1712">
            <w:pPr>
              <w:pStyle w:val="TableText"/>
            </w:pPr>
            <w:r>
              <w:t>Official warnings and infringement notices issued</w:t>
            </w:r>
          </w:p>
        </w:tc>
        <w:tc>
          <w:tcPr>
            <w:tcW w:w="1021" w:type="dxa"/>
          </w:tcPr>
          <w:p w14:paraId="1B79DD6B" w14:textId="77777777" w:rsidR="009564E9" w:rsidRDefault="009564E9" w:rsidP="00BB1712">
            <w:pPr>
              <w:pStyle w:val="TableTextRight"/>
            </w:pPr>
            <w:r>
              <w:t>948</w:t>
            </w:r>
          </w:p>
        </w:tc>
        <w:tc>
          <w:tcPr>
            <w:tcW w:w="1021" w:type="dxa"/>
          </w:tcPr>
          <w:p w14:paraId="2D30208C" w14:textId="77777777" w:rsidR="009564E9" w:rsidRDefault="009564E9" w:rsidP="00BB1712">
            <w:pPr>
              <w:pStyle w:val="TableTextRight"/>
            </w:pPr>
            <w:r>
              <w:t>510</w:t>
            </w:r>
          </w:p>
        </w:tc>
        <w:tc>
          <w:tcPr>
            <w:tcW w:w="1021" w:type="dxa"/>
          </w:tcPr>
          <w:p w14:paraId="2A5D6A0F" w14:textId="77777777" w:rsidR="009564E9" w:rsidRDefault="009564E9" w:rsidP="00BB1712">
            <w:pPr>
              <w:pStyle w:val="TableTextRight"/>
            </w:pPr>
            <w:r>
              <w:t>603</w:t>
            </w:r>
          </w:p>
        </w:tc>
      </w:tr>
      <w:tr w:rsidR="009564E9" w14:paraId="6C60DE4D" w14:textId="77777777" w:rsidTr="00C21CCC">
        <w:trPr>
          <w:trHeight w:val="60"/>
        </w:trPr>
        <w:tc>
          <w:tcPr>
            <w:tcW w:w="6010" w:type="dxa"/>
            <w:gridSpan w:val="4"/>
            <w:shd w:val="clear" w:color="auto" w:fill="B2D5F0"/>
          </w:tcPr>
          <w:p w14:paraId="7DDB97F0" w14:textId="77777777" w:rsidR="009564E9" w:rsidRDefault="009564E9" w:rsidP="00BB1712">
            <w:pPr>
              <w:pStyle w:val="TableTextBold"/>
            </w:pPr>
            <w:r>
              <w:t>Registration and licensing</w:t>
            </w:r>
          </w:p>
        </w:tc>
      </w:tr>
      <w:tr w:rsidR="009564E9" w14:paraId="2C4809E9" w14:textId="77777777" w:rsidTr="00C21CCC">
        <w:trPr>
          <w:trHeight w:val="60"/>
        </w:trPr>
        <w:tc>
          <w:tcPr>
            <w:tcW w:w="6010" w:type="dxa"/>
          </w:tcPr>
          <w:p w14:paraId="5B3D2370" w14:textId="77777777" w:rsidR="009564E9" w:rsidRDefault="009564E9" w:rsidP="00BB1712">
            <w:pPr>
              <w:pStyle w:val="TableText"/>
            </w:pPr>
            <w:r>
              <w:t>Annual returns, updates or cancellations processed for incorporated associations, fundraisers and co-operatives</w:t>
            </w:r>
          </w:p>
        </w:tc>
        <w:tc>
          <w:tcPr>
            <w:tcW w:w="1021" w:type="dxa"/>
          </w:tcPr>
          <w:p w14:paraId="53855614" w14:textId="77777777" w:rsidR="009564E9" w:rsidRDefault="009564E9" w:rsidP="00BB1712">
            <w:pPr>
              <w:pStyle w:val="TableTextRight"/>
            </w:pPr>
            <w:r>
              <w:t>53,451</w:t>
            </w:r>
          </w:p>
        </w:tc>
        <w:tc>
          <w:tcPr>
            <w:tcW w:w="1021" w:type="dxa"/>
          </w:tcPr>
          <w:p w14:paraId="3D4427AA" w14:textId="77777777" w:rsidR="009564E9" w:rsidRDefault="009564E9" w:rsidP="00BB1712">
            <w:pPr>
              <w:pStyle w:val="TableTextRight"/>
            </w:pPr>
            <w:r>
              <w:t>55,209</w:t>
            </w:r>
          </w:p>
        </w:tc>
        <w:tc>
          <w:tcPr>
            <w:tcW w:w="1021" w:type="dxa"/>
          </w:tcPr>
          <w:p w14:paraId="7AB27BE5" w14:textId="77777777" w:rsidR="009564E9" w:rsidRDefault="009564E9" w:rsidP="00BB1712">
            <w:pPr>
              <w:pStyle w:val="TableTextRight"/>
            </w:pPr>
            <w:r>
              <w:t>49,108</w:t>
            </w:r>
          </w:p>
        </w:tc>
      </w:tr>
      <w:tr w:rsidR="009564E9" w14:paraId="10AFAFA1" w14:textId="77777777" w:rsidTr="00C21CCC">
        <w:trPr>
          <w:trHeight w:val="60"/>
        </w:trPr>
        <w:tc>
          <w:tcPr>
            <w:tcW w:w="6010" w:type="dxa"/>
          </w:tcPr>
          <w:p w14:paraId="62B103F0" w14:textId="77777777" w:rsidR="009564E9" w:rsidRDefault="009564E9" w:rsidP="00BB1712">
            <w:pPr>
              <w:pStyle w:val="TableText"/>
            </w:pPr>
            <w:r>
              <w:t>Total registration and licensing transactions</w:t>
            </w:r>
          </w:p>
        </w:tc>
        <w:tc>
          <w:tcPr>
            <w:tcW w:w="1021" w:type="dxa"/>
          </w:tcPr>
          <w:p w14:paraId="3BF0F54A" w14:textId="77777777" w:rsidR="009564E9" w:rsidRDefault="009564E9" w:rsidP="00BB1712">
            <w:pPr>
              <w:pStyle w:val="TableTextRight"/>
            </w:pPr>
            <w:r>
              <w:t>91,637</w:t>
            </w:r>
          </w:p>
        </w:tc>
        <w:tc>
          <w:tcPr>
            <w:tcW w:w="1021" w:type="dxa"/>
          </w:tcPr>
          <w:p w14:paraId="25FEEF53" w14:textId="77777777" w:rsidR="009564E9" w:rsidRDefault="009564E9" w:rsidP="00BB1712">
            <w:pPr>
              <w:pStyle w:val="TableTextRight"/>
            </w:pPr>
            <w:r>
              <w:t>95,096</w:t>
            </w:r>
          </w:p>
        </w:tc>
        <w:tc>
          <w:tcPr>
            <w:tcW w:w="1021" w:type="dxa"/>
          </w:tcPr>
          <w:p w14:paraId="40301C05" w14:textId="77777777" w:rsidR="009564E9" w:rsidRDefault="009564E9" w:rsidP="00BB1712">
            <w:pPr>
              <w:pStyle w:val="TableTextRight"/>
            </w:pPr>
            <w:r>
              <w:t>100,711</w:t>
            </w:r>
          </w:p>
        </w:tc>
      </w:tr>
    </w:tbl>
    <w:p w14:paraId="7CFC4FC7" w14:textId="77777777" w:rsidR="00192B14" w:rsidRPr="00192B14" w:rsidRDefault="00192B14" w:rsidP="00192B14">
      <w:pPr>
        <w:pStyle w:val="BodyText"/>
      </w:pPr>
      <w:r w:rsidRPr="00192B14">
        <w:br w:type="page"/>
      </w:r>
    </w:p>
    <w:p w14:paraId="503E29ED" w14:textId="0ECD81E1" w:rsidR="009564E9" w:rsidRDefault="009564E9" w:rsidP="007470E2">
      <w:pPr>
        <w:pStyle w:val="Caption"/>
      </w:pPr>
      <w:r>
        <w:lastRenderedPageBreak/>
        <w:t>Table: Registers administered by CAV</w:t>
      </w:r>
    </w:p>
    <w:tbl>
      <w:tblPr>
        <w:tblStyle w:val="TableGrid"/>
        <w:tblW w:w="9072" w:type="dxa"/>
        <w:tblLayout w:type="fixed"/>
        <w:tblLook w:val="06A0" w:firstRow="1" w:lastRow="0" w:firstColumn="1" w:lastColumn="0" w:noHBand="1" w:noVBand="1"/>
      </w:tblPr>
      <w:tblGrid>
        <w:gridCol w:w="2946"/>
        <w:gridCol w:w="1021"/>
        <w:gridCol w:w="1021"/>
        <w:gridCol w:w="1021"/>
        <w:gridCol w:w="1021"/>
        <w:gridCol w:w="1021"/>
        <w:gridCol w:w="1021"/>
      </w:tblGrid>
      <w:tr w:rsidR="009564E9" w14:paraId="540C081C" w14:textId="77777777" w:rsidTr="00192B14">
        <w:trPr>
          <w:cnfStyle w:val="100000000000" w:firstRow="1" w:lastRow="0" w:firstColumn="0" w:lastColumn="0" w:oddVBand="0" w:evenVBand="0" w:oddHBand="0" w:evenHBand="0" w:firstRowFirstColumn="0" w:firstRowLastColumn="0" w:lastRowFirstColumn="0" w:lastRowLastColumn="0"/>
          <w:trHeight w:val="68"/>
          <w:tblHeader/>
        </w:trPr>
        <w:tc>
          <w:tcPr>
            <w:tcW w:w="2948" w:type="dxa"/>
            <w:vMerge w:val="restart"/>
          </w:tcPr>
          <w:p w14:paraId="7BDB3C44" w14:textId="77777777" w:rsidR="009564E9" w:rsidRDefault="009564E9" w:rsidP="008451CB">
            <w:pPr>
              <w:pStyle w:val="TableColHead"/>
            </w:pPr>
          </w:p>
        </w:tc>
        <w:tc>
          <w:tcPr>
            <w:tcW w:w="1021" w:type="dxa"/>
            <w:gridSpan w:val="3"/>
          </w:tcPr>
          <w:p w14:paraId="24A3EE5F" w14:textId="77777777" w:rsidR="009564E9" w:rsidRDefault="009564E9" w:rsidP="007C1C7B">
            <w:pPr>
              <w:pStyle w:val="TableColHead"/>
              <w:jc w:val="center"/>
            </w:pPr>
            <w:r>
              <w:t>New applications lodged</w:t>
            </w:r>
          </w:p>
        </w:tc>
        <w:tc>
          <w:tcPr>
            <w:tcW w:w="1021" w:type="dxa"/>
            <w:gridSpan w:val="3"/>
          </w:tcPr>
          <w:p w14:paraId="3FFC7B1E" w14:textId="77777777" w:rsidR="009564E9" w:rsidRDefault="009564E9" w:rsidP="007C1C7B">
            <w:pPr>
              <w:pStyle w:val="TableColHead"/>
              <w:jc w:val="center"/>
            </w:pPr>
            <w:r>
              <w:t>Total on register</w:t>
            </w:r>
          </w:p>
        </w:tc>
      </w:tr>
      <w:tr w:rsidR="009564E9" w14:paraId="7DA89746" w14:textId="77777777" w:rsidTr="00192B14">
        <w:trPr>
          <w:cnfStyle w:val="100000000000" w:firstRow="1" w:lastRow="0" w:firstColumn="0" w:lastColumn="0" w:oddVBand="0" w:evenVBand="0" w:oddHBand="0" w:evenHBand="0" w:firstRowFirstColumn="0" w:firstRowLastColumn="0" w:lastRowFirstColumn="0" w:lastRowLastColumn="0"/>
          <w:trHeight w:val="68"/>
          <w:tblHeader/>
        </w:trPr>
        <w:tc>
          <w:tcPr>
            <w:tcW w:w="2948" w:type="dxa"/>
            <w:vMerge/>
          </w:tcPr>
          <w:p w14:paraId="6CA00EAF" w14:textId="77777777" w:rsidR="009564E9" w:rsidRDefault="009564E9" w:rsidP="008451CB">
            <w:pPr>
              <w:pStyle w:val="TableTextRight"/>
            </w:pPr>
          </w:p>
        </w:tc>
        <w:tc>
          <w:tcPr>
            <w:tcW w:w="1021" w:type="dxa"/>
          </w:tcPr>
          <w:p w14:paraId="53603AB9" w14:textId="77777777" w:rsidR="009564E9" w:rsidRDefault="009564E9" w:rsidP="00BB1712">
            <w:pPr>
              <w:pStyle w:val="TableColHeadRight"/>
            </w:pPr>
            <w:r>
              <w:t>2019–20</w:t>
            </w:r>
          </w:p>
        </w:tc>
        <w:tc>
          <w:tcPr>
            <w:tcW w:w="1021" w:type="dxa"/>
          </w:tcPr>
          <w:p w14:paraId="2DB99B4F" w14:textId="77777777" w:rsidR="009564E9" w:rsidRDefault="009564E9" w:rsidP="00BB1712">
            <w:pPr>
              <w:pStyle w:val="TableColHeadRight"/>
            </w:pPr>
            <w:r>
              <w:t>2020–21</w:t>
            </w:r>
          </w:p>
        </w:tc>
        <w:tc>
          <w:tcPr>
            <w:tcW w:w="1021" w:type="dxa"/>
          </w:tcPr>
          <w:p w14:paraId="4487DFD8" w14:textId="77777777" w:rsidR="009564E9" w:rsidRDefault="009564E9" w:rsidP="00BB1712">
            <w:pPr>
              <w:pStyle w:val="TableColHeadRight"/>
            </w:pPr>
            <w:r>
              <w:t>2021–22</w:t>
            </w:r>
          </w:p>
        </w:tc>
        <w:tc>
          <w:tcPr>
            <w:tcW w:w="1021" w:type="dxa"/>
          </w:tcPr>
          <w:p w14:paraId="2BA33983" w14:textId="77777777" w:rsidR="009564E9" w:rsidRDefault="009564E9" w:rsidP="00BB1712">
            <w:pPr>
              <w:pStyle w:val="TableColHeadRight"/>
            </w:pPr>
            <w:r>
              <w:t>2019–20</w:t>
            </w:r>
          </w:p>
        </w:tc>
        <w:tc>
          <w:tcPr>
            <w:tcW w:w="1021" w:type="dxa"/>
          </w:tcPr>
          <w:p w14:paraId="2FE21A7A" w14:textId="77777777" w:rsidR="009564E9" w:rsidRDefault="009564E9" w:rsidP="00BB1712">
            <w:pPr>
              <w:pStyle w:val="TableColHeadRight"/>
            </w:pPr>
            <w:r>
              <w:t>2020–21</w:t>
            </w:r>
          </w:p>
        </w:tc>
        <w:tc>
          <w:tcPr>
            <w:tcW w:w="1021" w:type="dxa"/>
          </w:tcPr>
          <w:p w14:paraId="101E8387" w14:textId="77777777" w:rsidR="009564E9" w:rsidRDefault="009564E9" w:rsidP="00BB1712">
            <w:pPr>
              <w:pStyle w:val="TableColHeadRight"/>
            </w:pPr>
            <w:r>
              <w:t>2021–22</w:t>
            </w:r>
          </w:p>
        </w:tc>
      </w:tr>
      <w:tr w:rsidR="009564E9" w14:paraId="38239B76" w14:textId="77777777" w:rsidTr="00EC47EE">
        <w:trPr>
          <w:trHeight w:val="68"/>
        </w:trPr>
        <w:tc>
          <w:tcPr>
            <w:tcW w:w="2948" w:type="dxa"/>
            <w:gridSpan w:val="7"/>
            <w:shd w:val="clear" w:color="auto" w:fill="B2D5F0"/>
          </w:tcPr>
          <w:p w14:paraId="47C05256" w14:textId="77777777" w:rsidR="009564E9" w:rsidRDefault="009564E9" w:rsidP="00BB1712">
            <w:pPr>
              <w:pStyle w:val="TableTextBold"/>
            </w:pPr>
            <w:r>
              <w:t>Business Licensing Authority administered schemes</w:t>
            </w:r>
          </w:p>
        </w:tc>
      </w:tr>
      <w:tr w:rsidR="009564E9" w14:paraId="549E40D4" w14:textId="77777777" w:rsidTr="00192B14">
        <w:trPr>
          <w:trHeight w:val="68"/>
        </w:trPr>
        <w:tc>
          <w:tcPr>
            <w:tcW w:w="2948" w:type="dxa"/>
          </w:tcPr>
          <w:p w14:paraId="490FDF20" w14:textId="77777777" w:rsidR="009564E9" w:rsidRDefault="009564E9" w:rsidP="00BB1712">
            <w:pPr>
              <w:pStyle w:val="TableText"/>
            </w:pPr>
            <w:r>
              <w:t>Estate agents</w:t>
            </w:r>
          </w:p>
        </w:tc>
        <w:tc>
          <w:tcPr>
            <w:tcW w:w="1021" w:type="dxa"/>
          </w:tcPr>
          <w:p w14:paraId="00EF9FA0" w14:textId="77777777" w:rsidR="009564E9" w:rsidRDefault="009564E9" w:rsidP="00BB1712">
            <w:pPr>
              <w:pStyle w:val="TableTextRight"/>
            </w:pPr>
            <w:r>
              <w:t>1,733</w:t>
            </w:r>
          </w:p>
        </w:tc>
        <w:tc>
          <w:tcPr>
            <w:tcW w:w="1021" w:type="dxa"/>
          </w:tcPr>
          <w:p w14:paraId="03CB7E2B" w14:textId="77777777" w:rsidR="009564E9" w:rsidRDefault="009564E9" w:rsidP="00BB1712">
            <w:pPr>
              <w:pStyle w:val="TableTextRight"/>
            </w:pPr>
            <w:r>
              <w:t>1,840</w:t>
            </w:r>
          </w:p>
        </w:tc>
        <w:tc>
          <w:tcPr>
            <w:tcW w:w="1021" w:type="dxa"/>
          </w:tcPr>
          <w:p w14:paraId="30B3DE36" w14:textId="77777777" w:rsidR="009564E9" w:rsidRDefault="009564E9" w:rsidP="00BB1712">
            <w:pPr>
              <w:pStyle w:val="TableTextRight"/>
            </w:pPr>
            <w:r>
              <w:t>2,461</w:t>
            </w:r>
          </w:p>
        </w:tc>
        <w:tc>
          <w:tcPr>
            <w:tcW w:w="1021" w:type="dxa"/>
          </w:tcPr>
          <w:p w14:paraId="7F60917F" w14:textId="77777777" w:rsidR="009564E9" w:rsidRDefault="009564E9" w:rsidP="00BB1712">
            <w:pPr>
              <w:pStyle w:val="TableTextRight"/>
            </w:pPr>
            <w:r>
              <w:t>15,643</w:t>
            </w:r>
          </w:p>
        </w:tc>
        <w:tc>
          <w:tcPr>
            <w:tcW w:w="1021" w:type="dxa"/>
          </w:tcPr>
          <w:p w14:paraId="36BAAF75" w14:textId="77777777" w:rsidR="009564E9" w:rsidRDefault="009564E9" w:rsidP="00BB1712">
            <w:pPr>
              <w:pStyle w:val="TableTextRight"/>
            </w:pPr>
            <w:r>
              <w:t>16,416</w:t>
            </w:r>
          </w:p>
        </w:tc>
        <w:tc>
          <w:tcPr>
            <w:tcW w:w="1021" w:type="dxa"/>
          </w:tcPr>
          <w:p w14:paraId="32E9F665" w14:textId="77777777" w:rsidR="009564E9" w:rsidRDefault="009564E9" w:rsidP="00BB1712">
            <w:pPr>
              <w:pStyle w:val="TableTextRight"/>
            </w:pPr>
            <w:r>
              <w:t>17,633</w:t>
            </w:r>
          </w:p>
        </w:tc>
      </w:tr>
      <w:tr w:rsidR="009564E9" w14:paraId="0ED48F4E" w14:textId="77777777" w:rsidTr="00192B14">
        <w:trPr>
          <w:trHeight w:val="68"/>
        </w:trPr>
        <w:tc>
          <w:tcPr>
            <w:tcW w:w="2948" w:type="dxa"/>
          </w:tcPr>
          <w:p w14:paraId="5629F170" w14:textId="77777777" w:rsidR="009564E9" w:rsidRDefault="009564E9" w:rsidP="00BB1712">
            <w:pPr>
              <w:pStyle w:val="TableText"/>
            </w:pPr>
            <w:r>
              <w:t>Motor car traders</w:t>
            </w:r>
          </w:p>
        </w:tc>
        <w:tc>
          <w:tcPr>
            <w:tcW w:w="1021" w:type="dxa"/>
          </w:tcPr>
          <w:p w14:paraId="22202929" w14:textId="77777777" w:rsidR="009564E9" w:rsidRDefault="009564E9" w:rsidP="00BB1712">
            <w:pPr>
              <w:pStyle w:val="TableTextRight"/>
            </w:pPr>
            <w:r>
              <w:t>148</w:t>
            </w:r>
          </w:p>
        </w:tc>
        <w:tc>
          <w:tcPr>
            <w:tcW w:w="1021" w:type="dxa"/>
          </w:tcPr>
          <w:p w14:paraId="46D7CAB5" w14:textId="77777777" w:rsidR="009564E9" w:rsidRDefault="009564E9" w:rsidP="00BB1712">
            <w:pPr>
              <w:pStyle w:val="TableTextRight"/>
            </w:pPr>
            <w:r>
              <w:t>159</w:t>
            </w:r>
          </w:p>
        </w:tc>
        <w:tc>
          <w:tcPr>
            <w:tcW w:w="1021" w:type="dxa"/>
          </w:tcPr>
          <w:p w14:paraId="5F886029" w14:textId="77777777" w:rsidR="009564E9" w:rsidRDefault="009564E9" w:rsidP="00BB1712">
            <w:pPr>
              <w:pStyle w:val="TableTextRight"/>
            </w:pPr>
            <w:r>
              <w:t>113</w:t>
            </w:r>
          </w:p>
        </w:tc>
        <w:tc>
          <w:tcPr>
            <w:tcW w:w="1021" w:type="dxa"/>
          </w:tcPr>
          <w:p w14:paraId="0DDE0001" w14:textId="77777777" w:rsidR="009564E9" w:rsidRDefault="009564E9" w:rsidP="00BB1712">
            <w:pPr>
              <w:pStyle w:val="TableTextRight"/>
            </w:pPr>
            <w:r>
              <w:t>1,991</w:t>
            </w:r>
          </w:p>
        </w:tc>
        <w:tc>
          <w:tcPr>
            <w:tcW w:w="1021" w:type="dxa"/>
          </w:tcPr>
          <w:p w14:paraId="18B2EA8D" w14:textId="77777777" w:rsidR="009564E9" w:rsidRDefault="009564E9" w:rsidP="00BB1712">
            <w:pPr>
              <w:pStyle w:val="TableTextRight"/>
            </w:pPr>
            <w:r>
              <w:t>2,080</w:t>
            </w:r>
          </w:p>
        </w:tc>
        <w:tc>
          <w:tcPr>
            <w:tcW w:w="1021" w:type="dxa"/>
          </w:tcPr>
          <w:p w14:paraId="22DCE1F1" w14:textId="77777777" w:rsidR="009564E9" w:rsidRDefault="009564E9" w:rsidP="00BB1712">
            <w:pPr>
              <w:pStyle w:val="TableTextRight"/>
            </w:pPr>
            <w:r>
              <w:t>2,199</w:t>
            </w:r>
          </w:p>
        </w:tc>
      </w:tr>
      <w:tr w:rsidR="009564E9" w14:paraId="71284163" w14:textId="77777777" w:rsidTr="00192B14">
        <w:trPr>
          <w:trHeight w:val="68"/>
        </w:trPr>
        <w:tc>
          <w:tcPr>
            <w:tcW w:w="2948" w:type="dxa"/>
          </w:tcPr>
          <w:p w14:paraId="0B8A5205" w14:textId="77777777" w:rsidR="009564E9" w:rsidRDefault="009564E9" w:rsidP="00BB1712">
            <w:pPr>
              <w:pStyle w:val="TableText"/>
            </w:pPr>
            <w:r>
              <w:t>Second-hand dealers and pawnbrokers</w:t>
            </w:r>
          </w:p>
        </w:tc>
        <w:tc>
          <w:tcPr>
            <w:tcW w:w="1021" w:type="dxa"/>
          </w:tcPr>
          <w:p w14:paraId="54794383" w14:textId="77777777" w:rsidR="009564E9" w:rsidRDefault="009564E9" w:rsidP="00BB1712">
            <w:pPr>
              <w:pStyle w:val="TableTextRight"/>
            </w:pPr>
            <w:r>
              <w:t>246</w:t>
            </w:r>
          </w:p>
        </w:tc>
        <w:tc>
          <w:tcPr>
            <w:tcW w:w="1021" w:type="dxa"/>
          </w:tcPr>
          <w:p w14:paraId="4B1FCD2F" w14:textId="77777777" w:rsidR="009564E9" w:rsidRDefault="009564E9" w:rsidP="00BB1712">
            <w:pPr>
              <w:pStyle w:val="TableTextRight"/>
            </w:pPr>
            <w:r>
              <w:t>222</w:t>
            </w:r>
          </w:p>
        </w:tc>
        <w:tc>
          <w:tcPr>
            <w:tcW w:w="1021" w:type="dxa"/>
          </w:tcPr>
          <w:p w14:paraId="1E0F60B0" w14:textId="77777777" w:rsidR="009564E9" w:rsidRDefault="009564E9" w:rsidP="00BB1712">
            <w:pPr>
              <w:pStyle w:val="TableTextRight"/>
            </w:pPr>
            <w:r>
              <w:t>203</w:t>
            </w:r>
          </w:p>
        </w:tc>
        <w:tc>
          <w:tcPr>
            <w:tcW w:w="1021" w:type="dxa"/>
          </w:tcPr>
          <w:p w14:paraId="4EFD06E5" w14:textId="77777777" w:rsidR="009564E9" w:rsidRDefault="009564E9" w:rsidP="00BB1712">
            <w:pPr>
              <w:pStyle w:val="TableTextRight"/>
            </w:pPr>
            <w:r>
              <w:t>3,373</w:t>
            </w:r>
          </w:p>
        </w:tc>
        <w:tc>
          <w:tcPr>
            <w:tcW w:w="1021" w:type="dxa"/>
          </w:tcPr>
          <w:p w14:paraId="5BFE598E" w14:textId="77777777" w:rsidR="009564E9" w:rsidRDefault="009564E9" w:rsidP="00BB1712">
            <w:pPr>
              <w:pStyle w:val="TableTextRight"/>
            </w:pPr>
            <w:r>
              <w:t>3,471</w:t>
            </w:r>
          </w:p>
        </w:tc>
        <w:tc>
          <w:tcPr>
            <w:tcW w:w="1021" w:type="dxa"/>
          </w:tcPr>
          <w:p w14:paraId="47BE78AC" w14:textId="77777777" w:rsidR="009564E9" w:rsidRDefault="009564E9" w:rsidP="00BB1712">
            <w:pPr>
              <w:pStyle w:val="TableTextRight"/>
            </w:pPr>
            <w:r>
              <w:t>3,610</w:t>
            </w:r>
          </w:p>
        </w:tc>
      </w:tr>
      <w:tr w:rsidR="009564E9" w14:paraId="28B49651" w14:textId="77777777" w:rsidTr="00192B14">
        <w:trPr>
          <w:trHeight w:val="68"/>
        </w:trPr>
        <w:tc>
          <w:tcPr>
            <w:tcW w:w="2948" w:type="dxa"/>
          </w:tcPr>
          <w:p w14:paraId="30616A2D" w14:textId="77777777" w:rsidR="009564E9" w:rsidRDefault="009564E9" w:rsidP="00BB1712">
            <w:pPr>
              <w:pStyle w:val="TableText"/>
            </w:pPr>
            <w:r>
              <w:t>Conveyancers</w:t>
            </w:r>
          </w:p>
        </w:tc>
        <w:tc>
          <w:tcPr>
            <w:tcW w:w="1021" w:type="dxa"/>
          </w:tcPr>
          <w:p w14:paraId="243319E4" w14:textId="77777777" w:rsidR="009564E9" w:rsidRDefault="009564E9" w:rsidP="00BB1712">
            <w:pPr>
              <w:pStyle w:val="TableTextRight"/>
            </w:pPr>
            <w:r>
              <w:t>125</w:t>
            </w:r>
          </w:p>
        </w:tc>
        <w:tc>
          <w:tcPr>
            <w:tcW w:w="1021" w:type="dxa"/>
          </w:tcPr>
          <w:p w14:paraId="5774F5A0" w14:textId="77777777" w:rsidR="009564E9" w:rsidRDefault="009564E9" w:rsidP="00BB1712">
            <w:pPr>
              <w:pStyle w:val="TableTextRight"/>
            </w:pPr>
            <w:r>
              <w:t>102</w:t>
            </w:r>
          </w:p>
        </w:tc>
        <w:tc>
          <w:tcPr>
            <w:tcW w:w="1021" w:type="dxa"/>
          </w:tcPr>
          <w:p w14:paraId="3CFFE500" w14:textId="77777777" w:rsidR="009564E9" w:rsidRDefault="009564E9" w:rsidP="00BB1712">
            <w:pPr>
              <w:pStyle w:val="TableTextRight"/>
            </w:pPr>
            <w:r>
              <w:t>155</w:t>
            </w:r>
          </w:p>
        </w:tc>
        <w:tc>
          <w:tcPr>
            <w:tcW w:w="1021" w:type="dxa"/>
          </w:tcPr>
          <w:p w14:paraId="4000FDBA" w14:textId="77777777" w:rsidR="009564E9" w:rsidRDefault="009564E9" w:rsidP="00BB1712">
            <w:pPr>
              <w:pStyle w:val="TableTextRight"/>
            </w:pPr>
            <w:r>
              <w:t>1,161</w:t>
            </w:r>
          </w:p>
        </w:tc>
        <w:tc>
          <w:tcPr>
            <w:tcW w:w="1021" w:type="dxa"/>
          </w:tcPr>
          <w:p w14:paraId="0112A26A" w14:textId="77777777" w:rsidR="009564E9" w:rsidRDefault="009564E9" w:rsidP="00BB1712">
            <w:pPr>
              <w:pStyle w:val="TableTextRight"/>
            </w:pPr>
            <w:r>
              <w:t>1,200</w:t>
            </w:r>
          </w:p>
        </w:tc>
        <w:tc>
          <w:tcPr>
            <w:tcW w:w="1021" w:type="dxa"/>
          </w:tcPr>
          <w:p w14:paraId="42ED67D1" w14:textId="77777777" w:rsidR="009564E9" w:rsidRDefault="009564E9" w:rsidP="00BB1712">
            <w:pPr>
              <w:pStyle w:val="TableTextRight"/>
            </w:pPr>
            <w:r>
              <w:t>1,270</w:t>
            </w:r>
          </w:p>
        </w:tc>
      </w:tr>
      <w:tr w:rsidR="009564E9" w14:paraId="456E5607" w14:textId="77777777" w:rsidTr="00192B14">
        <w:trPr>
          <w:trHeight w:val="68"/>
        </w:trPr>
        <w:tc>
          <w:tcPr>
            <w:tcW w:w="2948" w:type="dxa"/>
          </w:tcPr>
          <w:p w14:paraId="32F77B1E" w14:textId="77777777" w:rsidR="009564E9" w:rsidRDefault="009564E9" w:rsidP="00BB1712">
            <w:pPr>
              <w:pStyle w:val="TableText"/>
            </w:pPr>
            <w:r>
              <w:t>Owners corporation managers</w:t>
            </w:r>
          </w:p>
        </w:tc>
        <w:tc>
          <w:tcPr>
            <w:tcW w:w="1021" w:type="dxa"/>
          </w:tcPr>
          <w:p w14:paraId="5B3AF1A2" w14:textId="77777777" w:rsidR="009564E9" w:rsidRDefault="009564E9" w:rsidP="00BB1712">
            <w:pPr>
              <w:pStyle w:val="TableTextRight"/>
            </w:pPr>
            <w:r>
              <w:t>110</w:t>
            </w:r>
          </w:p>
        </w:tc>
        <w:tc>
          <w:tcPr>
            <w:tcW w:w="1021" w:type="dxa"/>
          </w:tcPr>
          <w:p w14:paraId="7F54B57B" w14:textId="77777777" w:rsidR="009564E9" w:rsidRDefault="009564E9" w:rsidP="00BB1712">
            <w:pPr>
              <w:pStyle w:val="TableTextRight"/>
            </w:pPr>
            <w:r>
              <w:t>71</w:t>
            </w:r>
          </w:p>
        </w:tc>
        <w:tc>
          <w:tcPr>
            <w:tcW w:w="1021" w:type="dxa"/>
          </w:tcPr>
          <w:p w14:paraId="6FC32385" w14:textId="77777777" w:rsidR="009564E9" w:rsidRDefault="009564E9" w:rsidP="00BB1712">
            <w:pPr>
              <w:pStyle w:val="TableTextRight"/>
            </w:pPr>
            <w:r>
              <w:t>59</w:t>
            </w:r>
          </w:p>
        </w:tc>
        <w:tc>
          <w:tcPr>
            <w:tcW w:w="1021" w:type="dxa"/>
          </w:tcPr>
          <w:p w14:paraId="2C369E7A" w14:textId="77777777" w:rsidR="009564E9" w:rsidRDefault="009564E9" w:rsidP="00BB1712">
            <w:pPr>
              <w:pStyle w:val="TableTextRight"/>
            </w:pPr>
            <w:r>
              <w:t>674</w:t>
            </w:r>
          </w:p>
        </w:tc>
        <w:tc>
          <w:tcPr>
            <w:tcW w:w="1021" w:type="dxa"/>
          </w:tcPr>
          <w:p w14:paraId="466A7D38" w14:textId="77777777" w:rsidR="009564E9" w:rsidRDefault="009564E9" w:rsidP="00BB1712">
            <w:pPr>
              <w:pStyle w:val="TableTextRight"/>
            </w:pPr>
            <w:r>
              <w:t>678</w:t>
            </w:r>
          </w:p>
        </w:tc>
        <w:tc>
          <w:tcPr>
            <w:tcW w:w="1021" w:type="dxa"/>
          </w:tcPr>
          <w:p w14:paraId="7E52B172" w14:textId="77777777" w:rsidR="009564E9" w:rsidRDefault="009564E9" w:rsidP="00BB1712">
            <w:pPr>
              <w:pStyle w:val="TableTextRight"/>
            </w:pPr>
            <w:r>
              <w:t>652</w:t>
            </w:r>
          </w:p>
        </w:tc>
      </w:tr>
      <w:tr w:rsidR="009564E9" w14:paraId="74B2F8AD" w14:textId="77777777" w:rsidTr="00192B14">
        <w:trPr>
          <w:trHeight w:val="68"/>
        </w:trPr>
        <w:tc>
          <w:tcPr>
            <w:tcW w:w="2948" w:type="dxa"/>
          </w:tcPr>
          <w:p w14:paraId="34E72EDF" w14:textId="77777777" w:rsidR="009564E9" w:rsidRDefault="009564E9" w:rsidP="00BB1712">
            <w:pPr>
              <w:pStyle w:val="TableText"/>
            </w:pPr>
            <w:r>
              <w:t>Sex work service providers (licensees)</w:t>
            </w:r>
          </w:p>
        </w:tc>
        <w:tc>
          <w:tcPr>
            <w:tcW w:w="1021" w:type="dxa"/>
          </w:tcPr>
          <w:p w14:paraId="23FE032B" w14:textId="77777777" w:rsidR="009564E9" w:rsidRDefault="009564E9" w:rsidP="00BB1712">
            <w:pPr>
              <w:pStyle w:val="TableTextRight"/>
            </w:pPr>
            <w:r>
              <w:t>5</w:t>
            </w:r>
          </w:p>
        </w:tc>
        <w:tc>
          <w:tcPr>
            <w:tcW w:w="1021" w:type="dxa"/>
          </w:tcPr>
          <w:p w14:paraId="62CC6083" w14:textId="77777777" w:rsidR="009564E9" w:rsidRDefault="009564E9" w:rsidP="00BB1712">
            <w:pPr>
              <w:pStyle w:val="TableTextRight"/>
            </w:pPr>
            <w:r>
              <w:t>1</w:t>
            </w:r>
          </w:p>
        </w:tc>
        <w:tc>
          <w:tcPr>
            <w:tcW w:w="1021" w:type="dxa"/>
          </w:tcPr>
          <w:p w14:paraId="559F5DE7" w14:textId="77777777" w:rsidR="009564E9" w:rsidRDefault="009564E9" w:rsidP="00BB1712">
            <w:pPr>
              <w:pStyle w:val="TableTextRight"/>
            </w:pPr>
            <w:r>
              <w:t>4</w:t>
            </w:r>
          </w:p>
        </w:tc>
        <w:tc>
          <w:tcPr>
            <w:tcW w:w="1021" w:type="dxa"/>
          </w:tcPr>
          <w:p w14:paraId="5DE2385D" w14:textId="77777777" w:rsidR="009564E9" w:rsidRDefault="009564E9" w:rsidP="00BB1712">
            <w:pPr>
              <w:pStyle w:val="TableTextRight"/>
            </w:pPr>
            <w:r>
              <w:t>112</w:t>
            </w:r>
          </w:p>
        </w:tc>
        <w:tc>
          <w:tcPr>
            <w:tcW w:w="1021" w:type="dxa"/>
          </w:tcPr>
          <w:p w14:paraId="4A9932A2" w14:textId="77777777" w:rsidR="009564E9" w:rsidRDefault="009564E9" w:rsidP="00BB1712">
            <w:pPr>
              <w:pStyle w:val="TableTextRight"/>
            </w:pPr>
            <w:r>
              <w:t>113</w:t>
            </w:r>
          </w:p>
        </w:tc>
        <w:tc>
          <w:tcPr>
            <w:tcW w:w="1021" w:type="dxa"/>
          </w:tcPr>
          <w:p w14:paraId="72384B70" w14:textId="77777777" w:rsidR="009564E9" w:rsidRDefault="009564E9" w:rsidP="00BB1712">
            <w:pPr>
              <w:pStyle w:val="TableTextRight"/>
            </w:pPr>
            <w:r>
              <w:t>103</w:t>
            </w:r>
          </w:p>
        </w:tc>
      </w:tr>
      <w:tr w:rsidR="009564E9" w14:paraId="64F9A202" w14:textId="77777777" w:rsidTr="00192B14">
        <w:trPr>
          <w:trHeight w:val="68"/>
        </w:trPr>
        <w:tc>
          <w:tcPr>
            <w:tcW w:w="2948" w:type="dxa"/>
          </w:tcPr>
          <w:p w14:paraId="10FB01C2" w14:textId="77777777" w:rsidR="009564E9" w:rsidRDefault="009564E9" w:rsidP="00BB1712">
            <w:pPr>
              <w:pStyle w:val="TableText"/>
            </w:pPr>
            <w:r>
              <w:t>Sex work brothel managers</w:t>
            </w:r>
          </w:p>
        </w:tc>
        <w:tc>
          <w:tcPr>
            <w:tcW w:w="1021" w:type="dxa"/>
          </w:tcPr>
          <w:p w14:paraId="087F1B2A" w14:textId="77777777" w:rsidR="009564E9" w:rsidRDefault="009564E9" w:rsidP="00BB1712">
            <w:pPr>
              <w:pStyle w:val="TableTextRight"/>
            </w:pPr>
            <w:r>
              <w:t>81</w:t>
            </w:r>
          </w:p>
        </w:tc>
        <w:tc>
          <w:tcPr>
            <w:tcW w:w="1021" w:type="dxa"/>
          </w:tcPr>
          <w:p w14:paraId="0F41C9C4" w14:textId="77777777" w:rsidR="009564E9" w:rsidRDefault="009564E9" w:rsidP="00BB1712">
            <w:pPr>
              <w:pStyle w:val="TableTextRight"/>
            </w:pPr>
            <w:r>
              <w:t>112</w:t>
            </w:r>
          </w:p>
        </w:tc>
        <w:tc>
          <w:tcPr>
            <w:tcW w:w="1021" w:type="dxa"/>
          </w:tcPr>
          <w:p w14:paraId="69E61DD2" w14:textId="77777777" w:rsidR="009564E9" w:rsidRDefault="009564E9" w:rsidP="00BB1712">
            <w:pPr>
              <w:pStyle w:val="TableTextRight"/>
            </w:pPr>
            <w:r>
              <w:t>65</w:t>
            </w:r>
          </w:p>
        </w:tc>
        <w:tc>
          <w:tcPr>
            <w:tcW w:w="1021" w:type="dxa"/>
          </w:tcPr>
          <w:p w14:paraId="3C12F547" w14:textId="77777777" w:rsidR="009564E9" w:rsidRDefault="009564E9" w:rsidP="00BB1712">
            <w:pPr>
              <w:pStyle w:val="TableTextRight"/>
            </w:pPr>
            <w:r>
              <w:t>558</w:t>
            </w:r>
          </w:p>
        </w:tc>
        <w:tc>
          <w:tcPr>
            <w:tcW w:w="1021" w:type="dxa"/>
          </w:tcPr>
          <w:p w14:paraId="3E588587" w14:textId="77777777" w:rsidR="009564E9" w:rsidRDefault="009564E9" w:rsidP="00BB1712">
            <w:pPr>
              <w:pStyle w:val="TableTextRight"/>
            </w:pPr>
            <w:r>
              <w:t>631</w:t>
            </w:r>
          </w:p>
        </w:tc>
        <w:tc>
          <w:tcPr>
            <w:tcW w:w="1021" w:type="dxa"/>
          </w:tcPr>
          <w:p w14:paraId="650752A0" w14:textId="77777777" w:rsidR="009564E9" w:rsidRDefault="009564E9" w:rsidP="00BB1712">
            <w:pPr>
              <w:pStyle w:val="TableTextRight"/>
            </w:pPr>
            <w:r>
              <w:t>692</w:t>
            </w:r>
          </w:p>
        </w:tc>
      </w:tr>
      <w:tr w:rsidR="009564E9" w14:paraId="03C714DB" w14:textId="77777777" w:rsidTr="00192B14">
        <w:trPr>
          <w:trHeight w:val="68"/>
        </w:trPr>
        <w:tc>
          <w:tcPr>
            <w:tcW w:w="2948" w:type="dxa"/>
          </w:tcPr>
          <w:p w14:paraId="57C9176B" w14:textId="77777777" w:rsidR="009564E9" w:rsidRDefault="009564E9" w:rsidP="00BB1712">
            <w:pPr>
              <w:pStyle w:val="TableText"/>
            </w:pPr>
            <w:r>
              <w:t>Rooming house operators</w:t>
            </w:r>
          </w:p>
        </w:tc>
        <w:tc>
          <w:tcPr>
            <w:tcW w:w="1021" w:type="dxa"/>
          </w:tcPr>
          <w:p w14:paraId="589444E7" w14:textId="77777777" w:rsidR="009564E9" w:rsidRDefault="009564E9" w:rsidP="00BB1712">
            <w:pPr>
              <w:pStyle w:val="TableTextRight"/>
            </w:pPr>
            <w:r>
              <w:t>143</w:t>
            </w:r>
          </w:p>
        </w:tc>
        <w:tc>
          <w:tcPr>
            <w:tcW w:w="1021" w:type="dxa"/>
          </w:tcPr>
          <w:p w14:paraId="4B243460" w14:textId="77777777" w:rsidR="009564E9" w:rsidRDefault="009564E9" w:rsidP="00BB1712">
            <w:pPr>
              <w:pStyle w:val="TableTextRight"/>
            </w:pPr>
            <w:r>
              <w:t>208</w:t>
            </w:r>
          </w:p>
        </w:tc>
        <w:tc>
          <w:tcPr>
            <w:tcW w:w="1021" w:type="dxa"/>
          </w:tcPr>
          <w:p w14:paraId="46FA1447" w14:textId="77777777" w:rsidR="009564E9" w:rsidRDefault="009564E9" w:rsidP="00BB1712">
            <w:pPr>
              <w:pStyle w:val="TableTextRight"/>
            </w:pPr>
            <w:r>
              <w:t>119</w:t>
            </w:r>
          </w:p>
        </w:tc>
        <w:tc>
          <w:tcPr>
            <w:tcW w:w="1021" w:type="dxa"/>
          </w:tcPr>
          <w:p w14:paraId="02E8B3A0" w14:textId="77777777" w:rsidR="009564E9" w:rsidRDefault="009564E9" w:rsidP="00BB1712">
            <w:pPr>
              <w:pStyle w:val="TableTextRight"/>
            </w:pPr>
            <w:r>
              <w:t>1,099</w:t>
            </w:r>
          </w:p>
        </w:tc>
        <w:tc>
          <w:tcPr>
            <w:tcW w:w="1021" w:type="dxa"/>
          </w:tcPr>
          <w:p w14:paraId="343FADB5" w14:textId="77777777" w:rsidR="009564E9" w:rsidRDefault="009564E9" w:rsidP="00BB1712">
            <w:pPr>
              <w:pStyle w:val="TableTextRight"/>
            </w:pPr>
            <w:r>
              <w:t>1,024</w:t>
            </w:r>
          </w:p>
        </w:tc>
        <w:tc>
          <w:tcPr>
            <w:tcW w:w="1021" w:type="dxa"/>
          </w:tcPr>
          <w:p w14:paraId="09F7D585" w14:textId="77777777" w:rsidR="009564E9" w:rsidRDefault="009564E9" w:rsidP="00BB1712">
            <w:pPr>
              <w:pStyle w:val="TableTextRight"/>
            </w:pPr>
            <w:r>
              <w:t>1,060</w:t>
            </w:r>
          </w:p>
        </w:tc>
      </w:tr>
      <w:tr w:rsidR="009564E9" w14:paraId="3596235F" w14:textId="77777777" w:rsidTr="00192B14">
        <w:trPr>
          <w:trHeight w:val="68"/>
        </w:trPr>
        <w:tc>
          <w:tcPr>
            <w:tcW w:w="2948" w:type="dxa"/>
          </w:tcPr>
          <w:p w14:paraId="0777B841" w14:textId="77777777" w:rsidR="009564E9" w:rsidRDefault="009564E9" w:rsidP="00BB1712">
            <w:pPr>
              <w:pStyle w:val="TableText"/>
            </w:pPr>
            <w:r>
              <w:t>Professional Engineers</w:t>
            </w:r>
          </w:p>
        </w:tc>
        <w:tc>
          <w:tcPr>
            <w:tcW w:w="1021" w:type="dxa"/>
          </w:tcPr>
          <w:p w14:paraId="16E44CEA" w14:textId="77777777" w:rsidR="009564E9" w:rsidRDefault="009564E9" w:rsidP="00BB1712">
            <w:pPr>
              <w:pStyle w:val="TableTextRight"/>
            </w:pPr>
            <w:r>
              <w:t>N/A</w:t>
            </w:r>
          </w:p>
        </w:tc>
        <w:tc>
          <w:tcPr>
            <w:tcW w:w="1021" w:type="dxa"/>
          </w:tcPr>
          <w:p w14:paraId="4F67626E" w14:textId="77777777" w:rsidR="009564E9" w:rsidRDefault="009564E9" w:rsidP="00BB1712">
            <w:pPr>
              <w:pStyle w:val="TableTextRight"/>
            </w:pPr>
            <w:r>
              <w:t>N/A</w:t>
            </w:r>
          </w:p>
        </w:tc>
        <w:tc>
          <w:tcPr>
            <w:tcW w:w="1021" w:type="dxa"/>
          </w:tcPr>
          <w:p w14:paraId="4C38035B" w14:textId="77777777" w:rsidR="009564E9" w:rsidRDefault="009564E9" w:rsidP="00BB1712">
            <w:pPr>
              <w:pStyle w:val="TableTextRight"/>
            </w:pPr>
            <w:r>
              <w:t>1,395</w:t>
            </w:r>
          </w:p>
        </w:tc>
        <w:tc>
          <w:tcPr>
            <w:tcW w:w="1021" w:type="dxa"/>
          </w:tcPr>
          <w:p w14:paraId="1BE59B65" w14:textId="77777777" w:rsidR="009564E9" w:rsidRDefault="009564E9" w:rsidP="00BB1712">
            <w:pPr>
              <w:pStyle w:val="TableTextRight"/>
            </w:pPr>
            <w:r>
              <w:t>N/A</w:t>
            </w:r>
          </w:p>
        </w:tc>
        <w:tc>
          <w:tcPr>
            <w:tcW w:w="1021" w:type="dxa"/>
          </w:tcPr>
          <w:p w14:paraId="5287234B" w14:textId="77777777" w:rsidR="009564E9" w:rsidRDefault="009564E9" w:rsidP="00BB1712">
            <w:pPr>
              <w:pStyle w:val="TableTextRight"/>
            </w:pPr>
            <w:r>
              <w:t>N/A</w:t>
            </w:r>
          </w:p>
        </w:tc>
        <w:tc>
          <w:tcPr>
            <w:tcW w:w="1021" w:type="dxa"/>
          </w:tcPr>
          <w:p w14:paraId="2561D787" w14:textId="77777777" w:rsidR="009564E9" w:rsidRDefault="009564E9" w:rsidP="00BB1712">
            <w:pPr>
              <w:pStyle w:val="TableTextRight"/>
            </w:pPr>
            <w:r>
              <w:t>4,571</w:t>
            </w:r>
          </w:p>
        </w:tc>
      </w:tr>
      <w:tr w:rsidR="009564E9" w14:paraId="7DC8EB93" w14:textId="77777777" w:rsidTr="00EC47EE">
        <w:trPr>
          <w:trHeight w:val="68"/>
        </w:trPr>
        <w:tc>
          <w:tcPr>
            <w:tcW w:w="2948" w:type="dxa"/>
            <w:gridSpan w:val="7"/>
            <w:shd w:val="clear" w:color="auto" w:fill="B2D5F0"/>
          </w:tcPr>
          <w:p w14:paraId="5BD7B85F" w14:textId="77777777" w:rsidR="009564E9" w:rsidRDefault="009564E9" w:rsidP="00BB1712">
            <w:pPr>
              <w:pStyle w:val="TableTextBold"/>
            </w:pPr>
            <w:r>
              <w:t>Consumer Affairs Victoria administered schemes</w:t>
            </w:r>
          </w:p>
        </w:tc>
      </w:tr>
      <w:tr w:rsidR="009564E9" w14:paraId="4EC274F0" w14:textId="77777777" w:rsidTr="00192B14">
        <w:trPr>
          <w:trHeight w:val="68"/>
        </w:trPr>
        <w:tc>
          <w:tcPr>
            <w:tcW w:w="2948" w:type="dxa"/>
          </w:tcPr>
          <w:p w14:paraId="20026928" w14:textId="77777777" w:rsidR="009564E9" w:rsidRDefault="009564E9" w:rsidP="00BB1712">
            <w:pPr>
              <w:pStyle w:val="TableText"/>
            </w:pPr>
            <w:r>
              <w:t>Incorporated associations</w:t>
            </w:r>
          </w:p>
        </w:tc>
        <w:tc>
          <w:tcPr>
            <w:tcW w:w="1021" w:type="dxa"/>
          </w:tcPr>
          <w:p w14:paraId="1788D5A9" w14:textId="77777777" w:rsidR="009564E9" w:rsidRDefault="009564E9" w:rsidP="00BB1712">
            <w:pPr>
              <w:pStyle w:val="TableTextRight"/>
            </w:pPr>
            <w:r>
              <w:t>1,964</w:t>
            </w:r>
          </w:p>
        </w:tc>
        <w:tc>
          <w:tcPr>
            <w:tcW w:w="1021" w:type="dxa"/>
          </w:tcPr>
          <w:p w14:paraId="77797BB9" w14:textId="77777777" w:rsidR="009564E9" w:rsidRDefault="009564E9" w:rsidP="00BB1712">
            <w:pPr>
              <w:pStyle w:val="TableTextRight"/>
            </w:pPr>
            <w:r>
              <w:t>1,875</w:t>
            </w:r>
          </w:p>
        </w:tc>
        <w:tc>
          <w:tcPr>
            <w:tcW w:w="1021" w:type="dxa"/>
          </w:tcPr>
          <w:p w14:paraId="0A8C656A" w14:textId="77777777" w:rsidR="009564E9" w:rsidRDefault="009564E9" w:rsidP="00BB1712">
            <w:pPr>
              <w:pStyle w:val="TableTextRight"/>
            </w:pPr>
            <w:r>
              <w:t>1,537</w:t>
            </w:r>
          </w:p>
        </w:tc>
        <w:tc>
          <w:tcPr>
            <w:tcW w:w="1021" w:type="dxa"/>
          </w:tcPr>
          <w:p w14:paraId="471B5B10" w14:textId="77777777" w:rsidR="009564E9" w:rsidRDefault="009564E9" w:rsidP="00BB1712">
            <w:pPr>
              <w:pStyle w:val="TableTextRight"/>
            </w:pPr>
            <w:r>
              <w:t>41,706</w:t>
            </w:r>
          </w:p>
        </w:tc>
        <w:tc>
          <w:tcPr>
            <w:tcW w:w="1021" w:type="dxa"/>
          </w:tcPr>
          <w:p w14:paraId="7F81608E" w14:textId="77777777" w:rsidR="009564E9" w:rsidRDefault="009564E9" w:rsidP="00BB1712">
            <w:pPr>
              <w:pStyle w:val="TableTextRight"/>
            </w:pPr>
            <w:r>
              <w:t>42,566</w:t>
            </w:r>
          </w:p>
        </w:tc>
        <w:tc>
          <w:tcPr>
            <w:tcW w:w="1021" w:type="dxa"/>
          </w:tcPr>
          <w:p w14:paraId="21622F6F" w14:textId="77777777" w:rsidR="009564E9" w:rsidRDefault="009564E9" w:rsidP="00BB1712">
            <w:pPr>
              <w:pStyle w:val="TableTextRight"/>
            </w:pPr>
            <w:r>
              <w:t>41,590</w:t>
            </w:r>
          </w:p>
        </w:tc>
      </w:tr>
      <w:tr w:rsidR="009564E9" w14:paraId="2BCA109A" w14:textId="77777777" w:rsidTr="00192B14">
        <w:trPr>
          <w:trHeight w:val="68"/>
        </w:trPr>
        <w:tc>
          <w:tcPr>
            <w:tcW w:w="2948" w:type="dxa"/>
          </w:tcPr>
          <w:p w14:paraId="150CFD32" w14:textId="77777777" w:rsidR="009564E9" w:rsidRDefault="009564E9" w:rsidP="00BB1712">
            <w:pPr>
              <w:pStyle w:val="TableText"/>
            </w:pPr>
            <w:r>
              <w:t>Co-operatives</w:t>
            </w:r>
          </w:p>
        </w:tc>
        <w:tc>
          <w:tcPr>
            <w:tcW w:w="1021" w:type="dxa"/>
          </w:tcPr>
          <w:p w14:paraId="2E5A311F" w14:textId="77777777" w:rsidR="009564E9" w:rsidRDefault="009564E9" w:rsidP="00BB1712">
            <w:pPr>
              <w:pStyle w:val="TableTextRight"/>
            </w:pPr>
            <w:r>
              <w:t>14</w:t>
            </w:r>
          </w:p>
        </w:tc>
        <w:tc>
          <w:tcPr>
            <w:tcW w:w="1021" w:type="dxa"/>
          </w:tcPr>
          <w:p w14:paraId="551B3074" w14:textId="77777777" w:rsidR="009564E9" w:rsidRDefault="009564E9" w:rsidP="00BB1712">
            <w:pPr>
              <w:pStyle w:val="TableTextRight"/>
            </w:pPr>
            <w:r>
              <w:t>10</w:t>
            </w:r>
          </w:p>
        </w:tc>
        <w:tc>
          <w:tcPr>
            <w:tcW w:w="1021" w:type="dxa"/>
          </w:tcPr>
          <w:p w14:paraId="0F1EA2D7" w14:textId="77777777" w:rsidR="009564E9" w:rsidRDefault="009564E9" w:rsidP="00BB1712">
            <w:pPr>
              <w:pStyle w:val="TableTextRight"/>
            </w:pPr>
            <w:r>
              <w:t>33</w:t>
            </w:r>
          </w:p>
        </w:tc>
        <w:tc>
          <w:tcPr>
            <w:tcW w:w="1021" w:type="dxa"/>
          </w:tcPr>
          <w:p w14:paraId="2559DDA3" w14:textId="77777777" w:rsidR="009564E9" w:rsidRDefault="009564E9" w:rsidP="00BB1712">
            <w:pPr>
              <w:pStyle w:val="TableTextRight"/>
            </w:pPr>
            <w:r>
              <w:t>514</w:t>
            </w:r>
          </w:p>
        </w:tc>
        <w:tc>
          <w:tcPr>
            <w:tcW w:w="1021" w:type="dxa"/>
          </w:tcPr>
          <w:p w14:paraId="03986D4B" w14:textId="77777777" w:rsidR="009564E9" w:rsidRDefault="009564E9" w:rsidP="00BB1712">
            <w:pPr>
              <w:pStyle w:val="TableTextRight"/>
            </w:pPr>
            <w:r>
              <w:t>512</w:t>
            </w:r>
          </w:p>
        </w:tc>
        <w:tc>
          <w:tcPr>
            <w:tcW w:w="1021" w:type="dxa"/>
          </w:tcPr>
          <w:p w14:paraId="09A576C5" w14:textId="77777777" w:rsidR="009564E9" w:rsidRDefault="009564E9" w:rsidP="00BB1712">
            <w:pPr>
              <w:pStyle w:val="TableTextRight"/>
            </w:pPr>
            <w:r>
              <w:t>508</w:t>
            </w:r>
          </w:p>
        </w:tc>
      </w:tr>
      <w:tr w:rsidR="009564E9" w14:paraId="17149E03" w14:textId="77777777" w:rsidTr="00192B14">
        <w:trPr>
          <w:trHeight w:val="68"/>
        </w:trPr>
        <w:tc>
          <w:tcPr>
            <w:tcW w:w="2948" w:type="dxa"/>
          </w:tcPr>
          <w:p w14:paraId="01EB9DCB" w14:textId="77777777" w:rsidR="009564E9" w:rsidRDefault="009564E9" w:rsidP="00BB1712">
            <w:pPr>
              <w:pStyle w:val="TableText"/>
            </w:pPr>
            <w:r>
              <w:t>Fundraisers</w:t>
            </w:r>
          </w:p>
        </w:tc>
        <w:tc>
          <w:tcPr>
            <w:tcW w:w="1021" w:type="dxa"/>
          </w:tcPr>
          <w:p w14:paraId="471130EA" w14:textId="77777777" w:rsidR="009564E9" w:rsidRDefault="009564E9" w:rsidP="00BB1712">
            <w:pPr>
              <w:pStyle w:val="TableTextRight"/>
            </w:pPr>
            <w:r>
              <w:t>761</w:t>
            </w:r>
          </w:p>
        </w:tc>
        <w:tc>
          <w:tcPr>
            <w:tcW w:w="1021" w:type="dxa"/>
          </w:tcPr>
          <w:p w14:paraId="798E5560" w14:textId="77777777" w:rsidR="009564E9" w:rsidRDefault="009564E9" w:rsidP="00BB1712">
            <w:pPr>
              <w:pStyle w:val="TableTextRight"/>
            </w:pPr>
            <w:r>
              <w:t>473</w:t>
            </w:r>
          </w:p>
        </w:tc>
        <w:tc>
          <w:tcPr>
            <w:tcW w:w="1021" w:type="dxa"/>
          </w:tcPr>
          <w:p w14:paraId="646E48F2" w14:textId="77777777" w:rsidR="009564E9" w:rsidRDefault="009564E9" w:rsidP="00BB1712">
            <w:pPr>
              <w:pStyle w:val="TableTextRight"/>
            </w:pPr>
            <w:r>
              <w:t>534</w:t>
            </w:r>
          </w:p>
        </w:tc>
        <w:tc>
          <w:tcPr>
            <w:tcW w:w="1021" w:type="dxa"/>
          </w:tcPr>
          <w:p w14:paraId="75F15C87" w14:textId="77777777" w:rsidR="009564E9" w:rsidRDefault="009564E9" w:rsidP="00BB1712">
            <w:pPr>
              <w:pStyle w:val="TableTextRight"/>
            </w:pPr>
            <w:r>
              <w:t>2,007</w:t>
            </w:r>
          </w:p>
        </w:tc>
        <w:tc>
          <w:tcPr>
            <w:tcW w:w="1021" w:type="dxa"/>
          </w:tcPr>
          <w:p w14:paraId="4777A778" w14:textId="77777777" w:rsidR="009564E9" w:rsidRDefault="009564E9" w:rsidP="00BB1712">
            <w:pPr>
              <w:pStyle w:val="TableTextRight"/>
            </w:pPr>
            <w:r>
              <w:t>2,310</w:t>
            </w:r>
          </w:p>
        </w:tc>
        <w:tc>
          <w:tcPr>
            <w:tcW w:w="1021" w:type="dxa"/>
          </w:tcPr>
          <w:p w14:paraId="54608D2B" w14:textId="77777777" w:rsidR="009564E9" w:rsidRDefault="009564E9" w:rsidP="00BB1712">
            <w:pPr>
              <w:pStyle w:val="TableTextRight"/>
            </w:pPr>
            <w:r>
              <w:t>2469</w:t>
            </w:r>
          </w:p>
        </w:tc>
      </w:tr>
      <w:tr w:rsidR="009564E9" w14:paraId="0C79BBB3" w14:textId="77777777" w:rsidTr="00192B14">
        <w:trPr>
          <w:trHeight w:val="68"/>
        </w:trPr>
        <w:tc>
          <w:tcPr>
            <w:tcW w:w="2948" w:type="dxa"/>
          </w:tcPr>
          <w:p w14:paraId="0CFEA871" w14:textId="77777777" w:rsidR="009564E9" w:rsidRDefault="009564E9" w:rsidP="00BB1712">
            <w:pPr>
              <w:pStyle w:val="TableText"/>
            </w:pPr>
            <w:r>
              <w:t>Patriotic funds</w:t>
            </w:r>
          </w:p>
        </w:tc>
        <w:tc>
          <w:tcPr>
            <w:tcW w:w="1021" w:type="dxa"/>
          </w:tcPr>
          <w:p w14:paraId="2090B83E" w14:textId="77777777" w:rsidR="009564E9" w:rsidRDefault="009564E9" w:rsidP="00BB1712">
            <w:pPr>
              <w:pStyle w:val="TableTextRight"/>
            </w:pPr>
            <w:r>
              <w:t>2</w:t>
            </w:r>
          </w:p>
        </w:tc>
        <w:tc>
          <w:tcPr>
            <w:tcW w:w="1021" w:type="dxa"/>
          </w:tcPr>
          <w:p w14:paraId="6AF8D70C" w14:textId="77777777" w:rsidR="009564E9" w:rsidRDefault="009564E9" w:rsidP="00BB1712">
            <w:pPr>
              <w:pStyle w:val="TableTextRight"/>
            </w:pPr>
            <w:r>
              <w:t>0</w:t>
            </w:r>
          </w:p>
        </w:tc>
        <w:tc>
          <w:tcPr>
            <w:tcW w:w="1021" w:type="dxa"/>
          </w:tcPr>
          <w:p w14:paraId="675ECDDC" w14:textId="77777777" w:rsidR="009564E9" w:rsidRDefault="009564E9" w:rsidP="00BB1712">
            <w:pPr>
              <w:pStyle w:val="TableTextRight"/>
            </w:pPr>
            <w:r>
              <w:t>1</w:t>
            </w:r>
          </w:p>
        </w:tc>
        <w:tc>
          <w:tcPr>
            <w:tcW w:w="1021" w:type="dxa"/>
          </w:tcPr>
          <w:p w14:paraId="3B0C5D58" w14:textId="77777777" w:rsidR="009564E9" w:rsidRDefault="009564E9" w:rsidP="00BB1712">
            <w:pPr>
              <w:pStyle w:val="TableTextRight"/>
            </w:pPr>
            <w:r>
              <w:t>415</w:t>
            </w:r>
          </w:p>
        </w:tc>
        <w:tc>
          <w:tcPr>
            <w:tcW w:w="1021" w:type="dxa"/>
          </w:tcPr>
          <w:p w14:paraId="6465CC70" w14:textId="77777777" w:rsidR="009564E9" w:rsidRDefault="009564E9" w:rsidP="00BB1712">
            <w:pPr>
              <w:pStyle w:val="TableTextRight"/>
            </w:pPr>
            <w:r>
              <w:t>390</w:t>
            </w:r>
          </w:p>
        </w:tc>
        <w:tc>
          <w:tcPr>
            <w:tcW w:w="1021" w:type="dxa"/>
          </w:tcPr>
          <w:p w14:paraId="3060CBDD" w14:textId="77777777" w:rsidR="009564E9" w:rsidRDefault="009564E9" w:rsidP="00BB1712">
            <w:pPr>
              <w:pStyle w:val="TableTextRight"/>
            </w:pPr>
            <w:r>
              <w:t>389</w:t>
            </w:r>
          </w:p>
        </w:tc>
      </w:tr>
      <w:tr w:rsidR="009564E9" w14:paraId="515CB137" w14:textId="77777777" w:rsidTr="00192B14">
        <w:trPr>
          <w:trHeight w:val="68"/>
        </w:trPr>
        <w:tc>
          <w:tcPr>
            <w:tcW w:w="2948" w:type="dxa"/>
          </w:tcPr>
          <w:p w14:paraId="35227069" w14:textId="77777777" w:rsidR="009564E9" w:rsidRDefault="009564E9" w:rsidP="00BB1712">
            <w:pPr>
              <w:pStyle w:val="TableText"/>
            </w:pPr>
            <w:r>
              <w:t>Limited partnerships</w:t>
            </w:r>
          </w:p>
        </w:tc>
        <w:tc>
          <w:tcPr>
            <w:tcW w:w="1021" w:type="dxa"/>
          </w:tcPr>
          <w:p w14:paraId="053F3055" w14:textId="77777777" w:rsidR="009564E9" w:rsidRDefault="009564E9" w:rsidP="00BB1712">
            <w:pPr>
              <w:pStyle w:val="TableTextRight"/>
            </w:pPr>
            <w:r>
              <w:t>10</w:t>
            </w:r>
          </w:p>
        </w:tc>
        <w:tc>
          <w:tcPr>
            <w:tcW w:w="1021" w:type="dxa"/>
          </w:tcPr>
          <w:p w14:paraId="642DEB98" w14:textId="77777777" w:rsidR="009564E9" w:rsidRDefault="009564E9" w:rsidP="00BB1712">
            <w:pPr>
              <w:pStyle w:val="TableTextRight"/>
            </w:pPr>
            <w:r>
              <w:t>10</w:t>
            </w:r>
          </w:p>
        </w:tc>
        <w:tc>
          <w:tcPr>
            <w:tcW w:w="1021" w:type="dxa"/>
          </w:tcPr>
          <w:p w14:paraId="50B40155" w14:textId="77777777" w:rsidR="009564E9" w:rsidRDefault="009564E9" w:rsidP="00BB1712">
            <w:pPr>
              <w:pStyle w:val="TableTextRight"/>
            </w:pPr>
            <w:r>
              <w:t>36</w:t>
            </w:r>
          </w:p>
        </w:tc>
        <w:tc>
          <w:tcPr>
            <w:tcW w:w="1021" w:type="dxa"/>
          </w:tcPr>
          <w:p w14:paraId="24A3EEED" w14:textId="77777777" w:rsidR="009564E9" w:rsidRDefault="009564E9" w:rsidP="00BB1712">
            <w:pPr>
              <w:pStyle w:val="TableTextRight"/>
            </w:pPr>
            <w:r>
              <w:t>406</w:t>
            </w:r>
          </w:p>
        </w:tc>
        <w:tc>
          <w:tcPr>
            <w:tcW w:w="1021" w:type="dxa"/>
          </w:tcPr>
          <w:p w14:paraId="4011B3CB" w14:textId="77777777" w:rsidR="009564E9" w:rsidRDefault="009564E9" w:rsidP="00BB1712">
            <w:pPr>
              <w:pStyle w:val="TableTextRight"/>
            </w:pPr>
            <w:r>
              <w:t>423</w:t>
            </w:r>
          </w:p>
        </w:tc>
        <w:tc>
          <w:tcPr>
            <w:tcW w:w="1021" w:type="dxa"/>
          </w:tcPr>
          <w:p w14:paraId="022B4758" w14:textId="77777777" w:rsidR="009564E9" w:rsidRDefault="009564E9" w:rsidP="00BB1712">
            <w:pPr>
              <w:pStyle w:val="TableTextRight"/>
            </w:pPr>
            <w:r>
              <w:t>457</w:t>
            </w:r>
          </w:p>
        </w:tc>
      </w:tr>
      <w:tr w:rsidR="009564E9" w14:paraId="31C9BA89" w14:textId="77777777" w:rsidTr="00192B14">
        <w:trPr>
          <w:trHeight w:val="68"/>
        </w:trPr>
        <w:tc>
          <w:tcPr>
            <w:tcW w:w="2948" w:type="dxa"/>
          </w:tcPr>
          <w:p w14:paraId="6C07784D" w14:textId="77777777" w:rsidR="009564E9" w:rsidRDefault="009564E9" w:rsidP="00BB1712">
            <w:pPr>
              <w:pStyle w:val="TableText"/>
            </w:pPr>
            <w:r>
              <w:t>Retirement villages</w:t>
            </w:r>
          </w:p>
        </w:tc>
        <w:tc>
          <w:tcPr>
            <w:tcW w:w="1021" w:type="dxa"/>
          </w:tcPr>
          <w:p w14:paraId="759F1356" w14:textId="77777777" w:rsidR="009564E9" w:rsidRDefault="009564E9" w:rsidP="00BB1712">
            <w:pPr>
              <w:pStyle w:val="TableTextRight"/>
            </w:pPr>
            <w:r>
              <w:t>12</w:t>
            </w:r>
          </w:p>
        </w:tc>
        <w:tc>
          <w:tcPr>
            <w:tcW w:w="1021" w:type="dxa"/>
          </w:tcPr>
          <w:p w14:paraId="72B5C3B3" w14:textId="77777777" w:rsidR="009564E9" w:rsidRDefault="009564E9" w:rsidP="00BB1712">
            <w:pPr>
              <w:pStyle w:val="TableTextRight"/>
            </w:pPr>
            <w:r>
              <w:t>8</w:t>
            </w:r>
          </w:p>
        </w:tc>
        <w:tc>
          <w:tcPr>
            <w:tcW w:w="1021" w:type="dxa"/>
          </w:tcPr>
          <w:p w14:paraId="422194CD" w14:textId="77777777" w:rsidR="009564E9" w:rsidRDefault="009564E9" w:rsidP="00BB1712">
            <w:pPr>
              <w:pStyle w:val="TableTextRight"/>
            </w:pPr>
            <w:r>
              <w:t>6</w:t>
            </w:r>
          </w:p>
        </w:tc>
        <w:tc>
          <w:tcPr>
            <w:tcW w:w="1021" w:type="dxa"/>
          </w:tcPr>
          <w:p w14:paraId="1D56502C" w14:textId="77777777" w:rsidR="009564E9" w:rsidRDefault="009564E9" w:rsidP="00BB1712">
            <w:pPr>
              <w:pStyle w:val="TableTextRight"/>
            </w:pPr>
            <w:r>
              <w:t>465</w:t>
            </w:r>
          </w:p>
        </w:tc>
        <w:tc>
          <w:tcPr>
            <w:tcW w:w="1021" w:type="dxa"/>
          </w:tcPr>
          <w:p w14:paraId="134E5758" w14:textId="77777777" w:rsidR="009564E9" w:rsidRDefault="009564E9" w:rsidP="00BB1712">
            <w:pPr>
              <w:pStyle w:val="TableTextRight"/>
            </w:pPr>
            <w:r>
              <w:t>470</w:t>
            </w:r>
          </w:p>
        </w:tc>
        <w:tc>
          <w:tcPr>
            <w:tcW w:w="1021" w:type="dxa"/>
          </w:tcPr>
          <w:p w14:paraId="3F7976A7" w14:textId="77777777" w:rsidR="009564E9" w:rsidRDefault="009564E9" w:rsidP="00BB1712">
            <w:pPr>
              <w:pStyle w:val="TableTextRight"/>
            </w:pPr>
            <w:r>
              <w:t>481</w:t>
            </w:r>
          </w:p>
        </w:tc>
      </w:tr>
      <w:tr w:rsidR="009564E9" w14:paraId="649FB0E5" w14:textId="77777777" w:rsidTr="00192B14">
        <w:trPr>
          <w:trHeight w:val="68"/>
        </w:trPr>
        <w:tc>
          <w:tcPr>
            <w:tcW w:w="2948" w:type="dxa"/>
          </w:tcPr>
          <w:p w14:paraId="2305F9C1" w14:textId="77777777" w:rsidR="009564E9" w:rsidRDefault="009564E9" w:rsidP="00BB1712">
            <w:pPr>
              <w:pStyle w:val="TableText"/>
            </w:pPr>
            <w:r>
              <w:t>Funeral service providers</w:t>
            </w:r>
          </w:p>
        </w:tc>
        <w:tc>
          <w:tcPr>
            <w:tcW w:w="1021" w:type="dxa"/>
          </w:tcPr>
          <w:p w14:paraId="374B2EBD" w14:textId="77777777" w:rsidR="009564E9" w:rsidRDefault="009564E9" w:rsidP="00BB1712">
            <w:pPr>
              <w:pStyle w:val="TableTextRight"/>
            </w:pPr>
            <w:r>
              <w:t>32</w:t>
            </w:r>
          </w:p>
        </w:tc>
        <w:tc>
          <w:tcPr>
            <w:tcW w:w="1021" w:type="dxa"/>
          </w:tcPr>
          <w:p w14:paraId="5A4CE964" w14:textId="77777777" w:rsidR="009564E9" w:rsidRDefault="009564E9" w:rsidP="00BB1712">
            <w:pPr>
              <w:pStyle w:val="TableTextRight"/>
            </w:pPr>
            <w:r>
              <w:t>11</w:t>
            </w:r>
          </w:p>
        </w:tc>
        <w:tc>
          <w:tcPr>
            <w:tcW w:w="1021" w:type="dxa"/>
          </w:tcPr>
          <w:p w14:paraId="53A28E46" w14:textId="77777777" w:rsidR="009564E9" w:rsidRDefault="009564E9" w:rsidP="00BB1712">
            <w:pPr>
              <w:pStyle w:val="TableTextRight"/>
            </w:pPr>
            <w:r>
              <w:t>5</w:t>
            </w:r>
          </w:p>
        </w:tc>
        <w:tc>
          <w:tcPr>
            <w:tcW w:w="1021" w:type="dxa"/>
          </w:tcPr>
          <w:p w14:paraId="1E38F151" w14:textId="77777777" w:rsidR="009564E9" w:rsidRDefault="009564E9" w:rsidP="00BB1712">
            <w:pPr>
              <w:pStyle w:val="TableTextRight"/>
            </w:pPr>
            <w:r>
              <w:t>506</w:t>
            </w:r>
          </w:p>
        </w:tc>
        <w:tc>
          <w:tcPr>
            <w:tcW w:w="1021" w:type="dxa"/>
          </w:tcPr>
          <w:p w14:paraId="098E7AC2" w14:textId="77777777" w:rsidR="009564E9" w:rsidRDefault="009564E9" w:rsidP="00BB1712">
            <w:pPr>
              <w:pStyle w:val="TableTextRight"/>
            </w:pPr>
            <w:r>
              <w:t>518</w:t>
            </w:r>
          </w:p>
        </w:tc>
        <w:tc>
          <w:tcPr>
            <w:tcW w:w="1021" w:type="dxa"/>
          </w:tcPr>
          <w:p w14:paraId="3A081F25" w14:textId="77777777" w:rsidR="009564E9" w:rsidRDefault="009564E9" w:rsidP="00BB1712">
            <w:pPr>
              <w:pStyle w:val="TableTextRight"/>
            </w:pPr>
            <w:r>
              <w:t>525</w:t>
            </w:r>
          </w:p>
        </w:tc>
      </w:tr>
      <w:tr w:rsidR="009564E9" w14:paraId="17339475" w14:textId="77777777" w:rsidTr="00192B14">
        <w:trPr>
          <w:trHeight w:val="68"/>
        </w:trPr>
        <w:tc>
          <w:tcPr>
            <w:tcW w:w="2948" w:type="dxa"/>
          </w:tcPr>
          <w:p w14:paraId="5D5234F4" w14:textId="7966306B" w:rsidR="009564E9" w:rsidRDefault="009564E9" w:rsidP="00BB1712">
            <w:pPr>
              <w:pStyle w:val="TableText"/>
            </w:pPr>
            <w:r>
              <w:t>Rental</w:t>
            </w:r>
            <w:r w:rsidR="007A66C2">
              <w:t xml:space="preserve"> </w:t>
            </w:r>
            <w:r>
              <w:t>non</w:t>
            </w:r>
            <w:r w:rsidR="007A66C2">
              <w:t>-</w:t>
            </w:r>
            <w:r>
              <w:t>compliance</w:t>
            </w:r>
            <w:r>
              <w:rPr>
                <w:rFonts w:ascii="Times New Roman" w:hAnsi="Times New Roman"/>
              </w:rPr>
              <w:t> </w:t>
            </w:r>
            <w:r w:rsidRPr="007470E2">
              <w:rPr>
                <w:rStyle w:val="FootnoteReference"/>
              </w:rPr>
              <w:footnoteReference w:id="10"/>
            </w:r>
          </w:p>
        </w:tc>
        <w:tc>
          <w:tcPr>
            <w:tcW w:w="1021" w:type="dxa"/>
          </w:tcPr>
          <w:p w14:paraId="35C666D5" w14:textId="77777777" w:rsidR="009564E9" w:rsidRDefault="009564E9" w:rsidP="00BB1712">
            <w:pPr>
              <w:pStyle w:val="TableTextRight"/>
            </w:pPr>
            <w:r>
              <w:t>N/A</w:t>
            </w:r>
          </w:p>
        </w:tc>
        <w:tc>
          <w:tcPr>
            <w:tcW w:w="1021" w:type="dxa"/>
          </w:tcPr>
          <w:p w14:paraId="1763CC54" w14:textId="77777777" w:rsidR="009564E9" w:rsidRDefault="009564E9" w:rsidP="00BB1712">
            <w:pPr>
              <w:pStyle w:val="TableTextRight"/>
            </w:pPr>
            <w:r>
              <w:t>N/A</w:t>
            </w:r>
          </w:p>
        </w:tc>
        <w:tc>
          <w:tcPr>
            <w:tcW w:w="1021" w:type="dxa"/>
          </w:tcPr>
          <w:p w14:paraId="6AA268E9" w14:textId="77777777" w:rsidR="009564E9" w:rsidRDefault="009564E9" w:rsidP="00BB1712">
            <w:pPr>
              <w:pStyle w:val="TableTextRight"/>
            </w:pPr>
            <w:r>
              <w:t>N/A</w:t>
            </w:r>
          </w:p>
        </w:tc>
        <w:tc>
          <w:tcPr>
            <w:tcW w:w="1021" w:type="dxa"/>
          </w:tcPr>
          <w:p w14:paraId="739FADE6" w14:textId="77777777" w:rsidR="009564E9" w:rsidRDefault="009564E9" w:rsidP="00BB1712">
            <w:pPr>
              <w:pStyle w:val="TableTextRight"/>
            </w:pPr>
            <w:r>
              <w:t>N/A</w:t>
            </w:r>
          </w:p>
        </w:tc>
        <w:tc>
          <w:tcPr>
            <w:tcW w:w="1021" w:type="dxa"/>
          </w:tcPr>
          <w:p w14:paraId="4FDF490A" w14:textId="77777777" w:rsidR="009564E9" w:rsidRDefault="009564E9" w:rsidP="00BB1712">
            <w:pPr>
              <w:pStyle w:val="TableTextRight"/>
            </w:pPr>
            <w:r>
              <w:t>0</w:t>
            </w:r>
          </w:p>
        </w:tc>
        <w:tc>
          <w:tcPr>
            <w:tcW w:w="1021" w:type="dxa"/>
          </w:tcPr>
          <w:p w14:paraId="4401E178" w14:textId="77777777" w:rsidR="009564E9" w:rsidRDefault="009564E9" w:rsidP="00BB1712">
            <w:pPr>
              <w:pStyle w:val="TableTextRight"/>
            </w:pPr>
            <w:r>
              <w:t>13</w:t>
            </w:r>
          </w:p>
        </w:tc>
      </w:tr>
    </w:tbl>
    <w:p w14:paraId="2DACA413" w14:textId="0D8FD6C4" w:rsidR="009564E9" w:rsidRDefault="009564E9" w:rsidP="007C1C7B">
      <w:pPr>
        <w:pStyle w:val="Heading4"/>
        <w:pageBreakBefore/>
      </w:pPr>
      <w:r>
        <w:lastRenderedPageBreak/>
        <w:t>Digital improvements to licensing and registration online systems</w:t>
      </w:r>
    </w:p>
    <w:p w14:paraId="531F453E" w14:textId="385ECF8E" w:rsidR="009564E9" w:rsidRDefault="009564E9" w:rsidP="00A61C76">
      <w:pPr>
        <w:pStyle w:val="BodyText"/>
      </w:pPr>
      <w:r>
        <w:t>The Minister for Consumer Affairs, Gaming and Liquor Regulation issued the BLA and CAV with a new Statement of Expectations in September 2021. Significant changes included the addition of a key</w:t>
      </w:r>
      <w:r w:rsidR="007C1C7B">
        <w:t> </w:t>
      </w:r>
      <w:r>
        <w:t xml:space="preserve">element to </w:t>
      </w:r>
      <w:r w:rsidRPr="00064C94">
        <w:rPr>
          <w:rStyle w:val="Emphasis"/>
        </w:rPr>
        <w:t>support economic and social recovery</w:t>
      </w:r>
      <w:r>
        <w:t xml:space="preserve">, as well as refreshed targets for the standing elements of </w:t>
      </w:r>
      <w:r w:rsidRPr="00064C94">
        <w:rPr>
          <w:rStyle w:val="Emphasis"/>
        </w:rPr>
        <w:t>timeliness</w:t>
      </w:r>
      <w:r>
        <w:t xml:space="preserve">, </w:t>
      </w:r>
      <w:r w:rsidRPr="00064C94">
        <w:rPr>
          <w:rStyle w:val="Emphasis"/>
        </w:rPr>
        <w:t>risk-based strategies</w:t>
      </w:r>
      <w:r>
        <w:t xml:space="preserve"> and </w:t>
      </w:r>
      <w:r w:rsidRPr="00064C94">
        <w:rPr>
          <w:rStyle w:val="Emphasis"/>
        </w:rPr>
        <w:t>compliance related assistance</w:t>
      </w:r>
      <w:r>
        <w:t>. A crucial new target was to implement ongoing digital improvements to make licensing and registration interactions quicker and easier for businesses, professionals, and community groups.</w:t>
      </w:r>
    </w:p>
    <w:p w14:paraId="71B03B47" w14:textId="385C7168" w:rsidR="009564E9" w:rsidRDefault="009564E9" w:rsidP="00A61C76">
      <w:pPr>
        <w:pStyle w:val="BodyText"/>
      </w:pPr>
      <w:r>
        <w:t>In response, CAV implemented several digital improvements to its and the BLA’s online licensing and</w:t>
      </w:r>
      <w:r w:rsidR="007C1C7B">
        <w:t> </w:t>
      </w:r>
      <w:r>
        <w:t>registrations systems, funded by the Victorian Government’s Regulation Reform Incentive Fund, with more planned for 2022–23. These digital improvements will make licensing and registration transactions quicker and easier for businesses, professionals and organisations.</w:t>
      </w:r>
    </w:p>
    <w:p w14:paraId="10DF183E" w14:textId="77777777" w:rsidR="009564E9" w:rsidRDefault="009564E9" w:rsidP="00A61C76">
      <w:pPr>
        <w:pStyle w:val="BodyText"/>
      </w:pPr>
      <w:r>
        <w:t>In 2021–22, these improvements include online Automatic Mutual Recognition notifications, the inclusion of additional content in trust accounting notifications and the introduction of new functionality which enables rooming house operators to upload gas and electrical safety checks online. In 2021–22, 537 safety certificates were lodged. These can be more easily checked as part of CAV’s compliance monitoring activity to ensure residents are safe while saving operators time and giving them handy automated reminders when an updated certificate is due.</w:t>
      </w:r>
    </w:p>
    <w:p w14:paraId="59B1C954" w14:textId="77777777" w:rsidR="009564E9" w:rsidRDefault="009564E9" w:rsidP="00A61C76">
      <w:pPr>
        <w:pStyle w:val="BodyText"/>
      </w:pPr>
      <w:r>
        <w:t xml:space="preserve">Through a joint project with Service Victoria, identification verification technology was integrated into the licensing and registration online portal </w:t>
      </w:r>
      <w:proofErr w:type="spellStart"/>
      <w:r>
        <w:t>myCAV</w:t>
      </w:r>
      <w:proofErr w:type="spellEnd"/>
      <w:r>
        <w:t>. This has delivered a faster application process and reduced processing times for businesses and professionals.</w:t>
      </w:r>
    </w:p>
    <w:p w14:paraId="14858E4F" w14:textId="77777777" w:rsidR="009564E9" w:rsidRDefault="009564E9" w:rsidP="00A61C76">
      <w:pPr>
        <w:pStyle w:val="BodyText"/>
      </w:pPr>
      <w:r>
        <w:t xml:space="preserve">The launch of the professional engineering registration scheme resulted in the extension of </w:t>
      </w:r>
      <w:proofErr w:type="spellStart"/>
      <w:r>
        <w:t>myCAV</w:t>
      </w:r>
      <w:proofErr w:type="spellEnd"/>
      <w:r>
        <w:t xml:space="preserve"> to facilitate registration applications. The single capture of data approach enables the Victorian Building Authority to manage registration endorsement and insurance requirements for building engineers through data sharing mechanisms.</w:t>
      </w:r>
    </w:p>
    <w:p w14:paraId="62B12AAA" w14:textId="77777777" w:rsidR="009564E9" w:rsidRDefault="009564E9" w:rsidP="00802CE4">
      <w:pPr>
        <w:pStyle w:val="Heading4"/>
      </w:pPr>
      <w:r>
        <w:t>Helping businesses through the COVID-19 pandemic</w:t>
      </w:r>
    </w:p>
    <w:p w14:paraId="41BE9DEA" w14:textId="1C9E4DC0" w:rsidR="009564E9" w:rsidRDefault="009564E9" w:rsidP="00A61C76">
      <w:pPr>
        <w:pStyle w:val="BodyText"/>
      </w:pPr>
      <w:r>
        <w:t>This year we supported regulated industries to manage the impacts of COVID-19 and their ability to</w:t>
      </w:r>
      <w:r w:rsidR="007C1C7B">
        <w:t> </w:t>
      </w:r>
      <w:r>
        <w:t>meet compliance obligations, such as annual reporting and payment of licensing or registration fees. We worked with the BLA to provide fee waivers, refunds and deadline extensions for annual statements and trust account audit requirements to businesses and community organisations that sought assistance. The BLA provided 38 waivers and refunds totalling more than $6,700, in addition to</w:t>
      </w:r>
      <w:r w:rsidR="007C1C7B">
        <w:t> </w:t>
      </w:r>
      <w:r>
        <w:t>113 sex work licence fee refunds totalling more than $246,000. CAV gave 910 estate agents and conveyancers additional time to lodge their trust account annual audits. Extensions of time were also provided to more than 1,200 incorporated associations and co-operatives to hold annual general meetings and lodge annual statements.</w:t>
      </w:r>
    </w:p>
    <w:p w14:paraId="48BCF1E6" w14:textId="77777777" w:rsidR="009564E9" w:rsidRDefault="009564E9" w:rsidP="00802CE4">
      <w:pPr>
        <w:pStyle w:val="Heading4"/>
      </w:pPr>
      <w:r>
        <w:t>Automatic mutual recognition</w:t>
      </w:r>
    </w:p>
    <w:p w14:paraId="1398E0DF" w14:textId="44F96E70" w:rsidR="009564E9" w:rsidRDefault="009564E9" w:rsidP="00A61C76">
      <w:pPr>
        <w:pStyle w:val="BodyText"/>
      </w:pPr>
      <w:r>
        <w:t>Automatic mutual recognition (AMR) enables individuals licensed or registered for an occupation in</w:t>
      </w:r>
      <w:r w:rsidR="007C1C7B">
        <w:t> </w:t>
      </w:r>
      <w:r>
        <w:t>one Australian state or territory to work in another state or territory using their home state licence.</w:t>
      </w:r>
    </w:p>
    <w:p w14:paraId="6AF77618" w14:textId="6E7607C1" w:rsidR="009564E9" w:rsidRDefault="009564E9" w:rsidP="00A61C76">
      <w:pPr>
        <w:pStyle w:val="BodyText"/>
      </w:pPr>
      <w:r>
        <w:t>The AMR scheme commenced for several occupations in Victoria from 1 July 2021 and from 1 January 2022 for estate agents and professional engineers. Workers covered by AMR may be able to</w:t>
      </w:r>
      <w:r w:rsidR="007C1C7B">
        <w:t> </w:t>
      </w:r>
      <w:r>
        <w:t xml:space="preserve">do the activities they are licensed for in their home state or in other states and territories without the need to apply and pay fees for a second licence. The scheme makes it easier for licensed or </w:t>
      </w:r>
      <w:r>
        <w:lastRenderedPageBreak/>
        <w:t>registered workers to operate in multiple states and territories while providing safeguards to maintain standards and protect consumers, workers and others.</w:t>
      </w:r>
    </w:p>
    <w:p w14:paraId="327A6191" w14:textId="77777777" w:rsidR="009564E9" w:rsidRDefault="009564E9" w:rsidP="00A61C76">
      <w:pPr>
        <w:pStyle w:val="BodyText"/>
      </w:pPr>
      <w:r>
        <w:t xml:space="preserve">We also extended our licensing and registration portal, </w:t>
      </w:r>
      <w:proofErr w:type="spellStart"/>
      <w:r>
        <w:t>myCAV</w:t>
      </w:r>
      <w:proofErr w:type="spellEnd"/>
      <w:r>
        <w:t>, to allow estate agents and professional engineers to notify the BLA of their intention to operate under AMR in Victoria. This seamless process will deliver an increase in available qualified professionals and the faster delivery of services to Victorians, whilst ensuring all necessary public protection requirements, such as complying with Victorian trust account requirements, are met.</w:t>
      </w:r>
    </w:p>
    <w:p w14:paraId="1BFDD244" w14:textId="77777777" w:rsidR="009564E9" w:rsidRDefault="009564E9" w:rsidP="00802CE4">
      <w:pPr>
        <w:pStyle w:val="Heading4"/>
      </w:pPr>
      <w:r>
        <w:t>Professional engineers registration scheme</w:t>
      </w:r>
    </w:p>
    <w:p w14:paraId="73784554" w14:textId="77777777" w:rsidR="009564E9" w:rsidRDefault="009564E9" w:rsidP="00A61C76">
      <w:pPr>
        <w:pStyle w:val="BodyText"/>
      </w:pPr>
      <w:r>
        <w:t xml:space="preserve">CAV led the implementation of the </w:t>
      </w:r>
      <w:r w:rsidRPr="00064C94">
        <w:rPr>
          <w:rStyle w:val="Emphasis"/>
        </w:rPr>
        <w:t>Professional Engineers Registration Act 2019</w:t>
      </w:r>
      <w:r>
        <w:t>, which for the first time introduced a registration scheme and conduct requirements for professional engineers in Victoria. This was a historic moment for the engineering profession in Victoria, and finally provided recognition of the vital role that engineers play in building our world and protecting our communities. The scheme also supports infrastructure delivery in Victoria and gives Victorians greater confidence by ensuring only suitably qualified and experienced engineers provide professional engineering services.</w:t>
      </w:r>
    </w:p>
    <w:p w14:paraId="6808A46B" w14:textId="77777777" w:rsidR="009564E9" w:rsidRDefault="009564E9" w:rsidP="00A61C76">
      <w:pPr>
        <w:pStyle w:val="BodyText"/>
      </w:pPr>
      <w:r>
        <w:t>In a first for Victoria, the scheme is run under a co-regulatory model, where registration is jointly administered by the BLA, CAV, the Victorian Building Authority and the engineering profession. Under a progressive implementation model, professional engineers in five nominated areas – civil, structural, electrical, mechanical and fire safety – will be required to register unless they work under the direct supervision of a registered professional engineer or under a prescriptive standard.</w:t>
      </w:r>
    </w:p>
    <w:p w14:paraId="2E989548" w14:textId="01C3A17B" w:rsidR="009564E9" w:rsidRDefault="009564E9" w:rsidP="00A61C76">
      <w:pPr>
        <w:pStyle w:val="BodyText"/>
      </w:pPr>
      <w:r>
        <w:t>The Act commenced on 1 July 2021 with existing registered building engineers, across all five areas,</w:t>
      </w:r>
      <w:r w:rsidR="00FB35C3">
        <w:t> </w:t>
      </w:r>
      <w:r>
        <w:t>automatically transferred from the Victorian Building Authority to new registration with the BLA.</w:t>
      </w:r>
      <w:r w:rsidR="00FB35C3">
        <w:t> </w:t>
      </w:r>
      <w:r>
        <w:t>The first area of engineering to be implemented in full was fire safety engineers, with registration becoming mandatory in December 2021. Implementation will conclude with mandatory registration for mechanical engineers in December 2023, although engineers can apply for registration at any time since the scheme commenced. In 2021–22, 4,571 engineers have been registered across the five areas of engineering.</w:t>
      </w:r>
    </w:p>
    <w:p w14:paraId="2EA3C107" w14:textId="77777777" w:rsidR="009564E9" w:rsidRDefault="009564E9" w:rsidP="00802CE4">
      <w:pPr>
        <w:pStyle w:val="Heading4"/>
      </w:pPr>
      <w:r>
        <w:t>Sex work decriminalisation</w:t>
      </w:r>
    </w:p>
    <w:p w14:paraId="5B30E329" w14:textId="3BEB3B4B" w:rsidR="009564E9" w:rsidRDefault="009564E9" w:rsidP="00A61C76">
      <w:pPr>
        <w:pStyle w:val="BodyText"/>
      </w:pPr>
      <w:r>
        <w:t xml:space="preserve">The </w:t>
      </w:r>
      <w:r w:rsidRPr="00064C94">
        <w:rPr>
          <w:rStyle w:val="Emphasis"/>
        </w:rPr>
        <w:t>Sex Work Decriminalisation Act 2022</w:t>
      </w:r>
      <w:r>
        <w:t xml:space="preserve"> was passed by the Victorian Parliament on 22 February 2022. Decriminalisation ensures that sex work is safe work. It maximises sex workers’ safety, health, and human rights and improves access to government health and justice services. It also reduces stigma and fear of criminal repercussions. Decriminalisation of sex work recognises that sex work is</w:t>
      </w:r>
      <w:r w:rsidR="00FB35C3">
        <w:t> </w:t>
      </w:r>
      <w:r>
        <w:t>legitimate work and should be regulated through standard business laws, like all other industries in</w:t>
      </w:r>
      <w:r w:rsidR="00FB35C3">
        <w:t> </w:t>
      </w:r>
      <w:r>
        <w:t>the state.</w:t>
      </w:r>
    </w:p>
    <w:p w14:paraId="7D878FE1" w14:textId="07077CF6" w:rsidR="009564E9" w:rsidRDefault="009564E9" w:rsidP="00A61C76">
      <w:pPr>
        <w:pStyle w:val="BodyText"/>
      </w:pPr>
      <w:r>
        <w:t>Stage One commenced on 10 May 2022. In addition to the decriminalisation of street</w:t>
      </w:r>
      <w:r>
        <w:rPr>
          <w:rFonts w:ascii="Times New Roman" w:hAnsi="Times New Roman" w:cs="Times New Roman"/>
        </w:rPr>
        <w:t>‑</w:t>
      </w:r>
      <w:r>
        <w:t>based sex work</w:t>
      </w:r>
      <w:r w:rsidR="00FB35C3">
        <w:t> </w:t>
      </w:r>
      <w:r>
        <w:t xml:space="preserve">in most locations, under Stage One, the Act repealed industry-specific advertising controls, the requirements for independent sex workers to register or be licensed by the BLA, and public health offences under the </w:t>
      </w:r>
      <w:r w:rsidRPr="00064C94">
        <w:rPr>
          <w:rStyle w:val="Emphasis"/>
        </w:rPr>
        <w:t>Sex Work Act 1994</w:t>
      </w:r>
      <w:r>
        <w:t>. The Act also included new anti-discrimination protections in</w:t>
      </w:r>
      <w:r w:rsidR="00FB35C3">
        <w:t> </w:t>
      </w:r>
      <w:r>
        <w:t xml:space="preserve">the </w:t>
      </w:r>
      <w:r w:rsidRPr="00064C94">
        <w:rPr>
          <w:rStyle w:val="Emphasis"/>
        </w:rPr>
        <w:t>Equal Opportunity Act 2010</w:t>
      </w:r>
      <w:r>
        <w:t xml:space="preserve">. Stage Two of the reforms will come into force in December 2023 and repeal the </w:t>
      </w:r>
      <w:r w:rsidRPr="00064C94">
        <w:rPr>
          <w:rStyle w:val="Emphasis"/>
        </w:rPr>
        <w:t>Sex Work Act 1994</w:t>
      </w:r>
      <w:r>
        <w:t>. Upon the repeal of the requirements for independent sex workers (‘exempt small owner-operators’) to register, the BLA and CAV destroyed all records associated with the former small owner-operator register.</w:t>
      </w:r>
    </w:p>
    <w:p w14:paraId="54A7B1D5" w14:textId="7EC7600C" w:rsidR="009564E9" w:rsidRDefault="009564E9" w:rsidP="00802CE4">
      <w:pPr>
        <w:pStyle w:val="Heading4"/>
      </w:pPr>
      <w:r>
        <w:lastRenderedPageBreak/>
        <w:t>New educational requirements for prospective conveyancers and estate</w:t>
      </w:r>
      <w:r w:rsidR="00FB35C3">
        <w:t> </w:t>
      </w:r>
      <w:r>
        <w:t>agents</w:t>
      </w:r>
    </w:p>
    <w:p w14:paraId="405E2566" w14:textId="48052336" w:rsidR="009564E9" w:rsidRDefault="009564E9" w:rsidP="00A61C76">
      <w:pPr>
        <w:pStyle w:val="BodyText"/>
      </w:pPr>
      <w:r>
        <w:t>New educational requirements for conveyancers were introduced in Victoria on 30 September 2021,</w:t>
      </w:r>
      <w:r w:rsidR="00FB35C3">
        <w:t> </w:t>
      </w:r>
      <w:r>
        <w:t>following a national review of the existing qualification. The new qualification is the refreshed and updated Advanced Diploma of Conveyancing. The new qualification requires prospective conveyancers to complete nine core units and six electives. The changes to the regulations also changed the work experience requirements to be licensed, to recognise previous work as a licensed conveyancer. A person who has held a conveyancer’s licence within the last five years is now able to rely on that experience to be re-licensed, without having to undertake further supervised work experience.</w:t>
      </w:r>
    </w:p>
    <w:p w14:paraId="76CD9EE8" w14:textId="77777777" w:rsidR="009564E9" w:rsidRDefault="009564E9" w:rsidP="00A61C76">
      <w:pPr>
        <w:pStyle w:val="BodyText"/>
      </w:pPr>
      <w:r>
        <w:t>DJCS sought stakeholder feedback on whether the proposed electives for the new qualification would give students the right skills they need to work as conveyancers. This feedback informed changes to the Conveyancers (Qualification and Experience) Regulations 2018 to implement the new qualification in Victoria.</w:t>
      </w:r>
    </w:p>
    <w:p w14:paraId="495616DA" w14:textId="77777777" w:rsidR="009564E9" w:rsidRDefault="009564E9" w:rsidP="00A61C76">
      <w:pPr>
        <w:pStyle w:val="BodyText"/>
      </w:pPr>
      <w:r>
        <w:t>Conveyancers who were already licensed were not affected by these changes.</w:t>
      </w:r>
    </w:p>
    <w:p w14:paraId="06B78AAE" w14:textId="77777777" w:rsidR="009564E9" w:rsidRDefault="009564E9" w:rsidP="00802CE4">
      <w:pPr>
        <w:pStyle w:val="Heading4"/>
      </w:pPr>
      <w:r>
        <w:t>Enforcement actions</w:t>
      </w:r>
    </w:p>
    <w:p w14:paraId="4A4FF4C0" w14:textId="77777777" w:rsidR="009564E9" w:rsidRDefault="009564E9" w:rsidP="00A61C76">
      <w:pPr>
        <w:pStyle w:val="BodyText"/>
      </w:pPr>
      <w:r>
        <w:t>We took various enforcement actions in 2021–22, with a particular focus on ensuring compliance with essential estate agent obligations.</w:t>
      </w:r>
    </w:p>
    <w:p w14:paraId="786D44C9" w14:textId="77777777" w:rsidR="009564E9" w:rsidRDefault="009564E9" w:rsidP="00802CE4">
      <w:pPr>
        <w:pStyle w:val="Heading4"/>
      </w:pPr>
      <w:r>
        <w:t>Public warnings issued in 2021–22</w:t>
      </w:r>
    </w:p>
    <w:tbl>
      <w:tblPr>
        <w:tblStyle w:val="TableGrid"/>
        <w:tblW w:w="0" w:type="auto"/>
        <w:tblLayout w:type="fixed"/>
        <w:tblLook w:val="06A0" w:firstRow="1" w:lastRow="0" w:firstColumn="1" w:lastColumn="0" w:noHBand="1" w:noVBand="1"/>
      </w:tblPr>
      <w:tblGrid>
        <w:gridCol w:w="3685"/>
        <w:gridCol w:w="5387"/>
      </w:tblGrid>
      <w:tr w:rsidR="009564E9" w14:paraId="0B5788CC" w14:textId="77777777" w:rsidTr="00DD7CF3">
        <w:trPr>
          <w:cnfStyle w:val="100000000000" w:firstRow="1" w:lastRow="0" w:firstColumn="0" w:lastColumn="0" w:oddVBand="0" w:evenVBand="0" w:oddHBand="0" w:evenHBand="0" w:firstRowFirstColumn="0" w:firstRowLastColumn="0" w:lastRowFirstColumn="0" w:lastRowLastColumn="0"/>
          <w:trHeight w:val="60"/>
          <w:tblHeader/>
        </w:trPr>
        <w:tc>
          <w:tcPr>
            <w:tcW w:w="3685" w:type="dxa"/>
          </w:tcPr>
          <w:p w14:paraId="12F4C776" w14:textId="77777777" w:rsidR="009564E9" w:rsidRDefault="009564E9" w:rsidP="00BB1712">
            <w:pPr>
              <w:pStyle w:val="TableColHead"/>
            </w:pPr>
            <w:r>
              <w:t>Legislation</w:t>
            </w:r>
          </w:p>
        </w:tc>
        <w:tc>
          <w:tcPr>
            <w:tcW w:w="5387" w:type="dxa"/>
          </w:tcPr>
          <w:p w14:paraId="5394B7AF" w14:textId="77777777" w:rsidR="009564E9" w:rsidRDefault="009564E9" w:rsidP="00BB1712">
            <w:pPr>
              <w:pStyle w:val="TableColHead"/>
            </w:pPr>
            <w:r>
              <w:t>Parties</w:t>
            </w:r>
          </w:p>
        </w:tc>
      </w:tr>
      <w:tr w:rsidR="009564E9" w14:paraId="58285476" w14:textId="77777777" w:rsidTr="00DD7CF3">
        <w:trPr>
          <w:trHeight w:val="60"/>
        </w:trPr>
        <w:tc>
          <w:tcPr>
            <w:tcW w:w="3685" w:type="dxa"/>
          </w:tcPr>
          <w:p w14:paraId="3827B3E1" w14:textId="77777777" w:rsidR="009564E9" w:rsidRDefault="009564E9" w:rsidP="00BB1712">
            <w:pPr>
              <w:pStyle w:val="TableText"/>
            </w:pPr>
            <w:r w:rsidRPr="00064C94">
              <w:rPr>
                <w:rStyle w:val="Emphasis"/>
              </w:rPr>
              <w:t>Australian Consumer Law and Fair Trading Act 2012</w:t>
            </w:r>
          </w:p>
        </w:tc>
        <w:tc>
          <w:tcPr>
            <w:tcW w:w="5387" w:type="dxa"/>
          </w:tcPr>
          <w:p w14:paraId="662C9A4C" w14:textId="77777777" w:rsidR="009564E9" w:rsidRDefault="009564E9" w:rsidP="00BB1712">
            <w:pPr>
              <w:pStyle w:val="TableText"/>
            </w:pPr>
            <w:r>
              <w:t>Kingdom Warehouse</w:t>
            </w:r>
          </w:p>
        </w:tc>
      </w:tr>
    </w:tbl>
    <w:p w14:paraId="2A170B28" w14:textId="77777777" w:rsidR="009564E9" w:rsidRDefault="009564E9" w:rsidP="00802CE4">
      <w:pPr>
        <w:pStyle w:val="Heading4"/>
      </w:pPr>
      <w:r>
        <w:t>Court and tribunal matters finalised in 2021–22</w:t>
      </w:r>
    </w:p>
    <w:p w14:paraId="5113C503" w14:textId="77777777" w:rsidR="009564E9" w:rsidRDefault="009564E9" w:rsidP="00802CE4">
      <w:pPr>
        <w:pStyle w:val="Heading5"/>
      </w:pPr>
      <w:r>
        <w:t>Criminal prosecutions finalised</w:t>
      </w:r>
    </w:p>
    <w:tbl>
      <w:tblPr>
        <w:tblStyle w:val="TableGrid"/>
        <w:tblW w:w="0" w:type="auto"/>
        <w:tblLayout w:type="fixed"/>
        <w:tblLook w:val="06A0" w:firstRow="1" w:lastRow="0" w:firstColumn="1" w:lastColumn="0" w:noHBand="1" w:noVBand="1"/>
      </w:tblPr>
      <w:tblGrid>
        <w:gridCol w:w="3685"/>
        <w:gridCol w:w="5387"/>
      </w:tblGrid>
      <w:tr w:rsidR="009564E9" w14:paraId="3B16E6C7" w14:textId="77777777" w:rsidTr="00DD7CF3">
        <w:trPr>
          <w:cnfStyle w:val="100000000000" w:firstRow="1" w:lastRow="0" w:firstColumn="0" w:lastColumn="0" w:oddVBand="0" w:evenVBand="0" w:oddHBand="0" w:evenHBand="0" w:firstRowFirstColumn="0" w:firstRowLastColumn="0" w:lastRowFirstColumn="0" w:lastRowLastColumn="0"/>
          <w:trHeight w:val="60"/>
          <w:tblHeader/>
        </w:trPr>
        <w:tc>
          <w:tcPr>
            <w:tcW w:w="3685" w:type="dxa"/>
          </w:tcPr>
          <w:p w14:paraId="7E79E8DD" w14:textId="77777777" w:rsidR="009564E9" w:rsidRDefault="009564E9" w:rsidP="00BB1712">
            <w:pPr>
              <w:pStyle w:val="TableColHead"/>
            </w:pPr>
            <w:r>
              <w:t>Legislation</w:t>
            </w:r>
          </w:p>
        </w:tc>
        <w:tc>
          <w:tcPr>
            <w:tcW w:w="5387" w:type="dxa"/>
          </w:tcPr>
          <w:p w14:paraId="25E77241" w14:textId="77777777" w:rsidR="009564E9" w:rsidRDefault="009564E9" w:rsidP="00BB1712">
            <w:pPr>
              <w:pStyle w:val="TableColHead"/>
            </w:pPr>
            <w:r>
              <w:t>Parties</w:t>
            </w:r>
          </w:p>
        </w:tc>
      </w:tr>
      <w:tr w:rsidR="009564E9" w14:paraId="033F5AC3" w14:textId="77777777" w:rsidTr="00DD7CF3">
        <w:trPr>
          <w:trHeight w:val="60"/>
        </w:trPr>
        <w:tc>
          <w:tcPr>
            <w:tcW w:w="3685" w:type="dxa"/>
          </w:tcPr>
          <w:p w14:paraId="78A03ED9" w14:textId="77777777" w:rsidR="009564E9" w:rsidRDefault="009564E9" w:rsidP="00BB1712">
            <w:pPr>
              <w:pStyle w:val="TableText"/>
            </w:pPr>
            <w:r w:rsidRPr="00064C94">
              <w:rPr>
                <w:rStyle w:val="Emphasis"/>
              </w:rPr>
              <w:t>Motor Car Traders Act 1986</w:t>
            </w:r>
          </w:p>
        </w:tc>
        <w:tc>
          <w:tcPr>
            <w:tcW w:w="5387" w:type="dxa"/>
          </w:tcPr>
          <w:p w14:paraId="369813E0" w14:textId="77777777" w:rsidR="009564E9" w:rsidRDefault="009564E9" w:rsidP="00BB1712">
            <w:pPr>
              <w:pStyle w:val="TableText"/>
            </w:pPr>
            <w:proofErr w:type="spellStart"/>
            <w:r>
              <w:t>Zehar</w:t>
            </w:r>
            <w:proofErr w:type="spellEnd"/>
            <w:r>
              <w:t xml:space="preserve"> Saoud</w:t>
            </w:r>
          </w:p>
        </w:tc>
      </w:tr>
      <w:tr w:rsidR="009564E9" w14:paraId="2DF59CCB" w14:textId="77777777" w:rsidTr="00DD7CF3">
        <w:trPr>
          <w:trHeight w:val="60"/>
        </w:trPr>
        <w:tc>
          <w:tcPr>
            <w:tcW w:w="3685" w:type="dxa"/>
          </w:tcPr>
          <w:p w14:paraId="30898AE9" w14:textId="77777777" w:rsidR="009564E9" w:rsidRDefault="009564E9" w:rsidP="00BB1712">
            <w:pPr>
              <w:pStyle w:val="TableText"/>
            </w:pPr>
            <w:r w:rsidRPr="00064C94">
              <w:rPr>
                <w:rStyle w:val="Emphasis"/>
              </w:rPr>
              <w:t>Estate Agents Act 1980</w:t>
            </w:r>
          </w:p>
        </w:tc>
        <w:tc>
          <w:tcPr>
            <w:tcW w:w="5387" w:type="dxa"/>
          </w:tcPr>
          <w:p w14:paraId="27A2DC99" w14:textId="77777777" w:rsidR="009564E9" w:rsidRDefault="009564E9" w:rsidP="00BB1712">
            <w:pPr>
              <w:pStyle w:val="TableText"/>
            </w:pPr>
            <w:r>
              <w:t>Thomas Aloysius</w:t>
            </w:r>
          </w:p>
        </w:tc>
      </w:tr>
      <w:tr w:rsidR="009564E9" w14:paraId="72DE2C6E" w14:textId="77777777" w:rsidTr="00DD7CF3">
        <w:trPr>
          <w:trHeight w:val="60"/>
        </w:trPr>
        <w:tc>
          <w:tcPr>
            <w:tcW w:w="3685" w:type="dxa"/>
          </w:tcPr>
          <w:p w14:paraId="428CEEF6" w14:textId="77777777" w:rsidR="009564E9" w:rsidRDefault="009564E9" w:rsidP="00BB1712">
            <w:pPr>
              <w:pStyle w:val="TableText"/>
            </w:pPr>
            <w:r w:rsidRPr="00064C94">
              <w:rPr>
                <w:rStyle w:val="Emphasis"/>
              </w:rPr>
              <w:t>Estate Agents Act 1980</w:t>
            </w:r>
          </w:p>
        </w:tc>
        <w:tc>
          <w:tcPr>
            <w:tcW w:w="5387" w:type="dxa"/>
          </w:tcPr>
          <w:p w14:paraId="33B83DB1" w14:textId="77777777" w:rsidR="009564E9" w:rsidRDefault="009564E9" w:rsidP="00BB1712">
            <w:pPr>
              <w:pStyle w:val="TableText"/>
            </w:pPr>
            <w:r>
              <w:t>Simon Michaelis</w:t>
            </w:r>
          </w:p>
          <w:p w14:paraId="3E237F79" w14:textId="77777777" w:rsidR="009564E9" w:rsidRDefault="009564E9" w:rsidP="00BB1712">
            <w:pPr>
              <w:pStyle w:val="TableText"/>
            </w:pPr>
            <w:r>
              <w:t>Boston &amp; Brighton Property Consultants</w:t>
            </w:r>
          </w:p>
        </w:tc>
      </w:tr>
      <w:tr w:rsidR="009564E9" w14:paraId="66F83A7C" w14:textId="77777777" w:rsidTr="00DD7CF3">
        <w:trPr>
          <w:trHeight w:val="60"/>
        </w:trPr>
        <w:tc>
          <w:tcPr>
            <w:tcW w:w="3685" w:type="dxa"/>
          </w:tcPr>
          <w:p w14:paraId="505B723E" w14:textId="77777777" w:rsidR="009564E9" w:rsidRDefault="009564E9" w:rsidP="00BB1712">
            <w:pPr>
              <w:pStyle w:val="TableText"/>
            </w:pPr>
            <w:r w:rsidRPr="00064C94">
              <w:rPr>
                <w:rStyle w:val="Emphasis"/>
              </w:rPr>
              <w:t>Estate Agents Act 1980</w:t>
            </w:r>
          </w:p>
        </w:tc>
        <w:tc>
          <w:tcPr>
            <w:tcW w:w="5387" w:type="dxa"/>
          </w:tcPr>
          <w:p w14:paraId="5F3A9F25" w14:textId="77777777" w:rsidR="009564E9" w:rsidRDefault="009564E9" w:rsidP="00BB1712">
            <w:pPr>
              <w:pStyle w:val="TableText"/>
            </w:pPr>
            <w:r>
              <w:t xml:space="preserve">Amit </w:t>
            </w:r>
            <w:proofErr w:type="spellStart"/>
            <w:r>
              <w:t>Miglani</w:t>
            </w:r>
            <w:proofErr w:type="spellEnd"/>
          </w:p>
        </w:tc>
      </w:tr>
      <w:tr w:rsidR="009564E9" w14:paraId="40CE9825" w14:textId="77777777" w:rsidTr="00DD7CF3">
        <w:trPr>
          <w:trHeight w:val="60"/>
        </w:trPr>
        <w:tc>
          <w:tcPr>
            <w:tcW w:w="3685" w:type="dxa"/>
          </w:tcPr>
          <w:p w14:paraId="5BE8A467" w14:textId="77777777" w:rsidR="009564E9" w:rsidRDefault="009564E9" w:rsidP="00BB1712">
            <w:pPr>
              <w:pStyle w:val="TableText"/>
            </w:pPr>
            <w:r w:rsidRPr="00064C94">
              <w:rPr>
                <w:rStyle w:val="Emphasis"/>
              </w:rPr>
              <w:t>Estate Agents Act 1980</w:t>
            </w:r>
          </w:p>
        </w:tc>
        <w:tc>
          <w:tcPr>
            <w:tcW w:w="5387" w:type="dxa"/>
          </w:tcPr>
          <w:p w14:paraId="06F7D8D7" w14:textId="77777777" w:rsidR="009564E9" w:rsidRDefault="009564E9" w:rsidP="00BB1712">
            <w:pPr>
              <w:pStyle w:val="TableText"/>
            </w:pPr>
            <w:proofErr w:type="spellStart"/>
            <w:r>
              <w:t>Zhenhua</w:t>
            </w:r>
            <w:proofErr w:type="spellEnd"/>
            <w:r>
              <w:t xml:space="preserve"> Yang</w:t>
            </w:r>
          </w:p>
          <w:p w14:paraId="6D466647" w14:textId="77777777" w:rsidR="009564E9" w:rsidRDefault="009564E9" w:rsidP="00BB1712">
            <w:pPr>
              <w:pStyle w:val="TableText"/>
            </w:pPr>
            <w:r>
              <w:t>AUSCO Real Estate Pty Ltd</w:t>
            </w:r>
          </w:p>
        </w:tc>
      </w:tr>
      <w:tr w:rsidR="009564E9" w14:paraId="4C9AD7A0" w14:textId="77777777" w:rsidTr="00DD7CF3">
        <w:trPr>
          <w:trHeight w:val="60"/>
        </w:trPr>
        <w:tc>
          <w:tcPr>
            <w:tcW w:w="3685" w:type="dxa"/>
          </w:tcPr>
          <w:p w14:paraId="50AFA1ED" w14:textId="77777777" w:rsidR="009564E9" w:rsidRDefault="009564E9" w:rsidP="00BB1712">
            <w:pPr>
              <w:pStyle w:val="TableText"/>
            </w:pPr>
            <w:r w:rsidRPr="00064C94">
              <w:rPr>
                <w:rStyle w:val="Emphasis"/>
              </w:rPr>
              <w:t>Australian Consumer Law and Fair Trading Act 2012</w:t>
            </w:r>
          </w:p>
        </w:tc>
        <w:tc>
          <w:tcPr>
            <w:tcW w:w="5387" w:type="dxa"/>
          </w:tcPr>
          <w:p w14:paraId="7CE3DCCE" w14:textId="77777777" w:rsidR="009564E9" w:rsidRDefault="009564E9" w:rsidP="00BB1712">
            <w:pPr>
              <w:pStyle w:val="TableText"/>
            </w:pPr>
            <w:r>
              <w:t xml:space="preserve">Andreas </w:t>
            </w:r>
            <w:proofErr w:type="spellStart"/>
            <w:r>
              <w:t>Triantafyllos</w:t>
            </w:r>
            <w:proofErr w:type="spellEnd"/>
          </w:p>
        </w:tc>
      </w:tr>
      <w:tr w:rsidR="009564E9" w14:paraId="2D6C0EC1" w14:textId="77777777" w:rsidTr="00DD7CF3">
        <w:trPr>
          <w:trHeight w:val="60"/>
        </w:trPr>
        <w:tc>
          <w:tcPr>
            <w:tcW w:w="3685" w:type="dxa"/>
          </w:tcPr>
          <w:p w14:paraId="6B4EFAA7" w14:textId="77777777" w:rsidR="009564E9" w:rsidRDefault="009564E9" w:rsidP="00BB1712">
            <w:pPr>
              <w:pStyle w:val="TableText"/>
            </w:pPr>
            <w:r w:rsidRPr="00064C94">
              <w:rPr>
                <w:rStyle w:val="Emphasis"/>
              </w:rPr>
              <w:t>Domestic Building Contracts Act 1995</w:t>
            </w:r>
          </w:p>
        </w:tc>
        <w:tc>
          <w:tcPr>
            <w:tcW w:w="5387" w:type="dxa"/>
          </w:tcPr>
          <w:p w14:paraId="4FF2B73A" w14:textId="77777777" w:rsidR="009564E9" w:rsidRDefault="009564E9" w:rsidP="00BB1712">
            <w:pPr>
              <w:pStyle w:val="TableText"/>
            </w:pPr>
            <w:r>
              <w:t>Michael Johnson</w:t>
            </w:r>
          </w:p>
        </w:tc>
      </w:tr>
      <w:tr w:rsidR="009564E9" w14:paraId="6E1F5913" w14:textId="77777777" w:rsidTr="00DD7CF3">
        <w:trPr>
          <w:trHeight w:val="60"/>
        </w:trPr>
        <w:tc>
          <w:tcPr>
            <w:tcW w:w="3685" w:type="dxa"/>
          </w:tcPr>
          <w:p w14:paraId="257EBE0F" w14:textId="77777777" w:rsidR="009564E9" w:rsidRDefault="009564E9" w:rsidP="00BB1712">
            <w:pPr>
              <w:pStyle w:val="TableText"/>
            </w:pPr>
            <w:r w:rsidRPr="00064C94">
              <w:rPr>
                <w:rStyle w:val="Emphasis"/>
              </w:rPr>
              <w:t>Motor Car Traders Act 1986</w:t>
            </w:r>
          </w:p>
        </w:tc>
        <w:tc>
          <w:tcPr>
            <w:tcW w:w="5387" w:type="dxa"/>
          </w:tcPr>
          <w:p w14:paraId="0A4E04EB" w14:textId="77777777" w:rsidR="009564E9" w:rsidRDefault="009564E9" w:rsidP="00BB1712">
            <w:pPr>
              <w:pStyle w:val="TableText"/>
            </w:pPr>
            <w:r>
              <w:t>Drives (</w:t>
            </w:r>
            <w:proofErr w:type="spellStart"/>
            <w:r>
              <w:t>Aus</w:t>
            </w:r>
            <w:proofErr w:type="spellEnd"/>
            <w:r>
              <w:t>) Pty Ltd</w:t>
            </w:r>
          </w:p>
        </w:tc>
      </w:tr>
    </w:tbl>
    <w:p w14:paraId="4B3560BF" w14:textId="77777777" w:rsidR="009564E9" w:rsidRDefault="009564E9" w:rsidP="00802CE4">
      <w:pPr>
        <w:pStyle w:val="Heading5"/>
      </w:pPr>
      <w:r>
        <w:lastRenderedPageBreak/>
        <w:t>Civil proceedings finalised (including disciplinary inquiry and appeals)</w:t>
      </w:r>
    </w:p>
    <w:tbl>
      <w:tblPr>
        <w:tblStyle w:val="TableGrid"/>
        <w:tblW w:w="0" w:type="auto"/>
        <w:tblLayout w:type="fixed"/>
        <w:tblLook w:val="06A0" w:firstRow="1" w:lastRow="0" w:firstColumn="1" w:lastColumn="0" w:noHBand="1" w:noVBand="1"/>
      </w:tblPr>
      <w:tblGrid>
        <w:gridCol w:w="3685"/>
        <w:gridCol w:w="5387"/>
      </w:tblGrid>
      <w:tr w:rsidR="009564E9" w14:paraId="2716504F" w14:textId="77777777" w:rsidTr="00DD7CF3">
        <w:trPr>
          <w:cnfStyle w:val="100000000000" w:firstRow="1" w:lastRow="0" w:firstColumn="0" w:lastColumn="0" w:oddVBand="0" w:evenVBand="0" w:oddHBand="0" w:evenHBand="0" w:firstRowFirstColumn="0" w:firstRowLastColumn="0" w:lastRowFirstColumn="0" w:lastRowLastColumn="0"/>
          <w:trHeight w:val="60"/>
          <w:tblHeader/>
        </w:trPr>
        <w:tc>
          <w:tcPr>
            <w:tcW w:w="3685" w:type="dxa"/>
          </w:tcPr>
          <w:p w14:paraId="59CD5E18" w14:textId="77777777" w:rsidR="009564E9" w:rsidRDefault="009564E9" w:rsidP="00BB1712">
            <w:pPr>
              <w:pStyle w:val="TableColHead"/>
            </w:pPr>
            <w:r>
              <w:t>Legislation</w:t>
            </w:r>
          </w:p>
        </w:tc>
        <w:tc>
          <w:tcPr>
            <w:tcW w:w="5387" w:type="dxa"/>
          </w:tcPr>
          <w:p w14:paraId="369FAF56" w14:textId="77777777" w:rsidR="009564E9" w:rsidRDefault="009564E9" w:rsidP="00BB1712">
            <w:pPr>
              <w:pStyle w:val="TableColHead"/>
            </w:pPr>
            <w:r>
              <w:t>Parties</w:t>
            </w:r>
          </w:p>
        </w:tc>
      </w:tr>
      <w:tr w:rsidR="009564E9" w14:paraId="1CC6A907" w14:textId="77777777" w:rsidTr="00DD7CF3">
        <w:trPr>
          <w:trHeight w:val="60"/>
        </w:trPr>
        <w:tc>
          <w:tcPr>
            <w:tcW w:w="3685" w:type="dxa"/>
          </w:tcPr>
          <w:p w14:paraId="1E13A6EA" w14:textId="77777777" w:rsidR="009564E9" w:rsidRDefault="009564E9" w:rsidP="00BB1712">
            <w:pPr>
              <w:pStyle w:val="TableText"/>
            </w:pPr>
            <w:r w:rsidRPr="00064C94">
              <w:rPr>
                <w:rStyle w:val="Emphasis"/>
              </w:rPr>
              <w:t>Australian Consumer Law and Fair Trading Act 2012</w:t>
            </w:r>
          </w:p>
        </w:tc>
        <w:tc>
          <w:tcPr>
            <w:tcW w:w="5387" w:type="dxa"/>
          </w:tcPr>
          <w:p w14:paraId="72F72C08" w14:textId="77777777" w:rsidR="009564E9" w:rsidRDefault="009564E9" w:rsidP="00BB1712">
            <w:pPr>
              <w:pStyle w:val="TableText"/>
            </w:pPr>
            <w:r>
              <w:t>Vic Solar Technologies</w:t>
            </w:r>
          </w:p>
          <w:p w14:paraId="0F61249F" w14:textId="77777777" w:rsidR="009564E9" w:rsidRDefault="009564E9" w:rsidP="00BB1712">
            <w:pPr>
              <w:pStyle w:val="TableText"/>
            </w:pPr>
            <w:r>
              <w:t>Sunny Srinivasan</w:t>
            </w:r>
          </w:p>
        </w:tc>
      </w:tr>
      <w:tr w:rsidR="009564E9" w14:paraId="3D76911A" w14:textId="77777777" w:rsidTr="00DD7CF3">
        <w:trPr>
          <w:trHeight w:val="60"/>
        </w:trPr>
        <w:tc>
          <w:tcPr>
            <w:tcW w:w="3685" w:type="dxa"/>
          </w:tcPr>
          <w:p w14:paraId="0C4F2D0A" w14:textId="77777777" w:rsidR="009564E9" w:rsidRDefault="009564E9" w:rsidP="00BB1712">
            <w:pPr>
              <w:pStyle w:val="TableText"/>
            </w:pPr>
            <w:r w:rsidRPr="00064C94">
              <w:rPr>
                <w:rStyle w:val="Emphasis"/>
              </w:rPr>
              <w:t>Estate Agents Act 1980</w:t>
            </w:r>
          </w:p>
        </w:tc>
        <w:tc>
          <w:tcPr>
            <w:tcW w:w="5387" w:type="dxa"/>
          </w:tcPr>
          <w:p w14:paraId="547F94A6" w14:textId="77777777" w:rsidR="009564E9" w:rsidRDefault="009564E9" w:rsidP="00BB1712">
            <w:pPr>
              <w:pStyle w:val="TableText"/>
            </w:pPr>
            <w:r>
              <w:t>Colliers International (Victoria) Pty Ltd</w:t>
            </w:r>
          </w:p>
        </w:tc>
      </w:tr>
      <w:tr w:rsidR="009564E9" w14:paraId="56E70642" w14:textId="77777777" w:rsidTr="00DD7CF3">
        <w:trPr>
          <w:trHeight w:val="60"/>
        </w:trPr>
        <w:tc>
          <w:tcPr>
            <w:tcW w:w="3685" w:type="dxa"/>
          </w:tcPr>
          <w:p w14:paraId="08A96266" w14:textId="77777777" w:rsidR="009564E9" w:rsidRDefault="009564E9" w:rsidP="00BB1712">
            <w:pPr>
              <w:pStyle w:val="TableText"/>
            </w:pPr>
            <w:r w:rsidRPr="00064C94">
              <w:rPr>
                <w:rStyle w:val="Emphasis"/>
              </w:rPr>
              <w:t>Estate Agents Act 1980</w:t>
            </w:r>
          </w:p>
        </w:tc>
        <w:tc>
          <w:tcPr>
            <w:tcW w:w="5387" w:type="dxa"/>
          </w:tcPr>
          <w:p w14:paraId="65308F43" w14:textId="77777777" w:rsidR="009564E9" w:rsidRDefault="009564E9" w:rsidP="00BB1712">
            <w:pPr>
              <w:pStyle w:val="TableText"/>
            </w:pPr>
            <w:r>
              <w:t xml:space="preserve">The </w:t>
            </w:r>
            <w:proofErr w:type="spellStart"/>
            <w:r>
              <w:t>Sarain</w:t>
            </w:r>
            <w:proofErr w:type="spellEnd"/>
            <w:r>
              <w:t xml:space="preserve"> Pty Ltd</w:t>
            </w:r>
          </w:p>
          <w:p w14:paraId="12F4DDA0" w14:textId="77777777" w:rsidR="009564E9" w:rsidRDefault="009564E9" w:rsidP="00BB1712">
            <w:pPr>
              <w:pStyle w:val="TableText"/>
            </w:pPr>
            <w:r>
              <w:t xml:space="preserve">Surinder </w:t>
            </w:r>
            <w:proofErr w:type="spellStart"/>
            <w:r>
              <w:t>Sarain</w:t>
            </w:r>
            <w:proofErr w:type="spellEnd"/>
          </w:p>
        </w:tc>
      </w:tr>
    </w:tbl>
    <w:p w14:paraId="1B9E50F0" w14:textId="7D128F0B" w:rsidR="009564E9" w:rsidRDefault="009564E9" w:rsidP="00802CE4">
      <w:pPr>
        <w:pStyle w:val="Heading5"/>
      </w:pPr>
      <w:r>
        <w:t>Administrative/judicial review completed on behalf</w:t>
      </w:r>
      <w:r w:rsidR="00FB35C3">
        <w:br/>
      </w:r>
      <w:r>
        <w:t>of the Business Licensing Authority (BLA) and others</w:t>
      </w:r>
    </w:p>
    <w:tbl>
      <w:tblPr>
        <w:tblStyle w:val="TableGrid"/>
        <w:tblW w:w="0" w:type="auto"/>
        <w:tblLayout w:type="fixed"/>
        <w:tblLook w:val="06A0" w:firstRow="1" w:lastRow="0" w:firstColumn="1" w:lastColumn="0" w:noHBand="1" w:noVBand="1"/>
      </w:tblPr>
      <w:tblGrid>
        <w:gridCol w:w="3685"/>
        <w:gridCol w:w="5387"/>
      </w:tblGrid>
      <w:tr w:rsidR="009564E9" w14:paraId="406FF905" w14:textId="77777777" w:rsidTr="00DD7CF3">
        <w:trPr>
          <w:cnfStyle w:val="100000000000" w:firstRow="1" w:lastRow="0" w:firstColumn="0" w:lastColumn="0" w:oddVBand="0" w:evenVBand="0" w:oddHBand="0" w:evenHBand="0" w:firstRowFirstColumn="0" w:firstRowLastColumn="0" w:lastRowFirstColumn="0" w:lastRowLastColumn="0"/>
          <w:trHeight w:val="60"/>
          <w:tblHeader/>
        </w:trPr>
        <w:tc>
          <w:tcPr>
            <w:tcW w:w="3685" w:type="dxa"/>
          </w:tcPr>
          <w:p w14:paraId="2393D6FD" w14:textId="77777777" w:rsidR="009564E9" w:rsidRDefault="009564E9" w:rsidP="00BB1712">
            <w:pPr>
              <w:pStyle w:val="TableColHead"/>
            </w:pPr>
            <w:r>
              <w:t>Legislation</w:t>
            </w:r>
          </w:p>
        </w:tc>
        <w:tc>
          <w:tcPr>
            <w:tcW w:w="5387" w:type="dxa"/>
          </w:tcPr>
          <w:p w14:paraId="79AB6C8B" w14:textId="77777777" w:rsidR="009564E9" w:rsidRDefault="009564E9" w:rsidP="00BB1712">
            <w:pPr>
              <w:pStyle w:val="TableColHead"/>
            </w:pPr>
            <w:r>
              <w:t>Parties</w:t>
            </w:r>
          </w:p>
        </w:tc>
      </w:tr>
      <w:tr w:rsidR="009564E9" w14:paraId="2905D0EA" w14:textId="77777777" w:rsidTr="00DD7CF3">
        <w:trPr>
          <w:trHeight w:val="60"/>
        </w:trPr>
        <w:tc>
          <w:tcPr>
            <w:tcW w:w="3685" w:type="dxa"/>
          </w:tcPr>
          <w:p w14:paraId="22B11DA5" w14:textId="77777777" w:rsidR="009564E9" w:rsidRDefault="009564E9" w:rsidP="00BB1712">
            <w:pPr>
              <w:pStyle w:val="TableText"/>
            </w:pPr>
            <w:r w:rsidRPr="00064C94">
              <w:rPr>
                <w:rStyle w:val="Emphasis"/>
              </w:rPr>
              <w:t>Estate Agents Act 1980</w:t>
            </w:r>
          </w:p>
        </w:tc>
        <w:tc>
          <w:tcPr>
            <w:tcW w:w="5387" w:type="dxa"/>
          </w:tcPr>
          <w:p w14:paraId="7FCAFAD6" w14:textId="77777777" w:rsidR="009564E9" w:rsidRDefault="009564E9" w:rsidP="00BB1712">
            <w:pPr>
              <w:pStyle w:val="TableText"/>
            </w:pPr>
            <w:r>
              <w:t>Mitchell Burdett</w:t>
            </w:r>
          </w:p>
        </w:tc>
      </w:tr>
      <w:tr w:rsidR="009564E9" w14:paraId="1E6495B8" w14:textId="77777777" w:rsidTr="00DD7CF3">
        <w:trPr>
          <w:trHeight w:val="60"/>
        </w:trPr>
        <w:tc>
          <w:tcPr>
            <w:tcW w:w="3685" w:type="dxa"/>
          </w:tcPr>
          <w:p w14:paraId="5F2C6D82" w14:textId="77777777" w:rsidR="009564E9" w:rsidRDefault="009564E9" w:rsidP="00BB1712">
            <w:pPr>
              <w:pStyle w:val="TableText"/>
            </w:pPr>
            <w:r w:rsidRPr="00064C94">
              <w:rPr>
                <w:rStyle w:val="Emphasis"/>
              </w:rPr>
              <w:t>Estate Agents Act 1980</w:t>
            </w:r>
          </w:p>
        </w:tc>
        <w:tc>
          <w:tcPr>
            <w:tcW w:w="5387" w:type="dxa"/>
          </w:tcPr>
          <w:p w14:paraId="4671FF86" w14:textId="77777777" w:rsidR="009564E9" w:rsidRDefault="009564E9" w:rsidP="00BB1712">
            <w:pPr>
              <w:pStyle w:val="TableText"/>
            </w:pPr>
            <w:proofErr w:type="spellStart"/>
            <w:r>
              <w:t>Erdal</w:t>
            </w:r>
            <w:proofErr w:type="spellEnd"/>
            <w:r>
              <w:t xml:space="preserve"> </w:t>
            </w:r>
            <w:proofErr w:type="spellStart"/>
            <w:r>
              <w:t>Karaagac</w:t>
            </w:r>
            <w:proofErr w:type="spellEnd"/>
          </w:p>
        </w:tc>
      </w:tr>
      <w:tr w:rsidR="009564E9" w14:paraId="6524868D" w14:textId="77777777" w:rsidTr="00DD7CF3">
        <w:trPr>
          <w:trHeight w:val="60"/>
        </w:trPr>
        <w:tc>
          <w:tcPr>
            <w:tcW w:w="3685" w:type="dxa"/>
          </w:tcPr>
          <w:p w14:paraId="13D065C0" w14:textId="77777777" w:rsidR="009564E9" w:rsidRDefault="009564E9" w:rsidP="00BB1712">
            <w:pPr>
              <w:pStyle w:val="TableText"/>
            </w:pPr>
            <w:r w:rsidRPr="00064C94">
              <w:rPr>
                <w:rStyle w:val="Emphasis"/>
              </w:rPr>
              <w:t>Estate Agents Act 1980</w:t>
            </w:r>
          </w:p>
        </w:tc>
        <w:tc>
          <w:tcPr>
            <w:tcW w:w="5387" w:type="dxa"/>
          </w:tcPr>
          <w:p w14:paraId="3CDC292D" w14:textId="77777777" w:rsidR="009564E9" w:rsidRDefault="009564E9" w:rsidP="00BB1712">
            <w:pPr>
              <w:pStyle w:val="TableText"/>
            </w:pPr>
            <w:r>
              <w:t xml:space="preserve">Irena </w:t>
            </w:r>
            <w:proofErr w:type="spellStart"/>
            <w:r>
              <w:t>Tsan</w:t>
            </w:r>
            <w:proofErr w:type="spellEnd"/>
          </w:p>
        </w:tc>
      </w:tr>
      <w:tr w:rsidR="009564E9" w14:paraId="5C8456E2" w14:textId="77777777" w:rsidTr="00DD7CF3">
        <w:trPr>
          <w:trHeight w:val="60"/>
        </w:trPr>
        <w:tc>
          <w:tcPr>
            <w:tcW w:w="3685" w:type="dxa"/>
          </w:tcPr>
          <w:p w14:paraId="454ABBF2" w14:textId="77777777" w:rsidR="009564E9" w:rsidRDefault="009564E9" w:rsidP="00BB1712">
            <w:pPr>
              <w:pStyle w:val="TableText"/>
            </w:pPr>
            <w:r w:rsidRPr="00064C94">
              <w:rPr>
                <w:rStyle w:val="Emphasis"/>
              </w:rPr>
              <w:t>Estate Agents Act 1980</w:t>
            </w:r>
          </w:p>
        </w:tc>
        <w:tc>
          <w:tcPr>
            <w:tcW w:w="5387" w:type="dxa"/>
          </w:tcPr>
          <w:p w14:paraId="5F18FBE5" w14:textId="77777777" w:rsidR="009564E9" w:rsidRDefault="009564E9" w:rsidP="00BB1712">
            <w:pPr>
              <w:pStyle w:val="TableText"/>
            </w:pPr>
            <w:r>
              <w:t>Michael Burdett</w:t>
            </w:r>
          </w:p>
        </w:tc>
      </w:tr>
    </w:tbl>
    <w:p w14:paraId="6CA1C5BF" w14:textId="77777777" w:rsidR="009564E9" w:rsidRDefault="009564E9" w:rsidP="00802CE4">
      <w:pPr>
        <w:pStyle w:val="Heading4"/>
      </w:pPr>
      <w:r>
        <w:t>Ongoing court matters as at 30 June 2022</w:t>
      </w:r>
    </w:p>
    <w:p w14:paraId="152C153E" w14:textId="77777777" w:rsidR="009564E9" w:rsidRDefault="009564E9" w:rsidP="00802CE4">
      <w:pPr>
        <w:pStyle w:val="Heading5"/>
      </w:pPr>
      <w:r>
        <w:t>Criminal prosecution</w:t>
      </w:r>
    </w:p>
    <w:tbl>
      <w:tblPr>
        <w:tblStyle w:val="TableGrid"/>
        <w:tblW w:w="0" w:type="auto"/>
        <w:tblLayout w:type="fixed"/>
        <w:tblLook w:val="06A0" w:firstRow="1" w:lastRow="0" w:firstColumn="1" w:lastColumn="0" w:noHBand="1" w:noVBand="1"/>
      </w:tblPr>
      <w:tblGrid>
        <w:gridCol w:w="3685"/>
        <w:gridCol w:w="5387"/>
      </w:tblGrid>
      <w:tr w:rsidR="009564E9" w14:paraId="32A6CC8A" w14:textId="77777777" w:rsidTr="00DD7CF3">
        <w:trPr>
          <w:cnfStyle w:val="100000000000" w:firstRow="1" w:lastRow="0" w:firstColumn="0" w:lastColumn="0" w:oddVBand="0" w:evenVBand="0" w:oddHBand="0" w:evenHBand="0" w:firstRowFirstColumn="0" w:firstRowLastColumn="0" w:lastRowFirstColumn="0" w:lastRowLastColumn="0"/>
          <w:trHeight w:val="60"/>
          <w:tblHeader/>
        </w:trPr>
        <w:tc>
          <w:tcPr>
            <w:tcW w:w="3685" w:type="dxa"/>
          </w:tcPr>
          <w:p w14:paraId="5737B1BB" w14:textId="77777777" w:rsidR="009564E9" w:rsidRDefault="009564E9" w:rsidP="00BB1712">
            <w:pPr>
              <w:pStyle w:val="TableColHead"/>
            </w:pPr>
            <w:r>
              <w:t>Legislation</w:t>
            </w:r>
          </w:p>
        </w:tc>
        <w:tc>
          <w:tcPr>
            <w:tcW w:w="5387" w:type="dxa"/>
          </w:tcPr>
          <w:p w14:paraId="0EAA3458" w14:textId="77777777" w:rsidR="009564E9" w:rsidRDefault="009564E9" w:rsidP="00BB1712">
            <w:pPr>
              <w:pStyle w:val="TableColHead"/>
            </w:pPr>
            <w:r>
              <w:t>Parties</w:t>
            </w:r>
          </w:p>
        </w:tc>
      </w:tr>
      <w:tr w:rsidR="009564E9" w14:paraId="3A7B7E9E" w14:textId="77777777" w:rsidTr="00DD7CF3">
        <w:trPr>
          <w:trHeight w:val="60"/>
        </w:trPr>
        <w:tc>
          <w:tcPr>
            <w:tcW w:w="3685" w:type="dxa"/>
          </w:tcPr>
          <w:p w14:paraId="4401A94B" w14:textId="77777777" w:rsidR="009564E9" w:rsidRDefault="009564E9" w:rsidP="00BB1712">
            <w:pPr>
              <w:pStyle w:val="TableText"/>
            </w:pPr>
            <w:r w:rsidRPr="00064C94">
              <w:rPr>
                <w:rStyle w:val="Emphasis"/>
              </w:rPr>
              <w:t>Residential Tenancies Act 1997</w:t>
            </w:r>
          </w:p>
        </w:tc>
        <w:tc>
          <w:tcPr>
            <w:tcW w:w="5387" w:type="dxa"/>
          </w:tcPr>
          <w:p w14:paraId="0EC86FF3" w14:textId="77777777" w:rsidR="009564E9" w:rsidRDefault="009564E9" w:rsidP="00BB1712">
            <w:pPr>
              <w:pStyle w:val="TableText"/>
            </w:pPr>
            <w:proofErr w:type="spellStart"/>
            <w:r>
              <w:t>Waterdale</w:t>
            </w:r>
            <w:proofErr w:type="spellEnd"/>
            <w:r>
              <w:t xml:space="preserve"> Property Agent Pty Ltd</w:t>
            </w:r>
          </w:p>
        </w:tc>
      </w:tr>
      <w:tr w:rsidR="009564E9" w14:paraId="6454A69A" w14:textId="77777777" w:rsidTr="00DD7CF3">
        <w:trPr>
          <w:trHeight w:val="60"/>
        </w:trPr>
        <w:tc>
          <w:tcPr>
            <w:tcW w:w="3685" w:type="dxa"/>
          </w:tcPr>
          <w:p w14:paraId="2EB535DC" w14:textId="77777777" w:rsidR="009564E9" w:rsidRDefault="009564E9" w:rsidP="00BB1712">
            <w:pPr>
              <w:pStyle w:val="TableText"/>
            </w:pPr>
            <w:r w:rsidRPr="00064C94">
              <w:rPr>
                <w:rStyle w:val="Emphasis"/>
              </w:rPr>
              <w:t>Estate Agents act 1980</w:t>
            </w:r>
          </w:p>
        </w:tc>
        <w:tc>
          <w:tcPr>
            <w:tcW w:w="5387" w:type="dxa"/>
          </w:tcPr>
          <w:p w14:paraId="78E0172E" w14:textId="77777777" w:rsidR="009564E9" w:rsidRDefault="009564E9" w:rsidP="00BB1712">
            <w:pPr>
              <w:pStyle w:val="TableText"/>
            </w:pPr>
            <w:r>
              <w:t>Skyline Developments</w:t>
            </w:r>
          </w:p>
          <w:p w14:paraId="47E62CE2" w14:textId="77777777" w:rsidR="009564E9" w:rsidRDefault="009564E9" w:rsidP="00BB1712">
            <w:pPr>
              <w:pStyle w:val="TableText"/>
            </w:pPr>
            <w:r>
              <w:t>Richard Hayden</w:t>
            </w:r>
          </w:p>
        </w:tc>
      </w:tr>
      <w:tr w:rsidR="009564E9" w14:paraId="48FC4337" w14:textId="77777777" w:rsidTr="00DD7CF3">
        <w:trPr>
          <w:trHeight w:val="60"/>
        </w:trPr>
        <w:tc>
          <w:tcPr>
            <w:tcW w:w="3685" w:type="dxa"/>
          </w:tcPr>
          <w:p w14:paraId="1E884D3F" w14:textId="77777777" w:rsidR="009564E9" w:rsidRDefault="009564E9" w:rsidP="00BB1712">
            <w:pPr>
              <w:pStyle w:val="TableText"/>
            </w:pPr>
            <w:r w:rsidRPr="00064C94">
              <w:rPr>
                <w:rStyle w:val="Emphasis"/>
              </w:rPr>
              <w:t>Conveyancers Act 2006</w:t>
            </w:r>
          </w:p>
        </w:tc>
        <w:tc>
          <w:tcPr>
            <w:tcW w:w="5387" w:type="dxa"/>
          </w:tcPr>
          <w:p w14:paraId="6E08218E" w14:textId="77777777" w:rsidR="009564E9" w:rsidRDefault="009564E9" w:rsidP="00BB1712">
            <w:pPr>
              <w:pStyle w:val="TableText"/>
            </w:pPr>
            <w:r>
              <w:t xml:space="preserve">Marina </w:t>
            </w:r>
            <w:proofErr w:type="spellStart"/>
            <w:r>
              <w:t>Laprese</w:t>
            </w:r>
            <w:proofErr w:type="spellEnd"/>
          </w:p>
        </w:tc>
      </w:tr>
      <w:tr w:rsidR="009564E9" w14:paraId="190412DE" w14:textId="77777777" w:rsidTr="00DD7CF3">
        <w:trPr>
          <w:trHeight w:val="60"/>
        </w:trPr>
        <w:tc>
          <w:tcPr>
            <w:tcW w:w="3685" w:type="dxa"/>
          </w:tcPr>
          <w:p w14:paraId="10AB6DC6" w14:textId="77777777" w:rsidR="009564E9" w:rsidRDefault="009564E9" w:rsidP="00BB1712">
            <w:pPr>
              <w:pStyle w:val="TableText"/>
            </w:pPr>
            <w:r w:rsidRPr="00064C94">
              <w:rPr>
                <w:rStyle w:val="Emphasis"/>
              </w:rPr>
              <w:t>Estate Agents Act 1980</w:t>
            </w:r>
          </w:p>
        </w:tc>
        <w:tc>
          <w:tcPr>
            <w:tcW w:w="5387" w:type="dxa"/>
          </w:tcPr>
          <w:p w14:paraId="1B9F01C6" w14:textId="77777777" w:rsidR="009564E9" w:rsidRDefault="009564E9" w:rsidP="00BB1712">
            <w:pPr>
              <w:pStyle w:val="TableText"/>
            </w:pPr>
            <w:r>
              <w:t>BSM Realty</w:t>
            </w:r>
          </w:p>
          <w:p w14:paraId="3E13CF4A" w14:textId="77777777" w:rsidR="009564E9" w:rsidRDefault="009564E9" w:rsidP="00BB1712">
            <w:pPr>
              <w:pStyle w:val="TableText"/>
            </w:pPr>
            <w:r>
              <w:t>Kylie Campbell</w:t>
            </w:r>
          </w:p>
        </w:tc>
      </w:tr>
      <w:tr w:rsidR="009564E9" w14:paraId="4692F897" w14:textId="77777777" w:rsidTr="00DD7CF3">
        <w:trPr>
          <w:trHeight w:val="60"/>
        </w:trPr>
        <w:tc>
          <w:tcPr>
            <w:tcW w:w="3685" w:type="dxa"/>
          </w:tcPr>
          <w:p w14:paraId="4C547EFA" w14:textId="77777777" w:rsidR="009564E9" w:rsidRDefault="009564E9" w:rsidP="00BB1712">
            <w:pPr>
              <w:pStyle w:val="TableText"/>
            </w:pPr>
            <w:r w:rsidRPr="00064C94">
              <w:rPr>
                <w:rStyle w:val="Emphasis"/>
              </w:rPr>
              <w:t>Motor Car Traders Act 1986</w:t>
            </w:r>
          </w:p>
        </w:tc>
        <w:tc>
          <w:tcPr>
            <w:tcW w:w="5387" w:type="dxa"/>
          </w:tcPr>
          <w:p w14:paraId="60981CBA" w14:textId="77777777" w:rsidR="009564E9" w:rsidRDefault="009564E9" w:rsidP="00BB1712">
            <w:pPr>
              <w:pStyle w:val="TableText"/>
            </w:pPr>
            <w:proofErr w:type="spellStart"/>
            <w:r>
              <w:t>Shahriyar</w:t>
            </w:r>
            <w:proofErr w:type="spellEnd"/>
            <w:r>
              <w:t xml:space="preserve"> Noori</w:t>
            </w:r>
          </w:p>
        </w:tc>
      </w:tr>
      <w:tr w:rsidR="009564E9" w14:paraId="4820F28F" w14:textId="77777777" w:rsidTr="00DD7CF3">
        <w:trPr>
          <w:trHeight w:val="60"/>
        </w:trPr>
        <w:tc>
          <w:tcPr>
            <w:tcW w:w="3685" w:type="dxa"/>
          </w:tcPr>
          <w:p w14:paraId="0F579DB6" w14:textId="77777777" w:rsidR="009564E9" w:rsidRDefault="009564E9" w:rsidP="00BB1712">
            <w:pPr>
              <w:pStyle w:val="TableText"/>
            </w:pPr>
            <w:r w:rsidRPr="00064C94">
              <w:rPr>
                <w:rStyle w:val="Emphasis"/>
              </w:rPr>
              <w:t>Estate Agents Act 1980</w:t>
            </w:r>
          </w:p>
        </w:tc>
        <w:tc>
          <w:tcPr>
            <w:tcW w:w="5387" w:type="dxa"/>
          </w:tcPr>
          <w:p w14:paraId="2F4A1554" w14:textId="77777777" w:rsidR="009564E9" w:rsidRDefault="009564E9" w:rsidP="00BB1712">
            <w:pPr>
              <w:pStyle w:val="TableText"/>
            </w:pPr>
            <w:r>
              <w:t>Lawrence Paul Vella</w:t>
            </w:r>
          </w:p>
        </w:tc>
      </w:tr>
      <w:tr w:rsidR="009564E9" w14:paraId="5ADDE70A" w14:textId="77777777" w:rsidTr="00DD7CF3">
        <w:trPr>
          <w:trHeight w:val="60"/>
        </w:trPr>
        <w:tc>
          <w:tcPr>
            <w:tcW w:w="3685" w:type="dxa"/>
          </w:tcPr>
          <w:p w14:paraId="330636E2" w14:textId="77777777" w:rsidR="009564E9" w:rsidRDefault="009564E9" w:rsidP="00BB1712">
            <w:pPr>
              <w:pStyle w:val="TableText"/>
            </w:pPr>
            <w:r w:rsidRPr="00064C94">
              <w:rPr>
                <w:rStyle w:val="Emphasis"/>
              </w:rPr>
              <w:t>Estate Agents Act 1980</w:t>
            </w:r>
          </w:p>
        </w:tc>
        <w:tc>
          <w:tcPr>
            <w:tcW w:w="5387" w:type="dxa"/>
          </w:tcPr>
          <w:p w14:paraId="10745B44" w14:textId="77777777" w:rsidR="009564E9" w:rsidRDefault="009564E9" w:rsidP="00BB1712">
            <w:pPr>
              <w:pStyle w:val="TableText"/>
            </w:pPr>
            <w:r>
              <w:t xml:space="preserve">Justin </w:t>
            </w:r>
            <w:proofErr w:type="spellStart"/>
            <w:r>
              <w:t>Scavo</w:t>
            </w:r>
            <w:proofErr w:type="spellEnd"/>
          </w:p>
        </w:tc>
      </w:tr>
      <w:tr w:rsidR="009564E9" w14:paraId="031E2AA8" w14:textId="77777777" w:rsidTr="00DD7CF3">
        <w:trPr>
          <w:trHeight w:val="60"/>
        </w:trPr>
        <w:tc>
          <w:tcPr>
            <w:tcW w:w="3685" w:type="dxa"/>
          </w:tcPr>
          <w:p w14:paraId="0DF55256" w14:textId="77777777" w:rsidR="009564E9" w:rsidRDefault="009564E9" w:rsidP="00BB1712">
            <w:pPr>
              <w:pStyle w:val="TableText"/>
            </w:pPr>
            <w:r w:rsidRPr="00064C94">
              <w:rPr>
                <w:rStyle w:val="Emphasis"/>
              </w:rPr>
              <w:t>Conveyancers Act 2006</w:t>
            </w:r>
          </w:p>
        </w:tc>
        <w:tc>
          <w:tcPr>
            <w:tcW w:w="5387" w:type="dxa"/>
          </w:tcPr>
          <w:p w14:paraId="17646FB5" w14:textId="77777777" w:rsidR="009564E9" w:rsidRDefault="009564E9" w:rsidP="00BB1712">
            <w:pPr>
              <w:pStyle w:val="TableText"/>
            </w:pPr>
            <w:r>
              <w:t>Eric Hans Richmond</w:t>
            </w:r>
          </w:p>
        </w:tc>
      </w:tr>
    </w:tbl>
    <w:p w14:paraId="21F987C0" w14:textId="77777777" w:rsidR="009564E9" w:rsidRDefault="009564E9" w:rsidP="00802CE4">
      <w:pPr>
        <w:pStyle w:val="Heading5"/>
      </w:pPr>
      <w:r>
        <w:t>Civil proceedings (including disciplinary inquiry)</w:t>
      </w:r>
    </w:p>
    <w:tbl>
      <w:tblPr>
        <w:tblStyle w:val="TableGrid"/>
        <w:tblW w:w="0" w:type="auto"/>
        <w:tblLayout w:type="fixed"/>
        <w:tblLook w:val="06A0" w:firstRow="1" w:lastRow="0" w:firstColumn="1" w:lastColumn="0" w:noHBand="1" w:noVBand="1"/>
      </w:tblPr>
      <w:tblGrid>
        <w:gridCol w:w="3685"/>
        <w:gridCol w:w="5387"/>
      </w:tblGrid>
      <w:tr w:rsidR="009564E9" w14:paraId="4975159D" w14:textId="77777777" w:rsidTr="00DD7CF3">
        <w:trPr>
          <w:cnfStyle w:val="100000000000" w:firstRow="1" w:lastRow="0" w:firstColumn="0" w:lastColumn="0" w:oddVBand="0" w:evenVBand="0" w:oddHBand="0" w:evenHBand="0" w:firstRowFirstColumn="0" w:firstRowLastColumn="0" w:lastRowFirstColumn="0" w:lastRowLastColumn="0"/>
          <w:trHeight w:val="60"/>
          <w:tblHeader/>
        </w:trPr>
        <w:tc>
          <w:tcPr>
            <w:tcW w:w="3685" w:type="dxa"/>
          </w:tcPr>
          <w:p w14:paraId="7CD9A5B7" w14:textId="77777777" w:rsidR="009564E9" w:rsidRDefault="009564E9" w:rsidP="00BB1712">
            <w:pPr>
              <w:pStyle w:val="TableColHead"/>
            </w:pPr>
            <w:r>
              <w:t>Legislation</w:t>
            </w:r>
          </w:p>
        </w:tc>
        <w:tc>
          <w:tcPr>
            <w:tcW w:w="5387" w:type="dxa"/>
          </w:tcPr>
          <w:p w14:paraId="44B75CEF" w14:textId="77777777" w:rsidR="009564E9" w:rsidRDefault="009564E9" w:rsidP="00BB1712">
            <w:pPr>
              <w:pStyle w:val="TableColHead"/>
            </w:pPr>
            <w:r>
              <w:t>Parties</w:t>
            </w:r>
          </w:p>
        </w:tc>
      </w:tr>
      <w:tr w:rsidR="009564E9" w14:paraId="371D1A15" w14:textId="77777777" w:rsidTr="00DD7CF3">
        <w:trPr>
          <w:trHeight w:val="60"/>
        </w:trPr>
        <w:tc>
          <w:tcPr>
            <w:tcW w:w="3685" w:type="dxa"/>
          </w:tcPr>
          <w:p w14:paraId="2BCB0B3E" w14:textId="77777777" w:rsidR="009564E9" w:rsidRDefault="009564E9" w:rsidP="00BB1712">
            <w:pPr>
              <w:pStyle w:val="TableText"/>
            </w:pPr>
            <w:r w:rsidRPr="00064C94">
              <w:rPr>
                <w:rStyle w:val="Emphasis"/>
              </w:rPr>
              <w:t>Estate Agents Act 1980</w:t>
            </w:r>
          </w:p>
        </w:tc>
        <w:tc>
          <w:tcPr>
            <w:tcW w:w="5387" w:type="dxa"/>
          </w:tcPr>
          <w:p w14:paraId="277B0FE2" w14:textId="77777777" w:rsidR="009564E9" w:rsidRDefault="009564E9" w:rsidP="00BB1712">
            <w:pPr>
              <w:pStyle w:val="TableText"/>
            </w:pPr>
            <w:r>
              <w:t>Robert John Pedersen</w:t>
            </w:r>
          </w:p>
        </w:tc>
      </w:tr>
      <w:tr w:rsidR="009564E9" w14:paraId="7DDBDCAE" w14:textId="77777777" w:rsidTr="00DD7CF3">
        <w:trPr>
          <w:trHeight w:val="60"/>
        </w:trPr>
        <w:tc>
          <w:tcPr>
            <w:tcW w:w="3685" w:type="dxa"/>
          </w:tcPr>
          <w:p w14:paraId="727E6E51" w14:textId="77777777" w:rsidR="009564E9" w:rsidRDefault="009564E9" w:rsidP="00BB1712">
            <w:pPr>
              <w:pStyle w:val="TableText"/>
            </w:pPr>
            <w:r w:rsidRPr="00064C94">
              <w:rPr>
                <w:rStyle w:val="Emphasis"/>
              </w:rPr>
              <w:t>Estate Agents Act 1980</w:t>
            </w:r>
          </w:p>
        </w:tc>
        <w:tc>
          <w:tcPr>
            <w:tcW w:w="5387" w:type="dxa"/>
          </w:tcPr>
          <w:p w14:paraId="775B1FB2" w14:textId="77777777" w:rsidR="009564E9" w:rsidRDefault="009564E9" w:rsidP="00BB1712">
            <w:pPr>
              <w:pStyle w:val="TableText"/>
            </w:pPr>
            <w:proofErr w:type="spellStart"/>
            <w:r>
              <w:t>Tsun</w:t>
            </w:r>
            <w:proofErr w:type="spellEnd"/>
            <w:r>
              <w:t xml:space="preserve"> Ngai Lee</w:t>
            </w:r>
          </w:p>
        </w:tc>
      </w:tr>
      <w:tr w:rsidR="009564E9" w14:paraId="69E3B070" w14:textId="77777777" w:rsidTr="00DD7CF3">
        <w:trPr>
          <w:trHeight w:val="60"/>
        </w:trPr>
        <w:tc>
          <w:tcPr>
            <w:tcW w:w="3685" w:type="dxa"/>
          </w:tcPr>
          <w:p w14:paraId="76AE0A80" w14:textId="77777777" w:rsidR="009564E9" w:rsidRDefault="009564E9" w:rsidP="00BB1712">
            <w:pPr>
              <w:pStyle w:val="TableText"/>
            </w:pPr>
            <w:r w:rsidRPr="00064C94">
              <w:rPr>
                <w:rStyle w:val="Emphasis"/>
              </w:rPr>
              <w:t>Estate Agents Act 1980</w:t>
            </w:r>
          </w:p>
        </w:tc>
        <w:tc>
          <w:tcPr>
            <w:tcW w:w="5387" w:type="dxa"/>
          </w:tcPr>
          <w:p w14:paraId="0DD5C41E" w14:textId="77777777" w:rsidR="009564E9" w:rsidRDefault="009564E9" w:rsidP="00BB1712">
            <w:pPr>
              <w:pStyle w:val="TableText"/>
            </w:pPr>
            <w:r>
              <w:t>Yen Howell Real Estate Pty Ltd</w:t>
            </w:r>
          </w:p>
          <w:p w14:paraId="5CD170DD" w14:textId="77777777" w:rsidR="009564E9" w:rsidRDefault="009564E9" w:rsidP="00BB1712">
            <w:pPr>
              <w:pStyle w:val="TableText"/>
            </w:pPr>
            <w:r>
              <w:t>Yen Howell</w:t>
            </w:r>
          </w:p>
        </w:tc>
      </w:tr>
      <w:tr w:rsidR="009564E9" w14:paraId="436F4ABB" w14:textId="77777777" w:rsidTr="00DD7CF3">
        <w:trPr>
          <w:trHeight w:val="60"/>
        </w:trPr>
        <w:tc>
          <w:tcPr>
            <w:tcW w:w="3685" w:type="dxa"/>
          </w:tcPr>
          <w:p w14:paraId="5EF4B6F1" w14:textId="77777777" w:rsidR="009564E9" w:rsidRDefault="009564E9" w:rsidP="00BB1712">
            <w:pPr>
              <w:pStyle w:val="TableText"/>
            </w:pPr>
            <w:r w:rsidRPr="00064C94">
              <w:rPr>
                <w:rStyle w:val="Emphasis"/>
              </w:rPr>
              <w:t>Judgement Debt Recovery Act 1984</w:t>
            </w:r>
          </w:p>
        </w:tc>
        <w:tc>
          <w:tcPr>
            <w:tcW w:w="5387" w:type="dxa"/>
          </w:tcPr>
          <w:p w14:paraId="6D1B17DC" w14:textId="77777777" w:rsidR="009564E9" w:rsidRDefault="009564E9" w:rsidP="00BB1712">
            <w:pPr>
              <w:pStyle w:val="TableText"/>
            </w:pPr>
            <w:r>
              <w:t>Eric Hans Richmond</w:t>
            </w:r>
          </w:p>
        </w:tc>
      </w:tr>
      <w:tr w:rsidR="009564E9" w14:paraId="208E2E69" w14:textId="77777777" w:rsidTr="00DD7CF3">
        <w:trPr>
          <w:trHeight w:val="60"/>
        </w:trPr>
        <w:tc>
          <w:tcPr>
            <w:tcW w:w="3685" w:type="dxa"/>
          </w:tcPr>
          <w:p w14:paraId="1F92D2DC" w14:textId="77777777" w:rsidR="009564E9" w:rsidRDefault="009564E9" w:rsidP="00BB1712">
            <w:pPr>
              <w:pStyle w:val="TableText"/>
            </w:pPr>
            <w:r w:rsidRPr="00064C94">
              <w:rPr>
                <w:rStyle w:val="Emphasis"/>
              </w:rPr>
              <w:t>Estate Agents Act 1980</w:t>
            </w:r>
          </w:p>
        </w:tc>
        <w:tc>
          <w:tcPr>
            <w:tcW w:w="5387" w:type="dxa"/>
          </w:tcPr>
          <w:p w14:paraId="5EAFFD1D" w14:textId="77777777" w:rsidR="009564E9" w:rsidRDefault="009564E9" w:rsidP="00BB1712">
            <w:pPr>
              <w:pStyle w:val="TableText"/>
            </w:pPr>
            <w:r>
              <w:t>Thomas Aloysius</w:t>
            </w:r>
          </w:p>
        </w:tc>
      </w:tr>
      <w:tr w:rsidR="009564E9" w14:paraId="542E57FA" w14:textId="77777777" w:rsidTr="00DD7CF3">
        <w:trPr>
          <w:trHeight w:val="60"/>
        </w:trPr>
        <w:tc>
          <w:tcPr>
            <w:tcW w:w="3685" w:type="dxa"/>
          </w:tcPr>
          <w:p w14:paraId="099722B4" w14:textId="77777777" w:rsidR="009564E9" w:rsidRDefault="009564E9" w:rsidP="00BB1712">
            <w:pPr>
              <w:pStyle w:val="TableText"/>
            </w:pPr>
            <w:r w:rsidRPr="00064C94">
              <w:rPr>
                <w:rStyle w:val="Emphasis"/>
              </w:rPr>
              <w:t>Estate Agents Act 1980</w:t>
            </w:r>
          </w:p>
        </w:tc>
        <w:tc>
          <w:tcPr>
            <w:tcW w:w="5387" w:type="dxa"/>
          </w:tcPr>
          <w:p w14:paraId="061AFB7B" w14:textId="77777777" w:rsidR="009564E9" w:rsidRDefault="009564E9" w:rsidP="00BB1712">
            <w:pPr>
              <w:pStyle w:val="TableText"/>
            </w:pPr>
            <w:r>
              <w:t>Joshua Allison</w:t>
            </w:r>
          </w:p>
        </w:tc>
      </w:tr>
    </w:tbl>
    <w:p w14:paraId="2DBC2F1E" w14:textId="77777777" w:rsidR="009564E9" w:rsidRDefault="009564E9" w:rsidP="00802CE4">
      <w:pPr>
        <w:pStyle w:val="Heading5"/>
      </w:pPr>
      <w:r>
        <w:lastRenderedPageBreak/>
        <w:t>Administrative/judicial review on behalf of the BLA and others</w:t>
      </w:r>
    </w:p>
    <w:tbl>
      <w:tblPr>
        <w:tblStyle w:val="TableGrid"/>
        <w:tblW w:w="0" w:type="auto"/>
        <w:tblLayout w:type="fixed"/>
        <w:tblLook w:val="06A0" w:firstRow="1" w:lastRow="0" w:firstColumn="1" w:lastColumn="0" w:noHBand="1" w:noVBand="1"/>
      </w:tblPr>
      <w:tblGrid>
        <w:gridCol w:w="3685"/>
        <w:gridCol w:w="5387"/>
      </w:tblGrid>
      <w:tr w:rsidR="009564E9" w14:paraId="1F0EFC73" w14:textId="77777777" w:rsidTr="00DD7CF3">
        <w:trPr>
          <w:cnfStyle w:val="100000000000" w:firstRow="1" w:lastRow="0" w:firstColumn="0" w:lastColumn="0" w:oddVBand="0" w:evenVBand="0" w:oddHBand="0" w:evenHBand="0" w:firstRowFirstColumn="0" w:firstRowLastColumn="0" w:lastRowFirstColumn="0" w:lastRowLastColumn="0"/>
          <w:trHeight w:val="60"/>
          <w:tblHeader/>
        </w:trPr>
        <w:tc>
          <w:tcPr>
            <w:tcW w:w="3685" w:type="dxa"/>
          </w:tcPr>
          <w:p w14:paraId="27685BDB" w14:textId="77777777" w:rsidR="009564E9" w:rsidRDefault="009564E9" w:rsidP="00BB1712">
            <w:pPr>
              <w:pStyle w:val="TableColHead"/>
            </w:pPr>
            <w:r>
              <w:t>Legislation</w:t>
            </w:r>
          </w:p>
        </w:tc>
        <w:tc>
          <w:tcPr>
            <w:tcW w:w="5387" w:type="dxa"/>
          </w:tcPr>
          <w:p w14:paraId="69989EBF" w14:textId="77777777" w:rsidR="009564E9" w:rsidRDefault="009564E9" w:rsidP="00BB1712">
            <w:pPr>
              <w:pStyle w:val="TableColHead"/>
            </w:pPr>
            <w:r>
              <w:t>Parties</w:t>
            </w:r>
          </w:p>
        </w:tc>
      </w:tr>
      <w:tr w:rsidR="009564E9" w14:paraId="4AED16D0" w14:textId="77777777" w:rsidTr="00DD7CF3">
        <w:trPr>
          <w:trHeight w:val="60"/>
        </w:trPr>
        <w:tc>
          <w:tcPr>
            <w:tcW w:w="3685" w:type="dxa"/>
          </w:tcPr>
          <w:p w14:paraId="1CF7934F" w14:textId="77777777" w:rsidR="009564E9" w:rsidRDefault="009564E9" w:rsidP="00BB1712">
            <w:pPr>
              <w:pStyle w:val="TableText"/>
            </w:pPr>
            <w:r w:rsidRPr="00064C94">
              <w:rPr>
                <w:rStyle w:val="Emphasis"/>
              </w:rPr>
              <w:t>Motor Car Traders Act 1986</w:t>
            </w:r>
          </w:p>
        </w:tc>
        <w:tc>
          <w:tcPr>
            <w:tcW w:w="5387" w:type="dxa"/>
          </w:tcPr>
          <w:p w14:paraId="60DAF4C5" w14:textId="77777777" w:rsidR="009564E9" w:rsidRDefault="009564E9" w:rsidP="00BB1712">
            <w:pPr>
              <w:pStyle w:val="TableText"/>
            </w:pPr>
            <w:r>
              <w:t>CMG Automotive Pty Ltd v Motor Car Traders Claim Committee</w:t>
            </w:r>
          </w:p>
        </w:tc>
      </w:tr>
      <w:tr w:rsidR="009564E9" w14:paraId="7C64B125" w14:textId="77777777" w:rsidTr="00DD7CF3">
        <w:trPr>
          <w:trHeight w:val="60"/>
        </w:trPr>
        <w:tc>
          <w:tcPr>
            <w:tcW w:w="3685" w:type="dxa"/>
          </w:tcPr>
          <w:p w14:paraId="0490FCF6" w14:textId="77777777" w:rsidR="009564E9" w:rsidRDefault="009564E9" w:rsidP="00BB1712">
            <w:pPr>
              <w:pStyle w:val="TableText"/>
            </w:pPr>
            <w:r w:rsidRPr="00064C94">
              <w:rPr>
                <w:rStyle w:val="Emphasis"/>
              </w:rPr>
              <w:t>Mutual Recognition Act 1992 (</w:t>
            </w:r>
            <w:proofErr w:type="spellStart"/>
            <w:r w:rsidRPr="00064C94">
              <w:rPr>
                <w:rStyle w:val="Emphasis"/>
              </w:rPr>
              <w:t>Cth</w:t>
            </w:r>
            <w:proofErr w:type="spellEnd"/>
            <w:r w:rsidRPr="00064C94">
              <w:rPr>
                <w:rStyle w:val="Emphasis"/>
              </w:rPr>
              <w:t>)</w:t>
            </w:r>
          </w:p>
        </w:tc>
        <w:tc>
          <w:tcPr>
            <w:tcW w:w="5387" w:type="dxa"/>
          </w:tcPr>
          <w:p w14:paraId="49452336" w14:textId="77777777" w:rsidR="009564E9" w:rsidRDefault="009564E9" w:rsidP="00BB1712">
            <w:pPr>
              <w:pStyle w:val="TableText"/>
            </w:pPr>
            <w:r>
              <w:t xml:space="preserve">Venetia Louise </w:t>
            </w:r>
            <w:proofErr w:type="spellStart"/>
            <w:r>
              <w:t>Storry</w:t>
            </w:r>
            <w:proofErr w:type="spellEnd"/>
            <w:r>
              <w:t xml:space="preserve"> v Business Licensing Authority</w:t>
            </w:r>
          </w:p>
        </w:tc>
      </w:tr>
      <w:tr w:rsidR="009564E9" w14:paraId="3AC34568" w14:textId="77777777" w:rsidTr="00DD7CF3">
        <w:trPr>
          <w:trHeight w:val="60"/>
        </w:trPr>
        <w:tc>
          <w:tcPr>
            <w:tcW w:w="3685" w:type="dxa"/>
          </w:tcPr>
          <w:p w14:paraId="3DECD32D" w14:textId="77777777" w:rsidR="009564E9" w:rsidRDefault="009564E9" w:rsidP="00BB1712">
            <w:pPr>
              <w:pStyle w:val="TableText"/>
            </w:pPr>
            <w:r w:rsidRPr="00064C94">
              <w:rPr>
                <w:rStyle w:val="Emphasis"/>
              </w:rPr>
              <w:t>Sex Work Act 1994</w:t>
            </w:r>
          </w:p>
        </w:tc>
        <w:tc>
          <w:tcPr>
            <w:tcW w:w="5387" w:type="dxa"/>
          </w:tcPr>
          <w:p w14:paraId="416E2D0E" w14:textId="77777777" w:rsidR="009564E9" w:rsidRDefault="009564E9" w:rsidP="00BB1712">
            <w:pPr>
              <w:pStyle w:val="TableText"/>
            </w:pPr>
            <w:proofErr w:type="spellStart"/>
            <w:r>
              <w:t>Wenlu</w:t>
            </w:r>
            <w:proofErr w:type="spellEnd"/>
            <w:r>
              <w:t xml:space="preserve"> Mao v Business Licensing Authority</w:t>
            </w:r>
          </w:p>
        </w:tc>
      </w:tr>
      <w:tr w:rsidR="009564E9" w14:paraId="20B69D97" w14:textId="77777777" w:rsidTr="00DD7CF3">
        <w:trPr>
          <w:trHeight w:val="60"/>
        </w:trPr>
        <w:tc>
          <w:tcPr>
            <w:tcW w:w="3685" w:type="dxa"/>
          </w:tcPr>
          <w:p w14:paraId="704A8005" w14:textId="77777777" w:rsidR="009564E9" w:rsidRDefault="009564E9" w:rsidP="00BB1712">
            <w:pPr>
              <w:pStyle w:val="TableText"/>
            </w:pPr>
            <w:r w:rsidRPr="00064C94">
              <w:rPr>
                <w:rStyle w:val="Emphasis"/>
              </w:rPr>
              <w:t>Estate Agents Act 1980</w:t>
            </w:r>
          </w:p>
        </w:tc>
        <w:tc>
          <w:tcPr>
            <w:tcW w:w="5387" w:type="dxa"/>
          </w:tcPr>
          <w:p w14:paraId="751E2677" w14:textId="77777777" w:rsidR="009564E9" w:rsidRDefault="009564E9" w:rsidP="00BB1712">
            <w:pPr>
              <w:pStyle w:val="TableText"/>
            </w:pPr>
            <w:r>
              <w:t xml:space="preserve">Borg v </w:t>
            </w:r>
            <w:proofErr w:type="spellStart"/>
            <w:r>
              <w:t>Wons</w:t>
            </w:r>
            <w:proofErr w:type="spellEnd"/>
            <w:r>
              <w:t xml:space="preserve"> &amp; Director of Consumer Affairs Victoria</w:t>
            </w:r>
          </w:p>
        </w:tc>
      </w:tr>
    </w:tbl>
    <w:p w14:paraId="5D436E6C" w14:textId="77777777" w:rsidR="009564E9" w:rsidRDefault="009564E9" w:rsidP="00802CE4">
      <w:pPr>
        <w:pStyle w:val="Heading4"/>
      </w:pPr>
      <w:r>
        <w:t>Application for warrant for sale and seizure</w:t>
      </w:r>
    </w:p>
    <w:tbl>
      <w:tblPr>
        <w:tblStyle w:val="TableGrid"/>
        <w:tblW w:w="0" w:type="auto"/>
        <w:tblLayout w:type="fixed"/>
        <w:tblLook w:val="06A0" w:firstRow="1" w:lastRow="0" w:firstColumn="1" w:lastColumn="0" w:noHBand="1" w:noVBand="1"/>
      </w:tblPr>
      <w:tblGrid>
        <w:gridCol w:w="3685"/>
        <w:gridCol w:w="5387"/>
      </w:tblGrid>
      <w:tr w:rsidR="009564E9" w14:paraId="02613B70" w14:textId="77777777" w:rsidTr="00DD7CF3">
        <w:trPr>
          <w:cnfStyle w:val="100000000000" w:firstRow="1" w:lastRow="0" w:firstColumn="0" w:lastColumn="0" w:oddVBand="0" w:evenVBand="0" w:oddHBand="0" w:evenHBand="0" w:firstRowFirstColumn="0" w:firstRowLastColumn="0" w:lastRowFirstColumn="0" w:lastRowLastColumn="0"/>
          <w:trHeight w:val="60"/>
          <w:tblHeader/>
        </w:trPr>
        <w:tc>
          <w:tcPr>
            <w:tcW w:w="3685" w:type="dxa"/>
          </w:tcPr>
          <w:p w14:paraId="7EF01ED7" w14:textId="77777777" w:rsidR="009564E9" w:rsidRDefault="009564E9" w:rsidP="00BB1712">
            <w:pPr>
              <w:pStyle w:val="TableColHead"/>
            </w:pPr>
            <w:r>
              <w:t>Legislation</w:t>
            </w:r>
          </w:p>
        </w:tc>
        <w:tc>
          <w:tcPr>
            <w:tcW w:w="5387" w:type="dxa"/>
          </w:tcPr>
          <w:p w14:paraId="5CDC16BD" w14:textId="77777777" w:rsidR="009564E9" w:rsidRDefault="009564E9" w:rsidP="00BB1712">
            <w:pPr>
              <w:pStyle w:val="TableColHead"/>
            </w:pPr>
            <w:r>
              <w:t>Parties</w:t>
            </w:r>
          </w:p>
        </w:tc>
      </w:tr>
      <w:tr w:rsidR="009564E9" w14:paraId="3C25F4EE" w14:textId="77777777" w:rsidTr="00DD7CF3">
        <w:trPr>
          <w:trHeight w:val="60"/>
        </w:trPr>
        <w:tc>
          <w:tcPr>
            <w:tcW w:w="3685" w:type="dxa"/>
          </w:tcPr>
          <w:p w14:paraId="6731E4F1" w14:textId="77777777" w:rsidR="009564E9" w:rsidRDefault="009564E9" w:rsidP="00BB1712">
            <w:pPr>
              <w:pStyle w:val="TableText"/>
            </w:pPr>
            <w:r w:rsidRPr="00064C94">
              <w:rPr>
                <w:rStyle w:val="Emphasis"/>
              </w:rPr>
              <w:t>Australian Consumer Law and Fair Trading Act 2012</w:t>
            </w:r>
          </w:p>
        </w:tc>
        <w:tc>
          <w:tcPr>
            <w:tcW w:w="5387" w:type="dxa"/>
          </w:tcPr>
          <w:p w14:paraId="0028E6AC" w14:textId="77777777" w:rsidR="009564E9" w:rsidRDefault="009564E9" w:rsidP="00BB1712">
            <w:pPr>
              <w:pStyle w:val="TableText"/>
            </w:pPr>
            <w:r>
              <w:t>Annabelle Gibson</w:t>
            </w:r>
          </w:p>
        </w:tc>
      </w:tr>
    </w:tbl>
    <w:p w14:paraId="783E692D" w14:textId="77777777" w:rsidR="009564E9" w:rsidRDefault="009564E9" w:rsidP="00802CE4">
      <w:pPr>
        <w:pStyle w:val="Heading4"/>
      </w:pPr>
      <w:r>
        <w:t>Protecting consumers from underquoting and trust account losses</w:t>
      </w:r>
    </w:p>
    <w:p w14:paraId="0D55E713" w14:textId="77777777" w:rsidR="009564E9" w:rsidRDefault="009564E9" w:rsidP="00A61C76">
      <w:pPr>
        <w:pStyle w:val="BodyText"/>
      </w:pPr>
      <w:r>
        <w:t>In 2021–22, CAV focused on compliance with essential estate agent obligations regarding trust accounting and underquoting. We issued 171 infringements and 226 Official Warnings to 200 estate agents regarding breaches in these areas.</w:t>
      </w:r>
    </w:p>
    <w:p w14:paraId="338E83D1" w14:textId="77777777" w:rsidR="009564E9" w:rsidRDefault="009564E9" w:rsidP="00A61C76">
      <w:pPr>
        <w:pStyle w:val="BodyText"/>
      </w:pPr>
      <w:r>
        <w:t>Underquoting occurs when a property is advertised at a price below the estimated selling price, the seller’s asking price or a price that has been rejected as too low by the seller. When underquoting occurs, potential buyers can waste significant time and money inspecting and assessing properties that were never in their price range. It may also distort the market and create an artificial purchasing environment while enriching those who break the law.</w:t>
      </w:r>
    </w:p>
    <w:p w14:paraId="7D63C070" w14:textId="114910C5" w:rsidR="009564E9" w:rsidRDefault="009564E9" w:rsidP="00A61C76">
      <w:pPr>
        <w:pStyle w:val="BodyText"/>
      </w:pPr>
      <w:r>
        <w:t>Throughout the year, CAV monitored compliance with underquoting laws across the industry to protect</w:t>
      </w:r>
      <w:r w:rsidR="00FB35C3">
        <w:t> </w:t>
      </w:r>
      <w:r>
        <w:t>homebuyers from underquoting. The pandemic contributed to unique conditions in the Victorian property market and raised concerns some agents were engaging in underquoting. We</w:t>
      </w:r>
      <w:r w:rsidR="00FB35C3">
        <w:t> </w:t>
      </w:r>
      <w:r>
        <w:t>responded by making over 350 visits to estate agencies to ensure their compliance with underquoting laws.</w:t>
      </w:r>
    </w:p>
    <w:p w14:paraId="76DA8EE2" w14:textId="77777777" w:rsidR="009564E9" w:rsidRDefault="009564E9" w:rsidP="00A61C76">
      <w:pPr>
        <w:pStyle w:val="BodyText"/>
      </w:pPr>
      <w:r>
        <w:t>We also continued to facilitate consumer and industry awareness, including website updates and social media posts to help agents understand the laws and to educate Victorians on how they can report suspected underquoting.</w:t>
      </w:r>
    </w:p>
    <w:p w14:paraId="39A85A3B" w14:textId="327E6BDB" w:rsidR="009564E9" w:rsidRDefault="009564E9" w:rsidP="00A61C76">
      <w:pPr>
        <w:pStyle w:val="BodyText"/>
      </w:pPr>
      <w:r>
        <w:t>Trust accounts are a critical part of the consumer protection framework. They protect consumers who</w:t>
      </w:r>
      <w:r w:rsidR="00FB35C3">
        <w:t> </w:t>
      </w:r>
      <w:r>
        <w:t>pay money (such as rent, purchase or sale deposits or advertising and maintenance fees) to real estate agents and conveyancers. Under the law, estate agents and conveyancers must deposit any client money they receive in advance into a trust account for safe keeping and face high penalties if they fail to comply.</w:t>
      </w:r>
    </w:p>
    <w:p w14:paraId="0A9A5317" w14:textId="36E16207" w:rsidR="009564E9" w:rsidRDefault="009564E9" w:rsidP="00A61C76">
      <w:pPr>
        <w:pStyle w:val="BodyText"/>
      </w:pPr>
      <w:r>
        <w:t xml:space="preserve">In 2021–22 we finalised four criminal prosecutions against estate agents for trust account, underquoting and other conduct breaches. We also finalised a matter concerning the director of former western suburbs estate agency The </w:t>
      </w:r>
      <w:proofErr w:type="spellStart"/>
      <w:r>
        <w:t>Sarain</w:t>
      </w:r>
      <w:proofErr w:type="spellEnd"/>
      <w:r>
        <w:t xml:space="preserve"> Pty Ltd, Surinder </w:t>
      </w:r>
      <w:proofErr w:type="spellStart"/>
      <w:r>
        <w:t>Sarain</w:t>
      </w:r>
      <w:proofErr w:type="spellEnd"/>
      <w:r>
        <w:t xml:space="preserve">, who agreed to an undertaking after admitting to breaches of Victoria’s </w:t>
      </w:r>
      <w:r w:rsidRPr="00064C94">
        <w:rPr>
          <w:rStyle w:val="Emphasis"/>
        </w:rPr>
        <w:t>Estate Agents Act 1980</w:t>
      </w:r>
      <w:r>
        <w:t xml:space="preserve"> and Estate Agents (Professional Conduct) Regulations 2008, including failing to disclose relevant information about the commission of</w:t>
      </w:r>
      <w:r w:rsidR="00FB35C3">
        <w:t> </w:t>
      </w:r>
      <w:r>
        <w:t xml:space="preserve">two properties, making false and misleading representations whilst advertising properties and underquoting while marketing 11 properties. Additionally, Mr </w:t>
      </w:r>
      <w:proofErr w:type="spellStart"/>
      <w:r>
        <w:t>Sarain</w:t>
      </w:r>
      <w:proofErr w:type="spellEnd"/>
      <w:r>
        <w:t xml:space="preserve"> failed to maintain accurate trust accounting records. The matter was resolved out of court, with an undertaking provided to the Director </w:t>
      </w:r>
      <w:r>
        <w:lastRenderedPageBreak/>
        <w:t xml:space="preserve">of Consumer Affairs Victoria by Mr </w:t>
      </w:r>
      <w:proofErr w:type="spellStart"/>
      <w:r>
        <w:t>Sarain</w:t>
      </w:r>
      <w:proofErr w:type="spellEnd"/>
      <w:r>
        <w:t xml:space="preserve"> preventing him from working in any management position in</w:t>
      </w:r>
      <w:r w:rsidR="00FB35C3">
        <w:t> </w:t>
      </w:r>
      <w:r>
        <w:t>the industry and a payment of $2,500 made to the Victorian Consumer Law Fund.</w:t>
      </w:r>
    </w:p>
    <w:p w14:paraId="5D726209" w14:textId="77777777" w:rsidR="009564E9" w:rsidRDefault="009564E9" w:rsidP="00A61C76">
      <w:pPr>
        <w:pStyle w:val="BodyText"/>
      </w:pPr>
      <w:r>
        <w:t xml:space="preserve">Completing and lodging a trust account annual audit is an essential consumer protection requirement. Estate agent and conveyancer trust account audits can be lodged electronically using our online portal </w:t>
      </w:r>
      <w:proofErr w:type="spellStart"/>
      <w:r>
        <w:t>myCAV</w:t>
      </w:r>
      <w:proofErr w:type="spellEnd"/>
      <w:r>
        <w:t>. We continued our focus on ensuring compliance with these requirements in 2021–22 and will continue to take further enforcement action regarding non</w:t>
      </w:r>
      <w:r>
        <w:rPr>
          <w:rFonts w:ascii="Times New Roman" w:hAnsi="Times New Roman" w:cs="Times New Roman"/>
        </w:rPr>
        <w:t>‑</w:t>
      </w:r>
      <w:r>
        <w:t>lodgement of audits where required.</w:t>
      </w:r>
    </w:p>
    <w:p w14:paraId="0827D475" w14:textId="77777777" w:rsidR="009564E9" w:rsidRDefault="009564E9" w:rsidP="00802CE4">
      <w:pPr>
        <w:pStyle w:val="Heading4"/>
      </w:pPr>
      <w:r>
        <w:t>Enforcing compliance with domestic building consumer protections</w:t>
      </w:r>
    </w:p>
    <w:p w14:paraId="7B0E302B" w14:textId="77777777" w:rsidR="009564E9" w:rsidRDefault="009564E9" w:rsidP="00A61C76">
      <w:pPr>
        <w:pStyle w:val="BodyText"/>
      </w:pPr>
      <w:r>
        <w:t xml:space="preserve">Building or renovating a house is one of the biggest investments many people will make in their lifetime. Victorian consumers seeking to engage in residential building works are provided with a number of legal protections, including domestic builder registration requirements and contractual regulations under the </w:t>
      </w:r>
      <w:r w:rsidRPr="00064C94">
        <w:rPr>
          <w:rStyle w:val="Emphasis"/>
        </w:rPr>
        <w:t>Domestic Building Contracts Act 2005</w:t>
      </w:r>
      <w:r>
        <w:t xml:space="preserve"> (the DBC Act).</w:t>
      </w:r>
    </w:p>
    <w:p w14:paraId="6A5ACD24" w14:textId="2EE66E10" w:rsidR="009564E9" w:rsidRDefault="009564E9" w:rsidP="00A61C76">
      <w:pPr>
        <w:pStyle w:val="BodyText"/>
      </w:pPr>
      <w:r>
        <w:t xml:space="preserve">The DBC Act prohibits building practitioners from demanding an excessive upfront deposit and regulates stage payments and cost escalation. Consumers who are pressured to pay too much </w:t>
      </w:r>
      <w:r w:rsidR="00FB35C3">
        <w:br/>
      </w:r>
      <w:r>
        <w:t>up-front are at risk of the builder not finishing the works on time or at all or not fixing defects. Consumers who unwittingly engage an unregistered building practitioner can also risk financial and</w:t>
      </w:r>
      <w:r w:rsidR="00FB35C3">
        <w:t> </w:t>
      </w:r>
      <w:r>
        <w:t>workmanship problems; this is as well as not being afforded the same protections they would have had if engaging a registered building practitioner.</w:t>
      </w:r>
    </w:p>
    <w:p w14:paraId="387CD118" w14:textId="77777777" w:rsidR="009564E9" w:rsidRDefault="009564E9" w:rsidP="00A61C76">
      <w:pPr>
        <w:pStyle w:val="BodyText"/>
      </w:pPr>
      <w:r>
        <w:t>Mr Michael Johnson undertook outdoor building works across Melbourne as an unregistered builder, trading under several business names. Following a public warning notice issued about Mr Johnson in January 2021, CAV commenced court action against Mr Johnson in late 2021 for entering into a major domestic building contract without being a registered building practitioner and for receiving deposits greater than the amounts permitted under the DBC Act. We took action against Mr Johnson following complaints from consumers who had made payments for building work, which was then not supplied or completed, or was completed poorly and without the required building permit or registration.</w:t>
      </w:r>
    </w:p>
    <w:p w14:paraId="276E5897" w14:textId="77777777" w:rsidR="009564E9" w:rsidRDefault="009564E9" w:rsidP="00A61C76">
      <w:pPr>
        <w:pStyle w:val="BodyText"/>
      </w:pPr>
      <w:r>
        <w:t>In June 2022, Mr Johnson was convicted of breaches under the DBC Act and ordered to pay an aggregate fine of $7,000. He was also ordered to pay over $43,000 in compensation to affected consumers and to pay costs.</w:t>
      </w:r>
    </w:p>
    <w:p w14:paraId="4F496EA6" w14:textId="77777777" w:rsidR="009564E9" w:rsidRDefault="009564E9" w:rsidP="00A61C76">
      <w:pPr>
        <w:pStyle w:val="BodyText"/>
      </w:pPr>
      <w:r>
        <w:t>CAV will continue to respond to domestic building conduct that puts consumers at risk and unfairly damages confidence in the industry and registered builders doing the right thing.</w:t>
      </w:r>
    </w:p>
    <w:p w14:paraId="4F26AF52" w14:textId="77777777" w:rsidR="009564E9" w:rsidRDefault="009564E9" w:rsidP="00802CE4">
      <w:pPr>
        <w:pStyle w:val="Heading3"/>
      </w:pPr>
      <w:bookmarkStart w:id="12" w:name="_Toc122097065"/>
      <w:r>
        <w:t>Victorians exercise their consumer rights</w:t>
      </w:r>
      <w:bookmarkEnd w:id="12"/>
    </w:p>
    <w:p w14:paraId="1A20AE8A" w14:textId="77777777" w:rsidR="009564E9" w:rsidRDefault="009564E9" w:rsidP="00A61C76">
      <w:pPr>
        <w:pStyle w:val="BodyText"/>
      </w:pPr>
      <w:r>
        <w:t>We empower Victorians to exercise their consumer rights by providing information, advice and support, including through our website, contact centre, online services and funded partner organisations delivering more intensive assistance to vulnerable Victorians.</w:t>
      </w:r>
    </w:p>
    <w:p w14:paraId="72D49E20" w14:textId="77777777" w:rsidR="009564E9" w:rsidRDefault="009564E9" w:rsidP="00A61C76">
      <w:pPr>
        <w:pStyle w:val="BodyText"/>
      </w:pPr>
      <w:r>
        <w:t>In 2021–22, we provided information and advice services to Victorians throughout the COVID-19 pandemic, including providing over 245,000 phone services, an increase on the previous financial year. This was driven by the resumption of full services after the disruptions caused by the pandemic over the past two years.</w:t>
      </w:r>
    </w:p>
    <w:p w14:paraId="61C32217" w14:textId="77777777" w:rsidR="009564E9" w:rsidRDefault="009564E9" w:rsidP="00A61C76">
      <w:pPr>
        <w:pStyle w:val="BodyText"/>
      </w:pPr>
      <w:r>
        <w:t>We continued to support vulnerable and disadvantaged Victorians through the delivery of the Financial Counselling Program and tenancy and consumer programs. In 2021–22, $14.62 million supported place</w:t>
      </w:r>
      <w:r>
        <w:rPr>
          <w:rFonts w:ascii="Times New Roman" w:hAnsi="Times New Roman" w:cs="Times New Roman"/>
        </w:rPr>
        <w:t>‑</w:t>
      </w:r>
      <w:r>
        <w:t xml:space="preserve">based financial counselling services across Victoria, the National Debt Helpline in Victoria, </w:t>
      </w:r>
      <w:r>
        <w:lastRenderedPageBreak/>
        <w:t>specialist family violence financial counsellors and dedicated services for bushfire, storm and flood victims.</w:t>
      </w:r>
    </w:p>
    <w:p w14:paraId="15FFBEEC" w14:textId="3374A426" w:rsidR="009564E9" w:rsidRDefault="009564E9" w:rsidP="00A61C76">
      <w:pPr>
        <w:pStyle w:val="BodyText"/>
      </w:pPr>
      <w:r>
        <w:t>As we begin the transition of our contact centre to a more modern digital platform, we look forward to</w:t>
      </w:r>
      <w:r w:rsidR="00FB35C3">
        <w:t> </w:t>
      </w:r>
      <w:r>
        <w:t>greater efficiency and allowing for the integration of phone and online channels, which will mean increased accessibility and service improvements for Victorians. The harmonisation of processes across our contact centres will support improved quality and consistency of services allowing us to better adapt to fluctuating community needs.</w:t>
      </w:r>
    </w:p>
    <w:p w14:paraId="0F4C3329" w14:textId="17BE0895" w:rsidR="009564E9" w:rsidRDefault="009564E9" w:rsidP="007470E2">
      <w:pPr>
        <w:pStyle w:val="Caption"/>
      </w:pPr>
      <w:r>
        <w:t>Table: Information, advice and assistance provided to consumers</w:t>
      </w:r>
    </w:p>
    <w:tbl>
      <w:tblPr>
        <w:tblStyle w:val="TableGrid"/>
        <w:tblW w:w="9072" w:type="dxa"/>
        <w:tblLayout w:type="fixed"/>
        <w:tblLook w:val="06A0" w:firstRow="1" w:lastRow="0" w:firstColumn="1" w:lastColumn="0" w:noHBand="1" w:noVBand="1"/>
      </w:tblPr>
      <w:tblGrid>
        <w:gridCol w:w="6009"/>
        <w:gridCol w:w="1021"/>
        <w:gridCol w:w="1021"/>
        <w:gridCol w:w="1021"/>
      </w:tblGrid>
      <w:tr w:rsidR="009564E9" w14:paraId="618C9619" w14:textId="77777777" w:rsidTr="00C1318E">
        <w:trPr>
          <w:cnfStyle w:val="100000000000" w:firstRow="1" w:lastRow="0" w:firstColumn="0" w:lastColumn="0" w:oddVBand="0" w:evenVBand="0" w:oddHBand="0" w:evenHBand="0" w:firstRowFirstColumn="0" w:firstRowLastColumn="0" w:lastRowFirstColumn="0" w:lastRowLastColumn="0"/>
          <w:trHeight w:val="60"/>
          <w:tblHeader/>
        </w:trPr>
        <w:tc>
          <w:tcPr>
            <w:tcW w:w="6010" w:type="dxa"/>
          </w:tcPr>
          <w:p w14:paraId="7953740C" w14:textId="77777777" w:rsidR="009564E9" w:rsidRDefault="009564E9" w:rsidP="008451CB">
            <w:pPr>
              <w:pStyle w:val="TableColHead"/>
            </w:pPr>
          </w:p>
        </w:tc>
        <w:tc>
          <w:tcPr>
            <w:tcW w:w="1021" w:type="dxa"/>
          </w:tcPr>
          <w:p w14:paraId="1197ED7E" w14:textId="77777777" w:rsidR="009564E9" w:rsidRDefault="009564E9" w:rsidP="002853DB">
            <w:pPr>
              <w:pStyle w:val="TableColHeadRight"/>
            </w:pPr>
            <w:r>
              <w:t>2019–20</w:t>
            </w:r>
          </w:p>
        </w:tc>
        <w:tc>
          <w:tcPr>
            <w:tcW w:w="1021" w:type="dxa"/>
          </w:tcPr>
          <w:p w14:paraId="0C7EBB4A" w14:textId="77777777" w:rsidR="009564E9" w:rsidRDefault="009564E9" w:rsidP="002853DB">
            <w:pPr>
              <w:pStyle w:val="TableColHeadRight"/>
            </w:pPr>
            <w:r>
              <w:t>2020–21</w:t>
            </w:r>
          </w:p>
        </w:tc>
        <w:tc>
          <w:tcPr>
            <w:tcW w:w="1021" w:type="dxa"/>
          </w:tcPr>
          <w:p w14:paraId="74E3C86B" w14:textId="77777777" w:rsidR="009564E9" w:rsidRDefault="009564E9" w:rsidP="002853DB">
            <w:pPr>
              <w:pStyle w:val="TableColHeadRight"/>
            </w:pPr>
            <w:r>
              <w:t>2021–22</w:t>
            </w:r>
          </w:p>
        </w:tc>
      </w:tr>
      <w:tr w:rsidR="009564E9" w14:paraId="35319306" w14:textId="77777777" w:rsidTr="00C1318E">
        <w:trPr>
          <w:trHeight w:val="60"/>
        </w:trPr>
        <w:tc>
          <w:tcPr>
            <w:tcW w:w="6010" w:type="dxa"/>
            <w:gridSpan w:val="4"/>
            <w:shd w:val="clear" w:color="auto" w:fill="B2D5F0"/>
          </w:tcPr>
          <w:p w14:paraId="69672634" w14:textId="77777777" w:rsidR="009564E9" w:rsidRDefault="009564E9" w:rsidP="00BB1712">
            <w:pPr>
              <w:pStyle w:val="TableTextBold"/>
            </w:pPr>
            <w:r>
              <w:t>Information and advice</w:t>
            </w:r>
          </w:p>
        </w:tc>
      </w:tr>
      <w:tr w:rsidR="009564E9" w14:paraId="46A924CD" w14:textId="77777777" w:rsidTr="00C1318E">
        <w:trPr>
          <w:trHeight w:val="60"/>
        </w:trPr>
        <w:tc>
          <w:tcPr>
            <w:tcW w:w="6010" w:type="dxa"/>
          </w:tcPr>
          <w:p w14:paraId="49E229DE" w14:textId="77777777" w:rsidR="009564E9" w:rsidRDefault="009564E9" w:rsidP="00BB1712">
            <w:pPr>
              <w:pStyle w:val="TableText"/>
            </w:pPr>
            <w:r>
              <w:t>Calls answered</w:t>
            </w:r>
          </w:p>
        </w:tc>
        <w:tc>
          <w:tcPr>
            <w:tcW w:w="1021" w:type="dxa"/>
          </w:tcPr>
          <w:p w14:paraId="046CF794" w14:textId="77777777" w:rsidR="009564E9" w:rsidRDefault="009564E9" w:rsidP="00BB1712">
            <w:pPr>
              <w:pStyle w:val="TableTextRight"/>
            </w:pPr>
            <w:r>
              <w:t>234,632</w:t>
            </w:r>
          </w:p>
        </w:tc>
        <w:tc>
          <w:tcPr>
            <w:tcW w:w="1021" w:type="dxa"/>
          </w:tcPr>
          <w:p w14:paraId="636298A5" w14:textId="40F9978B" w:rsidR="009564E9" w:rsidRDefault="00BC0F49" w:rsidP="00BB1712">
            <w:pPr>
              <w:pStyle w:val="TableTextRight"/>
            </w:pPr>
            <w:r w:rsidRPr="00BC0F49">
              <w:t>205,508</w:t>
            </w:r>
            <w:r w:rsidR="009564E9">
              <w:rPr>
                <w:rFonts w:ascii="Times New Roman" w:hAnsi="Times New Roman"/>
              </w:rPr>
              <w:t> </w:t>
            </w:r>
            <w:r w:rsidR="009564E9" w:rsidRPr="007470E2">
              <w:rPr>
                <w:rStyle w:val="FootnoteReference"/>
              </w:rPr>
              <w:footnoteReference w:id="11"/>
            </w:r>
          </w:p>
        </w:tc>
        <w:tc>
          <w:tcPr>
            <w:tcW w:w="1021" w:type="dxa"/>
          </w:tcPr>
          <w:p w14:paraId="5886CE67" w14:textId="77777777" w:rsidR="009564E9" w:rsidRDefault="009564E9" w:rsidP="00BB1712">
            <w:pPr>
              <w:pStyle w:val="TableTextRight"/>
            </w:pPr>
            <w:r>
              <w:t>245,</w:t>
            </w:r>
            <w:r>
              <w:rPr>
                <w:szCs w:val="18"/>
              </w:rPr>
              <w:t>141</w:t>
            </w:r>
          </w:p>
        </w:tc>
      </w:tr>
      <w:tr w:rsidR="009564E9" w14:paraId="294A6D9B" w14:textId="77777777" w:rsidTr="00C1318E">
        <w:trPr>
          <w:trHeight w:val="60"/>
        </w:trPr>
        <w:tc>
          <w:tcPr>
            <w:tcW w:w="6010" w:type="dxa"/>
            <w:gridSpan w:val="4"/>
            <w:shd w:val="clear" w:color="auto" w:fill="B2D5F0"/>
          </w:tcPr>
          <w:p w14:paraId="61F5AF14" w14:textId="77777777" w:rsidR="009564E9" w:rsidRDefault="009564E9" w:rsidP="00BB1712">
            <w:pPr>
              <w:pStyle w:val="TableTextBold"/>
            </w:pPr>
            <w:r>
              <w:t>Advice provided to resolve disputes</w:t>
            </w:r>
          </w:p>
        </w:tc>
      </w:tr>
      <w:tr w:rsidR="009564E9" w14:paraId="3BFD1821" w14:textId="77777777" w:rsidTr="00C1318E">
        <w:trPr>
          <w:trHeight w:val="60"/>
        </w:trPr>
        <w:tc>
          <w:tcPr>
            <w:tcW w:w="6010" w:type="dxa"/>
          </w:tcPr>
          <w:p w14:paraId="275B96E5" w14:textId="77777777" w:rsidR="009564E9" w:rsidRDefault="009564E9" w:rsidP="00BB1712">
            <w:pPr>
              <w:pStyle w:val="TableText"/>
            </w:pPr>
            <w:r>
              <w:t xml:space="preserve">Disputes finalised </w:t>
            </w:r>
            <w:r w:rsidRPr="007470E2">
              <w:rPr>
                <w:rStyle w:val="FootnoteReference"/>
              </w:rPr>
              <w:footnoteReference w:id="12"/>
            </w:r>
          </w:p>
        </w:tc>
        <w:tc>
          <w:tcPr>
            <w:tcW w:w="1021" w:type="dxa"/>
          </w:tcPr>
          <w:p w14:paraId="7FB8A2E2" w14:textId="77777777" w:rsidR="009564E9" w:rsidRDefault="009564E9" w:rsidP="00BB1712">
            <w:pPr>
              <w:pStyle w:val="TableTextRight"/>
            </w:pPr>
            <w:r>
              <w:t>12,826</w:t>
            </w:r>
          </w:p>
        </w:tc>
        <w:tc>
          <w:tcPr>
            <w:tcW w:w="1021" w:type="dxa"/>
          </w:tcPr>
          <w:p w14:paraId="694DB42E" w14:textId="77777777" w:rsidR="009564E9" w:rsidRDefault="009564E9" w:rsidP="00BB1712">
            <w:pPr>
              <w:pStyle w:val="TableTextRight"/>
            </w:pPr>
            <w:r>
              <w:t>26,757</w:t>
            </w:r>
          </w:p>
        </w:tc>
        <w:tc>
          <w:tcPr>
            <w:tcW w:w="1021" w:type="dxa"/>
          </w:tcPr>
          <w:p w14:paraId="6506411E" w14:textId="77777777" w:rsidR="009564E9" w:rsidRDefault="009564E9" w:rsidP="00BB1712">
            <w:pPr>
              <w:pStyle w:val="TableTextRight"/>
            </w:pPr>
            <w:r>
              <w:t>6,709</w:t>
            </w:r>
          </w:p>
        </w:tc>
      </w:tr>
      <w:tr w:rsidR="009564E9" w14:paraId="7220E314" w14:textId="77777777" w:rsidTr="00C1318E">
        <w:trPr>
          <w:trHeight w:val="60"/>
        </w:trPr>
        <w:tc>
          <w:tcPr>
            <w:tcW w:w="6010" w:type="dxa"/>
            <w:gridSpan w:val="4"/>
            <w:shd w:val="clear" w:color="auto" w:fill="B2D5F0"/>
          </w:tcPr>
          <w:p w14:paraId="779389F8" w14:textId="77777777" w:rsidR="009564E9" w:rsidRDefault="009564E9" w:rsidP="00BB1712">
            <w:pPr>
              <w:pStyle w:val="TableTextBold"/>
            </w:pPr>
            <w:r>
              <w:t>Digital</w:t>
            </w:r>
          </w:p>
        </w:tc>
      </w:tr>
      <w:tr w:rsidR="009564E9" w14:paraId="7FB36EB4" w14:textId="77777777" w:rsidTr="00C1318E">
        <w:trPr>
          <w:trHeight w:val="60"/>
        </w:trPr>
        <w:tc>
          <w:tcPr>
            <w:tcW w:w="6010" w:type="dxa"/>
          </w:tcPr>
          <w:p w14:paraId="72B47D5C" w14:textId="77777777" w:rsidR="009564E9" w:rsidRDefault="009564E9" w:rsidP="00BB1712">
            <w:pPr>
              <w:pStyle w:val="TableText"/>
            </w:pPr>
            <w:r>
              <w:t>Website visits</w:t>
            </w:r>
          </w:p>
        </w:tc>
        <w:tc>
          <w:tcPr>
            <w:tcW w:w="1021" w:type="dxa"/>
          </w:tcPr>
          <w:p w14:paraId="113A1F72" w14:textId="77777777" w:rsidR="009564E9" w:rsidRDefault="009564E9" w:rsidP="00BB1712">
            <w:pPr>
              <w:pStyle w:val="TableTextRight"/>
            </w:pPr>
            <w:r>
              <w:t>4,466,428</w:t>
            </w:r>
          </w:p>
        </w:tc>
        <w:tc>
          <w:tcPr>
            <w:tcW w:w="1021" w:type="dxa"/>
          </w:tcPr>
          <w:p w14:paraId="7DD516FA" w14:textId="77777777" w:rsidR="009564E9" w:rsidRDefault="009564E9" w:rsidP="00BB1712">
            <w:pPr>
              <w:pStyle w:val="TableTextRight"/>
            </w:pPr>
            <w:r>
              <w:t>5,723,880</w:t>
            </w:r>
          </w:p>
        </w:tc>
        <w:tc>
          <w:tcPr>
            <w:tcW w:w="1021" w:type="dxa"/>
          </w:tcPr>
          <w:p w14:paraId="72DF685B" w14:textId="77777777" w:rsidR="009564E9" w:rsidRDefault="009564E9" w:rsidP="00BB1712">
            <w:pPr>
              <w:pStyle w:val="TableTextRight"/>
            </w:pPr>
            <w:r>
              <w:t>5,415,957</w:t>
            </w:r>
          </w:p>
        </w:tc>
      </w:tr>
      <w:tr w:rsidR="009564E9" w14:paraId="5012A34D" w14:textId="77777777" w:rsidTr="00C1318E">
        <w:trPr>
          <w:trHeight w:val="60"/>
        </w:trPr>
        <w:tc>
          <w:tcPr>
            <w:tcW w:w="6010" w:type="dxa"/>
          </w:tcPr>
          <w:p w14:paraId="21AAF524" w14:textId="77777777" w:rsidR="009564E9" w:rsidRDefault="009564E9" w:rsidP="00BB1712">
            <w:pPr>
              <w:pStyle w:val="TableText"/>
            </w:pPr>
            <w:r>
              <w:t>Letters, emails and online enquiry form contacts</w:t>
            </w:r>
          </w:p>
        </w:tc>
        <w:tc>
          <w:tcPr>
            <w:tcW w:w="1021" w:type="dxa"/>
          </w:tcPr>
          <w:p w14:paraId="368B2265" w14:textId="77777777" w:rsidR="009564E9" w:rsidRDefault="009564E9" w:rsidP="00BB1712">
            <w:pPr>
              <w:pStyle w:val="TableTextRight"/>
            </w:pPr>
            <w:r>
              <w:t>90,252</w:t>
            </w:r>
          </w:p>
        </w:tc>
        <w:tc>
          <w:tcPr>
            <w:tcW w:w="1021" w:type="dxa"/>
          </w:tcPr>
          <w:p w14:paraId="12B35F00" w14:textId="77777777" w:rsidR="009564E9" w:rsidRDefault="009564E9" w:rsidP="00BB1712">
            <w:pPr>
              <w:pStyle w:val="TableTextRight"/>
            </w:pPr>
            <w:r>
              <w:t>91,029</w:t>
            </w:r>
          </w:p>
        </w:tc>
        <w:tc>
          <w:tcPr>
            <w:tcW w:w="1021" w:type="dxa"/>
          </w:tcPr>
          <w:p w14:paraId="06504278" w14:textId="77777777" w:rsidR="009564E9" w:rsidRDefault="009564E9" w:rsidP="00BB1712">
            <w:pPr>
              <w:pStyle w:val="TableTextRight"/>
            </w:pPr>
            <w:r>
              <w:t>63,325</w:t>
            </w:r>
          </w:p>
        </w:tc>
      </w:tr>
      <w:tr w:rsidR="009564E9" w14:paraId="684592DF" w14:textId="77777777" w:rsidTr="00C1318E">
        <w:trPr>
          <w:trHeight w:val="60"/>
        </w:trPr>
        <w:tc>
          <w:tcPr>
            <w:tcW w:w="6010" w:type="dxa"/>
          </w:tcPr>
          <w:p w14:paraId="760F932B" w14:textId="77777777" w:rsidR="009564E9" w:rsidRDefault="009564E9" w:rsidP="00BB1712">
            <w:pPr>
              <w:pStyle w:val="TableText"/>
            </w:pPr>
            <w:r>
              <w:t>Twitter followers</w:t>
            </w:r>
          </w:p>
        </w:tc>
        <w:tc>
          <w:tcPr>
            <w:tcW w:w="1021" w:type="dxa"/>
          </w:tcPr>
          <w:p w14:paraId="4E8DBC6D" w14:textId="77777777" w:rsidR="009564E9" w:rsidRDefault="009564E9" w:rsidP="00BB1712">
            <w:pPr>
              <w:pStyle w:val="TableTextRight"/>
            </w:pPr>
            <w:r>
              <w:t>10,466</w:t>
            </w:r>
          </w:p>
        </w:tc>
        <w:tc>
          <w:tcPr>
            <w:tcW w:w="1021" w:type="dxa"/>
          </w:tcPr>
          <w:p w14:paraId="2E827957" w14:textId="77777777" w:rsidR="009564E9" w:rsidRDefault="009564E9" w:rsidP="00BB1712">
            <w:pPr>
              <w:pStyle w:val="TableTextRight"/>
            </w:pPr>
            <w:r>
              <w:t>10,634</w:t>
            </w:r>
          </w:p>
        </w:tc>
        <w:tc>
          <w:tcPr>
            <w:tcW w:w="1021" w:type="dxa"/>
          </w:tcPr>
          <w:p w14:paraId="5E75CCFB" w14:textId="77777777" w:rsidR="009564E9" w:rsidRDefault="009564E9" w:rsidP="00BB1712">
            <w:pPr>
              <w:pStyle w:val="TableTextRight"/>
            </w:pPr>
            <w:r>
              <w:t>10,717</w:t>
            </w:r>
          </w:p>
        </w:tc>
      </w:tr>
      <w:tr w:rsidR="009564E9" w14:paraId="6104F3BF" w14:textId="77777777" w:rsidTr="00C1318E">
        <w:trPr>
          <w:trHeight w:val="60"/>
        </w:trPr>
        <w:tc>
          <w:tcPr>
            <w:tcW w:w="6010" w:type="dxa"/>
          </w:tcPr>
          <w:p w14:paraId="50205F1C" w14:textId="77777777" w:rsidR="009564E9" w:rsidRDefault="009564E9" w:rsidP="00BB1712">
            <w:pPr>
              <w:pStyle w:val="TableText"/>
            </w:pPr>
            <w:r>
              <w:t>Facebook page likes</w:t>
            </w:r>
          </w:p>
        </w:tc>
        <w:tc>
          <w:tcPr>
            <w:tcW w:w="1021" w:type="dxa"/>
          </w:tcPr>
          <w:p w14:paraId="04ED96CF" w14:textId="77777777" w:rsidR="009564E9" w:rsidRDefault="009564E9" w:rsidP="00BB1712">
            <w:pPr>
              <w:pStyle w:val="TableTextRight"/>
            </w:pPr>
            <w:r>
              <w:t>46,932</w:t>
            </w:r>
          </w:p>
        </w:tc>
        <w:tc>
          <w:tcPr>
            <w:tcW w:w="1021" w:type="dxa"/>
          </w:tcPr>
          <w:p w14:paraId="29BF2A50" w14:textId="77777777" w:rsidR="009564E9" w:rsidRDefault="009564E9" w:rsidP="00BB1712">
            <w:pPr>
              <w:pStyle w:val="TableTextRight"/>
            </w:pPr>
            <w:r>
              <w:t>49,693</w:t>
            </w:r>
          </w:p>
        </w:tc>
        <w:tc>
          <w:tcPr>
            <w:tcW w:w="1021" w:type="dxa"/>
          </w:tcPr>
          <w:p w14:paraId="25C711DC" w14:textId="77777777" w:rsidR="009564E9" w:rsidRDefault="009564E9" w:rsidP="00BB1712">
            <w:pPr>
              <w:pStyle w:val="TableTextRight"/>
            </w:pPr>
            <w:r>
              <w:t>49,941</w:t>
            </w:r>
          </w:p>
        </w:tc>
      </w:tr>
      <w:tr w:rsidR="009564E9" w14:paraId="72E49848" w14:textId="77777777" w:rsidTr="00C1318E">
        <w:trPr>
          <w:trHeight w:val="60"/>
        </w:trPr>
        <w:tc>
          <w:tcPr>
            <w:tcW w:w="6010" w:type="dxa"/>
          </w:tcPr>
          <w:p w14:paraId="1607C387" w14:textId="77777777" w:rsidR="009564E9" w:rsidRDefault="009564E9" w:rsidP="00BB1712">
            <w:pPr>
              <w:pStyle w:val="TableText"/>
            </w:pPr>
            <w:r>
              <w:t>YouTube video views</w:t>
            </w:r>
          </w:p>
        </w:tc>
        <w:tc>
          <w:tcPr>
            <w:tcW w:w="1021" w:type="dxa"/>
          </w:tcPr>
          <w:p w14:paraId="42E4BD0D" w14:textId="77777777" w:rsidR="009564E9" w:rsidRDefault="009564E9" w:rsidP="00BB1712">
            <w:pPr>
              <w:pStyle w:val="TableTextRight"/>
            </w:pPr>
            <w:r>
              <w:t>234,978</w:t>
            </w:r>
          </w:p>
        </w:tc>
        <w:tc>
          <w:tcPr>
            <w:tcW w:w="1021" w:type="dxa"/>
          </w:tcPr>
          <w:p w14:paraId="5C357F9A" w14:textId="77777777" w:rsidR="009564E9" w:rsidRDefault="009564E9" w:rsidP="00BB1712">
            <w:pPr>
              <w:pStyle w:val="TableTextRight"/>
            </w:pPr>
            <w:r>
              <w:t>113,938</w:t>
            </w:r>
          </w:p>
        </w:tc>
        <w:tc>
          <w:tcPr>
            <w:tcW w:w="1021" w:type="dxa"/>
          </w:tcPr>
          <w:p w14:paraId="0B6D15A9" w14:textId="77777777" w:rsidR="009564E9" w:rsidRDefault="009564E9" w:rsidP="00BB1712">
            <w:pPr>
              <w:pStyle w:val="TableTextRight"/>
            </w:pPr>
            <w:r>
              <w:t>68,363</w:t>
            </w:r>
          </w:p>
        </w:tc>
      </w:tr>
      <w:tr w:rsidR="009564E9" w14:paraId="5C76F4B4" w14:textId="77777777" w:rsidTr="00C1318E">
        <w:trPr>
          <w:trHeight w:val="360"/>
        </w:trPr>
        <w:tc>
          <w:tcPr>
            <w:tcW w:w="6010" w:type="dxa"/>
            <w:gridSpan w:val="4"/>
            <w:shd w:val="clear" w:color="auto" w:fill="B2D5F0"/>
          </w:tcPr>
          <w:p w14:paraId="46B30295" w14:textId="77777777" w:rsidR="009564E9" w:rsidRDefault="009564E9" w:rsidP="00BB1712">
            <w:pPr>
              <w:pStyle w:val="TableTextBold"/>
            </w:pPr>
            <w:r>
              <w:t>Face-to-face or intensive assistance (funded community services)</w:t>
            </w:r>
          </w:p>
        </w:tc>
      </w:tr>
      <w:tr w:rsidR="009564E9" w14:paraId="004343B3" w14:textId="77777777" w:rsidTr="00C1318E">
        <w:trPr>
          <w:trHeight w:val="60"/>
        </w:trPr>
        <w:tc>
          <w:tcPr>
            <w:tcW w:w="6010" w:type="dxa"/>
          </w:tcPr>
          <w:p w14:paraId="5A9690C7" w14:textId="77777777" w:rsidR="009564E9" w:rsidRDefault="009564E9" w:rsidP="00BB1712">
            <w:pPr>
              <w:pStyle w:val="TableText"/>
            </w:pPr>
            <w:r>
              <w:t>Victorians assisted under the Consumer Assistance and Advocacy Program</w:t>
            </w:r>
          </w:p>
        </w:tc>
        <w:tc>
          <w:tcPr>
            <w:tcW w:w="1021" w:type="dxa"/>
          </w:tcPr>
          <w:p w14:paraId="5D3D1801" w14:textId="77777777" w:rsidR="009564E9" w:rsidRDefault="009564E9" w:rsidP="00BB1712">
            <w:pPr>
              <w:pStyle w:val="TableTextRight"/>
            </w:pPr>
            <w:r>
              <w:t>562</w:t>
            </w:r>
          </w:p>
        </w:tc>
        <w:tc>
          <w:tcPr>
            <w:tcW w:w="1021" w:type="dxa"/>
          </w:tcPr>
          <w:p w14:paraId="0BCEC5EB" w14:textId="77777777" w:rsidR="009564E9" w:rsidRDefault="009564E9" w:rsidP="00BB1712">
            <w:pPr>
              <w:pStyle w:val="TableTextRight"/>
            </w:pPr>
            <w:r>
              <w:t>287</w:t>
            </w:r>
          </w:p>
        </w:tc>
        <w:tc>
          <w:tcPr>
            <w:tcW w:w="1021" w:type="dxa"/>
          </w:tcPr>
          <w:p w14:paraId="168B7CE6" w14:textId="77777777" w:rsidR="009564E9" w:rsidRDefault="009564E9" w:rsidP="00BB1712">
            <w:pPr>
              <w:pStyle w:val="TableTextRight"/>
            </w:pPr>
            <w:r>
              <w:t>349</w:t>
            </w:r>
          </w:p>
        </w:tc>
      </w:tr>
      <w:tr w:rsidR="009564E9" w14:paraId="67C15D9B" w14:textId="77777777" w:rsidTr="00C1318E">
        <w:trPr>
          <w:trHeight w:val="60"/>
        </w:trPr>
        <w:tc>
          <w:tcPr>
            <w:tcW w:w="6010" w:type="dxa"/>
          </w:tcPr>
          <w:p w14:paraId="2F88C9B9" w14:textId="77777777" w:rsidR="009564E9" w:rsidRDefault="009564E9" w:rsidP="00BB1712">
            <w:pPr>
              <w:pStyle w:val="TableText"/>
            </w:pPr>
            <w:r>
              <w:t>Clients assisted with financial counselling</w:t>
            </w:r>
          </w:p>
        </w:tc>
        <w:tc>
          <w:tcPr>
            <w:tcW w:w="1021" w:type="dxa"/>
          </w:tcPr>
          <w:p w14:paraId="2DAF91AE" w14:textId="77777777" w:rsidR="009564E9" w:rsidRDefault="009564E9" w:rsidP="00BB1712">
            <w:pPr>
              <w:pStyle w:val="TableTextRight"/>
            </w:pPr>
            <w:r>
              <w:t>28,999</w:t>
            </w:r>
          </w:p>
        </w:tc>
        <w:tc>
          <w:tcPr>
            <w:tcW w:w="1021" w:type="dxa"/>
          </w:tcPr>
          <w:p w14:paraId="43748F69" w14:textId="77777777" w:rsidR="009564E9" w:rsidRDefault="009564E9" w:rsidP="00BB1712">
            <w:pPr>
              <w:pStyle w:val="TableTextRight"/>
            </w:pPr>
            <w:r>
              <w:t>20,386</w:t>
            </w:r>
          </w:p>
        </w:tc>
        <w:tc>
          <w:tcPr>
            <w:tcW w:w="1021" w:type="dxa"/>
          </w:tcPr>
          <w:p w14:paraId="69AE88C2" w14:textId="0E2DD532" w:rsidR="009564E9" w:rsidRDefault="00C26742" w:rsidP="00BB1712">
            <w:pPr>
              <w:pStyle w:val="TableTextRight"/>
            </w:pPr>
            <w:r>
              <w:t>21,223</w:t>
            </w:r>
          </w:p>
        </w:tc>
      </w:tr>
    </w:tbl>
    <w:p w14:paraId="6F69D7E9" w14:textId="0E8F0CC0" w:rsidR="009564E9" w:rsidRDefault="009564E9" w:rsidP="00FB35C3">
      <w:pPr>
        <w:pStyle w:val="Heading4"/>
        <w:pageBreakBefore/>
      </w:pPr>
      <w:r>
        <w:lastRenderedPageBreak/>
        <w:t>CAV’s contact centre: Supporting consumers from restrictions to</w:t>
      </w:r>
      <w:r w:rsidR="00FB35C3">
        <w:t> </w:t>
      </w:r>
      <w:r>
        <w:t>recovery</w:t>
      </w:r>
    </w:p>
    <w:p w14:paraId="4A8D0254" w14:textId="77777777" w:rsidR="009564E9" w:rsidRDefault="009564E9" w:rsidP="00A61C76">
      <w:pPr>
        <w:pStyle w:val="BodyText"/>
      </w:pPr>
      <w:r>
        <w:t>We provided vital support to Victorian consumers during the COVID-19 pandemic. Consumers contacted us for information and advice using a range of channels including telephone, email, written correspondence, our website and social media. Updated contact centre technology was leveraged to support the remote operation of the contact centre. We adjusted our service model to promote online advice, while ensuring telephone support was available for those who need it. While this adjustment impacted the amount of information and advice provided to consumers and businesses over the phone, we were able to meet consumer needs by being responsive and flexible.</w:t>
      </w:r>
    </w:p>
    <w:p w14:paraId="1E9F1BF9" w14:textId="77777777" w:rsidR="009564E9" w:rsidRDefault="009564E9" w:rsidP="00A61C76">
      <w:pPr>
        <w:pStyle w:val="BodyText"/>
      </w:pPr>
      <w:r>
        <w:t>Consumers contacted CAV for information about changes in terms and conditions from airlines, travel agencies, short stay rental providers and event organisers. Information and advice related to refunds for cancelled arrangements due to COVID-19 and the availability and cost of Rapid Antigen Test (RAT) kits was a significant driver of demand.</w:t>
      </w:r>
    </w:p>
    <w:p w14:paraId="5900CF8F" w14:textId="77777777" w:rsidR="009564E9" w:rsidRDefault="009564E9" w:rsidP="00A61C76">
      <w:pPr>
        <w:pStyle w:val="BodyText"/>
      </w:pPr>
      <w:r>
        <w:t>The resumption of full services drove a significant increase in the number of phone calls, with over 245,000 calls answered. In particular, the resumption of full services to the Fair Trading line saw a return to pre-pandemic levels of demand by Victorian consumers. The contact centre is continuing to invest in its staff, processes and technology to meet this demand and to maintain quality service to the community.</w:t>
      </w:r>
    </w:p>
    <w:p w14:paraId="0F279252" w14:textId="77777777" w:rsidR="009564E9" w:rsidRDefault="009564E9" w:rsidP="00FB35C3">
      <w:pPr>
        <w:pStyle w:val="Heading4"/>
        <w:spacing w:before="180" w:after="60"/>
      </w:pPr>
      <w:r>
        <w:t>CAV website improvements</w:t>
      </w:r>
    </w:p>
    <w:p w14:paraId="7C250071" w14:textId="29B9C553" w:rsidR="009564E9" w:rsidRDefault="009564E9" w:rsidP="00A61C76">
      <w:pPr>
        <w:pStyle w:val="BodyText"/>
      </w:pPr>
      <w:r>
        <w:t>The CAV website is a vital resource that helps consumers access information and services and understand their rights. It also supports business to understand their obligations. Ninety per cent of</w:t>
      </w:r>
      <w:r w:rsidR="00FB35C3">
        <w:t> </w:t>
      </w:r>
      <w:r>
        <w:t>consumer engagement with CAV starts on the CAV website.</w:t>
      </w:r>
    </w:p>
    <w:p w14:paraId="328EF925" w14:textId="608DF27C" w:rsidR="009564E9" w:rsidRDefault="009564E9" w:rsidP="00A61C76">
      <w:pPr>
        <w:pStyle w:val="BodyText"/>
      </w:pPr>
      <w:r>
        <w:t>Feedback about the website has highlighted issues that are negatively impacting experiences. This</w:t>
      </w:r>
      <w:r w:rsidR="00FB35C3">
        <w:t> </w:t>
      </w:r>
      <w:r>
        <w:t>feedback is guiding a project to redevelop and improve the website. The project started in December 2021 and will deliver an increasingly human-centric site with content that is easier to find</w:t>
      </w:r>
      <w:r w:rsidR="00FB35C3">
        <w:t> </w:t>
      </w:r>
      <w:r>
        <w:t>and understand. Better access to content online also frees-up other resources to serve more vulnerable and disadvantaged consumers and address the most complex problems Victorians face.</w:t>
      </w:r>
    </w:p>
    <w:p w14:paraId="31F8D14A" w14:textId="77777777" w:rsidR="009564E9" w:rsidRDefault="009564E9" w:rsidP="00FB35C3">
      <w:pPr>
        <w:pStyle w:val="BodyText"/>
        <w:keepNext/>
        <w:keepLines/>
        <w:spacing w:before="180" w:after="60" w:line="240" w:lineRule="auto"/>
        <w:outlineLvl w:val="3"/>
      </w:pPr>
      <w:r>
        <w:t>Work has started on sections of the site to address navigation and content concerns. A staggered delivery of enhancements means users will see the benefits of each update as it is finished.</w:t>
      </w:r>
    </w:p>
    <w:p w14:paraId="3181DD59" w14:textId="77777777" w:rsidR="009564E9" w:rsidRDefault="009564E9" w:rsidP="00FB35C3">
      <w:pPr>
        <w:pStyle w:val="Heading4"/>
        <w:spacing w:before="200" w:after="80"/>
      </w:pPr>
      <w:r>
        <w:t>Funded Community Services</w:t>
      </w:r>
    </w:p>
    <w:p w14:paraId="5E157486" w14:textId="4CB9A3B8" w:rsidR="009564E9" w:rsidRDefault="009564E9" w:rsidP="00A61C76">
      <w:pPr>
        <w:pStyle w:val="BodyText"/>
      </w:pPr>
      <w:r>
        <w:t>CAV continued to fund a range of community services throughout the year to support vulnerable and</w:t>
      </w:r>
      <w:r w:rsidR="00FB35C3">
        <w:t> </w:t>
      </w:r>
      <w:r>
        <w:t>disadvantaged consumers, including through the Financial Counselling Program, the Consumer Assistance and Advocacy Program and the Domestic Building Legal Service.</w:t>
      </w:r>
    </w:p>
    <w:p w14:paraId="782426AC" w14:textId="47D55913" w:rsidR="009564E9" w:rsidRDefault="009564E9" w:rsidP="00A61C76">
      <w:pPr>
        <w:pStyle w:val="BodyText"/>
      </w:pPr>
      <w:r>
        <w:t>The Financial Counselling Program supported more than 17,785 Victorians with free and independent</w:t>
      </w:r>
      <w:r w:rsidR="00FB35C3">
        <w:t> </w:t>
      </w:r>
      <w:r>
        <w:t xml:space="preserve">financial counselling services delivered by community agencies across Victoria in </w:t>
      </w:r>
      <w:r w:rsidR="00FB35C3">
        <w:br/>
      </w:r>
      <w:r>
        <w:t>2021–22. This is an increase on the number of Victorians supported in 2020–21 due to the relaxing of</w:t>
      </w:r>
      <w:r w:rsidR="00FB35C3">
        <w:t> </w:t>
      </w:r>
      <w:r>
        <w:t>COVID-19 restrictions on face-to-face service delivery and withdrawal of related financial supports.</w:t>
      </w:r>
    </w:p>
    <w:p w14:paraId="1DEC8734" w14:textId="164FA0E0" w:rsidR="009564E9" w:rsidRDefault="009564E9" w:rsidP="00A61C76">
      <w:pPr>
        <w:pStyle w:val="BodyText"/>
      </w:pPr>
      <w:r>
        <w:t xml:space="preserve">Financial counsellors provide consumers with advice about their rights and responsibilities, support in negotiating with creditors and advice on how to make payment plans for debts. Clients supported by the Financial Counselling Program typically report incomes of less than $30,000 per year and are experiencing vulnerability due to personal circumstances. The support provided by the Financial Counselling Program helps to ensure that they are able to meet their obligations and are not subject </w:t>
      </w:r>
      <w:r>
        <w:lastRenderedPageBreak/>
        <w:t>to</w:t>
      </w:r>
      <w:r w:rsidR="00FB35C3">
        <w:t> </w:t>
      </w:r>
      <w:r>
        <w:t>unfair or unreasonable debts. As part of this program, specialist financial counselling services were provided to more than 3,400 Victorians experiencing family violence. Victorians impacted by natural disasters were supported through dedicated bushfire, storm and flood programs.</w:t>
      </w:r>
    </w:p>
    <w:p w14:paraId="160B8CF7" w14:textId="77777777" w:rsidR="009564E9" w:rsidRDefault="009564E9" w:rsidP="00A61C76">
      <w:pPr>
        <w:pStyle w:val="BodyText"/>
      </w:pPr>
      <w:r>
        <w:t>CAV also continued to fund the Consumer Assistance and Advocacy Program (CAAP), providing advice, casework and campaign and advocacy services to Victorian consumers. The CAAP casework service focuses on support to groups experiencing vulnerability including culturally and linguistically diverse community members, Aboriginal and Torres Strait Islander people and older Victorians. Throughout the year, 349 vulnerable Victorians received support with clients impacted by scams, breaches of consumer guarantees and contractual disputes.</w:t>
      </w:r>
    </w:p>
    <w:p w14:paraId="542BA69D" w14:textId="0AB542F6" w:rsidR="009564E9" w:rsidRDefault="009564E9" w:rsidP="00A61C76">
      <w:pPr>
        <w:pStyle w:val="BodyText"/>
      </w:pPr>
      <w:r>
        <w:t>The Domestic Building Legal Service provided support to vulnerable homeowners experiencing disputes with their builder. The service provided support to 217 homeowners who had not been able to</w:t>
      </w:r>
      <w:r w:rsidR="00FB35C3">
        <w:t> </w:t>
      </w:r>
      <w:r>
        <w:t>successfully resolve the dispute through Domestic Building Dispute Resolution Victoria. More intensive support from pro-bono lawyers was also provided to 15 homeowners with complex cases. Clients are supported to resolve disputes across a range of areas including with payments and with legal support where the works are defective and incomplete and they do not have the means themselves to engage legal support.</w:t>
      </w:r>
    </w:p>
    <w:p w14:paraId="29A3A86F" w14:textId="4EC1BBD7" w:rsidR="009564E9" w:rsidRDefault="009564E9" w:rsidP="00FB35C3">
      <w:pPr>
        <w:pStyle w:val="Heading4"/>
        <w:spacing w:before="180" w:after="60"/>
      </w:pPr>
      <w:r>
        <w:t>Integration of family violence response training</w:t>
      </w:r>
      <w:r w:rsidR="00FB35C3">
        <w:br/>
      </w:r>
      <w:r>
        <w:t>across a range of CAV services</w:t>
      </w:r>
    </w:p>
    <w:p w14:paraId="0681642C" w14:textId="77777777" w:rsidR="009564E9" w:rsidRDefault="009564E9" w:rsidP="00A61C76">
      <w:pPr>
        <w:pStyle w:val="BodyText"/>
      </w:pPr>
      <w:r>
        <w:t>We continued to look for ways to improve our service delivery, with a focus on improving responses to people experiencing family violence, improving outcomes and supporting victims/survivors to recover and thrive.</w:t>
      </w:r>
    </w:p>
    <w:p w14:paraId="2CECA827" w14:textId="0D83329D" w:rsidR="009564E9" w:rsidRDefault="009564E9" w:rsidP="00A61C76">
      <w:pPr>
        <w:pStyle w:val="BodyText"/>
      </w:pPr>
      <w:r>
        <w:t>Senior leaders across CAV were supported to improve their understanding of how service delivery and</w:t>
      </w:r>
      <w:r w:rsidR="00FB35C3">
        <w:t> </w:t>
      </w:r>
      <w:r>
        <w:t>policy development can be informed by contemporary approaches to family violence. Our contact centre team underwent training on how to identify family violence in their contacts, aligned with the Multi Agency Risk Assessment and Management Framework. Processes have also been established to ensure Victorians who are experiencing family violence have access to all of CAV’s services and are referred to an appropriate family violence service.</w:t>
      </w:r>
    </w:p>
    <w:p w14:paraId="0DFBB48A" w14:textId="77777777" w:rsidR="009564E9" w:rsidRDefault="009564E9" w:rsidP="00A61C76">
      <w:pPr>
        <w:pStyle w:val="BodyText"/>
      </w:pPr>
      <w:r>
        <w:t>Our senior leaders also undertook family violence training to ensure they have the knowledge and tools to support staff who are experiencing or using family violence.</w:t>
      </w:r>
    </w:p>
    <w:p w14:paraId="0C49D9D8" w14:textId="77777777" w:rsidR="009564E9" w:rsidRDefault="009564E9" w:rsidP="00FB35C3">
      <w:pPr>
        <w:pStyle w:val="Heading4"/>
        <w:spacing w:before="180" w:after="60"/>
      </w:pPr>
      <w:r>
        <w:t>Launch of Property Market Review</w:t>
      </w:r>
    </w:p>
    <w:p w14:paraId="0836E06E" w14:textId="77777777" w:rsidR="009564E9" w:rsidRDefault="009564E9" w:rsidP="00A61C76">
      <w:pPr>
        <w:pStyle w:val="BodyText"/>
      </w:pPr>
      <w:r>
        <w:t>Changing market conditions, such as concerns about housing affordability, have increased community concerns about underquoting and access to the property market. As a result, in February 2022, a review into Victoria’s property market was commissioned to ensure that consumer property laws provide Victorians with easier and fairer access to the housing market.</w:t>
      </w:r>
    </w:p>
    <w:p w14:paraId="3C4C8ED6" w14:textId="20CE64DD" w:rsidR="009564E9" w:rsidRDefault="009564E9" w:rsidP="00A61C76">
      <w:pPr>
        <w:pStyle w:val="BodyText"/>
      </w:pPr>
      <w:r>
        <w:t>The review was conducted by an independent expert panel, comprised of Carolyn Bond AM, consumer advocate and former co-Chief Executive Officer of the Consumer Action Law Centre and Enzo Raimondo, industry expert and former Chief Executive Officer of the Real Estate Institute of Victoria. The expert panel undertook public consultation via the Engage Victoria platform. In addition, the expert panel conducted stakeholder consultations via interviews and workshops, targeting stakeholders from the property industry, housing providers, community organisations, government departments and agencies with a role in the property market. Victorians were invited to participate in the review through a survey, submissions, and public forums. Consultation was open from 18</w:t>
      </w:r>
      <w:r w:rsidR="00FB35C3">
        <w:t> </w:t>
      </w:r>
      <w:r>
        <w:t>February 2022 to 1 April 2022.</w:t>
      </w:r>
    </w:p>
    <w:p w14:paraId="60108E64" w14:textId="107386B3" w:rsidR="009564E9" w:rsidRDefault="009564E9" w:rsidP="00A61C76">
      <w:pPr>
        <w:pStyle w:val="BodyText"/>
      </w:pPr>
      <w:r>
        <w:lastRenderedPageBreak/>
        <w:t>The review’s terms of reference cover issues relating to consumer property laws, tasking the expert</w:t>
      </w:r>
      <w:r w:rsidR="00FB35C3">
        <w:t> </w:t>
      </w:r>
      <w:r>
        <w:t>panel with making recommendations on the terms. The expert panel provided its report to</w:t>
      </w:r>
      <w:r w:rsidR="00FB35C3">
        <w:t> </w:t>
      </w:r>
      <w:r>
        <w:t>the</w:t>
      </w:r>
      <w:r w:rsidR="00FB35C3">
        <w:t> </w:t>
      </w:r>
      <w:r>
        <w:t>government in late April 2022 for further consideration.</w:t>
      </w:r>
    </w:p>
    <w:p w14:paraId="76338CAF" w14:textId="77777777" w:rsidR="009564E9" w:rsidRDefault="009564E9" w:rsidP="002853DB">
      <w:pPr>
        <w:pStyle w:val="Heading3"/>
        <w:spacing w:before="160" w:after="60"/>
      </w:pPr>
      <w:bookmarkStart w:id="13" w:name="_Toc122097066"/>
      <w:r>
        <w:t>A fair and safe rental market</w:t>
      </w:r>
      <w:bookmarkEnd w:id="13"/>
    </w:p>
    <w:p w14:paraId="32A9072B" w14:textId="3B034909" w:rsidR="009564E9" w:rsidRDefault="009564E9" w:rsidP="00A61C76">
      <w:pPr>
        <w:pStyle w:val="BodyText"/>
      </w:pPr>
      <w:r>
        <w:t xml:space="preserve">As the Victorian regulator of rental laws, we work to achieve fair and safe rental housing. </w:t>
      </w:r>
      <w:r w:rsidR="00FB35C3">
        <w:br/>
      </w:r>
      <w:r>
        <w:t>In 2021–22 CAV maintained a focus on the implementation of the new rental laws that came into effect in March 2021 for renters and rental providers (landlords) in Victoria. The laws focused on increasing protections for renters while ensuring rental providers can effectively manage their properties.</w:t>
      </w:r>
    </w:p>
    <w:p w14:paraId="1984BE30" w14:textId="77777777" w:rsidR="009564E9" w:rsidRDefault="009564E9" w:rsidP="00A61C76">
      <w:pPr>
        <w:pStyle w:val="BodyText"/>
      </w:pPr>
      <w:r>
        <w:t>We maintained a particular focus on ensuring compliance with essential estate agent obligations whilst continuing to inform renters and rental providers of their rights and responsibilities through our frontline contact centre, website and social media channels. The pandemic resulted in unusual conditions in the Victorian property market; we recognise this, and know it’s important for agents, renters and rental providers to be aware of Victoria’s rental laws.</w:t>
      </w:r>
    </w:p>
    <w:p w14:paraId="1480E872" w14:textId="77777777" w:rsidR="009564E9" w:rsidRDefault="009564E9" w:rsidP="00E12FF0">
      <w:pPr>
        <w:pStyle w:val="Caption"/>
        <w:spacing w:before="160" w:after="60"/>
      </w:pPr>
      <w:r>
        <w:t>Table: Information, advice and service delivery to renters, rental providers and agents</w:t>
      </w:r>
    </w:p>
    <w:tbl>
      <w:tblPr>
        <w:tblStyle w:val="TableGrid"/>
        <w:tblW w:w="9072" w:type="dxa"/>
        <w:tblLayout w:type="fixed"/>
        <w:tblLook w:val="06A0" w:firstRow="1" w:lastRow="0" w:firstColumn="1" w:lastColumn="0" w:noHBand="1" w:noVBand="1"/>
      </w:tblPr>
      <w:tblGrid>
        <w:gridCol w:w="5209"/>
        <w:gridCol w:w="1288"/>
        <w:gridCol w:w="1287"/>
        <w:gridCol w:w="1288"/>
      </w:tblGrid>
      <w:tr w:rsidR="009564E9" w14:paraId="4516A7BA" w14:textId="77777777" w:rsidTr="009368F4">
        <w:trPr>
          <w:cnfStyle w:val="100000000000" w:firstRow="1" w:lastRow="0" w:firstColumn="0" w:lastColumn="0" w:oddVBand="0" w:evenVBand="0" w:oddHBand="0" w:evenHBand="0" w:firstRowFirstColumn="0" w:firstRowLastColumn="0" w:lastRowFirstColumn="0" w:lastRowLastColumn="0"/>
          <w:trHeight w:val="60"/>
          <w:tblHeader/>
        </w:trPr>
        <w:tc>
          <w:tcPr>
            <w:tcW w:w="5556" w:type="dxa"/>
          </w:tcPr>
          <w:p w14:paraId="306208F3" w14:textId="77777777" w:rsidR="009564E9" w:rsidRDefault="009564E9" w:rsidP="00E12FF0">
            <w:pPr>
              <w:pStyle w:val="TableColHead"/>
              <w:spacing w:before="70" w:after="50"/>
            </w:pPr>
          </w:p>
        </w:tc>
        <w:tc>
          <w:tcPr>
            <w:tcW w:w="1361" w:type="dxa"/>
          </w:tcPr>
          <w:p w14:paraId="3BFE1A36" w14:textId="1289EBB3" w:rsidR="009564E9" w:rsidRDefault="009564E9" w:rsidP="00E12FF0">
            <w:pPr>
              <w:pStyle w:val="TableColHeadRight"/>
              <w:spacing w:before="70" w:after="50"/>
            </w:pPr>
            <w:r>
              <w:t>20</w:t>
            </w:r>
            <w:r w:rsidR="00D7722E">
              <w:t>19–20</w:t>
            </w:r>
          </w:p>
        </w:tc>
        <w:tc>
          <w:tcPr>
            <w:tcW w:w="1360" w:type="dxa"/>
          </w:tcPr>
          <w:p w14:paraId="1E404B7B" w14:textId="77777777" w:rsidR="009564E9" w:rsidRDefault="009564E9" w:rsidP="00E12FF0">
            <w:pPr>
              <w:pStyle w:val="TableColHeadRight"/>
              <w:spacing w:before="70" w:after="50"/>
            </w:pPr>
            <w:r>
              <w:t>2020–21</w:t>
            </w:r>
          </w:p>
        </w:tc>
        <w:tc>
          <w:tcPr>
            <w:tcW w:w="1361" w:type="dxa"/>
          </w:tcPr>
          <w:p w14:paraId="239C7A90" w14:textId="77777777" w:rsidR="009564E9" w:rsidRDefault="009564E9" w:rsidP="00E12FF0">
            <w:pPr>
              <w:pStyle w:val="TableColHeadRight"/>
              <w:spacing w:before="70" w:after="50"/>
            </w:pPr>
            <w:r>
              <w:t>2021–22</w:t>
            </w:r>
          </w:p>
        </w:tc>
      </w:tr>
      <w:tr w:rsidR="009564E9" w14:paraId="12FC5E24" w14:textId="77777777" w:rsidTr="009368F4">
        <w:trPr>
          <w:trHeight w:val="60"/>
        </w:trPr>
        <w:tc>
          <w:tcPr>
            <w:tcW w:w="9638" w:type="dxa"/>
            <w:gridSpan w:val="4"/>
            <w:shd w:val="clear" w:color="auto" w:fill="B2D5F0"/>
          </w:tcPr>
          <w:p w14:paraId="112D5401" w14:textId="77777777" w:rsidR="009564E9" w:rsidRDefault="009564E9" w:rsidP="00E12FF0">
            <w:pPr>
              <w:pStyle w:val="TableTextBold"/>
              <w:spacing w:before="70" w:after="50"/>
            </w:pPr>
            <w:r>
              <w:t>Information and advice</w:t>
            </w:r>
          </w:p>
        </w:tc>
      </w:tr>
      <w:tr w:rsidR="009564E9" w14:paraId="34ED0E70" w14:textId="77777777" w:rsidTr="009368F4">
        <w:trPr>
          <w:trHeight w:val="60"/>
        </w:trPr>
        <w:tc>
          <w:tcPr>
            <w:tcW w:w="5556" w:type="dxa"/>
          </w:tcPr>
          <w:p w14:paraId="76B45242" w14:textId="77777777" w:rsidR="009564E9" w:rsidRDefault="009564E9" w:rsidP="00E12FF0">
            <w:pPr>
              <w:pStyle w:val="TableText"/>
              <w:spacing w:before="70" w:after="50"/>
            </w:pPr>
            <w:r>
              <w:t>Website page views – renting section</w:t>
            </w:r>
          </w:p>
        </w:tc>
        <w:tc>
          <w:tcPr>
            <w:tcW w:w="1361" w:type="dxa"/>
          </w:tcPr>
          <w:p w14:paraId="7EC49D3E" w14:textId="77777777" w:rsidR="009564E9" w:rsidRDefault="009564E9" w:rsidP="00E12FF0">
            <w:pPr>
              <w:pStyle w:val="TableTextRight"/>
              <w:spacing w:before="70" w:after="50"/>
            </w:pPr>
            <w:r>
              <w:t>2,724,521</w:t>
            </w:r>
          </w:p>
        </w:tc>
        <w:tc>
          <w:tcPr>
            <w:tcW w:w="1360" w:type="dxa"/>
          </w:tcPr>
          <w:p w14:paraId="57D149AF" w14:textId="77777777" w:rsidR="009564E9" w:rsidRDefault="009564E9" w:rsidP="00E12FF0">
            <w:pPr>
              <w:pStyle w:val="TableTextRight"/>
              <w:spacing w:before="70" w:after="50"/>
            </w:pPr>
            <w:r>
              <w:t>3,870,748</w:t>
            </w:r>
          </w:p>
        </w:tc>
        <w:tc>
          <w:tcPr>
            <w:tcW w:w="1361" w:type="dxa"/>
          </w:tcPr>
          <w:p w14:paraId="1304A9A6" w14:textId="77777777" w:rsidR="009564E9" w:rsidRDefault="009564E9" w:rsidP="00E12FF0">
            <w:pPr>
              <w:pStyle w:val="TableTextRight"/>
              <w:spacing w:before="70" w:after="50"/>
            </w:pPr>
            <w:r>
              <w:t>3,544,425</w:t>
            </w:r>
          </w:p>
        </w:tc>
      </w:tr>
      <w:tr w:rsidR="009564E9" w14:paraId="7ED2AE1E" w14:textId="77777777" w:rsidTr="009368F4">
        <w:trPr>
          <w:trHeight w:val="60"/>
        </w:trPr>
        <w:tc>
          <w:tcPr>
            <w:tcW w:w="5556" w:type="dxa"/>
          </w:tcPr>
          <w:p w14:paraId="054F9CF5" w14:textId="77777777" w:rsidR="009564E9" w:rsidRDefault="009564E9" w:rsidP="00E12FF0">
            <w:pPr>
              <w:pStyle w:val="TableText"/>
              <w:spacing w:before="70" w:after="50"/>
            </w:pPr>
            <w:r>
              <w:t>Calls answered – residential tenancies</w:t>
            </w:r>
          </w:p>
        </w:tc>
        <w:tc>
          <w:tcPr>
            <w:tcW w:w="1361" w:type="dxa"/>
          </w:tcPr>
          <w:p w14:paraId="5A45144E" w14:textId="77777777" w:rsidR="009564E9" w:rsidRDefault="009564E9" w:rsidP="00E12FF0">
            <w:pPr>
              <w:pStyle w:val="TableTextRight"/>
              <w:spacing w:before="70" w:after="50"/>
            </w:pPr>
            <w:r>
              <w:t>67,678</w:t>
            </w:r>
          </w:p>
        </w:tc>
        <w:tc>
          <w:tcPr>
            <w:tcW w:w="1360" w:type="dxa"/>
          </w:tcPr>
          <w:p w14:paraId="2728E21C" w14:textId="1B2B4C8B" w:rsidR="009564E9" w:rsidRDefault="009564E9" w:rsidP="00E12FF0">
            <w:pPr>
              <w:pStyle w:val="TableTextRight"/>
              <w:spacing w:before="70" w:after="50"/>
            </w:pPr>
            <w:r>
              <w:t>9</w:t>
            </w:r>
            <w:r w:rsidR="00D7722E">
              <w:t>2,427</w:t>
            </w:r>
            <w:r w:rsidR="00B75A3A">
              <w:rPr>
                <w:rStyle w:val="FootnoteReference"/>
              </w:rPr>
              <w:footnoteReference w:id="13"/>
            </w:r>
          </w:p>
        </w:tc>
        <w:tc>
          <w:tcPr>
            <w:tcW w:w="1361" w:type="dxa"/>
          </w:tcPr>
          <w:p w14:paraId="6677039E" w14:textId="77777777" w:rsidR="009564E9" w:rsidRDefault="009564E9" w:rsidP="00E12FF0">
            <w:pPr>
              <w:pStyle w:val="TableTextRight"/>
              <w:spacing w:before="70" w:after="50"/>
            </w:pPr>
            <w:r>
              <w:t>70,633</w:t>
            </w:r>
          </w:p>
        </w:tc>
      </w:tr>
      <w:tr w:rsidR="009564E9" w14:paraId="5FFBF167" w14:textId="77777777" w:rsidTr="009368F4">
        <w:trPr>
          <w:trHeight w:val="60"/>
        </w:trPr>
        <w:tc>
          <w:tcPr>
            <w:tcW w:w="5556" w:type="dxa"/>
          </w:tcPr>
          <w:p w14:paraId="736EC069" w14:textId="77777777" w:rsidR="009564E9" w:rsidRDefault="009564E9" w:rsidP="00E12FF0">
            <w:pPr>
              <w:pStyle w:val="TableText"/>
              <w:spacing w:before="70" w:after="50"/>
            </w:pPr>
            <w:r>
              <w:t>Calls answered – RTBA</w:t>
            </w:r>
          </w:p>
        </w:tc>
        <w:tc>
          <w:tcPr>
            <w:tcW w:w="1361" w:type="dxa"/>
          </w:tcPr>
          <w:p w14:paraId="7AD88496" w14:textId="77777777" w:rsidR="009564E9" w:rsidRDefault="009564E9" w:rsidP="00E12FF0">
            <w:pPr>
              <w:pStyle w:val="TableTextRight"/>
              <w:spacing w:before="70" w:after="50"/>
            </w:pPr>
            <w:r>
              <w:t>55,225</w:t>
            </w:r>
          </w:p>
        </w:tc>
        <w:tc>
          <w:tcPr>
            <w:tcW w:w="1360" w:type="dxa"/>
          </w:tcPr>
          <w:p w14:paraId="5F6365DA" w14:textId="7ECFC16B" w:rsidR="009564E9" w:rsidRDefault="009564E9" w:rsidP="00E12FF0">
            <w:pPr>
              <w:pStyle w:val="TableTextRight"/>
              <w:spacing w:before="70" w:after="50"/>
            </w:pPr>
            <w:r>
              <w:t>32,</w:t>
            </w:r>
            <w:r w:rsidR="00D7722E">
              <w:t>180</w:t>
            </w:r>
            <w:r w:rsidR="001C330C">
              <w:rPr>
                <w:rStyle w:val="FootnoteReference"/>
              </w:rPr>
              <w:footnoteReference w:id="14"/>
            </w:r>
          </w:p>
        </w:tc>
        <w:tc>
          <w:tcPr>
            <w:tcW w:w="1361" w:type="dxa"/>
          </w:tcPr>
          <w:p w14:paraId="034743AD" w14:textId="77777777" w:rsidR="009564E9" w:rsidRDefault="009564E9" w:rsidP="00E12FF0">
            <w:pPr>
              <w:pStyle w:val="TableTextRight"/>
              <w:spacing w:before="70" w:after="50"/>
            </w:pPr>
            <w:r>
              <w:t>56,128</w:t>
            </w:r>
          </w:p>
        </w:tc>
      </w:tr>
      <w:tr w:rsidR="009564E9" w14:paraId="56746DAE" w14:textId="77777777" w:rsidTr="009368F4">
        <w:trPr>
          <w:trHeight w:val="60"/>
        </w:trPr>
        <w:tc>
          <w:tcPr>
            <w:tcW w:w="9638" w:type="dxa"/>
            <w:gridSpan w:val="4"/>
            <w:shd w:val="clear" w:color="auto" w:fill="B2D5F0"/>
          </w:tcPr>
          <w:p w14:paraId="5F68E70B" w14:textId="77777777" w:rsidR="009564E9" w:rsidRDefault="009564E9" w:rsidP="00E12FF0">
            <w:pPr>
              <w:pStyle w:val="TableTextBold"/>
              <w:spacing w:before="70" w:after="50"/>
            </w:pPr>
            <w:r>
              <w:t>Compliance</w:t>
            </w:r>
          </w:p>
        </w:tc>
      </w:tr>
      <w:tr w:rsidR="009564E9" w14:paraId="1839F392" w14:textId="77777777" w:rsidTr="009368F4">
        <w:trPr>
          <w:trHeight w:val="60"/>
        </w:trPr>
        <w:tc>
          <w:tcPr>
            <w:tcW w:w="5556" w:type="dxa"/>
          </w:tcPr>
          <w:p w14:paraId="4BA0A080" w14:textId="77777777" w:rsidR="009564E9" w:rsidRDefault="009564E9" w:rsidP="00E12FF0">
            <w:pPr>
              <w:pStyle w:val="TableText"/>
              <w:spacing w:before="70" w:after="50"/>
            </w:pPr>
            <w:r>
              <w:t>Rooming house inspections (including repeat visits)</w:t>
            </w:r>
          </w:p>
        </w:tc>
        <w:tc>
          <w:tcPr>
            <w:tcW w:w="1361" w:type="dxa"/>
          </w:tcPr>
          <w:p w14:paraId="6C3A24BD" w14:textId="77777777" w:rsidR="009564E9" w:rsidRDefault="009564E9" w:rsidP="00E12FF0">
            <w:pPr>
              <w:pStyle w:val="TableTextRight"/>
              <w:spacing w:before="70" w:after="50"/>
            </w:pPr>
            <w:r>
              <w:t>267</w:t>
            </w:r>
          </w:p>
        </w:tc>
        <w:tc>
          <w:tcPr>
            <w:tcW w:w="1360" w:type="dxa"/>
          </w:tcPr>
          <w:p w14:paraId="0DA0697D" w14:textId="77777777" w:rsidR="009564E9" w:rsidRDefault="009564E9" w:rsidP="00E12FF0">
            <w:pPr>
              <w:pStyle w:val="TableTextRight"/>
              <w:spacing w:before="70" w:after="50"/>
            </w:pPr>
            <w:r>
              <w:t>187</w:t>
            </w:r>
          </w:p>
        </w:tc>
        <w:tc>
          <w:tcPr>
            <w:tcW w:w="1361" w:type="dxa"/>
          </w:tcPr>
          <w:p w14:paraId="5DFB996E" w14:textId="77777777" w:rsidR="009564E9" w:rsidRDefault="009564E9" w:rsidP="00E12FF0">
            <w:pPr>
              <w:pStyle w:val="TableTextRight"/>
              <w:spacing w:before="70" w:after="50"/>
            </w:pPr>
            <w:r>
              <w:t>233</w:t>
            </w:r>
          </w:p>
        </w:tc>
      </w:tr>
      <w:tr w:rsidR="009564E9" w14:paraId="11EDED25" w14:textId="77777777" w:rsidTr="009368F4">
        <w:trPr>
          <w:trHeight w:val="60"/>
        </w:trPr>
        <w:tc>
          <w:tcPr>
            <w:tcW w:w="5556" w:type="dxa"/>
          </w:tcPr>
          <w:p w14:paraId="0241DD04" w14:textId="77777777" w:rsidR="009564E9" w:rsidRDefault="009564E9" w:rsidP="00E12FF0">
            <w:pPr>
              <w:pStyle w:val="TableText"/>
              <w:spacing w:before="70" w:after="50"/>
            </w:pPr>
            <w:r>
              <w:t>Rooming houses registered</w:t>
            </w:r>
          </w:p>
        </w:tc>
        <w:tc>
          <w:tcPr>
            <w:tcW w:w="1361" w:type="dxa"/>
          </w:tcPr>
          <w:p w14:paraId="33C8A60A" w14:textId="77777777" w:rsidR="009564E9" w:rsidRDefault="009564E9" w:rsidP="00E12FF0">
            <w:pPr>
              <w:pStyle w:val="TableTextRight"/>
              <w:spacing w:before="70" w:after="50"/>
            </w:pPr>
            <w:r>
              <w:t>1,400</w:t>
            </w:r>
          </w:p>
        </w:tc>
        <w:tc>
          <w:tcPr>
            <w:tcW w:w="1360" w:type="dxa"/>
          </w:tcPr>
          <w:p w14:paraId="3396A155" w14:textId="77777777" w:rsidR="009564E9" w:rsidRDefault="009564E9" w:rsidP="00E12FF0">
            <w:pPr>
              <w:pStyle w:val="TableTextRight"/>
              <w:spacing w:before="70" w:after="50"/>
            </w:pPr>
            <w:r>
              <w:t>1,419</w:t>
            </w:r>
          </w:p>
        </w:tc>
        <w:tc>
          <w:tcPr>
            <w:tcW w:w="1361" w:type="dxa"/>
          </w:tcPr>
          <w:p w14:paraId="34B8003D" w14:textId="77777777" w:rsidR="009564E9" w:rsidRDefault="009564E9" w:rsidP="00E12FF0">
            <w:pPr>
              <w:pStyle w:val="TableTextRight"/>
              <w:spacing w:before="70" w:after="50"/>
            </w:pPr>
            <w:r>
              <w:t>1,369</w:t>
            </w:r>
          </w:p>
        </w:tc>
      </w:tr>
      <w:tr w:rsidR="009564E9" w14:paraId="3453E97A" w14:textId="77777777" w:rsidTr="009368F4">
        <w:trPr>
          <w:trHeight w:val="60"/>
        </w:trPr>
        <w:tc>
          <w:tcPr>
            <w:tcW w:w="9638" w:type="dxa"/>
            <w:gridSpan w:val="4"/>
            <w:shd w:val="clear" w:color="auto" w:fill="B2D5F0"/>
          </w:tcPr>
          <w:p w14:paraId="6FAF54C4" w14:textId="77777777" w:rsidR="009564E9" w:rsidRDefault="009564E9" w:rsidP="00E12FF0">
            <w:pPr>
              <w:pStyle w:val="TableTextBold"/>
              <w:spacing w:before="70" w:after="50"/>
            </w:pPr>
            <w:r>
              <w:t>Transactions</w:t>
            </w:r>
          </w:p>
        </w:tc>
      </w:tr>
      <w:tr w:rsidR="009564E9" w14:paraId="4B13E794" w14:textId="77777777" w:rsidTr="009368F4">
        <w:trPr>
          <w:trHeight w:val="60"/>
        </w:trPr>
        <w:tc>
          <w:tcPr>
            <w:tcW w:w="5556" w:type="dxa"/>
          </w:tcPr>
          <w:p w14:paraId="1230B3FB" w14:textId="77777777" w:rsidR="009564E9" w:rsidRDefault="009564E9" w:rsidP="00E12FF0">
            <w:pPr>
              <w:pStyle w:val="TableText"/>
              <w:spacing w:before="70" w:after="50"/>
            </w:pPr>
            <w:r>
              <w:t>Bonds lodged</w:t>
            </w:r>
          </w:p>
        </w:tc>
        <w:tc>
          <w:tcPr>
            <w:tcW w:w="1361" w:type="dxa"/>
          </w:tcPr>
          <w:p w14:paraId="717562AC" w14:textId="77777777" w:rsidR="009564E9" w:rsidRDefault="009564E9" w:rsidP="00E12FF0">
            <w:pPr>
              <w:pStyle w:val="TableTextRight"/>
              <w:spacing w:before="70" w:after="50"/>
            </w:pPr>
            <w:r>
              <w:t>253,650</w:t>
            </w:r>
          </w:p>
        </w:tc>
        <w:tc>
          <w:tcPr>
            <w:tcW w:w="1360" w:type="dxa"/>
          </w:tcPr>
          <w:p w14:paraId="3F574D0E" w14:textId="77777777" w:rsidR="009564E9" w:rsidRDefault="009564E9" w:rsidP="00E12FF0">
            <w:pPr>
              <w:pStyle w:val="TableTextRight"/>
              <w:spacing w:before="70" w:after="50"/>
            </w:pPr>
            <w:r>
              <w:t>250,170</w:t>
            </w:r>
          </w:p>
        </w:tc>
        <w:tc>
          <w:tcPr>
            <w:tcW w:w="1361" w:type="dxa"/>
          </w:tcPr>
          <w:p w14:paraId="1333F392" w14:textId="77777777" w:rsidR="009564E9" w:rsidRDefault="009564E9" w:rsidP="00E12FF0">
            <w:pPr>
              <w:pStyle w:val="TableTextRight"/>
              <w:spacing w:before="70" w:after="50"/>
            </w:pPr>
            <w:r>
              <w:t>259,479</w:t>
            </w:r>
          </w:p>
        </w:tc>
      </w:tr>
      <w:tr w:rsidR="009564E9" w14:paraId="33FB3226" w14:textId="77777777" w:rsidTr="009368F4">
        <w:trPr>
          <w:trHeight w:val="60"/>
        </w:trPr>
        <w:tc>
          <w:tcPr>
            <w:tcW w:w="5556" w:type="dxa"/>
          </w:tcPr>
          <w:p w14:paraId="55A7F3CD" w14:textId="77777777" w:rsidR="009564E9" w:rsidRDefault="009564E9" w:rsidP="00E12FF0">
            <w:pPr>
              <w:pStyle w:val="TableText"/>
              <w:spacing w:before="70" w:after="50"/>
            </w:pPr>
            <w:r>
              <w:t>Bond repayments</w:t>
            </w:r>
          </w:p>
        </w:tc>
        <w:tc>
          <w:tcPr>
            <w:tcW w:w="1361" w:type="dxa"/>
          </w:tcPr>
          <w:p w14:paraId="2740F3EA" w14:textId="77777777" w:rsidR="009564E9" w:rsidRDefault="009564E9" w:rsidP="00E12FF0">
            <w:pPr>
              <w:pStyle w:val="TableTextRight"/>
              <w:spacing w:before="70" w:after="50"/>
            </w:pPr>
            <w:r>
              <w:t>239,175</w:t>
            </w:r>
          </w:p>
        </w:tc>
        <w:tc>
          <w:tcPr>
            <w:tcW w:w="1360" w:type="dxa"/>
          </w:tcPr>
          <w:p w14:paraId="01DA15D4" w14:textId="77777777" w:rsidR="009564E9" w:rsidRDefault="009564E9" w:rsidP="00E12FF0">
            <w:pPr>
              <w:pStyle w:val="TableTextRight"/>
              <w:spacing w:before="70" w:after="50"/>
            </w:pPr>
            <w:r>
              <w:t>248,166</w:t>
            </w:r>
          </w:p>
        </w:tc>
        <w:tc>
          <w:tcPr>
            <w:tcW w:w="1361" w:type="dxa"/>
          </w:tcPr>
          <w:p w14:paraId="268413E0" w14:textId="77777777" w:rsidR="009564E9" w:rsidRDefault="009564E9" w:rsidP="00E12FF0">
            <w:pPr>
              <w:pStyle w:val="TableTextRight"/>
              <w:spacing w:before="70" w:after="50"/>
            </w:pPr>
            <w:r>
              <w:t>236,443</w:t>
            </w:r>
          </w:p>
        </w:tc>
      </w:tr>
      <w:tr w:rsidR="009564E9" w14:paraId="4DB3E03F" w14:textId="77777777" w:rsidTr="009368F4">
        <w:trPr>
          <w:trHeight w:val="60"/>
        </w:trPr>
        <w:tc>
          <w:tcPr>
            <w:tcW w:w="5556" w:type="dxa"/>
          </w:tcPr>
          <w:p w14:paraId="46BFA802" w14:textId="77777777" w:rsidR="009564E9" w:rsidRDefault="009564E9" w:rsidP="00E12FF0">
            <w:pPr>
              <w:pStyle w:val="TableText"/>
              <w:spacing w:before="70" w:after="50"/>
            </w:pPr>
            <w:r>
              <w:t>Bonds transferred</w:t>
            </w:r>
          </w:p>
        </w:tc>
        <w:tc>
          <w:tcPr>
            <w:tcW w:w="1361" w:type="dxa"/>
          </w:tcPr>
          <w:p w14:paraId="419D2427" w14:textId="77777777" w:rsidR="009564E9" w:rsidRDefault="009564E9" w:rsidP="00E12FF0">
            <w:pPr>
              <w:pStyle w:val="TableTextRight"/>
              <w:spacing w:before="70" w:after="50"/>
            </w:pPr>
            <w:r>
              <w:t>83,305</w:t>
            </w:r>
          </w:p>
        </w:tc>
        <w:tc>
          <w:tcPr>
            <w:tcW w:w="1360" w:type="dxa"/>
          </w:tcPr>
          <w:p w14:paraId="4480B453" w14:textId="77777777" w:rsidR="009564E9" w:rsidRDefault="009564E9" w:rsidP="00E12FF0">
            <w:pPr>
              <w:pStyle w:val="TableTextRight"/>
              <w:spacing w:before="70" w:after="50"/>
            </w:pPr>
            <w:r>
              <w:t>75,172</w:t>
            </w:r>
          </w:p>
        </w:tc>
        <w:tc>
          <w:tcPr>
            <w:tcW w:w="1361" w:type="dxa"/>
          </w:tcPr>
          <w:p w14:paraId="1892AAEC" w14:textId="77777777" w:rsidR="009564E9" w:rsidRDefault="009564E9" w:rsidP="00E12FF0">
            <w:pPr>
              <w:pStyle w:val="TableTextRight"/>
              <w:spacing w:before="70" w:after="50"/>
            </w:pPr>
            <w:r>
              <w:t>57,967</w:t>
            </w:r>
          </w:p>
        </w:tc>
      </w:tr>
      <w:tr w:rsidR="009564E9" w14:paraId="56279FB7" w14:textId="77777777" w:rsidTr="009368F4">
        <w:trPr>
          <w:trHeight w:val="60"/>
        </w:trPr>
        <w:tc>
          <w:tcPr>
            <w:tcW w:w="5556" w:type="dxa"/>
          </w:tcPr>
          <w:p w14:paraId="08AEB9CA" w14:textId="77777777" w:rsidR="009564E9" w:rsidRDefault="009564E9" w:rsidP="00E12FF0">
            <w:pPr>
              <w:pStyle w:val="TableText"/>
              <w:spacing w:before="70" w:after="50"/>
            </w:pPr>
            <w:r>
              <w:t>Bonds held</w:t>
            </w:r>
          </w:p>
        </w:tc>
        <w:tc>
          <w:tcPr>
            <w:tcW w:w="1361" w:type="dxa"/>
          </w:tcPr>
          <w:p w14:paraId="321A3940" w14:textId="77777777" w:rsidR="009564E9" w:rsidRDefault="009564E9" w:rsidP="00E12FF0">
            <w:pPr>
              <w:pStyle w:val="TableTextRight"/>
              <w:spacing w:before="70" w:after="50"/>
            </w:pPr>
            <w:r>
              <w:t>684,163</w:t>
            </w:r>
          </w:p>
        </w:tc>
        <w:tc>
          <w:tcPr>
            <w:tcW w:w="1360" w:type="dxa"/>
          </w:tcPr>
          <w:p w14:paraId="33130EF0" w14:textId="77777777" w:rsidR="009564E9" w:rsidRDefault="009564E9" w:rsidP="00E12FF0">
            <w:pPr>
              <w:pStyle w:val="TableTextRight"/>
              <w:spacing w:before="70" w:after="50"/>
            </w:pPr>
            <w:r>
              <w:t>686,167</w:t>
            </w:r>
          </w:p>
        </w:tc>
        <w:tc>
          <w:tcPr>
            <w:tcW w:w="1361" w:type="dxa"/>
          </w:tcPr>
          <w:p w14:paraId="7D30D9FC" w14:textId="77777777" w:rsidR="009564E9" w:rsidRDefault="009564E9" w:rsidP="00E12FF0">
            <w:pPr>
              <w:pStyle w:val="TableTextRight"/>
              <w:spacing w:before="70" w:after="50"/>
            </w:pPr>
            <w:r>
              <w:t>706,892</w:t>
            </w:r>
          </w:p>
        </w:tc>
      </w:tr>
      <w:tr w:rsidR="009564E9" w14:paraId="13DA8CED" w14:textId="77777777" w:rsidTr="009368F4">
        <w:trPr>
          <w:trHeight w:val="60"/>
        </w:trPr>
        <w:tc>
          <w:tcPr>
            <w:tcW w:w="5556" w:type="dxa"/>
          </w:tcPr>
          <w:p w14:paraId="49272365" w14:textId="77777777" w:rsidR="009564E9" w:rsidRDefault="009564E9" w:rsidP="00E12FF0">
            <w:pPr>
              <w:pStyle w:val="TableText"/>
              <w:spacing w:before="70" w:after="50"/>
            </w:pPr>
            <w:r>
              <w:t>Value held</w:t>
            </w:r>
          </w:p>
        </w:tc>
        <w:tc>
          <w:tcPr>
            <w:tcW w:w="1361" w:type="dxa"/>
          </w:tcPr>
          <w:p w14:paraId="7D85B374" w14:textId="77777777" w:rsidR="009564E9" w:rsidRDefault="009564E9" w:rsidP="00E12FF0">
            <w:pPr>
              <w:pStyle w:val="TableTextRight"/>
              <w:spacing w:before="70" w:after="50"/>
            </w:pPr>
            <w:r>
              <w:t>$1 .27 billion</w:t>
            </w:r>
          </w:p>
        </w:tc>
        <w:tc>
          <w:tcPr>
            <w:tcW w:w="1360" w:type="dxa"/>
          </w:tcPr>
          <w:p w14:paraId="0D425A36" w14:textId="77777777" w:rsidR="009564E9" w:rsidRDefault="009564E9" w:rsidP="00E12FF0">
            <w:pPr>
              <w:pStyle w:val="TableTextRight"/>
              <w:spacing w:before="70" w:after="50"/>
            </w:pPr>
            <w:r>
              <w:t>$1 .24 billion</w:t>
            </w:r>
          </w:p>
        </w:tc>
        <w:tc>
          <w:tcPr>
            <w:tcW w:w="1361" w:type="dxa"/>
          </w:tcPr>
          <w:p w14:paraId="458B80D7" w14:textId="77777777" w:rsidR="009564E9" w:rsidRDefault="009564E9" w:rsidP="00E12FF0">
            <w:pPr>
              <w:pStyle w:val="TableTextRight"/>
              <w:spacing w:before="70" w:after="50"/>
            </w:pPr>
            <w:r>
              <w:t>$1.27 billion</w:t>
            </w:r>
          </w:p>
        </w:tc>
      </w:tr>
      <w:tr w:rsidR="009564E9" w14:paraId="739B474F" w14:textId="77777777" w:rsidTr="009368F4">
        <w:trPr>
          <w:trHeight w:val="60"/>
        </w:trPr>
        <w:tc>
          <w:tcPr>
            <w:tcW w:w="5556" w:type="dxa"/>
          </w:tcPr>
          <w:p w14:paraId="425D2B40" w14:textId="77777777" w:rsidR="009564E9" w:rsidRDefault="009564E9" w:rsidP="00E12FF0">
            <w:pPr>
              <w:pStyle w:val="TableText"/>
              <w:spacing w:before="70" w:after="50"/>
            </w:pPr>
            <w:r>
              <w:t>Total transactions (bonds lodged and repaid) – RTBA</w:t>
            </w:r>
          </w:p>
        </w:tc>
        <w:tc>
          <w:tcPr>
            <w:tcW w:w="1361" w:type="dxa"/>
          </w:tcPr>
          <w:p w14:paraId="0B511736" w14:textId="77777777" w:rsidR="009564E9" w:rsidRDefault="009564E9" w:rsidP="00E12FF0">
            <w:pPr>
              <w:pStyle w:val="TableTextRight"/>
              <w:spacing w:before="70" w:after="50"/>
            </w:pPr>
            <w:r>
              <w:t>492,822</w:t>
            </w:r>
          </w:p>
        </w:tc>
        <w:tc>
          <w:tcPr>
            <w:tcW w:w="1360" w:type="dxa"/>
          </w:tcPr>
          <w:p w14:paraId="40F427BE" w14:textId="77777777" w:rsidR="009564E9" w:rsidRDefault="009564E9" w:rsidP="00E12FF0">
            <w:pPr>
              <w:pStyle w:val="TableTextRight"/>
              <w:spacing w:before="70" w:after="50"/>
            </w:pPr>
            <w:r>
              <w:t>498,336</w:t>
            </w:r>
          </w:p>
        </w:tc>
        <w:tc>
          <w:tcPr>
            <w:tcW w:w="1361" w:type="dxa"/>
          </w:tcPr>
          <w:p w14:paraId="71A5758B" w14:textId="33596AAE" w:rsidR="009564E9" w:rsidRDefault="009368F4" w:rsidP="00E12FF0">
            <w:pPr>
              <w:pStyle w:val="TableTextRight"/>
              <w:spacing w:before="70" w:after="50"/>
            </w:pPr>
            <w:r w:rsidRPr="009368F4">
              <w:t>494,809</w:t>
            </w:r>
          </w:p>
        </w:tc>
      </w:tr>
      <w:tr w:rsidR="009564E9" w14:paraId="03D0725C" w14:textId="77777777" w:rsidTr="009368F4">
        <w:trPr>
          <w:trHeight w:val="60"/>
        </w:trPr>
        <w:tc>
          <w:tcPr>
            <w:tcW w:w="9638" w:type="dxa"/>
            <w:gridSpan w:val="4"/>
            <w:shd w:val="clear" w:color="auto" w:fill="B2D5F0"/>
          </w:tcPr>
          <w:p w14:paraId="270B9E9B" w14:textId="77777777" w:rsidR="009564E9" w:rsidRDefault="009564E9" w:rsidP="00E12FF0">
            <w:pPr>
              <w:pStyle w:val="TableTextBold"/>
              <w:spacing w:before="70" w:after="50"/>
            </w:pPr>
            <w:r>
              <w:t>Face-to-face or intensive assistance</w:t>
            </w:r>
          </w:p>
        </w:tc>
      </w:tr>
      <w:tr w:rsidR="009564E9" w14:paraId="52717E14" w14:textId="77777777" w:rsidTr="009368F4">
        <w:trPr>
          <w:trHeight w:val="60"/>
        </w:trPr>
        <w:tc>
          <w:tcPr>
            <w:tcW w:w="9638" w:type="dxa"/>
            <w:gridSpan w:val="4"/>
            <w:shd w:val="clear" w:color="auto" w:fill="CCE3F5"/>
          </w:tcPr>
          <w:p w14:paraId="6EBFE2ED" w14:textId="77777777" w:rsidR="009564E9" w:rsidRPr="005C6CCD" w:rsidRDefault="009564E9" w:rsidP="00E12FF0">
            <w:pPr>
              <w:pStyle w:val="TableTextBold"/>
              <w:spacing w:before="70" w:after="50"/>
            </w:pPr>
            <w:r w:rsidRPr="005C6CCD">
              <w:t>Funded community services</w:t>
            </w:r>
          </w:p>
        </w:tc>
      </w:tr>
      <w:tr w:rsidR="009564E9" w14:paraId="30FE83E4" w14:textId="77777777" w:rsidTr="009368F4">
        <w:trPr>
          <w:trHeight w:val="60"/>
        </w:trPr>
        <w:tc>
          <w:tcPr>
            <w:tcW w:w="5556" w:type="dxa"/>
          </w:tcPr>
          <w:p w14:paraId="66FEB954" w14:textId="77777777" w:rsidR="009564E9" w:rsidRDefault="009564E9" w:rsidP="00E12FF0">
            <w:pPr>
              <w:pStyle w:val="TableText"/>
              <w:spacing w:before="70" w:after="50"/>
            </w:pPr>
            <w:r>
              <w:t>Tenants under the Tenancy Assistance and Advocacy Program</w:t>
            </w:r>
          </w:p>
        </w:tc>
        <w:tc>
          <w:tcPr>
            <w:tcW w:w="1361" w:type="dxa"/>
          </w:tcPr>
          <w:p w14:paraId="5518B337" w14:textId="77777777" w:rsidR="009564E9" w:rsidRDefault="009564E9" w:rsidP="00E12FF0">
            <w:pPr>
              <w:pStyle w:val="TableTextRight"/>
              <w:spacing w:before="70" w:after="50"/>
            </w:pPr>
            <w:r>
              <w:t>8,067</w:t>
            </w:r>
          </w:p>
        </w:tc>
        <w:tc>
          <w:tcPr>
            <w:tcW w:w="1360" w:type="dxa"/>
          </w:tcPr>
          <w:p w14:paraId="2FA02DCE" w14:textId="77777777" w:rsidR="009564E9" w:rsidRDefault="009564E9" w:rsidP="00E12FF0">
            <w:pPr>
              <w:pStyle w:val="TableTextRight"/>
              <w:spacing w:before="70" w:after="50"/>
            </w:pPr>
            <w:r>
              <w:t>6,650</w:t>
            </w:r>
          </w:p>
        </w:tc>
        <w:tc>
          <w:tcPr>
            <w:tcW w:w="1361" w:type="dxa"/>
          </w:tcPr>
          <w:p w14:paraId="2F0A1619" w14:textId="77777777" w:rsidR="009564E9" w:rsidRDefault="009564E9" w:rsidP="00E12FF0">
            <w:pPr>
              <w:pStyle w:val="TableTextRight"/>
              <w:spacing w:before="70" w:after="50"/>
            </w:pPr>
            <w:r>
              <w:t>7,339</w:t>
            </w:r>
          </w:p>
        </w:tc>
      </w:tr>
      <w:tr w:rsidR="009564E9" w14:paraId="0F5C37F2" w14:textId="77777777" w:rsidTr="009368F4">
        <w:trPr>
          <w:trHeight w:val="60"/>
        </w:trPr>
        <w:tc>
          <w:tcPr>
            <w:tcW w:w="9638" w:type="dxa"/>
            <w:gridSpan w:val="4"/>
            <w:shd w:val="clear" w:color="auto" w:fill="CCE3F5"/>
          </w:tcPr>
          <w:p w14:paraId="2F168E42" w14:textId="77777777" w:rsidR="009564E9" w:rsidRPr="005C6CCD" w:rsidRDefault="009564E9" w:rsidP="00E12FF0">
            <w:pPr>
              <w:pStyle w:val="TableTextBold"/>
              <w:spacing w:before="70" w:after="50"/>
            </w:pPr>
            <w:r w:rsidRPr="005C6CCD">
              <w:t>Residential tenancy inspection advice provided</w:t>
            </w:r>
          </w:p>
        </w:tc>
      </w:tr>
      <w:tr w:rsidR="009564E9" w14:paraId="37D7D04C" w14:textId="77777777" w:rsidTr="009368F4">
        <w:trPr>
          <w:trHeight w:val="60"/>
        </w:trPr>
        <w:tc>
          <w:tcPr>
            <w:tcW w:w="5556" w:type="dxa"/>
          </w:tcPr>
          <w:p w14:paraId="5FDAFAB5" w14:textId="77777777" w:rsidR="009564E9" w:rsidRDefault="009564E9" w:rsidP="00E12FF0">
            <w:pPr>
              <w:pStyle w:val="TableText"/>
              <w:spacing w:before="70" w:after="50"/>
            </w:pPr>
            <w:r>
              <w:t>Repair reports</w:t>
            </w:r>
          </w:p>
        </w:tc>
        <w:tc>
          <w:tcPr>
            <w:tcW w:w="1361" w:type="dxa"/>
          </w:tcPr>
          <w:p w14:paraId="6ED0C9A4" w14:textId="77777777" w:rsidR="009564E9" w:rsidRDefault="009564E9" w:rsidP="00E12FF0">
            <w:pPr>
              <w:pStyle w:val="TableTextRight"/>
              <w:spacing w:before="70" w:after="50"/>
            </w:pPr>
            <w:r>
              <w:t>910</w:t>
            </w:r>
          </w:p>
        </w:tc>
        <w:tc>
          <w:tcPr>
            <w:tcW w:w="1360" w:type="dxa"/>
          </w:tcPr>
          <w:p w14:paraId="5AD49B40" w14:textId="77777777" w:rsidR="009564E9" w:rsidRDefault="009564E9" w:rsidP="00E12FF0">
            <w:pPr>
              <w:pStyle w:val="TableTextRight"/>
              <w:spacing w:before="70" w:after="50"/>
            </w:pPr>
            <w:r>
              <w:t>2,063</w:t>
            </w:r>
          </w:p>
        </w:tc>
        <w:tc>
          <w:tcPr>
            <w:tcW w:w="1361" w:type="dxa"/>
          </w:tcPr>
          <w:p w14:paraId="2954DE10" w14:textId="77777777" w:rsidR="009564E9" w:rsidRDefault="009564E9" w:rsidP="00E12FF0">
            <w:pPr>
              <w:pStyle w:val="TableTextRight"/>
              <w:spacing w:before="70" w:after="50"/>
            </w:pPr>
            <w:r>
              <w:t>704</w:t>
            </w:r>
          </w:p>
        </w:tc>
      </w:tr>
      <w:tr w:rsidR="009564E9" w14:paraId="018BB847" w14:textId="77777777" w:rsidTr="009368F4">
        <w:trPr>
          <w:trHeight w:val="60"/>
        </w:trPr>
        <w:tc>
          <w:tcPr>
            <w:tcW w:w="5556" w:type="dxa"/>
          </w:tcPr>
          <w:p w14:paraId="6D5ECE32" w14:textId="77777777" w:rsidR="009564E9" w:rsidRDefault="009564E9" w:rsidP="00E12FF0">
            <w:pPr>
              <w:pStyle w:val="TableText"/>
              <w:spacing w:before="70" w:after="50"/>
            </w:pPr>
            <w:r>
              <w:t>Goods left behind reports</w:t>
            </w:r>
          </w:p>
        </w:tc>
        <w:tc>
          <w:tcPr>
            <w:tcW w:w="1361" w:type="dxa"/>
          </w:tcPr>
          <w:p w14:paraId="69194527" w14:textId="77777777" w:rsidR="009564E9" w:rsidRDefault="009564E9" w:rsidP="00E12FF0">
            <w:pPr>
              <w:pStyle w:val="TableTextRight"/>
              <w:spacing w:before="70" w:after="50"/>
            </w:pPr>
            <w:r>
              <w:t>2,336</w:t>
            </w:r>
          </w:p>
        </w:tc>
        <w:tc>
          <w:tcPr>
            <w:tcW w:w="1360" w:type="dxa"/>
          </w:tcPr>
          <w:p w14:paraId="097EE614" w14:textId="77777777" w:rsidR="009564E9" w:rsidRDefault="009564E9" w:rsidP="00E12FF0">
            <w:pPr>
              <w:pStyle w:val="TableTextRight"/>
              <w:spacing w:before="70" w:after="50"/>
            </w:pPr>
            <w:r>
              <w:t>1,531</w:t>
            </w:r>
          </w:p>
        </w:tc>
        <w:tc>
          <w:tcPr>
            <w:tcW w:w="1361" w:type="dxa"/>
          </w:tcPr>
          <w:p w14:paraId="644D38DF" w14:textId="77777777" w:rsidR="009564E9" w:rsidRDefault="009564E9" w:rsidP="00E12FF0">
            <w:pPr>
              <w:pStyle w:val="TableTextRight"/>
              <w:spacing w:before="70" w:after="50"/>
            </w:pPr>
            <w:r>
              <w:t>2</w:t>
            </w:r>
          </w:p>
        </w:tc>
      </w:tr>
      <w:tr w:rsidR="009564E9" w14:paraId="334133DB" w14:textId="77777777" w:rsidTr="009368F4">
        <w:trPr>
          <w:trHeight w:val="60"/>
        </w:trPr>
        <w:tc>
          <w:tcPr>
            <w:tcW w:w="5556" w:type="dxa"/>
          </w:tcPr>
          <w:p w14:paraId="68293988" w14:textId="77777777" w:rsidR="009564E9" w:rsidRDefault="009564E9" w:rsidP="00E12FF0">
            <w:pPr>
              <w:pStyle w:val="TableText"/>
              <w:spacing w:before="70" w:after="50"/>
            </w:pPr>
            <w:r>
              <w:t>Rent increase reports</w:t>
            </w:r>
          </w:p>
        </w:tc>
        <w:tc>
          <w:tcPr>
            <w:tcW w:w="1361" w:type="dxa"/>
          </w:tcPr>
          <w:p w14:paraId="10910A06" w14:textId="77777777" w:rsidR="009564E9" w:rsidRDefault="009564E9" w:rsidP="00E12FF0">
            <w:pPr>
              <w:pStyle w:val="TableTextRight"/>
              <w:spacing w:before="70" w:after="50"/>
            </w:pPr>
            <w:r>
              <w:t>1,258</w:t>
            </w:r>
          </w:p>
        </w:tc>
        <w:tc>
          <w:tcPr>
            <w:tcW w:w="1360" w:type="dxa"/>
          </w:tcPr>
          <w:p w14:paraId="273A5189" w14:textId="77777777" w:rsidR="009564E9" w:rsidRDefault="009564E9" w:rsidP="00E12FF0">
            <w:pPr>
              <w:pStyle w:val="TableTextRight"/>
              <w:spacing w:before="70" w:after="50"/>
            </w:pPr>
            <w:r>
              <w:t>752</w:t>
            </w:r>
          </w:p>
        </w:tc>
        <w:tc>
          <w:tcPr>
            <w:tcW w:w="1361" w:type="dxa"/>
          </w:tcPr>
          <w:p w14:paraId="0356C7F2" w14:textId="77777777" w:rsidR="009564E9" w:rsidRDefault="009564E9" w:rsidP="00E12FF0">
            <w:pPr>
              <w:pStyle w:val="TableTextRight"/>
              <w:spacing w:before="70" w:after="50"/>
            </w:pPr>
            <w:r>
              <w:t>2,452</w:t>
            </w:r>
          </w:p>
        </w:tc>
      </w:tr>
    </w:tbl>
    <w:p w14:paraId="2D55429A" w14:textId="77777777" w:rsidR="009564E9" w:rsidRDefault="009564E9" w:rsidP="00802CE4">
      <w:pPr>
        <w:pStyle w:val="Heading4"/>
      </w:pPr>
      <w:r>
        <w:lastRenderedPageBreak/>
        <w:t>Supporting the implementation of the new rental laws</w:t>
      </w:r>
    </w:p>
    <w:p w14:paraId="3AE8E038" w14:textId="77777777" w:rsidR="009564E9" w:rsidRDefault="009564E9" w:rsidP="00A61C76">
      <w:pPr>
        <w:pStyle w:val="BodyText"/>
      </w:pPr>
      <w:r>
        <w:t xml:space="preserve">The </w:t>
      </w:r>
      <w:r w:rsidRPr="00064C94">
        <w:rPr>
          <w:rStyle w:val="Emphasis"/>
        </w:rPr>
        <w:t>Residential Tenancies Amendment Act 2018</w:t>
      </w:r>
      <w:r>
        <w:t xml:space="preserve"> introduced more than 130 reforms to Victoria’s rental laws from 29 March 2021, creating a safer and fairer rental market for Victorian renters and rental providers. The wide scope of these reforms meant significant support was required from CAV to help renters and rental providers understand and comply with these new laws.</w:t>
      </w:r>
    </w:p>
    <w:p w14:paraId="12EE88C2" w14:textId="76EAB5B0" w:rsidR="009564E9" w:rsidRDefault="009564E9" w:rsidP="00A61C76">
      <w:pPr>
        <w:pStyle w:val="BodyText"/>
      </w:pPr>
      <w:r>
        <w:t>The contact centre’s Residential Tenancies phone and online service provided a significant amount of</w:t>
      </w:r>
      <w:r w:rsidR="00FB35C3">
        <w:t> </w:t>
      </w:r>
      <w:r>
        <w:t>support to renters and rental providers. This included questions from renters about the reforms and their practical impacts, and questions from rental providers about their new obligations. Over 70,000 residential tenancy calls and over 3,700 online residential tenancy enquiries were received over the course of the financial year.</w:t>
      </w:r>
    </w:p>
    <w:p w14:paraId="640127BB" w14:textId="77777777" w:rsidR="009564E9" w:rsidRDefault="009564E9" w:rsidP="00A61C76">
      <w:pPr>
        <w:pStyle w:val="BodyText"/>
      </w:pPr>
      <w:r>
        <w:t>The contact centre also provided support to renters and rental providers lodging complaints or seeking frontline conciliation services. Over 1,450 frontline residential tenancy conciliation cases and over 2,200 residential tenancy complaints were resolved by the contact centre in 2021–22.</w:t>
      </w:r>
    </w:p>
    <w:p w14:paraId="1B5E260D" w14:textId="77777777" w:rsidR="009564E9" w:rsidRDefault="009564E9" w:rsidP="00802CE4">
      <w:pPr>
        <w:pStyle w:val="Heading4"/>
      </w:pPr>
      <w:r>
        <w:t>The Owners Corporations and Other Acts Amendment Act 2021</w:t>
      </w:r>
    </w:p>
    <w:p w14:paraId="05E67088" w14:textId="77777777" w:rsidR="009564E9" w:rsidRDefault="009564E9" w:rsidP="00A61C76">
      <w:pPr>
        <w:pStyle w:val="BodyText"/>
      </w:pPr>
      <w:r>
        <w:t xml:space="preserve">The </w:t>
      </w:r>
      <w:r w:rsidRPr="00064C94">
        <w:rPr>
          <w:rStyle w:val="Emphasis"/>
        </w:rPr>
        <w:t>Owners Corporations and Other Acts Amendment Act 2021</w:t>
      </w:r>
      <w:r>
        <w:t xml:space="preserve"> was passed by Parliament in February 2021 and commenced on 1 December 2021. The Act contained a package of 36 reforms, the most significant reforms since the commencement of the Owners Corporations Act in December 2007.</w:t>
      </w:r>
    </w:p>
    <w:p w14:paraId="7477C089" w14:textId="77777777" w:rsidR="009564E9" w:rsidRDefault="009564E9" w:rsidP="00A61C76">
      <w:pPr>
        <w:pStyle w:val="BodyText"/>
      </w:pPr>
      <w:r>
        <w:t>The reforms introduce a range of changes, including different levels of requirements depending on the size of the owners corporation, changes to responsibilities for managers and developers, and other reforms designed to ensure owners corporations are better governed and more liveable for residents. CAV is committed to working with industry to deliver a voluntary, ongoing information and training program for owners corporation managers. We are currently liaising with key stakeholders to identify activities that would support enhanced information.</w:t>
      </w:r>
    </w:p>
    <w:p w14:paraId="31222B47" w14:textId="77777777" w:rsidR="009564E9" w:rsidRDefault="009564E9" w:rsidP="00802CE4">
      <w:pPr>
        <w:pStyle w:val="Heading4"/>
      </w:pPr>
      <w:r>
        <w:t>Rooming house inspections and safety checks</w:t>
      </w:r>
    </w:p>
    <w:p w14:paraId="06E2FEAA" w14:textId="7F24EF4B" w:rsidR="009564E9" w:rsidRDefault="009564E9" w:rsidP="00A61C76">
      <w:pPr>
        <w:pStyle w:val="BodyText"/>
      </w:pPr>
      <w:r>
        <w:t>CAV is committed to the effective regulation of rooming houses and recognise that these premises are</w:t>
      </w:r>
      <w:r w:rsidR="00FB35C3">
        <w:t> </w:t>
      </w:r>
      <w:r>
        <w:t>often the last resort for some of the most vulnerable Victorians.</w:t>
      </w:r>
    </w:p>
    <w:p w14:paraId="4D507841" w14:textId="74AC461C" w:rsidR="009564E9" w:rsidRDefault="009564E9" w:rsidP="00A61C76">
      <w:pPr>
        <w:pStyle w:val="BodyText"/>
      </w:pPr>
      <w:r>
        <w:t>We prioritised rooming house safety through the continued delivery of CAV’s State Inspection Program, conducting over 220 rooming house inspections including over 300 gas and electrical safety</w:t>
      </w:r>
      <w:r w:rsidR="00FB35C3">
        <w:t> </w:t>
      </w:r>
      <w:r>
        <w:t>checks, to ensure compliance with the prescribed minimum safety standards.</w:t>
      </w:r>
    </w:p>
    <w:p w14:paraId="23222DCE" w14:textId="77777777" w:rsidR="009564E9" w:rsidRDefault="009564E9" w:rsidP="00A61C76">
      <w:pPr>
        <w:pStyle w:val="BodyText"/>
      </w:pPr>
      <w:r>
        <w:t>CAV undertakes risk-based targeting of rooming houses, focusing on breaches causing the most serious consumer detriment. CAV’s regulatory response to any identified non-compliance is informed by its published Regulatory Approach and Compliance Policy.</w:t>
      </w:r>
    </w:p>
    <w:p w14:paraId="714409A8" w14:textId="03C86844" w:rsidR="009564E9" w:rsidRDefault="009564E9" w:rsidP="00A61C76">
      <w:pPr>
        <w:pStyle w:val="BodyText"/>
      </w:pPr>
      <w:r>
        <w:t>This year, we also initiated the electronic lodgement of gas and safety electrical certificates using our</w:t>
      </w:r>
      <w:r w:rsidR="00FB35C3">
        <w:t> </w:t>
      </w:r>
      <w:r>
        <w:t xml:space="preserve">online </w:t>
      </w:r>
      <w:proofErr w:type="spellStart"/>
      <w:r>
        <w:t>myCAV</w:t>
      </w:r>
      <w:proofErr w:type="spellEnd"/>
      <w:r>
        <w:t xml:space="preserve"> licensing and registrations portal. Certificates are mandatory under the Regulations and are a key minimum safety standard. These can now be more easily checked as part of CAV’s compliance monitoring activity to ensure residents are safe, while saving operators time and giving them handy automated reminders when an updated certificate is due.</w:t>
      </w:r>
    </w:p>
    <w:p w14:paraId="5A33595B" w14:textId="77777777" w:rsidR="009564E9" w:rsidRDefault="009564E9" w:rsidP="00802CE4">
      <w:pPr>
        <w:pStyle w:val="Heading4"/>
      </w:pPr>
      <w:r>
        <w:lastRenderedPageBreak/>
        <w:t>Tenancy programs</w:t>
      </w:r>
    </w:p>
    <w:p w14:paraId="7EF7E47A" w14:textId="5C1F20BD" w:rsidR="009564E9" w:rsidRDefault="009564E9" w:rsidP="00A61C76">
      <w:pPr>
        <w:pStyle w:val="BodyText"/>
      </w:pPr>
      <w:r>
        <w:t>Funded Tenancy Programs supports community organisations to deliver a range of programs including the Tenancy Assistance and Advocacy Program (TAAP), the Tenancy Central Service and</w:t>
      </w:r>
      <w:r w:rsidR="00FB35C3">
        <w:t> </w:t>
      </w:r>
      <w:r>
        <w:t>the Retirement Housing Assistance and Advocacy Program. These programs provided integrated support to vulnerable and disadvantaged Victorians in private rentals or retirement housing throughout 2021–22.</w:t>
      </w:r>
    </w:p>
    <w:p w14:paraId="07051628" w14:textId="5D1E20F9" w:rsidR="009564E9" w:rsidRDefault="009564E9" w:rsidP="00A61C76">
      <w:pPr>
        <w:pStyle w:val="BodyText"/>
      </w:pPr>
      <w:r>
        <w:t>The TAAP continued to play an important role in supporting vulnerable renters, including those who</w:t>
      </w:r>
      <w:r w:rsidR="00FB35C3">
        <w:t> </w:t>
      </w:r>
      <w:r>
        <w:t>had been impacted by the COVID-19 pandemic, through loss of employment or removal of the</w:t>
      </w:r>
      <w:r w:rsidR="00FB35C3">
        <w:t> </w:t>
      </w:r>
      <w:r>
        <w:t>COVID-19 supports. Funded agencies reported that as a result of the pressures in the housing market and withdrawal of COVID-19 supports, more renters are experiencing higher rents and rent arrears, pushing many into financial difficulty. TAAP agencies support clients with a range of concerns including urgent repairs, those at risk of eviction or who are facing rent increases. They do this through negotiating with agents and rental providers, providing information on client rights and supporting clients in proceedings at the Victorian Civil and Administrative Tribunal. In 2021–22, the TAAP supported 7,339 Victorians.</w:t>
      </w:r>
    </w:p>
    <w:p w14:paraId="692FBD58" w14:textId="77777777" w:rsidR="009564E9" w:rsidRDefault="009564E9" w:rsidP="00A61C76">
      <w:pPr>
        <w:pStyle w:val="BodyText"/>
      </w:pPr>
      <w:r>
        <w:t>The Retirement Housing Assistance and Advocacy Program provided support to 340 Victorians over the age of 55 to maintain their tenancy and exercise their rights in retirement housing across the year. Clients were supported to address urgent repairs, including subsidence issues, and to enforce minimum standards.</w:t>
      </w:r>
    </w:p>
    <w:p w14:paraId="677FB760" w14:textId="77777777" w:rsidR="009564E9" w:rsidRDefault="009564E9" w:rsidP="00802CE4">
      <w:pPr>
        <w:pStyle w:val="Heading4"/>
      </w:pPr>
      <w:r>
        <w:t>Retirement villages: Review</w:t>
      </w:r>
    </w:p>
    <w:p w14:paraId="29AAD8FC" w14:textId="77777777" w:rsidR="009564E9" w:rsidRDefault="009564E9" w:rsidP="00A61C76">
      <w:pPr>
        <w:pStyle w:val="BodyText"/>
      </w:pPr>
      <w:r>
        <w:t>DJCS recently completed a review of the Retirement Villages Act, in which Victorians were provided with the opportunity to suggest improvements to modernise the Act and to balance effective consumer protections with continued growth and innovation in the sector.</w:t>
      </w:r>
    </w:p>
    <w:p w14:paraId="1A52FFBC" w14:textId="77777777" w:rsidR="009564E9" w:rsidRDefault="009564E9" w:rsidP="00A61C76">
      <w:pPr>
        <w:pStyle w:val="BodyText"/>
      </w:pPr>
      <w:r>
        <w:t>A summary of submissions received in response to a public Options Paper was released on the Engage Victoria website in March 2022. The summary highlighted key themes, including the need for change to clarify rights and responsibilities of residents and operators, to reduce contract complexity, and improve internal and external dispute resolution.</w:t>
      </w:r>
    </w:p>
    <w:p w14:paraId="7D298E02" w14:textId="77777777" w:rsidR="009564E9" w:rsidRDefault="009564E9" w:rsidP="00802CE4">
      <w:pPr>
        <w:pStyle w:val="Heading4"/>
      </w:pPr>
      <w:r>
        <w:t>Victorian Property Fund</w:t>
      </w:r>
    </w:p>
    <w:p w14:paraId="3E39E434" w14:textId="77777777" w:rsidR="009564E9" w:rsidRDefault="009564E9" w:rsidP="00A61C76">
      <w:pPr>
        <w:pStyle w:val="BodyText"/>
      </w:pPr>
      <w:r>
        <w:t xml:space="preserve">The </w:t>
      </w:r>
      <w:r w:rsidRPr="00064C94">
        <w:rPr>
          <w:rStyle w:val="Emphasis"/>
        </w:rPr>
        <w:t>Estate Agents Act 1980</w:t>
      </w:r>
      <w:r>
        <w:t xml:space="preserve"> allows the responsible Minister to make grants from the Victorian Property Fund (VPF) for certain purposes. The Minister makes her decision on grants after consultation with CAV, the Estate Agents Council and</w:t>
      </w:r>
      <w:r>
        <w:rPr>
          <w:rFonts w:ascii="Times New Roman" w:hAnsi="Times New Roman" w:cs="Times New Roman"/>
        </w:rPr>
        <w:t> </w:t>
      </w:r>
      <w:r>
        <w:t>any industry associations, government departments and other organisations, as appropriate.</w:t>
      </w:r>
    </w:p>
    <w:p w14:paraId="4DF473EF" w14:textId="77777777" w:rsidR="009564E9" w:rsidRDefault="009564E9" w:rsidP="00A61C76">
      <w:pPr>
        <w:pStyle w:val="BodyText"/>
      </w:pPr>
      <w:r>
        <w:t>CAV administers the VPF grants program. This includes evaluating applications, making recommendations about proposals to the Minister, and administering the grants.</w:t>
      </w:r>
    </w:p>
    <w:p w14:paraId="361077E2" w14:textId="2D3884B7" w:rsidR="009564E9" w:rsidRDefault="009564E9" w:rsidP="00A61C76">
      <w:pPr>
        <w:pStyle w:val="BodyText"/>
      </w:pPr>
      <w:r>
        <w:t>In 2021–22, more than $4 million was spent on existing grants to community organisations to deliver estate agent professional development training, social housing development and environmental housing development projects. The table below details this year’s grant expenditure by purpose and</w:t>
      </w:r>
      <w:r w:rsidR="00FB35C3">
        <w:t> </w:t>
      </w:r>
      <w:r>
        <w:t>recipients. No new grants were awarded from the VPF in 2021–22.</w:t>
      </w:r>
    </w:p>
    <w:tbl>
      <w:tblPr>
        <w:tblStyle w:val="TableGrid"/>
        <w:tblW w:w="0" w:type="auto"/>
        <w:tblLayout w:type="fixed"/>
        <w:tblLook w:val="06A0" w:firstRow="1" w:lastRow="0" w:firstColumn="1" w:lastColumn="0" w:noHBand="1" w:noVBand="1"/>
      </w:tblPr>
      <w:tblGrid>
        <w:gridCol w:w="2438"/>
        <w:gridCol w:w="5612"/>
        <w:gridCol w:w="1588"/>
      </w:tblGrid>
      <w:tr w:rsidR="009564E9" w14:paraId="01E2541E" w14:textId="77777777" w:rsidTr="001034D1">
        <w:trPr>
          <w:cnfStyle w:val="100000000000" w:firstRow="1" w:lastRow="0" w:firstColumn="0" w:lastColumn="0" w:oddVBand="0" w:evenVBand="0" w:oddHBand="0" w:evenHBand="0" w:firstRowFirstColumn="0" w:firstRowLastColumn="0" w:lastRowFirstColumn="0" w:lastRowLastColumn="0"/>
          <w:trHeight w:val="300"/>
          <w:tblHeader/>
        </w:trPr>
        <w:tc>
          <w:tcPr>
            <w:tcW w:w="2438" w:type="dxa"/>
          </w:tcPr>
          <w:p w14:paraId="30D3EDB2" w14:textId="77777777" w:rsidR="009564E9" w:rsidRDefault="009564E9" w:rsidP="00BB1712">
            <w:pPr>
              <w:pStyle w:val="TableColHead"/>
            </w:pPr>
            <w:r>
              <w:lastRenderedPageBreak/>
              <w:t xml:space="preserve">Grant purpose under Section 76(3) </w:t>
            </w:r>
            <w:r w:rsidRPr="00064C94">
              <w:rPr>
                <w:rStyle w:val="Emphasis"/>
              </w:rPr>
              <w:t>Estate Agents Act 1980</w:t>
            </w:r>
          </w:p>
        </w:tc>
        <w:tc>
          <w:tcPr>
            <w:tcW w:w="5612" w:type="dxa"/>
          </w:tcPr>
          <w:p w14:paraId="4D52A246" w14:textId="77777777" w:rsidR="009564E9" w:rsidRDefault="009564E9" w:rsidP="00BB1712">
            <w:pPr>
              <w:pStyle w:val="TableColHead"/>
            </w:pPr>
            <w:r>
              <w:t>Recipients</w:t>
            </w:r>
          </w:p>
        </w:tc>
        <w:tc>
          <w:tcPr>
            <w:tcW w:w="1588" w:type="dxa"/>
          </w:tcPr>
          <w:p w14:paraId="762844BF" w14:textId="77777777" w:rsidR="009564E9" w:rsidRDefault="009564E9" w:rsidP="00BB1712">
            <w:pPr>
              <w:pStyle w:val="TableColHeadRight"/>
            </w:pPr>
            <w:r>
              <w:t xml:space="preserve">2021–22 expenditure </w:t>
            </w:r>
          </w:p>
        </w:tc>
      </w:tr>
      <w:tr w:rsidR="009564E9" w14:paraId="20ABB735" w14:textId="77777777" w:rsidTr="001034D1">
        <w:trPr>
          <w:trHeight w:val="300"/>
        </w:trPr>
        <w:tc>
          <w:tcPr>
            <w:tcW w:w="2438" w:type="dxa"/>
          </w:tcPr>
          <w:p w14:paraId="62C1B89F" w14:textId="77777777" w:rsidR="009564E9" w:rsidRDefault="009564E9" w:rsidP="00BB1712">
            <w:pPr>
              <w:pStyle w:val="TableText"/>
            </w:pPr>
            <w:r>
              <w:t>Social Housing</w:t>
            </w:r>
          </w:p>
        </w:tc>
        <w:tc>
          <w:tcPr>
            <w:tcW w:w="5612" w:type="dxa"/>
          </w:tcPr>
          <w:p w14:paraId="3CD48EAC" w14:textId="77777777" w:rsidR="009564E9" w:rsidRDefault="009564E9" w:rsidP="00BB1712">
            <w:pPr>
              <w:pStyle w:val="TableText"/>
            </w:pPr>
            <w:r>
              <w:t>Common Equity Housing Ltd</w:t>
            </w:r>
          </w:p>
          <w:p w14:paraId="41721DF9" w14:textId="77777777" w:rsidR="009564E9" w:rsidRDefault="009564E9" w:rsidP="00BB1712">
            <w:pPr>
              <w:pStyle w:val="TableText"/>
            </w:pPr>
            <w:r>
              <w:t>Housing First (Formerly Port Phillip Housing Association Ltd)</w:t>
            </w:r>
          </w:p>
          <w:p w14:paraId="51F4A9DB" w14:textId="77777777" w:rsidR="009564E9" w:rsidRDefault="009564E9" w:rsidP="00BB1712">
            <w:pPr>
              <w:pStyle w:val="TableText"/>
            </w:pPr>
            <w:r>
              <w:t>Community Housing (Vic) Ltd</w:t>
            </w:r>
          </w:p>
          <w:p w14:paraId="32250C94" w14:textId="77777777" w:rsidR="009564E9" w:rsidRDefault="009564E9" w:rsidP="00BB1712">
            <w:pPr>
              <w:pStyle w:val="TableText"/>
            </w:pPr>
            <w:r>
              <w:t>Loddon Mallee Housing Services</w:t>
            </w:r>
          </w:p>
          <w:p w14:paraId="52605152" w14:textId="77777777" w:rsidR="009564E9" w:rsidRDefault="009564E9" w:rsidP="00BB1712">
            <w:pPr>
              <w:pStyle w:val="TableText"/>
            </w:pPr>
            <w:r>
              <w:t>Housing First (formerly Port Phillip Housing Association Ltd)</w:t>
            </w:r>
          </w:p>
          <w:p w14:paraId="541CA289" w14:textId="77777777" w:rsidR="009564E9" w:rsidRDefault="009564E9" w:rsidP="00BB1712">
            <w:pPr>
              <w:pStyle w:val="TableText"/>
            </w:pPr>
            <w:r>
              <w:t>Rural Housing Network (Beyond Housing)</w:t>
            </w:r>
          </w:p>
          <w:p w14:paraId="69944340" w14:textId="77777777" w:rsidR="009564E9" w:rsidRDefault="009564E9" w:rsidP="00BB1712">
            <w:pPr>
              <w:pStyle w:val="TableText"/>
            </w:pPr>
            <w:r>
              <w:t>Housing Choices Australia</w:t>
            </w:r>
          </w:p>
        </w:tc>
        <w:tc>
          <w:tcPr>
            <w:tcW w:w="1588" w:type="dxa"/>
          </w:tcPr>
          <w:p w14:paraId="77E4D426" w14:textId="77777777" w:rsidR="009564E9" w:rsidRDefault="009564E9" w:rsidP="00BB1712">
            <w:pPr>
              <w:pStyle w:val="TableTextRight"/>
            </w:pPr>
            <w:r>
              <w:t>$3,948,352.00</w:t>
            </w:r>
          </w:p>
        </w:tc>
      </w:tr>
      <w:tr w:rsidR="009564E9" w14:paraId="41587A83" w14:textId="77777777" w:rsidTr="001034D1">
        <w:trPr>
          <w:trHeight w:val="300"/>
        </w:trPr>
        <w:tc>
          <w:tcPr>
            <w:tcW w:w="2438" w:type="dxa"/>
          </w:tcPr>
          <w:p w14:paraId="76A03A67" w14:textId="77777777" w:rsidR="009564E9" w:rsidRDefault="009564E9" w:rsidP="00BB1712">
            <w:pPr>
              <w:pStyle w:val="TableText"/>
            </w:pPr>
            <w:r>
              <w:t>Estate Agent Education</w:t>
            </w:r>
          </w:p>
        </w:tc>
        <w:tc>
          <w:tcPr>
            <w:tcW w:w="5612" w:type="dxa"/>
          </w:tcPr>
          <w:p w14:paraId="7BED6C90" w14:textId="77777777" w:rsidR="009564E9" w:rsidRDefault="009564E9" w:rsidP="00BB1712">
            <w:pPr>
              <w:pStyle w:val="TableText"/>
            </w:pPr>
            <w:r>
              <w:t>Australian Livestock and Property Agents Association</w:t>
            </w:r>
          </w:p>
        </w:tc>
        <w:tc>
          <w:tcPr>
            <w:tcW w:w="1588" w:type="dxa"/>
          </w:tcPr>
          <w:p w14:paraId="5E6AC6C6" w14:textId="77777777" w:rsidR="009564E9" w:rsidRDefault="009564E9" w:rsidP="00BB1712">
            <w:pPr>
              <w:pStyle w:val="TableTextRight"/>
            </w:pPr>
            <w:r>
              <w:t>$2,653.60</w:t>
            </w:r>
          </w:p>
        </w:tc>
      </w:tr>
      <w:tr w:rsidR="009564E9" w14:paraId="37CDACB0" w14:textId="77777777" w:rsidTr="001034D1">
        <w:trPr>
          <w:trHeight w:val="300"/>
        </w:trPr>
        <w:tc>
          <w:tcPr>
            <w:tcW w:w="2438" w:type="dxa"/>
          </w:tcPr>
          <w:p w14:paraId="7A60D298" w14:textId="77777777" w:rsidR="009564E9" w:rsidRDefault="009564E9" w:rsidP="00BB1712">
            <w:pPr>
              <w:pStyle w:val="TableText"/>
            </w:pPr>
            <w:r>
              <w:t>Repair and Conservation of Heritage Places</w:t>
            </w:r>
          </w:p>
        </w:tc>
        <w:tc>
          <w:tcPr>
            <w:tcW w:w="5612" w:type="dxa"/>
          </w:tcPr>
          <w:p w14:paraId="6F7C1DB5" w14:textId="77777777" w:rsidR="009564E9" w:rsidRDefault="009564E9" w:rsidP="00BB1712">
            <w:pPr>
              <w:pStyle w:val="TableText"/>
            </w:pPr>
            <w:r>
              <w:t>Heritage Victoria</w:t>
            </w:r>
          </w:p>
        </w:tc>
        <w:tc>
          <w:tcPr>
            <w:tcW w:w="1588" w:type="dxa"/>
          </w:tcPr>
          <w:p w14:paraId="078C98C7" w14:textId="77777777" w:rsidR="009564E9" w:rsidRDefault="009564E9" w:rsidP="00BB1712">
            <w:pPr>
              <w:pStyle w:val="TableTextRight"/>
            </w:pPr>
            <w:r>
              <w:t>$5,000.00</w:t>
            </w:r>
          </w:p>
        </w:tc>
      </w:tr>
      <w:tr w:rsidR="009564E9" w14:paraId="2286AF67" w14:textId="77777777" w:rsidTr="001034D1">
        <w:trPr>
          <w:trHeight w:val="300"/>
        </w:trPr>
        <w:tc>
          <w:tcPr>
            <w:tcW w:w="2438" w:type="dxa"/>
          </w:tcPr>
          <w:p w14:paraId="68669DB9" w14:textId="77777777" w:rsidR="009564E9" w:rsidRDefault="009564E9" w:rsidP="00BB1712">
            <w:pPr>
              <w:pStyle w:val="TableText"/>
            </w:pPr>
            <w:r>
              <w:t>Redesign and Renovation of Out-of-Home Care Properties</w:t>
            </w:r>
          </w:p>
        </w:tc>
        <w:tc>
          <w:tcPr>
            <w:tcW w:w="5612" w:type="dxa"/>
          </w:tcPr>
          <w:p w14:paraId="43BDAE7A" w14:textId="77777777" w:rsidR="009564E9" w:rsidRDefault="009564E9" w:rsidP="00BB1712">
            <w:pPr>
              <w:pStyle w:val="TableText"/>
            </w:pPr>
            <w:r>
              <w:t>Department of Families, Fairness and Housing (formerly Department of Health and Human Services)</w:t>
            </w:r>
          </w:p>
        </w:tc>
        <w:tc>
          <w:tcPr>
            <w:tcW w:w="1588" w:type="dxa"/>
          </w:tcPr>
          <w:p w14:paraId="5EDB6A37" w14:textId="77777777" w:rsidR="009564E9" w:rsidRDefault="009564E9" w:rsidP="00BB1712">
            <w:pPr>
              <w:pStyle w:val="TableTextRight"/>
            </w:pPr>
            <w:r>
              <w:t>$100,000.00</w:t>
            </w:r>
          </w:p>
        </w:tc>
      </w:tr>
      <w:tr w:rsidR="009564E9" w14:paraId="404DAB6A" w14:textId="77777777" w:rsidTr="001034D1">
        <w:trPr>
          <w:trHeight w:val="300"/>
        </w:trPr>
        <w:tc>
          <w:tcPr>
            <w:tcW w:w="2438" w:type="dxa"/>
          </w:tcPr>
          <w:p w14:paraId="2403B9B8" w14:textId="77777777" w:rsidR="009564E9" w:rsidRDefault="009564E9" w:rsidP="00BB1712">
            <w:pPr>
              <w:pStyle w:val="TableTextBold"/>
            </w:pPr>
            <w:r>
              <w:t>Total</w:t>
            </w:r>
          </w:p>
        </w:tc>
        <w:tc>
          <w:tcPr>
            <w:tcW w:w="5612" w:type="dxa"/>
          </w:tcPr>
          <w:p w14:paraId="3DF87D45" w14:textId="77777777" w:rsidR="009564E9" w:rsidRDefault="009564E9" w:rsidP="008451CB">
            <w:pPr>
              <w:pStyle w:val="TableTextBold"/>
            </w:pPr>
          </w:p>
        </w:tc>
        <w:tc>
          <w:tcPr>
            <w:tcW w:w="1588" w:type="dxa"/>
          </w:tcPr>
          <w:p w14:paraId="00EA871A" w14:textId="77777777" w:rsidR="009564E9" w:rsidRDefault="009564E9" w:rsidP="00BB1712">
            <w:pPr>
              <w:pStyle w:val="TableTextRightBold"/>
            </w:pPr>
            <w:r>
              <w:t>$4,056,005.60</w:t>
            </w:r>
          </w:p>
        </w:tc>
      </w:tr>
    </w:tbl>
    <w:p w14:paraId="2164E5B4" w14:textId="77777777" w:rsidR="009564E9" w:rsidRDefault="009564E9" w:rsidP="00802CE4">
      <w:pPr>
        <w:pStyle w:val="Heading2"/>
      </w:pPr>
      <w:bookmarkStart w:id="14" w:name="_Toc122097067"/>
      <w:r>
        <w:lastRenderedPageBreak/>
        <w:t>Statement of Expectations</w:t>
      </w:r>
      <w:bookmarkEnd w:id="14"/>
    </w:p>
    <w:p w14:paraId="36CCEFB3" w14:textId="29DE0E5E" w:rsidR="009564E9" w:rsidRDefault="009564E9" w:rsidP="00A61C76">
      <w:pPr>
        <w:pStyle w:val="BodyText"/>
      </w:pPr>
      <w:r>
        <w:t>In September 2021, the Minister for Consumer Affairs, Gaming and Liquor Regulation issued a</w:t>
      </w:r>
      <w:r w:rsidR="00FB35C3">
        <w:t> </w:t>
      </w:r>
      <w:r>
        <w:t>Statement of Expectations (SOE) to CAV and the BLA for 2021–23.</w:t>
      </w:r>
    </w:p>
    <w:p w14:paraId="6F14808A" w14:textId="77777777" w:rsidR="009564E9" w:rsidRDefault="009564E9" w:rsidP="00A61C76">
      <w:pPr>
        <w:pStyle w:val="BodyText"/>
      </w:pPr>
      <w:r>
        <w:t>This SOE set out two-year governance and performance objectives aimed at improving CAV’s administration and enforcement of regulation to reduce its impact on businesses and the community. A copy of the SOE can be located on the CAV website.</w:t>
      </w:r>
    </w:p>
    <w:p w14:paraId="00941829" w14:textId="77777777" w:rsidR="009564E9" w:rsidRDefault="009564E9" w:rsidP="00A61C76">
      <w:pPr>
        <w:pStyle w:val="BodyText"/>
      </w:pPr>
      <w:r>
        <w:t>The performance objectives identified in the SOE fall under four broad objectives – support economic and social recovery, improved timeliness, risk-based strategies, and compliance related assistance and advice.</w:t>
      </w:r>
    </w:p>
    <w:p w14:paraId="4C6F9145" w14:textId="77777777" w:rsidR="009564E9" w:rsidRDefault="009564E9" w:rsidP="00802CE4">
      <w:pPr>
        <w:pStyle w:val="Heading3"/>
      </w:pPr>
      <w:bookmarkStart w:id="15" w:name="_Toc122097068"/>
      <w:r>
        <w:t>Support economic and social recovery</w:t>
      </w:r>
      <w:bookmarkEnd w:id="15"/>
    </w:p>
    <w:p w14:paraId="6F24DCA1" w14:textId="77777777" w:rsidR="009564E9" w:rsidRDefault="009564E9" w:rsidP="00A61C76">
      <w:pPr>
        <w:pStyle w:val="BodyText"/>
      </w:pPr>
      <w:r>
        <w:t>The SOE directed CAV to prioritise regulatory reforms necessary to address the areas of greatest potential consumer harm in a recovering economy, while ensuring businesses have the tools they need to expand and adapt in a changing marketplace.</w:t>
      </w:r>
    </w:p>
    <w:p w14:paraId="74310C9D" w14:textId="77777777" w:rsidR="009564E9" w:rsidRDefault="009564E9" w:rsidP="00A61C76">
      <w:pPr>
        <w:pStyle w:val="BodyText"/>
      </w:pPr>
      <w:r>
        <w:t>CAV delivered digital improvements for users of BLA and CAV online licensing and registration systems that supported economic recovery and saved time and effort for Victorian businesses and community groups while addressing consumer harms. Digital improvements included for national licensing and occupational mobility reform (‘automatic mutual recognition’) readiness and streamlining online compliance functions such as allowing rooming house operators to upload gas and electrical safety checks online</w:t>
      </w:r>
    </w:p>
    <w:p w14:paraId="18BDD41B" w14:textId="77777777" w:rsidR="009564E9" w:rsidRDefault="009564E9" w:rsidP="00802CE4">
      <w:pPr>
        <w:pStyle w:val="Heading3"/>
      </w:pPr>
      <w:bookmarkStart w:id="16" w:name="_Toc122097069"/>
      <w:r>
        <w:t>Improved timeliness</w:t>
      </w:r>
      <w:bookmarkEnd w:id="16"/>
    </w:p>
    <w:p w14:paraId="457EC708" w14:textId="77777777" w:rsidR="009564E9" w:rsidRDefault="009564E9" w:rsidP="00A61C76">
      <w:pPr>
        <w:pStyle w:val="BodyText"/>
      </w:pPr>
      <w:r>
        <w:t>The SOE also directed CAV to promote and advance national harmonisation of regulation to reduce business costs and increase community understanding of their consumer rights and responsibilities.</w:t>
      </w:r>
    </w:p>
    <w:p w14:paraId="2BA652BA" w14:textId="77777777" w:rsidR="009564E9" w:rsidRDefault="009564E9" w:rsidP="00A61C76">
      <w:pPr>
        <w:pStyle w:val="BodyText"/>
      </w:pPr>
      <w:r>
        <w:t>To achieve this, CAV implemented the national automatic mutual recognition of licensed occupations and made improvements to its online systems to allow interstate licensees to notify the BLA of their commencement in Victoria, plus update appropriate public registers.</w:t>
      </w:r>
    </w:p>
    <w:p w14:paraId="26C074BA" w14:textId="0E7CF370" w:rsidR="009564E9" w:rsidRDefault="009564E9" w:rsidP="00A61C76">
      <w:pPr>
        <w:pStyle w:val="BodyText"/>
      </w:pPr>
      <w:r>
        <w:t>Additionally, CAV was directed to implement ongoing digital improvements to make licensing and registration interactions quicker and easier for businesses, professionals, and community groups. As</w:t>
      </w:r>
      <w:r w:rsidR="00FB35C3">
        <w:t> </w:t>
      </w:r>
      <w:r>
        <w:t>part of delivering digital improvements for users of BLA’s and CAV’s online licensing and registration systems, CAV implemented improved online identity verification capabilities, with professional engineers as the first sector to receive this benefit.</w:t>
      </w:r>
    </w:p>
    <w:p w14:paraId="2014F2E3" w14:textId="77777777" w:rsidR="00FB35C3" w:rsidRPr="00FB35C3" w:rsidRDefault="00FB35C3" w:rsidP="00FB35C3">
      <w:pPr>
        <w:pStyle w:val="BodyText"/>
      </w:pPr>
      <w:r w:rsidRPr="00FB35C3">
        <w:br w:type="page"/>
      </w:r>
    </w:p>
    <w:p w14:paraId="404ABE2A" w14:textId="69FCBE14" w:rsidR="009564E9" w:rsidRDefault="009564E9" w:rsidP="00802CE4">
      <w:pPr>
        <w:pStyle w:val="Heading3"/>
      </w:pPr>
      <w:bookmarkStart w:id="17" w:name="_Toc122097070"/>
      <w:r>
        <w:lastRenderedPageBreak/>
        <w:t>Risk-based strategies</w:t>
      </w:r>
      <w:bookmarkEnd w:id="17"/>
    </w:p>
    <w:p w14:paraId="0E6E2CC0" w14:textId="40572394" w:rsidR="009564E9" w:rsidRDefault="009564E9" w:rsidP="00A61C76">
      <w:pPr>
        <w:pStyle w:val="BodyText"/>
      </w:pPr>
      <w:r>
        <w:t>Another priority for CAV was to put consumers at the centre of the design and enforcement of regulation, with a focus on consumer wellbeing, accessibility, engagement with diverse communities, and minimising the risk of consumer harm and supporting the confident participation of consumers in</w:t>
      </w:r>
      <w:r w:rsidR="00FB35C3">
        <w:t> </w:t>
      </w:r>
      <w:r>
        <w:t>the market.</w:t>
      </w:r>
    </w:p>
    <w:p w14:paraId="33B76CE9" w14:textId="77777777" w:rsidR="009564E9" w:rsidRDefault="009564E9" w:rsidP="00A61C76">
      <w:pPr>
        <w:pStyle w:val="BodyText"/>
      </w:pPr>
      <w:r>
        <w:t>CAV continued to develop its community engagement and apply a risk-based, intelligence-led and outcomes-focused regulatory approach with an emphasis on its current regulatory priorities. These priorities include better housing services, fair and safe trading in a COVID world, protecting consumers in financial stress, and trust account obligations and defalcations. In line with our current regulatory priorities, CAV focused on enhanced compliance in the rooming house sector and with the laws regulating the use and management of trust accounts by estate agents and conveyancers.</w:t>
      </w:r>
    </w:p>
    <w:p w14:paraId="1ED9F21A" w14:textId="77777777" w:rsidR="009564E9" w:rsidRDefault="009564E9" w:rsidP="00802CE4">
      <w:pPr>
        <w:pStyle w:val="Heading3"/>
      </w:pPr>
      <w:bookmarkStart w:id="18" w:name="_Toc122097071"/>
      <w:r>
        <w:t>Compliance related assistance and advice</w:t>
      </w:r>
      <w:bookmarkEnd w:id="18"/>
    </w:p>
    <w:p w14:paraId="2A297F8D" w14:textId="77777777" w:rsidR="009564E9" w:rsidRDefault="009564E9" w:rsidP="00A61C76">
      <w:pPr>
        <w:pStyle w:val="BodyText"/>
      </w:pPr>
      <w:r>
        <w:t>CAV was directed to help businesses to acquit their regulatory obligations effectively and efficiently, whilst also ensuring that businesses do not undertake poor trading conduct or predatory practices.</w:t>
      </w:r>
    </w:p>
    <w:p w14:paraId="150F0F3B" w14:textId="37301FC8" w:rsidR="009564E9" w:rsidRDefault="009564E9" w:rsidP="00A61C76">
      <w:pPr>
        <w:pStyle w:val="BodyText"/>
      </w:pPr>
      <w:r>
        <w:t>A key initiative in 2021–22 to support this mandate was the commencement of the professional engineers registration scheme. Over the year, CAV monitored registration operations and reviewed and maintained online content to support professional engineers’ compliance with the scheme and</w:t>
      </w:r>
      <w:r w:rsidR="00FB35C3">
        <w:t> </w:t>
      </w:r>
      <w:r>
        <w:t xml:space="preserve">ensure appropriate protections are in place for consumers of engineering services throughout </w:t>
      </w:r>
      <w:r w:rsidR="00FB35C3">
        <w:br/>
      </w:r>
      <w:r>
        <w:t>the two-and-a-half year phase-in period. To promote compliance in the residential rental industry, CAV</w:t>
      </w:r>
      <w:r w:rsidR="00FB35C3">
        <w:t> </w:t>
      </w:r>
      <w:r>
        <w:t>provided more efficient digital mechanisms for agents and rental providers to submit data to the</w:t>
      </w:r>
      <w:r w:rsidR="00FB35C3">
        <w:t> </w:t>
      </w:r>
      <w:r>
        <w:t>Residential Tenancies Bond Authority.</w:t>
      </w:r>
    </w:p>
    <w:p w14:paraId="7DC7F716" w14:textId="19E7767F" w:rsidR="009564E9" w:rsidRDefault="009564E9" w:rsidP="00802CE4">
      <w:pPr>
        <w:pStyle w:val="Heading2"/>
      </w:pPr>
      <w:bookmarkStart w:id="19" w:name="_Toc122097072"/>
      <w:r>
        <w:lastRenderedPageBreak/>
        <w:t>Trust fund managed by</w:t>
      </w:r>
      <w:r w:rsidR="009D153A">
        <w:br/>
      </w:r>
      <w:r>
        <w:t>Consumer Affairs Victoria</w:t>
      </w:r>
      <w:bookmarkEnd w:id="19"/>
    </w:p>
    <w:p w14:paraId="7B5F1115" w14:textId="77777777" w:rsidR="009564E9" w:rsidRDefault="009564E9" w:rsidP="00A61C76">
      <w:pPr>
        <w:pStyle w:val="BodyText"/>
      </w:pPr>
      <w:r>
        <w:t>CAV manage eight funds established by Acts of Parliament. The funds, and their expenditure purposes, are reflected in the table below.</w:t>
      </w:r>
    </w:p>
    <w:p w14:paraId="091F49D8" w14:textId="77777777" w:rsidR="009564E9" w:rsidRDefault="009564E9" w:rsidP="007470E2">
      <w:pPr>
        <w:pStyle w:val="Caption"/>
      </w:pPr>
      <w:r>
        <w:t>Table: Trust funds administered by CAV</w:t>
      </w:r>
    </w:p>
    <w:tbl>
      <w:tblPr>
        <w:tblStyle w:val="TableGrid"/>
        <w:tblW w:w="9072" w:type="dxa"/>
        <w:tblLayout w:type="fixed"/>
        <w:tblLook w:val="06A0" w:firstRow="1" w:lastRow="0" w:firstColumn="1" w:lastColumn="0" w:noHBand="1" w:noVBand="1"/>
      </w:tblPr>
      <w:tblGrid>
        <w:gridCol w:w="2835"/>
        <w:gridCol w:w="6237"/>
      </w:tblGrid>
      <w:tr w:rsidR="009564E9" w14:paraId="20901352" w14:textId="77777777" w:rsidTr="001034D1">
        <w:trPr>
          <w:cnfStyle w:val="100000000000" w:firstRow="1" w:lastRow="0" w:firstColumn="0" w:lastColumn="0" w:oddVBand="0" w:evenVBand="0" w:oddHBand="0" w:evenHBand="0" w:firstRowFirstColumn="0" w:firstRowLastColumn="0" w:lastRowFirstColumn="0" w:lastRowLastColumn="0"/>
          <w:trHeight w:val="60"/>
          <w:tblHeader/>
        </w:trPr>
        <w:tc>
          <w:tcPr>
            <w:tcW w:w="2835" w:type="dxa"/>
          </w:tcPr>
          <w:p w14:paraId="106096A6" w14:textId="77777777" w:rsidR="009564E9" w:rsidRDefault="009564E9" w:rsidP="00BB1712">
            <w:pPr>
              <w:pStyle w:val="TableColHead"/>
            </w:pPr>
            <w:r>
              <w:t>Trust fund</w:t>
            </w:r>
          </w:p>
        </w:tc>
        <w:tc>
          <w:tcPr>
            <w:tcW w:w="6237" w:type="dxa"/>
          </w:tcPr>
          <w:p w14:paraId="6480141A" w14:textId="77777777" w:rsidR="009564E9" w:rsidRDefault="009564E9" w:rsidP="00BB1712">
            <w:pPr>
              <w:pStyle w:val="TableColHead"/>
            </w:pPr>
            <w:r>
              <w:t>Expenditure includes</w:t>
            </w:r>
          </w:p>
        </w:tc>
      </w:tr>
      <w:tr w:rsidR="009564E9" w14:paraId="5E845F6B" w14:textId="77777777" w:rsidTr="001034D1">
        <w:trPr>
          <w:trHeight w:val="60"/>
        </w:trPr>
        <w:tc>
          <w:tcPr>
            <w:tcW w:w="2835" w:type="dxa"/>
          </w:tcPr>
          <w:p w14:paraId="5241FD84" w14:textId="77777777" w:rsidR="009564E9" w:rsidRDefault="009564E9" w:rsidP="00BB1712">
            <w:pPr>
              <w:pStyle w:val="TableText"/>
            </w:pPr>
            <w:r>
              <w:t>Domestic Builders Fund</w:t>
            </w:r>
          </w:p>
        </w:tc>
        <w:tc>
          <w:tcPr>
            <w:tcW w:w="6237" w:type="dxa"/>
          </w:tcPr>
          <w:p w14:paraId="48A78ACB" w14:textId="77777777" w:rsidR="009564E9" w:rsidRDefault="009564E9" w:rsidP="00BB1712">
            <w:pPr>
              <w:pStyle w:val="TableText"/>
            </w:pPr>
            <w:r>
              <w:t xml:space="preserve">Administration of the </w:t>
            </w:r>
            <w:r w:rsidRPr="00064C94">
              <w:rPr>
                <w:rStyle w:val="Emphasis"/>
              </w:rPr>
              <w:t>Domestic Building Contracts Act 1995</w:t>
            </w:r>
            <w:r>
              <w:t>, costs relating to the Victorian Civil and Administrative Tribunal (VCAT) Building and Property List and Domestic Building Dispute Resolution Victoria (DBDRV).</w:t>
            </w:r>
          </w:p>
        </w:tc>
      </w:tr>
      <w:tr w:rsidR="009564E9" w14:paraId="20D44B6E" w14:textId="77777777" w:rsidTr="001034D1">
        <w:trPr>
          <w:trHeight w:val="60"/>
        </w:trPr>
        <w:tc>
          <w:tcPr>
            <w:tcW w:w="2835" w:type="dxa"/>
          </w:tcPr>
          <w:p w14:paraId="174D6543" w14:textId="77777777" w:rsidR="009564E9" w:rsidRDefault="009564E9" w:rsidP="00BB1712">
            <w:pPr>
              <w:pStyle w:val="TableText"/>
            </w:pPr>
            <w:r>
              <w:t>Motor Car Traders Guarantee Fund</w:t>
            </w:r>
          </w:p>
        </w:tc>
        <w:tc>
          <w:tcPr>
            <w:tcW w:w="6237" w:type="dxa"/>
          </w:tcPr>
          <w:p w14:paraId="0F328991" w14:textId="77777777" w:rsidR="009564E9" w:rsidRDefault="009564E9" w:rsidP="00BB1712">
            <w:pPr>
              <w:pStyle w:val="TableText"/>
            </w:pPr>
            <w:r>
              <w:t>Administration of the</w:t>
            </w:r>
            <w:r w:rsidRPr="00064C94">
              <w:rPr>
                <w:rStyle w:val="Emphasis"/>
              </w:rPr>
              <w:t xml:space="preserve"> Motor Car Traders Act 1986</w:t>
            </w:r>
            <w:r>
              <w:t>, guarantee fund claims.</w:t>
            </w:r>
          </w:p>
        </w:tc>
      </w:tr>
      <w:tr w:rsidR="009564E9" w14:paraId="6C03350E" w14:textId="77777777" w:rsidTr="001034D1">
        <w:trPr>
          <w:trHeight w:val="60"/>
        </w:trPr>
        <w:tc>
          <w:tcPr>
            <w:tcW w:w="2835" w:type="dxa"/>
          </w:tcPr>
          <w:p w14:paraId="0B5E86F1" w14:textId="77777777" w:rsidR="009564E9" w:rsidRDefault="009564E9" w:rsidP="00BB1712">
            <w:pPr>
              <w:pStyle w:val="TableText"/>
            </w:pPr>
            <w:r>
              <w:t>Residential Bonds Account</w:t>
            </w:r>
          </w:p>
        </w:tc>
        <w:tc>
          <w:tcPr>
            <w:tcW w:w="6237" w:type="dxa"/>
          </w:tcPr>
          <w:p w14:paraId="446B8612" w14:textId="77777777" w:rsidR="009564E9" w:rsidRDefault="009564E9" w:rsidP="00BB1712">
            <w:pPr>
              <w:pStyle w:val="TableText"/>
            </w:pPr>
            <w:r>
              <w:t>Bonds held on trust for Victorian renters and rental providers.</w:t>
            </w:r>
          </w:p>
        </w:tc>
      </w:tr>
      <w:tr w:rsidR="009564E9" w14:paraId="37A4C8F8" w14:textId="77777777" w:rsidTr="001034D1">
        <w:trPr>
          <w:trHeight w:val="60"/>
        </w:trPr>
        <w:tc>
          <w:tcPr>
            <w:tcW w:w="2835" w:type="dxa"/>
          </w:tcPr>
          <w:p w14:paraId="52175617" w14:textId="77777777" w:rsidR="009564E9" w:rsidRDefault="009564E9" w:rsidP="00BB1712">
            <w:pPr>
              <w:pStyle w:val="TableText"/>
            </w:pPr>
            <w:r>
              <w:t>Residential Bonds Investment Income Account</w:t>
            </w:r>
          </w:p>
        </w:tc>
        <w:tc>
          <w:tcPr>
            <w:tcW w:w="6237" w:type="dxa"/>
          </w:tcPr>
          <w:p w14:paraId="644EA1DF" w14:textId="77777777" w:rsidR="009564E9" w:rsidRDefault="009564E9" w:rsidP="00BB1712">
            <w:pPr>
              <w:pStyle w:val="TableText"/>
            </w:pPr>
            <w:r>
              <w:t>Administration of the Residential Tenancies Bond Authority, transfers to the Residential Tenancies Fund.</w:t>
            </w:r>
          </w:p>
        </w:tc>
      </w:tr>
      <w:tr w:rsidR="009564E9" w14:paraId="5BD7181F" w14:textId="77777777" w:rsidTr="001034D1">
        <w:trPr>
          <w:trHeight w:val="60"/>
        </w:trPr>
        <w:tc>
          <w:tcPr>
            <w:tcW w:w="2835" w:type="dxa"/>
          </w:tcPr>
          <w:p w14:paraId="47BEAD95" w14:textId="77777777" w:rsidR="009564E9" w:rsidRDefault="009564E9" w:rsidP="00BB1712">
            <w:pPr>
              <w:pStyle w:val="TableText"/>
            </w:pPr>
            <w:r>
              <w:t>Residential Tenancies Fund</w:t>
            </w:r>
          </w:p>
        </w:tc>
        <w:tc>
          <w:tcPr>
            <w:tcW w:w="6237" w:type="dxa"/>
          </w:tcPr>
          <w:p w14:paraId="7915FEA6" w14:textId="77777777" w:rsidR="009564E9" w:rsidRDefault="009564E9" w:rsidP="00BB1712">
            <w:pPr>
              <w:pStyle w:val="TableText"/>
            </w:pPr>
            <w:r>
              <w:t xml:space="preserve">Administration of the </w:t>
            </w:r>
            <w:r w:rsidRPr="00064C94">
              <w:rPr>
                <w:rStyle w:val="Emphasis"/>
              </w:rPr>
              <w:t>Residential Tenancies Act 1997</w:t>
            </w:r>
            <w:r>
              <w:t>, costs relating to the VCAT Residential Tenancies List.</w:t>
            </w:r>
          </w:p>
        </w:tc>
      </w:tr>
      <w:tr w:rsidR="009564E9" w14:paraId="01A6CF1A" w14:textId="77777777" w:rsidTr="001034D1">
        <w:trPr>
          <w:trHeight w:val="60"/>
        </w:trPr>
        <w:tc>
          <w:tcPr>
            <w:tcW w:w="2835" w:type="dxa"/>
          </w:tcPr>
          <w:p w14:paraId="65C533CD" w14:textId="77777777" w:rsidR="009564E9" w:rsidRDefault="009564E9" w:rsidP="00BB1712">
            <w:pPr>
              <w:pStyle w:val="TableText"/>
            </w:pPr>
            <w:r>
              <w:t>Sex Work Regulation Fund</w:t>
            </w:r>
          </w:p>
        </w:tc>
        <w:tc>
          <w:tcPr>
            <w:tcW w:w="6237" w:type="dxa"/>
          </w:tcPr>
          <w:p w14:paraId="596137CE" w14:textId="77777777" w:rsidR="009564E9" w:rsidRDefault="009564E9" w:rsidP="00BB1712">
            <w:pPr>
              <w:pStyle w:val="TableText"/>
            </w:pPr>
            <w:r>
              <w:t xml:space="preserve">Administration of the </w:t>
            </w:r>
            <w:r w:rsidRPr="00064C94">
              <w:rPr>
                <w:rStyle w:val="Emphasis"/>
              </w:rPr>
              <w:t>Sex Work Act 1994</w:t>
            </w:r>
            <w:r>
              <w:t>.</w:t>
            </w:r>
          </w:p>
        </w:tc>
      </w:tr>
      <w:tr w:rsidR="009564E9" w14:paraId="057F9BA9" w14:textId="77777777" w:rsidTr="001034D1">
        <w:trPr>
          <w:trHeight w:val="60"/>
        </w:trPr>
        <w:tc>
          <w:tcPr>
            <w:tcW w:w="2835" w:type="dxa"/>
          </w:tcPr>
          <w:p w14:paraId="7763D62F" w14:textId="77777777" w:rsidR="009564E9" w:rsidRDefault="009564E9" w:rsidP="00BB1712">
            <w:pPr>
              <w:pStyle w:val="TableText"/>
            </w:pPr>
            <w:r>
              <w:t>Victorian Consumer Law Fund</w:t>
            </w:r>
          </w:p>
        </w:tc>
        <w:tc>
          <w:tcPr>
            <w:tcW w:w="6237" w:type="dxa"/>
          </w:tcPr>
          <w:p w14:paraId="4C1CBCB0" w14:textId="77777777" w:rsidR="009564E9" w:rsidRDefault="009564E9" w:rsidP="00BB1712">
            <w:pPr>
              <w:pStyle w:val="TableText"/>
            </w:pPr>
            <w:r>
              <w:t xml:space="preserve">Administration of the </w:t>
            </w:r>
            <w:r w:rsidRPr="00064C94">
              <w:rPr>
                <w:rStyle w:val="Emphasis"/>
              </w:rPr>
              <w:t>Australian Consumer Law and Fair Trading Act 2012</w:t>
            </w:r>
            <w:r>
              <w:t xml:space="preserve"> Part 7, Division 2, s .102A to E, orders for payment to non-party consumers, special purpose grants.</w:t>
            </w:r>
          </w:p>
        </w:tc>
      </w:tr>
      <w:tr w:rsidR="009564E9" w14:paraId="6C3ECBB1" w14:textId="77777777" w:rsidTr="001034D1">
        <w:trPr>
          <w:trHeight w:val="60"/>
        </w:trPr>
        <w:tc>
          <w:tcPr>
            <w:tcW w:w="2835" w:type="dxa"/>
          </w:tcPr>
          <w:p w14:paraId="0B834F35" w14:textId="77777777" w:rsidR="009564E9" w:rsidRDefault="009564E9" w:rsidP="00BB1712">
            <w:pPr>
              <w:pStyle w:val="TableText"/>
            </w:pPr>
            <w:r>
              <w:t>Victorian Property Fund</w:t>
            </w:r>
          </w:p>
        </w:tc>
        <w:tc>
          <w:tcPr>
            <w:tcW w:w="6237" w:type="dxa"/>
          </w:tcPr>
          <w:p w14:paraId="47824932" w14:textId="77777777" w:rsidR="009564E9" w:rsidRDefault="009564E9" w:rsidP="00BB1712">
            <w:pPr>
              <w:pStyle w:val="TableText"/>
            </w:pPr>
            <w:r>
              <w:t xml:space="preserve">Administration of the </w:t>
            </w:r>
            <w:r w:rsidRPr="00064C94">
              <w:rPr>
                <w:rStyle w:val="Emphasis"/>
              </w:rPr>
              <w:t>Estate Agents Act 1980</w:t>
            </w:r>
            <w:r>
              <w:t xml:space="preserve"> and other real estate related legislation as permitted by s .75 of the Act, grants relating to property and housing as permitted by s .76(3) of the Act, operation of the Estate Agents Council, trust fund claims, costs relating to the VCAT Owners Corporation List and contribution to the costs of the VCAT Residential Tenancies List.</w:t>
            </w:r>
          </w:p>
        </w:tc>
      </w:tr>
    </w:tbl>
    <w:p w14:paraId="4BE4727E" w14:textId="7FF58981" w:rsidR="00DE3B0D" w:rsidRDefault="00DE3B0D" w:rsidP="00D23ECC">
      <w:pPr>
        <w:pStyle w:val="BodyText"/>
      </w:pPr>
    </w:p>
    <w:p w14:paraId="65CA8AFE" w14:textId="77777777" w:rsidR="00F22B33" w:rsidRDefault="00F22B33" w:rsidP="00AE374E">
      <w:pPr>
        <w:pStyle w:val="Heading2"/>
        <w:sectPr w:rsidR="00F22B33" w:rsidSect="00FB2F9B">
          <w:footerReference w:type="default" r:id="rId13"/>
          <w:footnotePr>
            <w:pos w:val="beneathText"/>
            <w:numRestart w:val="eachPage"/>
          </w:footnotePr>
          <w:type w:val="continuous"/>
          <w:pgSz w:w="11906" w:h="16838" w:code="9"/>
          <w:pgMar w:top="1418" w:right="1418" w:bottom="1134" w:left="1418" w:header="510" w:footer="510" w:gutter="0"/>
          <w:cols w:space="708"/>
          <w:titlePg/>
          <w:docGrid w:linePitch="360"/>
        </w:sectPr>
      </w:pPr>
    </w:p>
    <w:p w14:paraId="160919A0" w14:textId="3E765721" w:rsidR="00DE3B0D" w:rsidRDefault="00DE3B0D" w:rsidP="00AE374E">
      <w:pPr>
        <w:pStyle w:val="Heading2"/>
      </w:pPr>
      <w:bookmarkStart w:id="20" w:name="_Toc122097073"/>
      <w:r>
        <w:lastRenderedPageBreak/>
        <w:t>Financial</w:t>
      </w:r>
      <w:r w:rsidR="00D23ECC">
        <w:t xml:space="preserve"> </w:t>
      </w:r>
      <w:r>
        <w:t>information</w:t>
      </w:r>
      <w:r w:rsidR="00D23ECC">
        <w:t xml:space="preserve"> </w:t>
      </w:r>
      <w:r>
        <w:t>202</w:t>
      </w:r>
      <w:r w:rsidR="009564E9">
        <w:t>1</w:t>
      </w:r>
      <w:r>
        <w:t>–2</w:t>
      </w:r>
      <w:r w:rsidR="009564E9">
        <w:t>2</w:t>
      </w:r>
      <w:bookmarkEnd w:id="20"/>
    </w:p>
    <w:tbl>
      <w:tblPr>
        <w:tblStyle w:val="TableGrid"/>
        <w:tblW w:w="20979" w:type="dxa"/>
        <w:tblLayout w:type="fixed"/>
        <w:tblLook w:val="06A0" w:firstRow="1" w:lastRow="0" w:firstColumn="1" w:lastColumn="0" w:noHBand="1" w:noVBand="1"/>
      </w:tblPr>
      <w:tblGrid>
        <w:gridCol w:w="7371"/>
        <w:gridCol w:w="1701"/>
        <w:gridCol w:w="1701"/>
        <w:gridCol w:w="1701"/>
        <w:gridCol w:w="1701"/>
        <w:gridCol w:w="1701"/>
        <w:gridCol w:w="1701"/>
        <w:gridCol w:w="1701"/>
        <w:gridCol w:w="1701"/>
      </w:tblGrid>
      <w:tr w:rsidR="003C1B11" w14:paraId="0FAA7B37" w14:textId="77777777" w:rsidTr="00FC3054">
        <w:trPr>
          <w:cnfStyle w:val="100000000000" w:firstRow="1" w:lastRow="0" w:firstColumn="0" w:lastColumn="0" w:oddVBand="0" w:evenVBand="0" w:oddHBand="0" w:evenHBand="0" w:firstRowFirstColumn="0" w:firstRowLastColumn="0" w:lastRowFirstColumn="0" w:lastRowLastColumn="0"/>
          <w:trHeight w:val="60"/>
          <w:tblHeader/>
        </w:trPr>
        <w:tc>
          <w:tcPr>
            <w:tcW w:w="7371" w:type="dxa"/>
          </w:tcPr>
          <w:p w14:paraId="1F709CA7" w14:textId="77777777" w:rsidR="003C1B11" w:rsidRDefault="003C1B11" w:rsidP="00FC3054">
            <w:pPr>
              <w:pStyle w:val="TableColHead"/>
            </w:pPr>
          </w:p>
        </w:tc>
        <w:tc>
          <w:tcPr>
            <w:tcW w:w="1701" w:type="dxa"/>
          </w:tcPr>
          <w:p w14:paraId="3E366937" w14:textId="77777777" w:rsidR="003C1B11" w:rsidRDefault="003C1B11" w:rsidP="00FC3054">
            <w:pPr>
              <w:pStyle w:val="TableColHeadRight"/>
            </w:pPr>
            <w:r>
              <w:t>Victorian Consumer Law Fund</w:t>
            </w:r>
          </w:p>
        </w:tc>
        <w:tc>
          <w:tcPr>
            <w:tcW w:w="1701" w:type="dxa"/>
          </w:tcPr>
          <w:p w14:paraId="486F45D0" w14:textId="77777777" w:rsidR="003C1B11" w:rsidRDefault="003C1B11" w:rsidP="00FC3054">
            <w:pPr>
              <w:pStyle w:val="TableColHeadRight"/>
            </w:pPr>
            <w:r>
              <w:t>Domestic Builders Fund</w:t>
            </w:r>
          </w:p>
        </w:tc>
        <w:tc>
          <w:tcPr>
            <w:tcW w:w="1701" w:type="dxa"/>
          </w:tcPr>
          <w:p w14:paraId="6FD60670" w14:textId="77777777" w:rsidR="003C1B11" w:rsidRDefault="003C1B11" w:rsidP="00FC3054">
            <w:pPr>
              <w:pStyle w:val="TableColHeadRight"/>
            </w:pPr>
            <w:r>
              <w:t>Motor Car Traders’ Guarantee Fund</w:t>
            </w:r>
          </w:p>
        </w:tc>
        <w:tc>
          <w:tcPr>
            <w:tcW w:w="1701" w:type="dxa"/>
          </w:tcPr>
          <w:p w14:paraId="00C1FAA4" w14:textId="77777777" w:rsidR="003C1B11" w:rsidRDefault="003C1B11" w:rsidP="00FC3054">
            <w:pPr>
              <w:pStyle w:val="TableColHeadRight"/>
            </w:pPr>
            <w:r>
              <w:t>Residential Bonds Investment Income Account</w:t>
            </w:r>
          </w:p>
        </w:tc>
        <w:tc>
          <w:tcPr>
            <w:tcW w:w="1701" w:type="dxa"/>
          </w:tcPr>
          <w:p w14:paraId="2CB9141C" w14:textId="77777777" w:rsidR="003C1B11" w:rsidRDefault="003C1B11" w:rsidP="00FC3054">
            <w:pPr>
              <w:pStyle w:val="TableColHeadRight"/>
            </w:pPr>
            <w:r>
              <w:t>Residential Tenancies Fund</w:t>
            </w:r>
          </w:p>
        </w:tc>
        <w:tc>
          <w:tcPr>
            <w:tcW w:w="1701" w:type="dxa"/>
          </w:tcPr>
          <w:p w14:paraId="5345484B" w14:textId="77777777" w:rsidR="003C1B11" w:rsidRDefault="003C1B11" w:rsidP="00FC3054">
            <w:pPr>
              <w:pStyle w:val="TableColHeadRight"/>
            </w:pPr>
            <w:r>
              <w:t>Sex Work Regulation Fund</w:t>
            </w:r>
          </w:p>
        </w:tc>
        <w:tc>
          <w:tcPr>
            <w:tcW w:w="1701" w:type="dxa"/>
          </w:tcPr>
          <w:p w14:paraId="23F34D96" w14:textId="77777777" w:rsidR="003C1B11" w:rsidRDefault="003C1B11" w:rsidP="00FC3054">
            <w:pPr>
              <w:pStyle w:val="TableColHeadRight"/>
            </w:pPr>
            <w:r>
              <w:t>Victorian Property Fund</w:t>
            </w:r>
          </w:p>
        </w:tc>
        <w:tc>
          <w:tcPr>
            <w:tcW w:w="1701" w:type="dxa"/>
          </w:tcPr>
          <w:p w14:paraId="47F437AD" w14:textId="77777777" w:rsidR="003C1B11" w:rsidRDefault="003C1B11" w:rsidP="00FC3054">
            <w:pPr>
              <w:pStyle w:val="TableColHeadRight"/>
            </w:pPr>
            <w:r>
              <w:t>Trust Funds Total</w:t>
            </w:r>
          </w:p>
          <w:p w14:paraId="7F08CCEC" w14:textId="77777777" w:rsidR="003C1B11" w:rsidRDefault="003C1B11" w:rsidP="00FC3054">
            <w:pPr>
              <w:pStyle w:val="TableColHeadRight"/>
            </w:pPr>
            <w:r>
              <w:t>2021–22</w:t>
            </w:r>
          </w:p>
        </w:tc>
      </w:tr>
      <w:tr w:rsidR="003C1B11" w14:paraId="7B718273" w14:textId="77777777" w:rsidTr="007B1576">
        <w:trPr>
          <w:trHeight w:val="60"/>
        </w:trPr>
        <w:tc>
          <w:tcPr>
            <w:tcW w:w="20979" w:type="dxa"/>
            <w:gridSpan w:val="9"/>
            <w:shd w:val="clear" w:color="auto" w:fill="B2D5F0"/>
          </w:tcPr>
          <w:p w14:paraId="1A459BAA" w14:textId="693AD30C" w:rsidR="003C1B11" w:rsidRPr="003C1B11" w:rsidRDefault="0011415A" w:rsidP="00FC3054">
            <w:pPr>
              <w:pStyle w:val="TableTextBold"/>
            </w:pPr>
            <w:r>
              <w:t>CAV Trust Funds Revenue</w:t>
            </w:r>
          </w:p>
        </w:tc>
      </w:tr>
      <w:tr w:rsidR="003C1B11" w14:paraId="2CBEF4C1" w14:textId="77777777" w:rsidTr="00FC3054">
        <w:trPr>
          <w:trHeight w:val="60"/>
        </w:trPr>
        <w:tc>
          <w:tcPr>
            <w:tcW w:w="7371" w:type="dxa"/>
          </w:tcPr>
          <w:p w14:paraId="4CA670BC" w14:textId="77777777" w:rsidR="003C1B11" w:rsidRDefault="003C1B11" w:rsidP="00FC3054">
            <w:pPr>
              <w:pStyle w:val="TableText"/>
            </w:pPr>
            <w:r>
              <w:t>Revenue recognition, Estate Agent and Conveyancer trust accounts</w:t>
            </w:r>
          </w:p>
        </w:tc>
        <w:tc>
          <w:tcPr>
            <w:tcW w:w="1701" w:type="dxa"/>
          </w:tcPr>
          <w:p w14:paraId="283FB8FC" w14:textId="77777777" w:rsidR="003C1B11" w:rsidRDefault="003C1B11" w:rsidP="00AB5289">
            <w:pPr>
              <w:pStyle w:val="TableTextRight"/>
            </w:pPr>
          </w:p>
        </w:tc>
        <w:tc>
          <w:tcPr>
            <w:tcW w:w="1701" w:type="dxa"/>
          </w:tcPr>
          <w:p w14:paraId="2FA86979" w14:textId="77777777" w:rsidR="003C1B11" w:rsidRDefault="003C1B11" w:rsidP="00AB5289">
            <w:pPr>
              <w:pStyle w:val="TableTextRight"/>
              <w:rPr>
                <w:rFonts w:ascii="VIC-SemiBold" w:hAnsi="VIC-SemiBold" w:cstheme="minorBidi"/>
              </w:rPr>
            </w:pPr>
          </w:p>
        </w:tc>
        <w:tc>
          <w:tcPr>
            <w:tcW w:w="1701" w:type="dxa"/>
          </w:tcPr>
          <w:p w14:paraId="6AE31D32" w14:textId="77777777" w:rsidR="003C1B11" w:rsidRDefault="003C1B11" w:rsidP="00AB5289">
            <w:pPr>
              <w:pStyle w:val="TableTextRight"/>
              <w:rPr>
                <w:rFonts w:ascii="VIC-SemiBold" w:hAnsi="VIC-SemiBold" w:cstheme="minorBidi"/>
              </w:rPr>
            </w:pPr>
          </w:p>
        </w:tc>
        <w:tc>
          <w:tcPr>
            <w:tcW w:w="1701" w:type="dxa"/>
          </w:tcPr>
          <w:p w14:paraId="25E409FE" w14:textId="77777777" w:rsidR="003C1B11" w:rsidRDefault="003C1B11" w:rsidP="00AB5289">
            <w:pPr>
              <w:pStyle w:val="TableTextRight"/>
              <w:rPr>
                <w:rFonts w:ascii="VIC-SemiBold" w:hAnsi="VIC-SemiBold" w:cstheme="minorBidi"/>
              </w:rPr>
            </w:pPr>
          </w:p>
        </w:tc>
        <w:tc>
          <w:tcPr>
            <w:tcW w:w="1701" w:type="dxa"/>
          </w:tcPr>
          <w:p w14:paraId="38600E4B" w14:textId="77777777" w:rsidR="003C1B11" w:rsidRDefault="003C1B11" w:rsidP="00AB5289">
            <w:pPr>
              <w:pStyle w:val="TableTextRight"/>
              <w:rPr>
                <w:rFonts w:ascii="VIC-SemiBold" w:hAnsi="VIC-SemiBold" w:cstheme="minorBidi"/>
              </w:rPr>
            </w:pPr>
          </w:p>
        </w:tc>
        <w:tc>
          <w:tcPr>
            <w:tcW w:w="1701" w:type="dxa"/>
          </w:tcPr>
          <w:p w14:paraId="581135DA" w14:textId="77777777" w:rsidR="003C1B11" w:rsidRDefault="003C1B11" w:rsidP="00AB5289">
            <w:pPr>
              <w:pStyle w:val="TableTextRight"/>
              <w:rPr>
                <w:rFonts w:ascii="VIC-SemiBold" w:hAnsi="VIC-SemiBold" w:cstheme="minorBidi"/>
              </w:rPr>
            </w:pPr>
          </w:p>
        </w:tc>
        <w:tc>
          <w:tcPr>
            <w:tcW w:w="1701" w:type="dxa"/>
          </w:tcPr>
          <w:p w14:paraId="274BC789" w14:textId="77777777" w:rsidR="003C1B11" w:rsidRDefault="003C1B11" w:rsidP="00AB5289">
            <w:pPr>
              <w:pStyle w:val="TableTextRight"/>
            </w:pPr>
            <w:r>
              <w:t>4,166,255</w:t>
            </w:r>
          </w:p>
        </w:tc>
        <w:tc>
          <w:tcPr>
            <w:tcW w:w="1701" w:type="dxa"/>
          </w:tcPr>
          <w:p w14:paraId="2132965B" w14:textId="77777777" w:rsidR="003C1B11" w:rsidRDefault="003C1B11" w:rsidP="00AB5289">
            <w:pPr>
              <w:pStyle w:val="TableTextRight"/>
            </w:pPr>
            <w:r>
              <w:t>4,166,255</w:t>
            </w:r>
          </w:p>
        </w:tc>
      </w:tr>
      <w:tr w:rsidR="003C1B11" w14:paraId="09EAAF78" w14:textId="77777777" w:rsidTr="00FC3054">
        <w:trPr>
          <w:trHeight w:val="60"/>
        </w:trPr>
        <w:tc>
          <w:tcPr>
            <w:tcW w:w="7371" w:type="dxa"/>
          </w:tcPr>
          <w:p w14:paraId="34C065D5" w14:textId="77777777" w:rsidR="003C1B11" w:rsidRDefault="003C1B11" w:rsidP="00FC3054">
            <w:pPr>
              <w:pStyle w:val="TableText"/>
            </w:pPr>
            <w:r>
              <w:t>Revenue recognition, Residential Tenancy Bonds</w:t>
            </w:r>
          </w:p>
        </w:tc>
        <w:tc>
          <w:tcPr>
            <w:tcW w:w="1701" w:type="dxa"/>
          </w:tcPr>
          <w:p w14:paraId="540F6E6D" w14:textId="77777777" w:rsidR="003C1B11" w:rsidRDefault="003C1B11" w:rsidP="00AB5289">
            <w:pPr>
              <w:pStyle w:val="TableTextRight"/>
              <w:rPr>
                <w:rFonts w:ascii="VIC-SemiBold" w:hAnsi="VIC-SemiBold" w:cstheme="minorBidi"/>
              </w:rPr>
            </w:pPr>
          </w:p>
        </w:tc>
        <w:tc>
          <w:tcPr>
            <w:tcW w:w="1701" w:type="dxa"/>
          </w:tcPr>
          <w:p w14:paraId="6F0C2177" w14:textId="77777777" w:rsidR="003C1B11" w:rsidRDefault="003C1B11" w:rsidP="00AB5289">
            <w:pPr>
              <w:pStyle w:val="TableTextRight"/>
              <w:rPr>
                <w:rFonts w:ascii="VIC-SemiBold" w:hAnsi="VIC-SemiBold" w:cstheme="minorBidi"/>
              </w:rPr>
            </w:pPr>
          </w:p>
        </w:tc>
        <w:tc>
          <w:tcPr>
            <w:tcW w:w="1701" w:type="dxa"/>
          </w:tcPr>
          <w:p w14:paraId="3F6CB237" w14:textId="77777777" w:rsidR="003C1B11" w:rsidRDefault="003C1B11" w:rsidP="00AB5289">
            <w:pPr>
              <w:pStyle w:val="TableTextRight"/>
              <w:rPr>
                <w:rFonts w:ascii="VIC-SemiBold" w:hAnsi="VIC-SemiBold" w:cstheme="minorBidi"/>
              </w:rPr>
            </w:pPr>
          </w:p>
        </w:tc>
        <w:tc>
          <w:tcPr>
            <w:tcW w:w="1701" w:type="dxa"/>
          </w:tcPr>
          <w:p w14:paraId="47FDB5AE" w14:textId="77777777" w:rsidR="003C1B11" w:rsidRDefault="003C1B11" w:rsidP="00AB5289">
            <w:pPr>
              <w:pStyle w:val="TableTextRight"/>
            </w:pPr>
            <w:r>
              <w:t>26,458,040</w:t>
            </w:r>
          </w:p>
        </w:tc>
        <w:tc>
          <w:tcPr>
            <w:tcW w:w="1701" w:type="dxa"/>
          </w:tcPr>
          <w:p w14:paraId="6B2FBBE9" w14:textId="77777777" w:rsidR="003C1B11" w:rsidRDefault="003C1B11" w:rsidP="00AB5289">
            <w:pPr>
              <w:pStyle w:val="TableTextRight"/>
              <w:rPr>
                <w:rFonts w:ascii="VIC-SemiBold" w:hAnsi="VIC-SemiBold" w:cstheme="minorBidi"/>
              </w:rPr>
            </w:pPr>
          </w:p>
        </w:tc>
        <w:tc>
          <w:tcPr>
            <w:tcW w:w="1701" w:type="dxa"/>
          </w:tcPr>
          <w:p w14:paraId="2148C279" w14:textId="77777777" w:rsidR="003C1B11" w:rsidRDefault="003C1B11" w:rsidP="00AB5289">
            <w:pPr>
              <w:pStyle w:val="TableTextRight"/>
              <w:rPr>
                <w:rFonts w:ascii="VIC-SemiBold" w:hAnsi="VIC-SemiBold" w:cstheme="minorBidi"/>
              </w:rPr>
            </w:pPr>
          </w:p>
        </w:tc>
        <w:tc>
          <w:tcPr>
            <w:tcW w:w="1701" w:type="dxa"/>
          </w:tcPr>
          <w:p w14:paraId="7F5953ED" w14:textId="77777777" w:rsidR="003C1B11" w:rsidRDefault="003C1B11" w:rsidP="00AB5289">
            <w:pPr>
              <w:pStyle w:val="TableTextRight"/>
              <w:rPr>
                <w:rFonts w:ascii="VIC-SemiBold" w:hAnsi="VIC-SemiBold" w:cstheme="minorBidi"/>
              </w:rPr>
            </w:pPr>
          </w:p>
        </w:tc>
        <w:tc>
          <w:tcPr>
            <w:tcW w:w="1701" w:type="dxa"/>
          </w:tcPr>
          <w:p w14:paraId="20F59F3D" w14:textId="77777777" w:rsidR="003C1B11" w:rsidRDefault="003C1B11" w:rsidP="00AB5289">
            <w:pPr>
              <w:pStyle w:val="TableTextRight"/>
            </w:pPr>
            <w:r>
              <w:t>26,458,040</w:t>
            </w:r>
          </w:p>
        </w:tc>
      </w:tr>
      <w:tr w:rsidR="003C1B11" w14:paraId="4E965B4E" w14:textId="77777777" w:rsidTr="00FC3054">
        <w:trPr>
          <w:trHeight w:val="60"/>
        </w:trPr>
        <w:tc>
          <w:tcPr>
            <w:tcW w:w="7371" w:type="dxa"/>
          </w:tcPr>
          <w:p w14:paraId="0B5A4CF0" w14:textId="77777777" w:rsidR="003C1B11" w:rsidRDefault="003C1B11" w:rsidP="00FC3054">
            <w:pPr>
              <w:pStyle w:val="TableText"/>
            </w:pPr>
            <w:r>
              <w:t>Fees income</w:t>
            </w:r>
          </w:p>
        </w:tc>
        <w:tc>
          <w:tcPr>
            <w:tcW w:w="1701" w:type="dxa"/>
          </w:tcPr>
          <w:p w14:paraId="22464B76" w14:textId="77777777" w:rsidR="003C1B11" w:rsidRDefault="003C1B11" w:rsidP="00AB5289">
            <w:pPr>
              <w:pStyle w:val="TableTextRight"/>
            </w:pPr>
          </w:p>
        </w:tc>
        <w:tc>
          <w:tcPr>
            <w:tcW w:w="1701" w:type="dxa"/>
          </w:tcPr>
          <w:p w14:paraId="7DC9B126" w14:textId="77777777" w:rsidR="003C1B11" w:rsidRDefault="003C1B11" w:rsidP="00AB5289">
            <w:pPr>
              <w:pStyle w:val="TableTextRight"/>
            </w:pPr>
            <w:r>
              <w:t>753,772</w:t>
            </w:r>
          </w:p>
        </w:tc>
        <w:tc>
          <w:tcPr>
            <w:tcW w:w="1701" w:type="dxa"/>
          </w:tcPr>
          <w:p w14:paraId="3D9E035A" w14:textId="77777777" w:rsidR="003C1B11" w:rsidRDefault="003C1B11" w:rsidP="00AB5289">
            <w:pPr>
              <w:pStyle w:val="TableTextRight"/>
            </w:pPr>
            <w:r>
              <w:t>3,729,615</w:t>
            </w:r>
          </w:p>
        </w:tc>
        <w:tc>
          <w:tcPr>
            <w:tcW w:w="1701" w:type="dxa"/>
          </w:tcPr>
          <w:p w14:paraId="71F379F8" w14:textId="77777777" w:rsidR="003C1B11" w:rsidRDefault="003C1B11" w:rsidP="00AB5289">
            <w:pPr>
              <w:pStyle w:val="TableTextRight"/>
            </w:pPr>
          </w:p>
        </w:tc>
        <w:tc>
          <w:tcPr>
            <w:tcW w:w="1701" w:type="dxa"/>
          </w:tcPr>
          <w:p w14:paraId="249B1CFA" w14:textId="77777777" w:rsidR="003C1B11" w:rsidRDefault="003C1B11" w:rsidP="00AB5289">
            <w:pPr>
              <w:pStyle w:val="TableTextRight"/>
            </w:pPr>
            <w:r>
              <w:t>2,368,973</w:t>
            </w:r>
          </w:p>
        </w:tc>
        <w:tc>
          <w:tcPr>
            <w:tcW w:w="1701" w:type="dxa"/>
          </w:tcPr>
          <w:p w14:paraId="6DB35C4A" w14:textId="77777777" w:rsidR="003C1B11" w:rsidRDefault="003C1B11" w:rsidP="00AB5289">
            <w:pPr>
              <w:pStyle w:val="TableTextRight"/>
            </w:pPr>
            <w:r>
              <w:t>356,533</w:t>
            </w:r>
          </w:p>
        </w:tc>
        <w:tc>
          <w:tcPr>
            <w:tcW w:w="1701" w:type="dxa"/>
          </w:tcPr>
          <w:p w14:paraId="14E868F0" w14:textId="77777777" w:rsidR="003C1B11" w:rsidRDefault="003C1B11" w:rsidP="00AB5289">
            <w:pPr>
              <w:pStyle w:val="TableTextRight"/>
            </w:pPr>
            <w:r>
              <w:t>7,753,314</w:t>
            </w:r>
          </w:p>
        </w:tc>
        <w:tc>
          <w:tcPr>
            <w:tcW w:w="1701" w:type="dxa"/>
          </w:tcPr>
          <w:p w14:paraId="330E81CD" w14:textId="77777777" w:rsidR="003C1B11" w:rsidRDefault="003C1B11" w:rsidP="00AB5289">
            <w:pPr>
              <w:pStyle w:val="TableTextRight"/>
            </w:pPr>
            <w:r>
              <w:t>14,962,207</w:t>
            </w:r>
          </w:p>
        </w:tc>
      </w:tr>
      <w:tr w:rsidR="003C1B11" w14:paraId="4F92E561" w14:textId="77777777" w:rsidTr="00FC3054">
        <w:trPr>
          <w:trHeight w:val="60"/>
        </w:trPr>
        <w:tc>
          <w:tcPr>
            <w:tcW w:w="7371" w:type="dxa"/>
          </w:tcPr>
          <w:p w14:paraId="7939A443" w14:textId="77777777" w:rsidR="003C1B11" w:rsidRDefault="003C1B11" w:rsidP="00FC3054">
            <w:pPr>
              <w:pStyle w:val="TableText"/>
            </w:pPr>
            <w:r>
              <w:t>Interest income</w:t>
            </w:r>
          </w:p>
        </w:tc>
        <w:tc>
          <w:tcPr>
            <w:tcW w:w="1701" w:type="dxa"/>
          </w:tcPr>
          <w:p w14:paraId="335F91E1" w14:textId="77777777" w:rsidR="003C1B11" w:rsidRDefault="003C1B11" w:rsidP="00AB5289">
            <w:pPr>
              <w:pStyle w:val="TableTextRight"/>
            </w:pPr>
            <w:r>
              <w:t>13,374</w:t>
            </w:r>
          </w:p>
        </w:tc>
        <w:tc>
          <w:tcPr>
            <w:tcW w:w="1701" w:type="dxa"/>
          </w:tcPr>
          <w:p w14:paraId="746C4205" w14:textId="77777777" w:rsidR="003C1B11" w:rsidRDefault="003C1B11" w:rsidP="00AB5289">
            <w:pPr>
              <w:pStyle w:val="TableTextRight"/>
            </w:pPr>
            <w:r>
              <w:t>638,551</w:t>
            </w:r>
          </w:p>
        </w:tc>
        <w:tc>
          <w:tcPr>
            <w:tcW w:w="1701" w:type="dxa"/>
          </w:tcPr>
          <w:p w14:paraId="782DBF7C" w14:textId="77777777" w:rsidR="003C1B11" w:rsidRDefault="003C1B11" w:rsidP="00AB5289">
            <w:pPr>
              <w:pStyle w:val="TableTextRight"/>
            </w:pPr>
            <w:r>
              <w:t>22,315</w:t>
            </w:r>
          </w:p>
        </w:tc>
        <w:tc>
          <w:tcPr>
            <w:tcW w:w="1701" w:type="dxa"/>
          </w:tcPr>
          <w:p w14:paraId="0E17FA0D" w14:textId="77777777" w:rsidR="003C1B11" w:rsidRDefault="003C1B11" w:rsidP="00AB5289">
            <w:pPr>
              <w:pStyle w:val="TableTextRight"/>
            </w:pPr>
            <w:r>
              <w:t>169,085</w:t>
            </w:r>
          </w:p>
        </w:tc>
        <w:tc>
          <w:tcPr>
            <w:tcW w:w="1701" w:type="dxa"/>
          </w:tcPr>
          <w:p w14:paraId="48E07DE5" w14:textId="77777777" w:rsidR="003C1B11" w:rsidRDefault="003C1B11" w:rsidP="00AB5289">
            <w:pPr>
              <w:pStyle w:val="TableTextRight"/>
            </w:pPr>
            <w:r>
              <w:t>1,238,217</w:t>
            </w:r>
          </w:p>
        </w:tc>
        <w:tc>
          <w:tcPr>
            <w:tcW w:w="1701" w:type="dxa"/>
          </w:tcPr>
          <w:p w14:paraId="674A845E" w14:textId="77777777" w:rsidR="003C1B11" w:rsidRDefault="003C1B11" w:rsidP="00AB5289">
            <w:pPr>
              <w:pStyle w:val="TableTextRight"/>
            </w:pPr>
            <w:r>
              <w:t>885</w:t>
            </w:r>
          </w:p>
        </w:tc>
        <w:tc>
          <w:tcPr>
            <w:tcW w:w="1701" w:type="dxa"/>
          </w:tcPr>
          <w:p w14:paraId="30C5039C" w14:textId="77777777" w:rsidR="003C1B11" w:rsidRDefault="003C1B11" w:rsidP="00AB5289">
            <w:pPr>
              <w:pStyle w:val="TableTextRight"/>
            </w:pPr>
            <w:r>
              <w:t>4,851,761</w:t>
            </w:r>
          </w:p>
        </w:tc>
        <w:tc>
          <w:tcPr>
            <w:tcW w:w="1701" w:type="dxa"/>
          </w:tcPr>
          <w:p w14:paraId="11283C02" w14:textId="77777777" w:rsidR="003C1B11" w:rsidRDefault="003C1B11" w:rsidP="00AB5289">
            <w:pPr>
              <w:pStyle w:val="TableTextRight"/>
            </w:pPr>
            <w:r>
              <w:t>6,934,188</w:t>
            </w:r>
          </w:p>
        </w:tc>
      </w:tr>
      <w:tr w:rsidR="003C1B11" w14:paraId="35F33A3B" w14:textId="77777777" w:rsidTr="00FC3054">
        <w:trPr>
          <w:trHeight w:val="60"/>
        </w:trPr>
        <w:tc>
          <w:tcPr>
            <w:tcW w:w="7371" w:type="dxa"/>
          </w:tcPr>
          <w:p w14:paraId="51768D1C" w14:textId="10F9935D" w:rsidR="003C1B11" w:rsidRDefault="003C1B11" w:rsidP="00FC3054">
            <w:pPr>
              <w:pStyle w:val="TableText"/>
            </w:pPr>
            <w:r>
              <w:rPr>
                <w:color w:val="000000"/>
              </w:rPr>
              <w:t>Transferred from the Victorian Building Authority</w:t>
            </w:r>
            <w:r w:rsidR="006F0C9B">
              <w:rPr>
                <w:rStyle w:val="FootnoteReference"/>
                <w:color w:val="000000"/>
              </w:rPr>
              <w:footnoteReference w:id="15"/>
            </w:r>
          </w:p>
        </w:tc>
        <w:tc>
          <w:tcPr>
            <w:tcW w:w="1701" w:type="dxa"/>
          </w:tcPr>
          <w:p w14:paraId="4C1040F7" w14:textId="77777777" w:rsidR="003C1B11" w:rsidRDefault="003C1B11" w:rsidP="00AB5289">
            <w:pPr>
              <w:pStyle w:val="TableTextRight"/>
            </w:pPr>
          </w:p>
        </w:tc>
        <w:tc>
          <w:tcPr>
            <w:tcW w:w="1701" w:type="dxa"/>
          </w:tcPr>
          <w:p w14:paraId="26991CBF" w14:textId="77777777" w:rsidR="003C1B11" w:rsidRDefault="003C1B11" w:rsidP="00AB5289">
            <w:pPr>
              <w:pStyle w:val="TableTextRight"/>
            </w:pPr>
            <w:r>
              <w:t>18,734,339</w:t>
            </w:r>
          </w:p>
        </w:tc>
        <w:tc>
          <w:tcPr>
            <w:tcW w:w="1701" w:type="dxa"/>
          </w:tcPr>
          <w:p w14:paraId="5AF09D22" w14:textId="77777777" w:rsidR="003C1B11" w:rsidRDefault="003C1B11" w:rsidP="00AB5289">
            <w:pPr>
              <w:pStyle w:val="TableTextRight"/>
              <w:rPr>
                <w:rFonts w:ascii="VIC-SemiBold" w:hAnsi="VIC-SemiBold" w:cstheme="minorBidi"/>
              </w:rPr>
            </w:pPr>
          </w:p>
        </w:tc>
        <w:tc>
          <w:tcPr>
            <w:tcW w:w="1701" w:type="dxa"/>
          </w:tcPr>
          <w:p w14:paraId="5BC901B5" w14:textId="77777777" w:rsidR="003C1B11" w:rsidRDefault="003C1B11" w:rsidP="00AB5289">
            <w:pPr>
              <w:pStyle w:val="TableTextRight"/>
              <w:rPr>
                <w:rFonts w:ascii="VIC-SemiBold" w:hAnsi="VIC-SemiBold" w:cstheme="minorBidi"/>
              </w:rPr>
            </w:pPr>
          </w:p>
        </w:tc>
        <w:tc>
          <w:tcPr>
            <w:tcW w:w="1701" w:type="dxa"/>
          </w:tcPr>
          <w:p w14:paraId="49536D39" w14:textId="77777777" w:rsidR="003C1B11" w:rsidRDefault="003C1B11" w:rsidP="00AB5289">
            <w:pPr>
              <w:pStyle w:val="TableTextRight"/>
              <w:rPr>
                <w:rFonts w:ascii="VIC-SemiBold" w:hAnsi="VIC-SemiBold" w:cstheme="minorBidi"/>
              </w:rPr>
            </w:pPr>
          </w:p>
        </w:tc>
        <w:tc>
          <w:tcPr>
            <w:tcW w:w="1701" w:type="dxa"/>
          </w:tcPr>
          <w:p w14:paraId="2091EFD6" w14:textId="77777777" w:rsidR="003C1B11" w:rsidRDefault="003C1B11" w:rsidP="00AB5289">
            <w:pPr>
              <w:pStyle w:val="TableTextRight"/>
            </w:pPr>
          </w:p>
        </w:tc>
        <w:tc>
          <w:tcPr>
            <w:tcW w:w="1701" w:type="dxa"/>
          </w:tcPr>
          <w:p w14:paraId="19AAAD33" w14:textId="77777777" w:rsidR="003C1B11" w:rsidRDefault="003C1B11" w:rsidP="00AB5289">
            <w:pPr>
              <w:pStyle w:val="TableTextRight"/>
            </w:pPr>
          </w:p>
        </w:tc>
        <w:tc>
          <w:tcPr>
            <w:tcW w:w="1701" w:type="dxa"/>
          </w:tcPr>
          <w:p w14:paraId="43C349CE" w14:textId="77777777" w:rsidR="003C1B11" w:rsidRDefault="003C1B11" w:rsidP="00AB5289">
            <w:pPr>
              <w:pStyle w:val="TableTextRight"/>
            </w:pPr>
            <w:r>
              <w:t>18,734,339</w:t>
            </w:r>
          </w:p>
        </w:tc>
      </w:tr>
      <w:tr w:rsidR="003C1B11" w14:paraId="1F70CF83" w14:textId="77777777" w:rsidTr="00FC3054">
        <w:trPr>
          <w:trHeight w:val="60"/>
        </w:trPr>
        <w:tc>
          <w:tcPr>
            <w:tcW w:w="7371" w:type="dxa"/>
          </w:tcPr>
          <w:p w14:paraId="4F0DAD78" w14:textId="77777777" w:rsidR="003C1B11" w:rsidRDefault="003C1B11" w:rsidP="00FC3054">
            <w:pPr>
              <w:pStyle w:val="TableText"/>
            </w:pPr>
            <w:r>
              <w:t>Other revenue</w:t>
            </w:r>
          </w:p>
        </w:tc>
        <w:tc>
          <w:tcPr>
            <w:tcW w:w="1701" w:type="dxa"/>
          </w:tcPr>
          <w:p w14:paraId="5AC4ABBC" w14:textId="77777777" w:rsidR="003C1B11" w:rsidRDefault="003C1B11" w:rsidP="00AB5289">
            <w:pPr>
              <w:pStyle w:val="TableTextRight"/>
            </w:pPr>
            <w:r>
              <w:t>245,714</w:t>
            </w:r>
          </w:p>
        </w:tc>
        <w:tc>
          <w:tcPr>
            <w:tcW w:w="1701" w:type="dxa"/>
          </w:tcPr>
          <w:p w14:paraId="45FD2EA7" w14:textId="77777777" w:rsidR="003C1B11" w:rsidRDefault="003C1B11" w:rsidP="00AB5289">
            <w:pPr>
              <w:pStyle w:val="TableTextRight"/>
            </w:pPr>
            <w:r>
              <w:t>13,216</w:t>
            </w:r>
          </w:p>
        </w:tc>
        <w:tc>
          <w:tcPr>
            <w:tcW w:w="1701" w:type="dxa"/>
          </w:tcPr>
          <w:p w14:paraId="1CF390F7" w14:textId="77777777" w:rsidR="003C1B11" w:rsidRDefault="003C1B11" w:rsidP="00AB5289">
            <w:pPr>
              <w:pStyle w:val="TableTextRight"/>
            </w:pPr>
            <w:r>
              <w:t>600</w:t>
            </w:r>
          </w:p>
        </w:tc>
        <w:tc>
          <w:tcPr>
            <w:tcW w:w="1701" w:type="dxa"/>
          </w:tcPr>
          <w:p w14:paraId="470D1478" w14:textId="77777777" w:rsidR="003C1B11" w:rsidRDefault="003C1B11" w:rsidP="00AB5289">
            <w:pPr>
              <w:pStyle w:val="TableTextRight"/>
            </w:pPr>
            <w:r>
              <w:t>58,686</w:t>
            </w:r>
          </w:p>
        </w:tc>
        <w:tc>
          <w:tcPr>
            <w:tcW w:w="1701" w:type="dxa"/>
          </w:tcPr>
          <w:p w14:paraId="5BD71709" w14:textId="77777777" w:rsidR="003C1B11" w:rsidRDefault="003C1B11" w:rsidP="00AB5289">
            <w:pPr>
              <w:pStyle w:val="TableTextRight"/>
            </w:pPr>
            <w:r>
              <w:t>25,000</w:t>
            </w:r>
          </w:p>
        </w:tc>
        <w:tc>
          <w:tcPr>
            <w:tcW w:w="1701" w:type="dxa"/>
          </w:tcPr>
          <w:p w14:paraId="659B8D22" w14:textId="77777777" w:rsidR="003C1B11" w:rsidRDefault="003C1B11" w:rsidP="00AB5289">
            <w:pPr>
              <w:pStyle w:val="TableTextRight"/>
            </w:pPr>
          </w:p>
        </w:tc>
        <w:tc>
          <w:tcPr>
            <w:tcW w:w="1701" w:type="dxa"/>
          </w:tcPr>
          <w:p w14:paraId="1B823B87" w14:textId="77777777" w:rsidR="003C1B11" w:rsidRDefault="003C1B11" w:rsidP="00AB5289">
            <w:pPr>
              <w:pStyle w:val="TableTextRight"/>
            </w:pPr>
            <w:r>
              <w:t>122,146</w:t>
            </w:r>
          </w:p>
        </w:tc>
        <w:tc>
          <w:tcPr>
            <w:tcW w:w="1701" w:type="dxa"/>
          </w:tcPr>
          <w:p w14:paraId="6E326C47" w14:textId="77777777" w:rsidR="003C1B11" w:rsidRDefault="003C1B11" w:rsidP="00AB5289">
            <w:pPr>
              <w:pStyle w:val="TableTextRight"/>
            </w:pPr>
            <w:r>
              <w:t>465,362</w:t>
            </w:r>
          </w:p>
        </w:tc>
      </w:tr>
      <w:tr w:rsidR="003C1B11" w14:paraId="29525DEC" w14:textId="77777777" w:rsidTr="00FC3054">
        <w:trPr>
          <w:trHeight w:val="60"/>
        </w:trPr>
        <w:tc>
          <w:tcPr>
            <w:tcW w:w="7371" w:type="dxa"/>
          </w:tcPr>
          <w:p w14:paraId="45D5A7D6" w14:textId="77777777" w:rsidR="003C1B11" w:rsidRDefault="003C1B11" w:rsidP="00FC3054">
            <w:pPr>
              <w:pStyle w:val="TableText"/>
            </w:pPr>
            <w:r>
              <w:t>Penalty income</w:t>
            </w:r>
          </w:p>
        </w:tc>
        <w:tc>
          <w:tcPr>
            <w:tcW w:w="1701" w:type="dxa"/>
          </w:tcPr>
          <w:p w14:paraId="30948F04" w14:textId="77777777" w:rsidR="003C1B11" w:rsidRDefault="003C1B11" w:rsidP="00AB5289">
            <w:pPr>
              <w:pStyle w:val="TableTextRight"/>
            </w:pPr>
            <w:r>
              <w:t>74,500</w:t>
            </w:r>
          </w:p>
        </w:tc>
        <w:tc>
          <w:tcPr>
            <w:tcW w:w="1701" w:type="dxa"/>
          </w:tcPr>
          <w:p w14:paraId="4E3F50DD" w14:textId="77777777" w:rsidR="003C1B11" w:rsidRDefault="003C1B11" w:rsidP="00AB5289">
            <w:pPr>
              <w:pStyle w:val="TableTextRight"/>
            </w:pPr>
          </w:p>
        </w:tc>
        <w:tc>
          <w:tcPr>
            <w:tcW w:w="1701" w:type="dxa"/>
          </w:tcPr>
          <w:p w14:paraId="6E0E01E7" w14:textId="77777777" w:rsidR="003C1B11" w:rsidRDefault="003C1B11" w:rsidP="00AB5289">
            <w:pPr>
              <w:pStyle w:val="TableTextRight"/>
            </w:pPr>
            <w:r>
              <w:t>1,273</w:t>
            </w:r>
          </w:p>
        </w:tc>
        <w:tc>
          <w:tcPr>
            <w:tcW w:w="1701" w:type="dxa"/>
          </w:tcPr>
          <w:p w14:paraId="2A6BF008" w14:textId="77777777" w:rsidR="003C1B11" w:rsidRDefault="003C1B11" w:rsidP="00AB5289">
            <w:pPr>
              <w:pStyle w:val="TableTextRight"/>
            </w:pPr>
          </w:p>
        </w:tc>
        <w:tc>
          <w:tcPr>
            <w:tcW w:w="1701" w:type="dxa"/>
          </w:tcPr>
          <w:p w14:paraId="09E43927" w14:textId="77777777" w:rsidR="003C1B11" w:rsidRDefault="003C1B11" w:rsidP="00AB5289">
            <w:pPr>
              <w:pStyle w:val="TableTextRight"/>
            </w:pPr>
            <w:r>
              <w:t>49,999</w:t>
            </w:r>
          </w:p>
        </w:tc>
        <w:tc>
          <w:tcPr>
            <w:tcW w:w="1701" w:type="dxa"/>
          </w:tcPr>
          <w:p w14:paraId="13714345" w14:textId="77777777" w:rsidR="003C1B11" w:rsidRDefault="003C1B11" w:rsidP="00AB5289">
            <w:pPr>
              <w:pStyle w:val="TableTextRight"/>
            </w:pPr>
          </w:p>
        </w:tc>
        <w:tc>
          <w:tcPr>
            <w:tcW w:w="1701" w:type="dxa"/>
          </w:tcPr>
          <w:p w14:paraId="7B2E6715" w14:textId="77777777" w:rsidR="003C1B11" w:rsidRDefault="003C1B11" w:rsidP="00AB5289">
            <w:pPr>
              <w:pStyle w:val="TableTextRight"/>
            </w:pPr>
            <w:r>
              <w:t>272,319</w:t>
            </w:r>
          </w:p>
        </w:tc>
        <w:tc>
          <w:tcPr>
            <w:tcW w:w="1701" w:type="dxa"/>
          </w:tcPr>
          <w:p w14:paraId="3E359999" w14:textId="77777777" w:rsidR="003C1B11" w:rsidRDefault="003C1B11" w:rsidP="00AB5289">
            <w:pPr>
              <w:pStyle w:val="TableTextRight"/>
            </w:pPr>
            <w:r>
              <w:t>398,091</w:t>
            </w:r>
          </w:p>
        </w:tc>
      </w:tr>
      <w:tr w:rsidR="003C1B11" w14:paraId="69AEEE29" w14:textId="77777777" w:rsidTr="00FC3054">
        <w:trPr>
          <w:trHeight w:val="60"/>
        </w:trPr>
        <w:tc>
          <w:tcPr>
            <w:tcW w:w="7371" w:type="dxa"/>
          </w:tcPr>
          <w:p w14:paraId="57E9EA52" w14:textId="77777777" w:rsidR="003C1B11" w:rsidRDefault="003C1B11" w:rsidP="00FC3054">
            <w:pPr>
              <w:pStyle w:val="TableText"/>
            </w:pPr>
            <w:r>
              <w:t>Net Transfers in</w:t>
            </w:r>
          </w:p>
        </w:tc>
        <w:tc>
          <w:tcPr>
            <w:tcW w:w="1701" w:type="dxa"/>
          </w:tcPr>
          <w:p w14:paraId="43CF1F7C" w14:textId="77777777" w:rsidR="003C1B11" w:rsidRDefault="003C1B11" w:rsidP="00AB5289">
            <w:pPr>
              <w:pStyle w:val="TableTextRight"/>
            </w:pPr>
          </w:p>
        </w:tc>
        <w:tc>
          <w:tcPr>
            <w:tcW w:w="1701" w:type="dxa"/>
          </w:tcPr>
          <w:p w14:paraId="7BF7ADC3" w14:textId="77777777" w:rsidR="003C1B11" w:rsidRDefault="003C1B11" w:rsidP="00AB5289">
            <w:pPr>
              <w:pStyle w:val="TableTextRight"/>
              <w:rPr>
                <w:rFonts w:ascii="VIC-SemiBold" w:hAnsi="VIC-SemiBold" w:cstheme="minorBidi"/>
              </w:rPr>
            </w:pPr>
          </w:p>
        </w:tc>
        <w:tc>
          <w:tcPr>
            <w:tcW w:w="1701" w:type="dxa"/>
          </w:tcPr>
          <w:p w14:paraId="67D20A3F" w14:textId="77777777" w:rsidR="003C1B11" w:rsidRDefault="003C1B11" w:rsidP="00AB5289">
            <w:pPr>
              <w:pStyle w:val="TableTextRight"/>
            </w:pPr>
          </w:p>
        </w:tc>
        <w:tc>
          <w:tcPr>
            <w:tcW w:w="1701" w:type="dxa"/>
          </w:tcPr>
          <w:p w14:paraId="7FE00F30" w14:textId="77777777" w:rsidR="003C1B11" w:rsidRDefault="003C1B11" w:rsidP="00AB5289">
            <w:pPr>
              <w:pStyle w:val="TableTextRight"/>
            </w:pPr>
          </w:p>
        </w:tc>
        <w:tc>
          <w:tcPr>
            <w:tcW w:w="1701" w:type="dxa"/>
          </w:tcPr>
          <w:p w14:paraId="51B3B1C0" w14:textId="77777777" w:rsidR="003C1B11" w:rsidRDefault="003C1B11" w:rsidP="00AB5289">
            <w:pPr>
              <w:pStyle w:val="TableTextRight"/>
            </w:pPr>
            <w:r>
              <w:t>19,000,000</w:t>
            </w:r>
          </w:p>
        </w:tc>
        <w:tc>
          <w:tcPr>
            <w:tcW w:w="1701" w:type="dxa"/>
          </w:tcPr>
          <w:p w14:paraId="75B7029D" w14:textId="77777777" w:rsidR="003C1B11" w:rsidRDefault="003C1B11" w:rsidP="00AB5289">
            <w:pPr>
              <w:pStyle w:val="TableTextRight"/>
            </w:pPr>
            <w:r>
              <w:t>1,400,000</w:t>
            </w:r>
          </w:p>
        </w:tc>
        <w:tc>
          <w:tcPr>
            <w:tcW w:w="1701" w:type="dxa"/>
          </w:tcPr>
          <w:p w14:paraId="08EC4882" w14:textId="77777777" w:rsidR="003C1B11" w:rsidRDefault="003C1B11" w:rsidP="00AB5289">
            <w:pPr>
              <w:pStyle w:val="TableTextRight"/>
            </w:pPr>
          </w:p>
        </w:tc>
        <w:tc>
          <w:tcPr>
            <w:tcW w:w="1701" w:type="dxa"/>
          </w:tcPr>
          <w:p w14:paraId="6BA66649" w14:textId="77777777" w:rsidR="003C1B11" w:rsidRDefault="003C1B11" w:rsidP="00AB5289">
            <w:pPr>
              <w:pStyle w:val="TableTextRight"/>
            </w:pPr>
            <w:r>
              <w:t>20,400,000</w:t>
            </w:r>
          </w:p>
        </w:tc>
      </w:tr>
      <w:tr w:rsidR="003C1B11" w14:paraId="71CC4983" w14:textId="77777777" w:rsidTr="003C1B11">
        <w:trPr>
          <w:trHeight w:val="60"/>
        </w:trPr>
        <w:tc>
          <w:tcPr>
            <w:tcW w:w="7371" w:type="dxa"/>
            <w:shd w:val="clear" w:color="auto" w:fill="CCE3F5"/>
          </w:tcPr>
          <w:p w14:paraId="76F38D75" w14:textId="77777777" w:rsidR="003C1B11" w:rsidRDefault="003C1B11" w:rsidP="00FC3054">
            <w:pPr>
              <w:pStyle w:val="TableTextBold"/>
            </w:pPr>
            <w:r>
              <w:t>Total CAV Trust Funds Revenue</w:t>
            </w:r>
          </w:p>
        </w:tc>
        <w:tc>
          <w:tcPr>
            <w:tcW w:w="1701" w:type="dxa"/>
            <w:shd w:val="clear" w:color="auto" w:fill="CCE3F5"/>
          </w:tcPr>
          <w:p w14:paraId="7886B74A" w14:textId="77777777" w:rsidR="003C1B11" w:rsidRDefault="003C1B11" w:rsidP="00FC3054">
            <w:pPr>
              <w:pStyle w:val="TableTextRightBold"/>
            </w:pPr>
            <w:r>
              <w:t>333,588</w:t>
            </w:r>
          </w:p>
        </w:tc>
        <w:tc>
          <w:tcPr>
            <w:tcW w:w="1701" w:type="dxa"/>
            <w:shd w:val="clear" w:color="auto" w:fill="CCE3F5"/>
          </w:tcPr>
          <w:p w14:paraId="63328066" w14:textId="77777777" w:rsidR="003C1B11" w:rsidRDefault="003C1B11" w:rsidP="00FC3054">
            <w:pPr>
              <w:pStyle w:val="TableTextRightBold"/>
            </w:pPr>
            <w:r>
              <w:t>20,139,878</w:t>
            </w:r>
          </w:p>
        </w:tc>
        <w:tc>
          <w:tcPr>
            <w:tcW w:w="1701" w:type="dxa"/>
            <w:shd w:val="clear" w:color="auto" w:fill="CCE3F5"/>
          </w:tcPr>
          <w:p w14:paraId="2374C643" w14:textId="77777777" w:rsidR="003C1B11" w:rsidRDefault="003C1B11" w:rsidP="00FC3054">
            <w:pPr>
              <w:pStyle w:val="TableTextRightBold"/>
            </w:pPr>
            <w:r>
              <w:t>3,753,803</w:t>
            </w:r>
          </w:p>
        </w:tc>
        <w:tc>
          <w:tcPr>
            <w:tcW w:w="1701" w:type="dxa"/>
            <w:shd w:val="clear" w:color="auto" w:fill="CCE3F5"/>
          </w:tcPr>
          <w:p w14:paraId="51E6BFD2" w14:textId="77777777" w:rsidR="003C1B11" w:rsidRDefault="003C1B11" w:rsidP="00FC3054">
            <w:pPr>
              <w:pStyle w:val="TableTextRightBold"/>
            </w:pPr>
            <w:r>
              <w:t>26,685,811</w:t>
            </w:r>
          </w:p>
        </w:tc>
        <w:tc>
          <w:tcPr>
            <w:tcW w:w="1701" w:type="dxa"/>
            <w:shd w:val="clear" w:color="auto" w:fill="CCE3F5"/>
          </w:tcPr>
          <w:p w14:paraId="1C59C012" w14:textId="77777777" w:rsidR="003C1B11" w:rsidRDefault="003C1B11" w:rsidP="00FC3054">
            <w:pPr>
              <w:pStyle w:val="TableTextRightBold"/>
            </w:pPr>
            <w:r>
              <w:t>22,682,189</w:t>
            </w:r>
          </w:p>
        </w:tc>
        <w:tc>
          <w:tcPr>
            <w:tcW w:w="1701" w:type="dxa"/>
            <w:shd w:val="clear" w:color="auto" w:fill="CCE3F5"/>
          </w:tcPr>
          <w:p w14:paraId="3A2A31C7" w14:textId="77777777" w:rsidR="003C1B11" w:rsidRDefault="003C1B11" w:rsidP="00FC3054">
            <w:pPr>
              <w:pStyle w:val="TableTextRightBold"/>
            </w:pPr>
            <w:r>
              <w:t>1,757,418</w:t>
            </w:r>
          </w:p>
        </w:tc>
        <w:tc>
          <w:tcPr>
            <w:tcW w:w="1701" w:type="dxa"/>
            <w:shd w:val="clear" w:color="auto" w:fill="CCE3F5"/>
          </w:tcPr>
          <w:p w14:paraId="7FC484D1" w14:textId="77777777" w:rsidR="003C1B11" w:rsidRDefault="003C1B11" w:rsidP="00FC3054">
            <w:pPr>
              <w:pStyle w:val="TableTextRightBold"/>
            </w:pPr>
            <w:r>
              <w:t>17,165,795</w:t>
            </w:r>
          </w:p>
        </w:tc>
        <w:tc>
          <w:tcPr>
            <w:tcW w:w="1701" w:type="dxa"/>
            <w:shd w:val="clear" w:color="auto" w:fill="CCE3F5"/>
          </w:tcPr>
          <w:p w14:paraId="31284ADA" w14:textId="77777777" w:rsidR="003C1B11" w:rsidRDefault="003C1B11" w:rsidP="00FC3054">
            <w:pPr>
              <w:pStyle w:val="TableTextRightBold"/>
            </w:pPr>
            <w:r>
              <w:t>92,518,482</w:t>
            </w:r>
          </w:p>
        </w:tc>
      </w:tr>
      <w:tr w:rsidR="003C1B11" w14:paraId="6BBB1F04" w14:textId="77777777" w:rsidTr="007B1576">
        <w:trPr>
          <w:trHeight w:val="60"/>
        </w:trPr>
        <w:tc>
          <w:tcPr>
            <w:tcW w:w="20979" w:type="dxa"/>
            <w:gridSpan w:val="9"/>
            <w:shd w:val="clear" w:color="auto" w:fill="B2D5F0"/>
          </w:tcPr>
          <w:p w14:paraId="452D08E5" w14:textId="77777777" w:rsidR="003C1B11" w:rsidRDefault="003C1B11" w:rsidP="00FC3054">
            <w:pPr>
              <w:pStyle w:val="TableTextBold"/>
            </w:pPr>
            <w:r>
              <w:t>CAV Trust Funds Expenditure</w:t>
            </w:r>
          </w:p>
        </w:tc>
      </w:tr>
      <w:tr w:rsidR="003C1B11" w14:paraId="2446521A" w14:textId="77777777" w:rsidTr="00FC3054">
        <w:trPr>
          <w:trHeight w:val="60"/>
        </w:trPr>
        <w:tc>
          <w:tcPr>
            <w:tcW w:w="7371" w:type="dxa"/>
          </w:tcPr>
          <w:p w14:paraId="04A1D6E4" w14:textId="77777777" w:rsidR="003C1B11" w:rsidRDefault="003C1B11" w:rsidP="00FC3054">
            <w:pPr>
              <w:pStyle w:val="TableText"/>
            </w:pPr>
            <w:r>
              <w:t>Audit services</w:t>
            </w:r>
          </w:p>
        </w:tc>
        <w:tc>
          <w:tcPr>
            <w:tcW w:w="1701" w:type="dxa"/>
          </w:tcPr>
          <w:p w14:paraId="4FBD94A9" w14:textId="77777777" w:rsidR="003C1B11" w:rsidRDefault="003C1B11" w:rsidP="00AB5289">
            <w:pPr>
              <w:pStyle w:val="TableTextRight"/>
            </w:pPr>
          </w:p>
        </w:tc>
        <w:tc>
          <w:tcPr>
            <w:tcW w:w="1701" w:type="dxa"/>
          </w:tcPr>
          <w:p w14:paraId="36FCFB33" w14:textId="77777777" w:rsidR="003C1B11" w:rsidRDefault="003C1B11" w:rsidP="00AB5289">
            <w:pPr>
              <w:pStyle w:val="TableTextRight"/>
            </w:pPr>
          </w:p>
        </w:tc>
        <w:tc>
          <w:tcPr>
            <w:tcW w:w="1701" w:type="dxa"/>
          </w:tcPr>
          <w:p w14:paraId="223DAB45" w14:textId="77777777" w:rsidR="003C1B11" w:rsidRDefault="003C1B11" w:rsidP="00AB5289">
            <w:pPr>
              <w:pStyle w:val="TableTextRight"/>
            </w:pPr>
          </w:p>
        </w:tc>
        <w:tc>
          <w:tcPr>
            <w:tcW w:w="1701" w:type="dxa"/>
          </w:tcPr>
          <w:p w14:paraId="32E04471" w14:textId="77777777" w:rsidR="003C1B11" w:rsidRDefault="003C1B11" w:rsidP="00AB5289">
            <w:pPr>
              <w:pStyle w:val="TableTextRight"/>
            </w:pPr>
            <w:r>
              <w:t>11,000</w:t>
            </w:r>
          </w:p>
        </w:tc>
        <w:tc>
          <w:tcPr>
            <w:tcW w:w="1701" w:type="dxa"/>
          </w:tcPr>
          <w:p w14:paraId="60AE7CBD" w14:textId="77777777" w:rsidR="003C1B11" w:rsidRDefault="003C1B11" w:rsidP="00AB5289">
            <w:pPr>
              <w:pStyle w:val="TableTextRight"/>
            </w:pPr>
          </w:p>
        </w:tc>
        <w:tc>
          <w:tcPr>
            <w:tcW w:w="1701" w:type="dxa"/>
          </w:tcPr>
          <w:p w14:paraId="20F448C3" w14:textId="77777777" w:rsidR="003C1B11" w:rsidRDefault="003C1B11" w:rsidP="00AB5289">
            <w:pPr>
              <w:pStyle w:val="TableTextRight"/>
            </w:pPr>
          </w:p>
        </w:tc>
        <w:tc>
          <w:tcPr>
            <w:tcW w:w="1701" w:type="dxa"/>
          </w:tcPr>
          <w:p w14:paraId="56981C1B" w14:textId="77777777" w:rsidR="003C1B11" w:rsidRDefault="003C1B11" w:rsidP="00AB5289">
            <w:pPr>
              <w:pStyle w:val="TableTextRight"/>
            </w:pPr>
          </w:p>
        </w:tc>
        <w:tc>
          <w:tcPr>
            <w:tcW w:w="1701" w:type="dxa"/>
          </w:tcPr>
          <w:p w14:paraId="247B2BA6" w14:textId="77777777" w:rsidR="003C1B11" w:rsidRDefault="003C1B11" w:rsidP="00AB5289">
            <w:pPr>
              <w:pStyle w:val="TableTextRight"/>
            </w:pPr>
            <w:r>
              <w:t>11,000</w:t>
            </w:r>
          </w:p>
        </w:tc>
      </w:tr>
      <w:tr w:rsidR="003C1B11" w14:paraId="34CDDF32" w14:textId="77777777" w:rsidTr="00FC3054">
        <w:trPr>
          <w:trHeight w:val="60"/>
        </w:trPr>
        <w:tc>
          <w:tcPr>
            <w:tcW w:w="7371" w:type="dxa"/>
          </w:tcPr>
          <w:p w14:paraId="38C87E45" w14:textId="77777777" w:rsidR="003C1B11" w:rsidRDefault="003C1B11" w:rsidP="00FC3054">
            <w:pPr>
              <w:pStyle w:val="TableText"/>
            </w:pPr>
            <w:r>
              <w:t>Claims on consumer guarantee funds</w:t>
            </w:r>
          </w:p>
        </w:tc>
        <w:tc>
          <w:tcPr>
            <w:tcW w:w="1701" w:type="dxa"/>
          </w:tcPr>
          <w:p w14:paraId="7EA0FA33" w14:textId="77777777" w:rsidR="003C1B11" w:rsidRDefault="003C1B11" w:rsidP="00AB5289">
            <w:pPr>
              <w:pStyle w:val="TableTextRight"/>
            </w:pPr>
          </w:p>
        </w:tc>
        <w:tc>
          <w:tcPr>
            <w:tcW w:w="1701" w:type="dxa"/>
          </w:tcPr>
          <w:p w14:paraId="00AB6E44" w14:textId="77777777" w:rsidR="003C1B11" w:rsidRDefault="003C1B11" w:rsidP="00AB5289">
            <w:pPr>
              <w:pStyle w:val="TableTextRight"/>
            </w:pPr>
          </w:p>
        </w:tc>
        <w:tc>
          <w:tcPr>
            <w:tcW w:w="1701" w:type="dxa"/>
          </w:tcPr>
          <w:p w14:paraId="4BB1E438" w14:textId="77777777" w:rsidR="003C1B11" w:rsidRDefault="003C1B11" w:rsidP="00AB5289">
            <w:pPr>
              <w:pStyle w:val="TableTextRight"/>
            </w:pPr>
            <w:r>
              <w:t>16,017</w:t>
            </w:r>
          </w:p>
        </w:tc>
        <w:tc>
          <w:tcPr>
            <w:tcW w:w="1701" w:type="dxa"/>
          </w:tcPr>
          <w:p w14:paraId="028D170F" w14:textId="77777777" w:rsidR="003C1B11" w:rsidRDefault="003C1B11" w:rsidP="00AB5289">
            <w:pPr>
              <w:pStyle w:val="TableTextRight"/>
            </w:pPr>
          </w:p>
        </w:tc>
        <w:tc>
          <w:tcPr>
            <w:tcW w:w="1701" w:type="dxa"/>
          </w:tcPr>
          <w:p w14:paraId="79BA49CD" w14:textId="77777777" w:rsidR="003C1B11" w:rsidRDefault="003C1B11" w:rsidP="00AB5289">
            <w:pPr>
              <w:pStyle w:val="TableTextRight"/>
            </w:pPr>
          </w:p>
        </w:tc>
        <w:tc>
          <w:tcPr>
            <w:tcW w:w="1701" w:type="dxa"/>
          </w:tcPr>
          <w:p w14:paraId="7AAE35E2" w14:textId="77777777" w:rsidR="003C1B11" w:rsidRDefault="003C1B11" w:rsidP="00AB5289">
            <w:pPr>
              <w:pStyle w:val="TableTextRight"/>
            </w:pPr>
          </w:p>
        </w:tc>
        <w:tc>
          <w:tcPr>
            <w:tcW w:w="1701" w:type="dxa"/>
          </w:tcPr>
          <w:p w14:paraId="08560BFA" w14:textId="77777777" w:rsidR="003C1B11" w:rsidRDefault="003C1B11" w:rsidP="00AB5289">
            <w:pPr>
              <w:pStyle w:val="TableTextRight"/>
            </w:pPr>
            <w:r>
              <w:t>6,194,780</w:t>
            </w:r>
          </w:p>
        </w:tc>
        <w:tc>
          <w:tcPr>
            <w:tcW w:w="1701" w:type="dxa"/>
          </w:tcPr>
          <w:p w14:paraId="68162672" w14:textId="77777777" w:rsidR="003C1B11" w:rsidRDefault="003C1B11" w:rsidP="00AB5289">
            <w:pPr>
              <w:pStyle w:val="TableTextRight"/>
            </w:pPr>
            <w:r>
              <w:t>6,210,797</w:t>
            </w:r>
          </w:p>
        </w:tc>
      </w:tr>
      <w:tr w:rsidR="003C1B11" w14:paraId="031F1D49" w14:textId="77777777" w:rsidTr="00FC3054">
        <w:trPr>
          <w:trHeight w:val="60"/>
        </w:trPr>
        <w:tc>
          <w:tcPr>
            <w:tcW w:w="7371" w:type="dxa"/>
          </w:tcPr>
          <w:p w14:paraId="58F85DB3" w14:textId="77777777" w:rsidR="003C1B11" w:rsidRDefault="003C1B11" w:rsidP="00FC3054">
            <w:pPr>
              <w:pStyle w:val="TableText"/>
            </w:pPr>
            <w:r>
              <w:t>Contractors, consultants and professional services</w:t>
            </w:r>
          </w:p>
        </w:tc>
        <w:tc>
          <w:tcPr>
            <w:tcW w:w="1701" w:type="dxa"/>
          </w:tcPr>
          <w:p w14:paraId="4B2F8261" w14:textId="77777777" w:rsidR="003C1B11" w:rsidRDefault="003C1B11" w:rsidP="00AB5289">
            <w:pPr>
              <w:pStyle w:val="TableTextRight"/>
            </w:pPr>
          </w:p>
        </w:tc>
        <w:tc>
          <w:tcPr>
            <w:tcW w:w="1701" w:type="dxa"/>
          </w:tcPr>
          <w:p w14:paraId="78A9A1B8" w14:textId="77777777" w:rsidR="003C1B11" w:rsidRDefault="003C1B11" w:rsidP="00AB5289">
            <w:pPr>
              <w:pStyle w:val="TableTextRight"/>
            </w:pPr>
            <w:r>
              <w:t>39,823</w:t>
            </w:r>
          </w:p>
        </w:tc>
        <w:tc>
          <w:tcPr>
            <w:tcW w:w="1701" w:type="dxa"/>
          </w:tcPr>
          <w:p w14:paraId="1EAE11EC" w14:textId="77777777" w:rsidR="003C1B11" w:rsidRDefault="003C1B11" w:rsidP="00AB5289">
            <w:pPr>
              <w:pStyle w:val="TableTextRight"/>
            </w:pPr>
            <w:r>
              <w:t>27,013</w:t>
            </w:r>
          </w:p>
        </w:tc>
        <w:tc>
          <w:tcPr>
            <w:tcW w:w="1701" w:type="dxa"/>
          </w:tcPr>
          <w:p w14:paraId="16F24ACD" w14:textId="77777777" w:rsidR="003C1B11" w:rsidRDefault="003C1B11" w:rsidP="00AB5289">
            <w:pPr>
              <w:pStyle w:val="TableTextRight"/>
            </w:pPr>
            <w:r>
              <w:t>1,356,747</w:t>
            </w:r>
          </w:p>
        </w:tc>
        <w:tc>
          <w:tcPr>
            <w:tcW w:w="1701" w:type="dxa"/>
          </w:tcPr>
          <w:p w14:paraId="682C598F" w14:textId="77777777" w:rsidR="003C1B11" w:rsidRDefault="003C1B11" w:rsidP="00AB5289">
            <w:pPr>
              <w:pStyle w:val="TableTextRight"/>
            </w:pPr>
            <w:r>
              <w:t>306,019</w:t>
            </w:r>
          </w:p>
        </w:tc>
        <w:tc>
          <w:tcPr>
            <w:tcW w:w="1701" w:type="dxa"/>
          </w:tcPr>
          <w:p w14:paraId="0874C0E8" w14:textId="77777777" w:rsidR="003C1B11" w:rsidRDefault="003C1B11" w:rsidP="00AB5289">
            <w:pPr>
              <w:pStyle w:val="TableTextRight"/>
            </w:pPr>
          </w:p>
        </w:tc>
        <w:tc>
          <w:tcPr>
            <w:tcW w:w="1701" w:type="dxa"/>
          </w:tcPr>
          <w:p w14:paraId="021944B9" w14:textId="77777777" w:rsidR="003C1B11" w:rsidRDefault="003C1B11" w:rsidP="00AB5289">
            <w:pPr>
              <w:pStyle w:val="TableTextRight"/>
            </w:pPr>
            <w:r>
              <w:t>313,452</w:t>
            </w:r>
          </w:p>
        </w:tc>
        <w:tc>
          <w:tcPr>
            <w:tcW w:w="1701" w:type="dxa"/>
          </w:tcPr>
          <w:p w14:paraId="1E6E28C7" w14:textId="77777777" w:rsidR="003C1B11" w:rsidRDefault="003C1B11" w:rsidP="00AB5289">
            <w:pPr>
              <w:pStyle w:val="TableTextRight"/>
            </w:pPr>
            <w:r>
              <w:t>2,043,054</w:t>
            </w:r>
          </w:p>
        </w:tc>
      </w:tr>
      <w:tr w:rsidR="003C1B11" w14:paraId="55517D40" w14:textId="77777777" w:rsidTr="00FC3054">
        <w:trPr>
          <w:trHeight w:val="60"/>
        </w:trPr>
        <w:tc>
          <w:tcPr>
            <w:tcW w:w="7371" w:type="dxa"/>
          </w:tcPr>
          <w:p w14:paraId="5BB32C78" w14:textId="77777777" w:rsidR="003C1B11" w:rsidRDefault="003C1B11" w:rsidP="00FC3054">
            <w:pPr>
              <w:pStyle w:val="TableText"/>
            </w:pPr>
            <w:r>
              <w:t>Employee related costs</w:t>
            </w:r>
          </w:p>
        </w:tc>
        <w:tc>
          <w:tcPr>
            <w:tcW w:w="1701" w:type="dxa"/>
          </w:tcPr>
          <w:p w14:paraId="03BDE538" w14:textId="77777777" w:rsidR="003C1B11" w:rsidRDefault="003C1B11" w:rsidP="00AB5289">
            <w:pPr>
              <w:pStyle w:val="TableTextRight"/>
            </w:pPr>
          </w:p>
        </w:tc>
        <w:tc>
          <w:tcPr>
            <w:tcW w:w="1701" w:type="dxa"/>
          </w:tcPr>
          <w:p w14:paraId="270F55DC" w14:textId="77777777" w:rsidR="003C1B11" w:rsidRDefault="003C1B11" w:rsidP="00AB5289">
            <w:pPr>
              <w:pStyle w:val="TableTextRight"/>
            </w:pPr>
            <w:r>
              <w:t>10,062,126</w:t>
            </w:r>
          </w:p>
        </w:tc>
        <w:tc>
          <w:tcPr>
            <w:tcW w:w="1701" w:type="dxa"/>
          </w:tcPr>
          <w:p w14:paraId="125D9B76" w14:textId="77777777" w:rsidR="003C1B11" w:rsidRDefault="003C1B11" w:rsidP="00AB5289">
            <w:pPr>
              <w:pStyle w:val="TableTextRight"/>
            </w:pPr>
            <w:r>
              <w:t>1,514,837</w:t>
            </w:r>
          </w:p>
        </w:tc>
        <w:tc>
          <w:tcPr>
            <w:tcW w:w="1701" w:type="dxa"/>
          </w:tcPr>
          <w:p w14:paraId="2C21BCBC" w14:textId="77777777" w:rsidR="003C1B11" w:rsidRDefault="003C1B11" w:rsidP="00AB5289">
            <w:pPr>
              <w:pStyle w:val="TableTextRight"/>
            </w:pPr>
            <w:r>
              <w:t>2,223,358</w:t>
            </w:r>
          </w:p>
        </w:tc>
        <w:tc>
          <w:tcPr>
            <w:tcW w:w="1701" w:type="dxa"/>
          </w:tcPr>
          <w:p w14:paraId="25523AFC" w14:textId="77777777" w:rsidR="003C1B11" w:rsidRDefault="003C1B11" w:rsidP="00AB5289">
            <w:pPr>
              <w:pStyle w:val="TableTextRight"/>
            </w:pPr>
            <w:r>
              <w:t>12,481,896</w:t>
            </w:r>
          </w:p>
        </w:tc>
        <w:tc>
          <w:tcPr>
            <w:tcW w:w="1701" w:type="dxa"/>
          </w:tcPr>
          <w:p w14:paraId="5EADA259" w14:textId="77777777" w:rsidR="003C1B11" w:rsidRDefault="003C1B11" w:rsidP="00AB5289">
            <w:pPr>
              <w:pStyle w:val="TableTextRight"/>
            </w:pPr>
            <w:r>
              <w:t>1,709,948</w:t>
            </w:r>
          </w:p>
        </w:tc>
        <w:tc>
          <w:tcPr>
            <w:tcW w:w="1701" w:type="dxa"/>
          </w:tcPr>
          <w:p w14:paraId="463A1124" w14:textId="77777777" w:rsidR="003C1B11" w:rsidRDefault="003C1B11" w:rsidP="00AB5289">
            <w:pPr>
              <w:pStyle w:val="TableTextRight"/>
            </w:pPr>
            <w:r>
              <w:t>8,736,790</w:t>
            </w:r>
          </w:p>
        </w:tc>
        <w:tc>
          <w:tcPr>
            <w:tcW w:w="1701" w:type="dxa"/>
          </w:tcPr>
          <w:p w14:paraId="3CB05FA1" w14:textId="77777777" w:rsidR="003C1B11" w:rsidRDefault="003C1B11" w:rsidP="00AB5289">
            <w:pPr>
              <w:pStyle w:val="TableTextRight"/>
            </w:pPr>
            <w:r>
              <w:t>36,728,955</w:t>
            </w:r>
          </w:p>
        </w:tc>
      </w:tr>
      <w:tr w:rsidR="003C1B11" w14:paraId="03B3155D" w14:textId="77777777" w:rsidTr="00FC3054">
        <w:trPr>
          <w:trHeight w:val="60"/>
        </w:trPr>
        <w:tc>
          <w:tcPr>
            <w:tcW w:w="7371" w:type="dxa"/>
          </w:tcPr>
          <w:p w14:paraId="323EF151" w14:textId="77777777" w:rsidR="003C1B11" w:rsidRDefault="003C1B11" w:rsidP="00FC3054">
            <w:pPr>
              <w:pStyle w:val="TableText"/>
            </w:pPr>
            <w:r>
              <w:t>Investments – market value adjustments</w:t>
            </w:r>
          </w:p>
        </w:tc>
        <w:tc>
          <w:tcPr>
            <w:tcW w:w="1701" w:type="dxa"/>
          </w:tcPr>
          <w:p w14:paraId="33BC8DF0" w14:textId="77777777" w:rsidR="003C1B11" w:rsidRDefault="003C1B11" w:rsidP="00AB5289">
            <w:pPr>
              <w:pStyle w:val="TableTextRight"/>
            </w:pPr>
            <w:r>
              <w:t xml:space="preserve"> </w:t>
            </w:r>
          </w:p>
        </w:tc>
        <w:tc>
          <w:tcPr>
            <w:tcW w:w="1701" w:type="dxa"/>
          </w:tcPr>
          <w:p w14:paraId="639DFE09" w14:textId="77777777" w:rsidR="003C1B11" w:rsidRDefault="003C1B11" w:rsidP="00AB5289">
            <w:pPr>
              <w:pStyle w:val="TableTextRight"/>
            </w:pPr>
            <w:r>
              <w:t>1,926,580</w:t>
            </w:r>
          </w:p>
        </w:tc>
        <w:tc>
          <w:tcPr>
            <w:tcW w:w="1701" w:type="dxa"/>
          </w:tcPr>
          <w:p w14:paraId="3F2794E8" w14:textId="77777777" w:rsidR="003C1B11" w:rsidRDefault="003C1B11" w:rsidP="00AB5289">
            <w:pPr>
              <w:pStyle w:val="TableTextRight"/>
            </w:pPr>
            <w:r>
              <w:t xml:space="preserve"> </w:t>
            </w:r>
          </w:p>
        </w:tc>
        <w:tc>
          <w:tcPr>
            <w:tcW w:w="1701" w:type="dxa"/>
          </w:tcPr>
          <w:p w14:paraId="6C8868DD" w14:textId="77777777" w:rsidR="003C1B11" w:rsidRDefault="003C1B11" w:rsidP="00AB5289">
            <w:pPr>
              <w:pStyle w:val="TableTextRight"/>
            </w:pPr>
            <w:r>
              <w:t>28,577,161</w:t>
            </w:r>
          </w:p>
        </w:tc>
        <w:tc>
          <w:tcPr>
            <w:tcW w:w="1701" w:type="dxa"/>
          </w:tcPr>
          <w:p w14:paraId="482BC54B" w14:textId="77777777" w:rsidR="003C1B11" w:rsidRDefault="003C1B11" w:rsidP="00AB5289">
            <w:pPr>
              <w:pStyle w:val="TableTextRight"/>
            </w:pPr>
            <w:r>
              <w:t>2,858,396</w:t>
            </w:r>
          </w:p>
        </w:tc>
        <w:tc>
          <w:tcPr>
            <w:tcW w:w="1701" w:type="dxa"/>
          </w:tcPr>
          <w:p w14:paraId="523CB45F" w14:textId="77777777" w:rsidR="003C1B11" w:rsidRDefault="003C1B11" w:rsidP="00AB5289">
            <w:pPr>
              <w:pStyle w:val="TableTextRight"/>
            </w:pPr>
            <w:r>
              <w:t xml:space="preserve"> </w:t>
            </w:r>
          </w:p>
        </w:tc>
        <w:tc>
          <w:tcPr>
            <w:tcW w:w="1701" w:type="dxa"/>
          </w:tcPr>
          <w:p w14:paraId="7DE09073" w14:textId="77777777" w:rsidR="003C1B11" w:rsidRDefault="003C1B11" w:rsidP="00AB5289">
            <w:pPr>
              <w:pStyle w:val="TableTextRight"/>
            </w:pPr>
            <w:r>
              <w:t>11,244,426</w:t>
            </w:r>
          </w:p>
        </w:tc>
        <w:tc>
          <w:tcPr>
            <w:tcW w:w="1701" w:type="dxa"/>
          </w:tcPr>
          <w:p w14:paraId="2B129A38" w14:textId="77777777" w:rsidR="003C1B11" w:rsidRDefault="003C1B11" w:rsidP="00AB5289">
            <w:pPr>
              <w:pStyle w:val="TableTextRight"/>
            </w:pPr>
            <w:r>
              <w:t>44,606,563</w:t>
            </w:r>
          </w:p>
        </w:tc>
      </w:tr>
      <w:tr w:rsidR="003C1B11" w14:paraId="5AF832EA" w14:textId="77777777" w:rsidTr="00FC3054">
        <w:trPr>
          <w:trHeight w:val="60"/>
        </w:trPr>
        <w:tc>
          <w:tcPr>
            <w:tcW w:w="7371" w:type="dxa"/>
          </w:tcPr>
          <w:p w14:paraId="08473B0C" w14:textId="77777777" w:rsidR="003C1B11" w:rsidRDefault="003C1B11" w:rsidP="00FC3054">
            <w:pPr>
              <w:pStyle w:val="TableText"/>
            </w:pPr>
            <w:r>
              <w:t>Grants paid</w:t>
            </w:r>
          </w:p>
        </w:tc>
        <w:tc>
          <w:tcPr>
            <w:tcW w:w="1701" w:type="dxa"/>
          </w:tcPr>
          <w:p w14:paraId="2FB0FFEC" w14:textId="77777777" w:rsidR="003C1B11" w:rsidRDefault="003C1B11" w:rsidP="00AB5289">
            <w:pPr>
              <w:pStyle w:val="TableTextRight"/>
            </w:pPr>
            <w:r>
              <w:t>1,265,992</w:t>
            </w:r>
          </w:p>
        </w:tc>
        <w:tc>
          <w:tcPr>
            <w:tcW w:w="1701" w:type="dxa"/>
          </w:tcPr>
          <w:p w14:paraId="3456BBEE" w14:textId="77777777" w:rsidR="003C1B11" w:rsidRDefault="003C1B11" w:rsidP="00AB5289">
            <w:pPr>
              <w:pStyle w:val="TableTextRight"/>
            </w:pPr>
            <w:r>
              <w:t>5,331,489</w:t>
            </w:r>
          </w:p>
        </w:tc>
        <w:tc>
          <w:tcPr>
            <w:tcW w:w="1701" w:type="dxa"/>
          </w:tcPr>
          <w:p w14:paraId="7E745FF7" w14:textId="77777777" w:rsidR="003C1B11" w:rsidRDefault="003C1B11" w:rsidP="00AB5289">
            <w:pPr>
              <w:pStyle w:val="TableTextRight"/>
            </w:pPr>
          </w:p>
        </w:tc>
        <w:tc>
          <w:tcPr>
            <w:tcW w:w="1701" w:type="dxa"/>
          </w:tcPr>
          <w:p w14:paraId="51928403" w14:textId="77777777" w:rsidR="003C1B11" w:rsidRDefault="003C1B11" w:rsidP="00AB5289">
            <w:pPr>
              <w:pStyle w:val="TableTextRight"/>
            </w:pPr>
          </w:p>
        </w:tc>
        <w:tc>
          <w:tcPr>
            <w:tcW w:w="1701" w:type="dxa"/>
          </w:tcPr>
          <w:p w14:paraId="7CDF3589" w14:textId="77777777" w:rsidR="003C1B11" w:rsidRDefault="003C1B11" w:rsidP="00AB5289">
            <w:pPr>
              <w:pStyle w:val="TableTextRight"/>
            </w:pPr>
            <w:r>
              <w:t>16,086,608</w:t>
            </w:r>
          </w:p>
        </w:tc>
        <w:tc>
          <w:tcPr>
            <w:tcW w:w="1701" w:type="dxa"/>
          </w:tcPr>
          <w:p w14:paraId="1A15CFCB" w14:textId="77777777" w:rsidR="003C1B11" w:rsidRDefault="003C1B11" w:rsidP="00AB5289">
            <w:pPr>
              <w:pStyle w:val="TableTextRight"/>
            </w:pPr>
          </w:p>
        </w:tc>
        <w:tc>
          <w:tcPr>
            <w:tcW w:w="1701" w:type="dxa"/>
          </w:tcPr>
          <w:p w14:paraId="51D15E5C" w14:textId="77777777" w:rsidR="003C1B11" w:rsidRDefault="003C1B11" w:rsidP="00AB5289">
            <w:pPr>
              <w:pStyle w:val="TableTextRight"/>
            </w:pPr>
            <w:r>
              <w:t>5,011,598</w:t>
            </w:r>
          </w:p>
        </w:tc>
        <w:tc>
          <w:tcPr>
            <w:tcW w:w="1701" w:type="dxa"/>
          </w:tcPr>
          <w:p w14:paraId="681DD16D" w14:textId="77777777" w:rsidR="003C1B11" w:rsidRDefault="003C1B11" w:rsidP="00AB5289">
            <w:pPr>
              <w:pStyle w:val="TableTextRight"/>
            </w:pPr>
            <w:r>
              <w:t>27,695,687</w:t>
            </w:r>
          </w:p>
        </w:tc>
      </w:tr>
      <w:tr w:rsidR="003C1B11" w14:paraId="5341F6FF" w14:textId="77777777" w:rsidTr="00FC3054">
        <w:trPr>
          <w:trHeight w:val="60"/>
        </w:trPr>
        <w:tc>
          <w:tcPr>
            <w:tcW w:w="7371" w:type="dxa"/>
          </w:tcPr>
          <w:p w14:paraId="7EC61F8F" w14:textId="77777777" w:rsidR="003C1B11" w:rsidRDefault="003C1B11" w:rsidP="00FC3054">
            <w:pPr>
              <w:pStyle w:val="TableText"/>
            </w:pPr>
            <w:r>
              <w:t>Information technology</w:t>
            </w:r>
          </w:p>
        </w:tc>
        <w:tc>
          <w:tcPr>
            <w:tcW w:w="1701" w:type="dxa"/>
          </w:tcPr>
          <w:p w14:paraId="11B5A803" w14:textId="77777777" w:rsidR="003C1B11" w:rsidRDefault="003C1B11" w:rsidP="00AB5289">
            <w:pPr>
              <w:pStyle w:val="TableTextRight"/>
            </w:pPr>
          </w:p>
        </w:tc>
        <w:tc>
          <w:tcPr>
            <w:tcW w:w="1701" w:type="dxa"/>
          </w:tcPr>
          <w:p w14:paraId="00FB46B2" w14:textId="77777777" w:rsidR="003C1B11" w:rsidRDefault="003C1B11" w:rsidP="00AB5289">
            <w:pPr>
              <w:pStyle w:val="TableTextRight"/>
            </w:pPr>
            <w:r>
              <w:t>233,211</w:t>
            </w:r>
          </w:p>
        </w:tc>
        <w:tc>
          <w:tcPr>
            <w:tcW w:w="1701" w:type="dxa"/>
          </w:tcPr>
          <w:p w14:paraId="42D3D8B4" w14:textId="77777777" w:rsidR="003C1B11" w:rsidRDefault="003C1B11" w:rsidP="00AB5289">
            <w:pPr>
              <w:pStyle w:val="TableTextRight"/>
            </w:pPr>
            <w:r>
              <w:t>62,729</w:t>
            </w:r>
          </w:p>
        </w:tc>
        <w:tc>
          <w:tcPr>
            <w:tcW w:w="1701" w:type="dxa"/>
          </w:tcPr>
          <w:p w14:paraId="542D5A84" w14:textId="77777777" w:rsidR="003C1B11" w:rsidRDefault="003C1B11" w:rsidP="00AB5289">
            <w:pPr>
              <w:pStyle w:val="TableTextRight"/>
            </w:pPr>
            <w:r>
              <w:t>320,401</w:t>
            </w:r>
          </w:p>
        </w:tc>
        <w:tc>
          <w:tcPr>
            <w:tcW w:w="1701" w:type="dxa"/>
          </w:tcPr>
          <w:p w14:paraId="6AF6592F" w14:textId="77777777" w:rsidR="003C1B11" w:rsidRDefault="003C1B11" w:rsidP="00AB5289">
            <w:pPr>
              <w:pStyle w:val="TableTextRight"/>
            </w:pPr>
            <w:r>
              <w:t>419,671</w:t>
            </w:r>
          </w:p>
        </w:tc>
        <w:tc>
          <w:tcPr>
            <w:tcW w:w="1701" w:type="dxa"/>
          </w:tcPr>
          <w:p w14:paraId="07C85B1C" w14:textId="77777777" w:rsidR="003C1B11" w:rsidRDefault="003C1B11" w:rsidP="00AB5289">
            <w:pPr>
              <w:pStyle w:val="TableTextRight"/>
            </w:pPr>
            <w:r>
              <w:t>68,070</w:t>
            </w:r>
          </w:p>
        </w:tc>
        <w:tc>
          <w:tcPr>
            <w:tcW w:w="1701" w:type="dxa"/>
          </w:tcPr>
          <w:p w14:paraId="2C5BFE64" w14:textId="77777777" w:rsidR="003C1B11" w:rsidRDefault="003C1B11" w:rsidP="00AB5289">
            <w:pPr>
              <w:pStyle w:val="TableTextRight"/>
            </w:pPr>
            <w:r>
              <w:t>343,251</w:t>
            </w:r>
          </w:p>
        </w:tc>
        <w:tc>
          <w:tcPr>
            <w:tcW w:w="1701" w:type="dxa"/>
          </w:tcPr>
          <w:p w14:paraId="603B052A" w14:textId="77777777" w:rsidR="003C1B11" w:rsidRDefault="003C1B11" w:rsidP="00AB5289">
            <w:pPr>
              <w:pStyle w:val="TableTextRight"/>
            </w:pPr>
            <w:r>
              <w:t>1,447,333</w:t>
            </w:r>
          </w:p>
        </w:tc>
      </w:tr>
      <w:tr w:rsidR="003C1B11" w14:paraId="738B2229" w14:textId="77777777" w:rsidTr="00FC3054">
        <w:trPr>
          <w:trHeight w:val="60"/>
        </w:trPr>
        <w:tc>
          <w:tcPr>
            <w:tcW w:w="7371" w:type="dxa"/>
          </w:tcPr>
          <w:p w14:paraId="24AD6D34" w14:textId="77777777" w:rsidR="003C1B11" w:rsidRDefault="003C1B11" w:rsidP="00FC3054">
            <w:pPr>
              <w:pStyle w:val="TableText"/>
            </w:pPr>
            <w:r>
              <w:t>Occupancy costs</w:t>
            </w:r>
          </w:p>
        </w:tc>
        <w:tc>
          <w:tcPr>
            <w:tcW w:w="1701" w:type="dxa"/>
          </w:tcPr>
          <w:p w14:paraId="2C433231" w14:textId="77777777" w:rsidR="003C1B11" w:rsidRDefault="003C1B11" w:rsidP="00AB5289">
            <w:pPr>
              <w:pStyle w:val="TableTextRight"/>
            </w:pPr>
          </w:p>
        </w:tc>
        <w:tc>
          <w:tcPr>
            <w:tcW w:w="1701" w:type="dxa"/>
          </w:tcPr>
          <w:p w14:paraId="28E95486" w14:textId="77777777" w:rsidR="003C1B11" w:rsidRDefault="003C1B11" w:rsidP="00AB5289">
            <w:pPr>
              <w:pStyle w:val="TableTextRight"/>
            </w:pPr>
            <w:r>
              <w:t>29,499</w:t>
            </w:r>
          </w:p>
        </w:tc>
        <w:tc>
          <w:tcPr>
            <w:tcW w:w="1701" w:type="dxa"/>
          </w:tcPr>
          <w:p w14:paraId="1A5C608A" w14:textId="77777777" w:rsidR="003C1B11" w:rsidRDefault="003C1B11" w:rsidP="00AB5289">
            <w:pPr>
              <w:pStyle w:val="TableTextRight"/>
            </w:pPr>
            <w:r>
              <w:t>5,444</w:t>
            </w:r>
          </w:p>
        </w:tc>
        <w:tc>
          <w:tcPr>
            <w:tcW w:w="1701" w:type="dxa"/>
          </w:tcPr>
          <w:p w14:paraId="64F04906" w14:textId="77777777" w:rsidR="003C1B11" w:rsidRDefault="003C1B11" w:rsidP="00AB5289">
            <w:pPr>
              <w:pStyle w:val="TableTextRight"/>
            </w:pPr>
            <w:r>
              <w:t>25,019</w:t>
            </w:r>
          </w:p>
        </w:tc>
        <w:tc>
          <w:tcPr>
            <w:tcW w:w="1701" w:type="dxa"/>
          </w:tcPr>
          <w:p w14:paraId="712E628A" w14:textId="77777777" w:rsidR="003C1B11" w:rsidRDefault="003C1B11" w:rsidP="00AB5289">
            <w:pPr>
              <w:pStyle w:val="TableTextRight"/>
            </w:pPr>
            <w:r>
              <w:t>6,281</w:t>
            </w:r>
          </w:p>
        </w:tc>
        <w:tc>
          <w:tcPr>
            <w:tcW w:w="1701" w:type="dxa"/>
          </w:tcPr>
          <w:p w14:paraId="1B872F89" w14:textId="77777777" w:rsidR="003C1B11" w:rsidRDefault="003C1B11" w:rsidP="00AB5289">
            <w:pPr>
              <w:pStyle w:val="TableTextRight"/>
            </w:pPr>
            <w:r>
              <w:t>4,313</w:t>
            </w:r>
          </w:p>
        </w:tc>
        <w:tc>
          <w:tcPr>
            <w:tcW w:w="1701" w:type="dxa"/>
          </w:tcPr>
          <w:p w14:paraId="2C3767B9" w14:textId="77777777" w:rsidR="003C1B11" w:rsidRDefault="003C1B11" w:rsidP="00AB5289">
            <w:pPr>
              <w:pStyle w:val="TableTextRight"/>
            </w:pPr>
            <w:r>
              <w:t>19,198</w:t>
            </w:r>
          </w:p>
        </w:tc>
        <w:tc>
          <w:tcPr>
            <w:tcW w:w="1701" w:type="dxa"/>
          </w:tcPr>
          <w:p w14:paraId="6492EC96" w14:textId="77777777" w:rsidR="003C1B11" w:rsidRDefault="003C1B11" w:rsidP="00AB5289">
            <w:pPr>
              <w:pStyle w:val="TableTextRight"/>
            </w:pPr>
            <w:r>
              <w:t>89,754</w:t>
            </w:r>
          </w:p>
        </w:tc>
      </w:tr>
      <w:tr w:rsidR="003C1B11" w14:paraId="2BAEBC5E" w14:textId="77777777" w:rsidTr="00FC3054">
        <w:trPr>
          <w:trHeight w:val="60"/>
        </w:trPr>
        <w:tc>
          <w:tcPr>
            <w:tcW w:w="7371" w:type="dxa"/>
          </w:tcPr>
          <w:p w14:paraId="3BAA7FC6" w14:textId="77777777" w:rsidR="003C1B11" w:rsidRDefault="003C1B11" w:rsidP="00FC3054">
            <w:pPr>
              <w:pStyle w:val="TableText"/>
            </w:pPr>
            <w:r>
              <w:t>Other operating costs</w:t>
            </w:r>
          </w:p>
        </w:tc>
        <w:tc>
          <w:tcPr>
            <w:tcW w:w="1701" w:type="dxa"/>
          </w:tcPr>
          <w:p w14:paraId="16F49298" w14:textId="77777777" w:rsidR="003C1B11" w:rsidRDefault="003C1B11" w:rsidP="00AB5289">
            <w:pPr>
              <w:pStyle w:val="TableTextRight"/>
            </w:pPr>
          </w:p>
        </w:tc>
        <w:tc>
          <w:tcPr>
            <w:tcW w:w="1701" w:type="dxa"/>
          </w:tcPr>
          <w:p w14:paraId="3FA88585" w14:textId="77777777" w:rsidR="003C1B11" w:rsidRDefault="003C1B11" w:rsidP="00AB5289">
            <w:pPr>
              <w:pStyle w:val="TableTextRight"/>
            </w:pPr>
            <w:r>
              <w:t>882,071</w:t>
            </w:r>
          </w:p>
        </w:tc>
        <w:tc>
          <w:tcPr>
            <w:tcW w:w="1701" w:type="dxa"/>
          </w:tcPr>
          <w:p w14:paraId="3F1710EA" w14:textId="77777777" w:rsidR="003C1B11" w:rsidRDefault="003C1B11" w:rsidP="00AB5289">
            <w:pPr>
              <w:pStyle w:val="TableTextRight"/>
            </w:pPr>
            <w:r>
              <w:t>357,329</w:t>
            </w:r>
          </w:p>
        </w:tc>
        <w:tc>
          <w:tcPr>
            <w:tcW w:w="1701" w:type="dxa"/>
          </w:tcPr>
          <w:p w14:paraId="72F0B36D" w14:textId="77777777" w:rsidR="003C1B11" w:rsidRDefault="003C1B11" w:rsidP="00AB5289">
            <w:pPr>
              <w:pStyle w:val="TableTextRight"/>
            </w:pPr>
            <w:r>
              <w:t>199,847</w:t>
            </w:r>
          </w:p>
        </w:tc>
        <w:tc>
          <w:tcPr>
            <w:tcW w:w="1701" w:type="dxa"/>
          </w:tcPr>
          <w:p w14:paraId="1720554F" w14:textId="77777777" w:rsidR="003C1B11" w:rsidRDefault="003C1B11" w:rsidP="00AB5289">
            <w:pPr>
              <w:pStyle w:val="TableTextRight"/>
            </w:pPr>
            <w:r>
              <w:t>1,269,917</w:t>
            </w:r>
          </w:p>
        </w:tc>
        <w:tc>
          <w:tcPr>
            <w:tcW w:w="1701" w:type="dxa"/>
          </w:tcPr>
          <w:p w14:paraId="4E758327" w14:textId="77777777" w:rsidR="003C1B11" w:rsidRDefault="003C1B11" w:rsidP="00AB5289">
            <w:pPr>
              <w:pStyle w:val="TableTextRight"/>
            </w:pPr>
            <w:r>
              <w:t>137,712</w:t>
            </w:r>
          </w:p>
        </w:tc>
        <w:tc>
          <w:tcPr>
            <w:tcW w:w="1701" w:type="dxa"/>
          </w:tcPr>
          <w:p w14:paraId="0D3545A3" w14:textId="77777777" w:rsidR="003C1B11" w:rsidRDefault="003C1B11" w:rsidP="00AB5289">
            <w:pPr>
              <w:pStyle w:val="TableTextRight"/>
            </w:pPr>
            <w:r>
              <w:t>1,211,643</w:t>
            </w:r>
          </w:p>
        </w:tc>
        <w:tc>
          <w:tcPr>
            <w:tcW w:w="1701" w:type="dxa"/>
          </w:tcPr>
          <w:p w14:paraId="4FBD4938" w14:textId="77777777" w:rsidR="003C1B11" w:rsidRDefault="003C1B11" w:rsidP="00AB5289">
            <w:pPr>
              <w:pStyle w:val="TableTextRight"/>
            </w:pPr>
            <w:r>
              <w:t>4,058,519</w:t>
            </w:r>
          </w:p>
        </w:tc>
      </w:tr>
      <w:tr w:rsidR="003C1B11" w14:paraId="3598C6CD" w14:textId="77777777" w:rsidTr="00FC3054">
        <w:trPr>
          <w:trHeight w:val="60"/>
        </w:trPr>
        <w:tc>
          <w:tcPr>
            <w:tcW w:w="7371" w:type="dxa"/>
          </w:tcPr>
          <w:p w14:paraId="697D1F83" w14:textId="77777777" w:rsidR="003C1B11" w:rsidRDefault="003C1B11" w:rsidP="00FC3054">
            <w:pPr>
              <w:pStyle w:val="TableText"/>
            </w:pPr>
            <w:r>
              <w:t>Net Transfers out</w:t>
            </w:r>
          </w:p>
        </w:tc>
        <w:tc>
          <w:tcPr>
            <w:tcW w:w="1701" w:type="dxa"/>
          </w:tcPr>
          <w:p w14:paraId="002EDBBB" w14:textId="77777777" w:rsidR="003C1B11" w:rsidRDefault="003C1B11" w:rsidP="00AB5289">
            <w:pPr>
              <w:pStyle w:val="TableTextRight"/>
            </w:pPr>
          </w:p>
        </w:tc>
        <w:tc>
          <w:tcPr>
            <w:tcW w:w="1701" w:type="dxa"/>
          </w:tcPr>
          <w:p w14:paraId="20B04112" w14:textId="77777777" w:rsidR="003C1B11" w:rsidRDefault="003C1B11" w:rsidP="00AB5289">
            <w:pPr>
              <w:pStyle w:val="TableTextRight"/>
            </w:pPr>
          </w:p>
        </w:tc>
        <w:tc>
          <w:tcPr>
            <w:tcW w:w="1701" w:type="dxa"/>
          </w:tcPr>
          <w:p w14:paraId="24BD027E" w14:textId="77777777" w:rsidR="003C1B11" w:rsidRDefault="003C1B11" w:rsidP="00AB5289">
            <w:pPr>
              <w:pStyle w:val="TableTextRight"/>
            </w:pPr>
          </w:p>
        </w:tc>
        <w:tc>
          <w:tcPr>
            <w:tcW w:w="1701" w:type="dxa"/>
          </w:tcPr>
          <w:p w14:paraId="0215716C" w14:textId="77777777" w:rsidR="003C1B11" w:rsidRDefault="003C1B11" w:rsidP="00AB5289">
            <w:pPr>
              <w:pStyle w:val="TableTextRight"/>
            </w:pPr>
            <w:r>
              <w:t>7,000,000</w:t>
            </w:r>
          </w:p>
        </w:tc>
        <w:tc>
          <w:tcPr>
            <w:tcW w:w="1701" w:type="dxa"/>
          </w:tcPr>
          <w:p w14:paraId="0BACE0F4" w14:textId="77777777" w:rsidR="003C1B11" w:rsidRDefault="003C1B11" w:rsidP="00AB5289">
            <w:pPr>
              <w:pStyle w:val="TableTextRight"/>
            </w:pPr>
          </w:p>
        </w:tc>
        <w:tc>
          <w:tcPr>
            <w:tcW w:w="1701" w:type="dxa"/>
          </w:tcPr>
          <w:p w14:paraId="023EA446" w14:textId="77777777" w:rsidR="003C1B11" w:rsidRDefault="003C1B11" w:rsidP="00AB5289">
            <w:pPr>
              <w:pStyle w:val="TableTextRight"/>
            </w:pPr>
          </w:p>
        </w:tc>
        <w:tc>
          <w:tcPr>
            <w:tcW w:w="1701" w:type="dxa"/>
          </w:tcPr>
          <w:p w14:paraId="3830BB4E" w14:textId="77777777" w:rsidR="003C1B11" w:rsidRDefault="003C1B11" w:rsidP="00AB5289">
            <w:pPr>
              <w:pStyle w:val="TableTextRight"/>
            </w:pPr>
            <w:r>
              <w:t>12,000,000</w:t>
            </w:r>
          </w:p>
        </w:tc>
        <w:tc>
          <w:tcPr>
            <w:tcW w:w="1701" w:type="dxa"/>
          </w:tcPr>
          <w:p w14:paraId="408E7E87" w14:textId="77777777" w:rsidR="003C1B11" w:rsidRDefault="003C1B11" w:rsidP="00AB5289">
            <w:pPr>
              <w:pStyle w:val="TableTextRight"/>
            </w:pPr>
            <w:r>
              <w:t>19,000,000</w:t>
            </w:r>
          </w:p>
        </w:tc>
      </w:tr>
      <w:tr w:rsidR="003C1B11" w14:paraId="6A8B49C1" w14:textId="77777777" w:rsidTr="00FC3054">
        <w:trPr>
          <w:trHeight w:val="60"/>
        </w:trPr>
        <w:tc>
          <w:tcPr>
            <w:tcW w:w="7371" w:type="dxa"/>
          </w:tcPr>
          <w:p w14:paraId="410F846F" w14:textId="77777777" w:rsidR="003C1B11" w:rsidRDefault="003C1B11" w:rsidP="00FC3054">
            <w:pPr>
              <w:pStyle w:val="TableText"/>
            </w:pPr>
            <w:r>
              <w:t>Outsourced contracted costs</w:t>
            </w:r>
          </w:p>
        </w:tc>
        <w:tc>
          <w:tcPr>
            <w:tcW w:w="1701" w:type="dxa"/>
          </w:tcPr>
          <w:p w14:paraId="0B5867A0" w14:textId="77777777" w:rsidR="003C1B11" w:rsidRDefault="003C1B11" w:rsidP="00AB5289">
            <w:pPr>
              <w:pStyle w:val="TableTextRight"/>
            </w:pPr>
          </w:p>
        </w:tc>
        <w:tc>
          <w:tcPr>
            <w:tcW w:w="1701" w:type="dxa"/>
          </w:tcPr>
          <w:p w14:paraId="598C1BAC" w14:textId="77777777" w:rsidR="003C1B11" w:rsidRDefault="003C1B11" w:rsidP="00AB5289">
            <w:pPr>
              <w:pStyle w:val="TableTextRight"/>
            </w:pPr>
          </w:p>
        </w:tc>
        <w:tc>
          <w:tcPr>
            <w:tcW w:w="1701" w:type="dxa"/>
          </w:tcPr>
          <w:p w14:paraId="6F0E7850" w14:textId="77777777" w:rsidR="003C1B11" w:rsidRDefault="003C1B11" w:rsidP="00AB5289">
            <w:pPr>
              <w:pStyle w:val="TableTextRight"/>
            </w:pPr>
          </w:p>
        </w:tc>
        <w:tc>
          <w:tcPr>
            <w:tcW w:w="1701" w:type="dxa"/>
          </w:tcPr>
          <w:p w14:paraId="192A854F" w14:textId="77777777" w:rsidR="003C1B11" w:rsidRDefault="003C1B11" w:rsidP="00AB5289">
            <w:pPr>
              <w:pStyle w:val="TableTextRight"/>
            </w:pPr>
            <w:r>
              <w:t>5,797,892</w:t>
            </w:r>
          </w:p>
        </w:tc>
        <w:tc>
          <w:tcPr>
            <w:tcW w:w="1701" w:type="dxa"/>
          </w:tcPr>
          <w:p w14:paraId="0F48DEED" w14:textId="77777777" w:rsidR="003C1B11" w:rsidRDefault="003C1B11" w:rsidP="00AB5289">
            <w:pPr>
              <w:pStyle w:val="TableTextRight"/>
            </w:pPr>
          </w:p>
        </w:tc>
        <w:tc>
          <w:tcPr>
            <w:tcW w:w="1701" w:type="dxa"/>
          </w:tcPr>
          <w:p w14:paraId="799CD88D" w14:textId="77777777" w:rsidR="003C1B11" w:rsidRDefault="003C1B11" w:rsidP="00AB5289">
            <w:pPr>
              <w:pStyle w:val="TableTextRight"/>
            </w:pPr>
          </w:p>
        </w:tc>
        <w:tc>
          <w:tcPr>
            <w:tcW w:w="1701" w:type="dxa"/>
          </w:tcPr>
          <w:p w14:paraId="112C8ABE" w14:textId="77777777" w:rsidR="003C1B11" w:rsidRDefault="003C1B11" w:rsidP="00AB5289">
            <w:pPr>
              <w:pStyle w:val="TableTextRight"/>
            </w:pPr>
          </w:p>
        </w:tc>
        <w:tc>
          <w:tcPr>
            <w:tcW w:w="1701" w:type="dxa"/>
          </w:tcPr>
          <w:p w14:paraId="74D355B0" w14:textId="77777777" w:rsidR="003C1B11" w:rsidRDefault="003C1B11" w:rsidP="00AB5289">
            <w:pPr>
              <w:pStyle w:val="TableTextRight"/>
            </w:pPr>
            <w:r>
              <w:t>5,797,892</w:t>
            </w:r>
          </w:p>
        </w:tc>
      </w:tr>
      <w:tr w:rsidR="003C1B11" w14:paraId="44072A4F" w14:textId="77777777" w:rsidTr="003C1B11">
        <w:trPr>
          <w:trHeight w:val="60"/>
        </w:trPr>
        <w:tc>
          <w:tcPr>
            <w:tcW w:w="7371" w:type="dxa"/>
            <w:shd w:val="clear" w:color="auto" w:fill="CCE3F5"/>
          </w:tcPr>
          <w:p w14:paraId="7C9964E0" w14:textId="77777777" w:rsidR="003C1B11" w:rsidRDefault="003C1B11" w:rsidP="00FC3054">
            <w:pPr>
              <w:pStyle w:val="TableTextBold"/>
            </w:pPr>
            <w:r>
              <w:t>Total CAV Trust Funds Expenditure</w:t>
            </w:r>
          </w:p>
        </w:tc>
        <w:tc>
          <w:tcPr>
            <w:tcW w:w="1701" w:type="dxa"/>
            <w:shd w:val="clear" w:color="auto" w:fill="CCE3F5"/>
          </w:tcPr>
          <w:p w14:paraId="23BFD791" w14:textId="77777777" w:rsidR="003C1B11" w:rsidRDefault="003C1B11" w:rsidP="00FC3054">
            <w:pPr>
              <w:pStyle w:val="TableTextRightBold"/>
            </w:pPr>
            <w:r>
              <w:t>1,265,992</w:t>
            </w:r>
          </w:p>
        </w:tc>
        <w:tc>
          <w:tcPr>
            <w:tcW w:w="1701" w:type="dxa"/>
            <w:shd w:val="clear" w:color="auto" w:fill="CCE3F5"/>
          </w:tcPr>
          <w:p w14:paraId="11BDA8A0" w14:textId="77777777" w:rsidR="003C1B11" w:rsidRDefault="003C1B11" w:rsidP="00FC3054">
            <w:pPr>
              <w:pStyle w:val="TableTextRightBold"/>
            </w:pPr>
            <w:r>
              <w:t>18,504,799</w:t>
            </w:r>
          </w:p>
        </w:tc>
        <w:tc>
          <w:tcPr>
            <w:tcW w:w="1701" w:type="dxa"/>
            <w:shd w:val="clear" w:color="auto" w:fill="CCE3F5"/>
          </w:tcPr>
          <w:p w14:paraId="33FAB886" w14:textId="77777777" w:rsidR="003C1B11" w:rsidRDefault="003C1B11" w:rsidP="00FC3054">
            <w:pPr>
              <w:pStyle w:val="TableTextRightBold"/>
            </w:pPr>
            <w:r>
              <w:t>1,983,369</w:t>
            </w:r>
          </w:p>
        </w:tc>
        <w:tc>
          <w:tcPr>
            <w:tcW w:w="1701" w:type="dxa"/>
            <w:shd w:val="clear" w:color="auto" w:fill="CCE3F5"/>
          </w:tcPr>
          <w:p w14:paraId="3485C193" w14:textId="77777777" w:rsidR="003C1B11" w:rsidRDefault="003C1B11" w:rsidP="00FC3054">
            <w:pPr>
              <w:pStyle w:val="TableTextRightBold"/>
            </w:pPr>
            <w:r>
              <w:t>45,511,425</w:t>
            </w:r>
          </w:p>
        </w:tc>
        <w:tc>
          <w:tcPr>
            <w:tcW w:w="1701" w:type="dxa"/>
            <w:shd w:val="clear" w:color="auto" w:fill="CCE3F5"/>
          </w:tcPr>
          <w:p w14:paraId="0A5FF687" w14:textId="77777777" w:rsidR="003C1B11" w:rsidRDefault="003C1B11" w:rsidP="00FC3054">
            <w:pPr>
              <w:pStyle w:val="TableTextRightBold"/>
            </w:pPr>
            <w:r>
              <w:t>33,428,788</w:t>
            </w:r>
          </w:p>
        </w:tc>
        <w:tc>
          <w:tcPr>
            <w:tcW w:w="1701" w:type="dxa"/>
            <w:shd w:val="clear" w:color="auto" w:fill="CCE3F5"/>
          </w:tcPr>
          <w:p w14:paraId="1E814F85" w14:textId="77777777" w:rsidR="003C1B11" w:rsidRDefault="003C1B11" w:rsidP="00FC3054">
            <w:pPr>
              <w:pStyle w:val="TableTextRightBold"/>
            </w:pPr>
            <w:r>
              <w:t>1,920,043</w:t>
            </w:r>
          </w:p>
        </w:tc>
        <w:tc>
          <w:tcPr>
            <w:tcW w:w="1701" w:type="dxa"/>
            <w:shd w:val="clear" w:color="auto" w:fill="CCE3F5"/>
          </w:tcPr>
          <w:p w14:paraId="61D456D0" w14:textId="77777777" w:rsidR="003C1B11" w:rsidRDefault="003C1B11" w:rsidP="00FC3054">
            <w:pPr>
              <w:pStyle w:val="TableTextRightBold"/>
            </w:pPr>
            <w:r>
              <w:t>45,075,138</w:t>
            </w:r>
          </w:p>
        </w:tc>
        <w:tc>
          <w:tcPr>
            <w:tcW w:w="1701" w:type="dxa"/>
            <w:shd w:val="clear" w:color="auto" w:fill="CCE3F5"/>
          </w:tcPr>
          <w:p w14:paraId="2A135DEE" w14:textId="77777777" w:rsidR="003C1B11" w:rsidRDefault="003C1B11" w:rsidP="00FC3054">
            <w:pPr>
              <w:pStyle w:val="TableTextRightBold"/>
            </w:pPr>
            <w:r>
              <w:t>147,689,554</w:t>
            </w:r>
          </w:p>
        </w:tc>
      </w:tr>
      <w:tr w:rsidR="003C1B11" w14:paraId="200EB88D" w14:textId="77777777" w:rsidTr="00FC3054">
        <w:trPr>
          <w:trHeight w:val="60"/>
        </w:trPr>
        <w:tc>
          <w:tcPr>
            <w:tcW w:w="7371" w:type="dxa"/>
          </w:tcPr>
          <w:p w14:paraId="61EEF10A" w14:textId="77777777" w:rsidR="003C1B11" w:rsidRDefault="003C1B11" w:rsidP="00FC3054">
            <w:pPr>
              <w:pStyle w:val="TableTextBold"/>
            </w:pPr>
            <w:r>
              <w:t>Trust Funds, opening equity 1 July 2021</w:t>
            </w:r>
          </w:p>
        </w:tc>
        <w:tc>
          <w:tcPr>
            <w:tcW w:w="1701" w:type="dxa"/>
          </w:tcPr>
          <w:p w14:paraId="26A1EC65" w14:textId="77777777" w:rsidR="003C1B11" w:rsidRDefault="003C1B11" w:rsidP="00FC3054">
            <w:pPr>
              <w:pStyle w:val="TableTextRightBold"/>
            </w:pPr>
            <w:r>
              <w:t>4,667,598</w:t>
            </w:r>
          </w:p>
        </w:tc>
        <w:tc>
          <w:tcPr>
            <w:tcW w:w="1701" w:type="dxa"/>
          </w:tcPr>
          <w:p w14:paraId="2CF6976A" w14:textId="77777777" w:rsidR="003C1B11" w:rsidRDefault="003C1B11" w:rsidP="00FC3054">
            <w:pPr>
              <w:pStyle w:val="TableTextRightBold"/>
            </w:pPr>
            <w:r>
              <w:t>29,566,729</w:t>
            </w:r>
          </w:p>
        </w:tc>
        <w:tc>
          <w:tcPr>
            <w:tcW w:w="1701" w:type="dxa"/>
          </w:tcPr>
          <w:p w14:paraId="0B1B843E" w14:textId="77777777" w:rsidR="003C1B11" w:rsidRDefault="003C1B11" w:rsidP="00FC3054">
            <w:pPr>
              <w:pStyle w:val="TableTextRightBold"/>
            </w:pPr>
            <w:r>
              <w:t>6,169,499</w:t>
            </w:r>
          </w:p>
        </w:tc>
        <w:tc>
          <w:tcPr>
            <w:tcW w:w="1701" w:type="dxa"/>
          </w:tcPr>
          <w:p w14:paraId="39AD03FC" w14:textId="77777777" w:rsidR="003C1B11" w:rsidRDefault="003C1B11" w:rsidP="00FC3054">
            <w:pPr>
              <w:pStyle w:val="TableTextRightBold"/>
            </w:pPr>
            <w:r>
              <w:t>61,475,833</w:t>
            </w:r>
          </w:p>
        </w:tc>
        <w:tc>
          <w:tcPr>
            <w:tcW w:w="1701" w:type="dxa"/>
          </w:tcPr>
          <w:p w14:paraId="3D7E9CA2" w14:textId="77777777" w:rsidR="003C1B11" w:rsidRDefault="003C1B11" w:rsidP="00FC3054">
            <w:pPr>
              <w:pStyle w:val="TableTextRightBold"/>
            </w:pPr>
            <w:r>
              <w:t>38,507,142</w:t>
            </w:r>
          </w:p>
        </w:tc>
        <w:tc>
          <w:tcPr>
            <w:tcW w:w="1701" w:type="dxa"/>
          </w:tcPr>
          <w:p w14:paraId="3D4BD4A2" w14:textId="77777777" w:rsidR="003C1B11" w:rsidRDefault="003C1B11" w:rsidP="00FC3054">
            <w:pPr>
              <w:pStyle w:val="TableTextRightBold"/>
            </w:pPr>
            <w:r>
              <w:t>513,185</w:t>
            </w:r>
          </w:p>
        </w:tc>
        <w:tc>
          <w:tcPr>
            <w:tcW w:w="1701" w:type="dxa"/>
          </w:tcPr>
          <w:p w14:paraId="21292644" w14:textId="77777777" w:rsidR="003C1B11" w:rsidRDefault="003C1B11" w:rsidP="00FC3054">
            <w:pPr>
              <w:pStyle w:val="TableTextRightBold"/>
            </w:pPr>
            <w:r>
              <w:t>152,851,750</w:t>
            </w:r>
          </w:p>
        </w:tc>
        <w:tc>
          <w:tcPr>
            <w:tcW w:w="1701" w:type="dxa"/>
          </w:tcPr>
          <w:p w14:paraId="42ADC942" w14:textId="77777777" w:rsidR="003C1B11" w:rsidRDefault="003C1B11" w:rsidP="00FC3054">
            <w:pPr>
              <w:pStyle w:val="TableTextRightBold"/>
            </w:pPr>
            <w:r>
              <w:t>293,751,736</w:t>
            </w:r>
          </w:p>
        </w:tc>
      </w:tr>
      <w:tr w:rsidR="003C1B11" w14:paraId="1E3AF3B8" w14:textId="77777777" w:rsidTr="00FC3054">
        <w:trPr>
          <w:trHeight w:val="60"/>
        </w:trPr>
        <w:tc>
          <w:tcPr>
            <w:tcW w:w="7371" w:type="dxa"/>
          </w:tcPr>
          <w:p w14:paraId="6FCACF50" w14:textId="77777777" w:rsidR="003C1B11" w:rsidRDefault="003C1B11" w:rsidP="00FC3054">
            <w:pPr>
              <w:pStyle w:val="TableText"/>
            </w:pPr>
            <w:r>
              <w:t>Current year operating surplus/(deficit)</w:t>
            </w:r>
          </w:p>
        </w:tc>
        <w:tc>
          <w:tcPr>
            <w:tcW w:w="1701" w:type="dxa"/>
          </w:tcPr>
          <w:p w14:paraId="528024F3" w14:textId="77777777" w:rsidR="003C1B11" w:rsidRDefault="003C1B11" w:rsidP="00FC3054">
            <w:pPr>
              <w:pStyle w:val="TableTextRight"/>
            </w:pPr>
            <w:r>
              <w:t>(932,404)</w:t>
            </w:r>
          </w:p>
        </w:tc>
        <w:tc>
          <w:tcPr>
            <w:tcW w:w="1701" w:type="dxa"/>
          </w:tcPr>
          <w:p w14:paraId="191665E8" w14:textId="77777777" w:rsidR="003C1B11" w:rsidRDefault="003C1B11" w:rsidP="00FC3054">
            <w:pPr>
              <w:pStyle w:val="TableTextRight"/>
            </w:pPr>
            <w:r>
              <w:t>1,635,079</w:t>
            </w:r>
          </w:p>
        </w:tc>
        <w:tc>
          <w:tcPr>
            <w:tcW w:w="1701" w:type="dxa"/>
          </w:tcPr>
          <w:p w14:paraId="0B5030C7" w14:textId="77777777" w:rsidR="003C1B11" w:rsidRDefault="003C1B11" w:rsidP="00FC3054">
            <w:pPr>
              <w:pStyle w:val="TableTextRight"/>
            </w:pPr>
            <w:r>
              <w:t>1,770,434</w:t>
            </w:r>
          </w:p>
        </w:tc>
        <w:tc>
          <w:tcPr>
            <w:tcW w:w="1701" w:type="dxa"/>
          </w:tcPr>
          <w:p w14:paraId="1E6BFE50" w14:textId="77777777" w:rsidR="003C1B11" w:rsidRDefault="003C1B11" w:rsidP="00FC3054">
            <w:pPr>
              <w:pStyle w:val="TableTextRight"/>
            </w:pPr>
            <w:r>
              <w:t>(18,825,614)</w:t>
            </w:r>
          </w:p>
        </w:tc>
        <w:tc>
          <w:tcPr>
            <w:tcW w:w="1701" w:type="dxa"/>
          </w:tcPr>
          <w:p w14:paraId="3008097F" w14:textId="77777777" w:rsidR="003C1B11" w:rsidRDefault="003C1B11" w:rsidP="00FC3054">
            <w:pPr>
              <w:pStyle w:val="TableTextRight"/>
            </w:pPr>
            <w:r>
              <w:t>(10,746,599)</w:t>
            </w:r>
          </w:p>
        </w:tc>
        <w:tc>
          <w:tcPr>
            <w:tcW w:w="1701" w:type="dxa"/>
          </w:tcPr>
          <w:p w14:paraId="3F611D16" w14:textId="77777777" w:rsidR="003C1B11" w:rsidRDefault="003C1B11" w:rsidP="00FC3054">
            <w:pPr>
              <w:pStyle w:val="TableTextRight"/>
            </w:pPr>
            <w:r>
              <w:t>(162,625)</w:t>
            </w:r>
          </w:p>
        </w:tc>
        <w:tc>
          <w:tcPr>
            <w:tcW w:w="1701" w:type="dxa"/>
          </w:tcPr>
          <w:p w14:paraId="0BA5A791" w14:textId="77777777" w:rsidR="003C1B11" w:rsidRDefault="003C1B11" w:rsidP="00FC3054">
            <w:pPr>
              <w:pStyle w:val="TableTextRight"/>
            </w:pPr>
            <w:r>
              <w:t>(27,909,343)</w:t>
            </w:r>
          </w:p>
        </w:tc>
        <w:tc>
          <w:tcPr>
            <w:tcW w:w="1701" w:type="dxa"/>
          </w:tcPr>
          <w:p w14:paraId="6D1A1F98" w14:textId="77777777" w:rsidR="003C1B11" w:rsidRDefault="003C1B11" w:rsidP="00FC3054">
            <w:pPr>
              <w:pStyle w:val="TableTextRight"/>
            </w:pPr>
            <w:r>
              <w:t>(55,171,072)</w:t>
            </w:r>
          </w:p>
        </w:tc>
      </w:tr>
      <w:tr w:rsidR="003C1B11" w14:paraId="4C18BC46" w14:textId="77777777" w:rsidTr="00FC3054">
        <w:trPr>
          <w:trHeight w:val="60"/>
        </w:trPr>
        <w:tc>
          <w:tcPr>
            <w:tcW w:w="7371" w:type="dxa"/>
          </w:tcPr>
          <w:p w14:paraId="56A4AA17" w14:textId="77777777" w:rsidR="003C1B11" w:rsidRDefault="003C1B11" w:rsidP="00FC3054">
            <w:pPr>
              <w:pStyle w:val="TableTextBold"/>
            </w:pPr>
            <w:r>
              <w:t>Trust Funds, closing equity 30 June 2022</w:t>
            </w:r>
          </w:p>
        </w:tc>
        <w:tc>
          <w:tcPr>
            <w:tcW w:w="1701" w:type="dxa"/>
          </w:tcPr>
          <w:p w14:paraId="061E22CE" w14:textId="77777777" w:rsidR="003C1B11" w:rsidRDefault="003C1B11" w:rsidP="00FC3054">
            <w:pPr>
              <w:pStyle w:val="TableTextRightBold"/>
            </w:pPr>
            <w:r>
              <w:t>3,735,194</w:t>
            </w:r>
          </w:p>
        </w:tc>
        <w:tc>
          <w:tcPr>
            <w:tcW w:w="1701" w:type="dxa"/>
          </w:tcPr>
          <w:p w14:paraId="4D29E245" w14:textId="77777777" w:rsidR="003C1B11" w:rsidRDefault="003C1B11" w:rsidP="00FC3054">
            <w:pPr>
              <w:pStyle w:val="TableTextRightBold"/>
            </w:pPr>
            <w:r>
              <w:t>31,201,808</w:t>
            </w:r>
          </w:p>
        </w:tc>
        <w:tc>
          <w:tcPr>
            <w:tcW w:w="1701" w:type="dxa"/>
          </w:tcPr>
          <w:p w14:paraId="5ADA5C10" w14:textId="77777777" w:rsidR="003C1B11" w:rsidRDefault="003C1B11" w:rsidP="00FC3054">
            <w:pPr>
              <w:pStyle w:val="TableTextRightBold"/>
            </w:pPr>
            <w:r>
              <w:t>7,939,933</w:t>
            </w:r>
          </w:p>
        </w:tc>
        <w:tc>
          <w:tcPr>
            <w:tcW w:w="1701" w:type="dxa"/>
          </w:tcPr>
          <w:p w14:paraId="060ABA57" w14:textId="77777777" w:rsidR="003C1B11" w:rsidRDefault="003C1B11" w:rsidP="00FC3054">
            <w:pPr>
              <w:pStyle w:val="TableTextRightBold"/>
            </w:pPr>
            <w:r>
              <w:t>42,650,219</w:t>
            </w:r>
          </w:p>
        </w:tc>
        <w:tc>
          <w:tcPr>
            <w:tcW w:w="1701" w:type="dxa"/>
          </w:tcPr>
          <w:p w14:paraId="649B5DFD" w14:textId="77777777" w:rsidR="003C1B11" w:rsidRDefault="003C1B11" w:rsidP="00FC3054">
            <w:pPr>
              <w:pStyle w:val="TableTextRightBold"/>
            </w:pPr>
            <w:r>
              <w:t>27,760,543</w:t>
            </w:r>
          </w:p>
        </w:tc>
        <w:tc>
          <w:tcPr>
            <w:tcW w:w="1701" w:type="dxa"/>
          </w:tcPr>
          <w:p w14:paraId="3771B091" w14:textId="77777777" w:rsidR="003C1B11" w:rsidRDefault="003C1B11" w:rsidP="00FC3054">
            <w:pPr>
              <w:pStyle w:val="TableTextRightBold"/>
            </w:pPr>
            <w:r>
              <w:t>350,560</w:t>
            </w:r>
          </w:p>
        </w:tc>
        <w:tc>
          <w:tcPr>
            <w:tcW w:w="1701" w:type="dxa"/>
          </w:tcPr>
          <w:p w14:paraId="1F8F759B" w14:textId="77777777" w:rsidR="003C1B11" w:rsidRDefault="003C1B11" w:rsidP="00FC3054">
            <w:pPr>
              <w:pStyle w:val="TableTextRightBold"/>
            </w:pPr>
            <w:r>
              <w:t>124,942,407</w:t>
            </w:r>
          </w:p>
        </w:tc>
        <w:tc>
          <w:tcPr>
            <w:tcW w:w="1701" w:type="dxa"/>
          </w:tcPr>
          <w:p w14:paraId="5D9F875C" w14:textId="77777777" w:rsidR="003C1B11" w:rsidRDefault="003C1B11" w:rsidP="00FC3054">
            <w:pPr>
              <w:pStyle w:val="TableTextRightBold"/>
            </w:pPr>
            <w:r>
              <w:t>238,580,664</w:t>
            </w:r>
          </w:p>
        </w:tc>
      </w:tr>
    </w:tbl>
    <w:p w14:paraId="6BFB99D3" w14:textId="77777777" w:rsidR="003C1B11" w:rsidRDefault="003C1B11" w:rsidP="003C1B11">
      <w:pPr>
        <w:pStyle w:val="FootnoteText"/>
      </w:pPr>
      <w:r>
        <w:t>Note that Consumer Affairs Victoria also receives funding through appropriations to perform its functions each year. Annual reporting against that expenditure is contained in the Department of Justice and Community Safety Annual Report.</w:t>
      </w:r>
    </w:p>
    <w:p w14:paraId="42284F22" w14:textId="7A150DEF" w:rsidR="003C1B11" w:rsidRDefault="003C1B11" w:rsidP="006F0C9B">
      <w:pPr>
        <w:pStyle w:val="FootnoteText"/>
      </w:pPr>
      <w:r>
        <w:t>Where a trust fund does not have sufficient funds to support the work relating to the administration of the relevant Act, we will sometimes supplement the trust fund with the necessary funding from appropriations.</w:t>
      </w:r>
    </w:p>
    <w:p w14:paraId="763A1A6F" w14:textId="77777777" w:rsidR="00F22B33" w:rsidRDefault="00F22B33" w:rsidP="00AE374E">
      <w:pPr>
        <w:pStyle w:val="Heading2"/>
        <w:sectPr w:rsidR="00F22B33" w:rsidSect="003C5B62">
          <w:footnotePr>
            <w:pos w:val="beneathText"/>
            <w:numRestart w:val="eachPage"/>
          </w:footnotePr>
          <w:pgSz w:w="23811" w:h="16838" w:orient="landscape" w:code="8"/>
          <w:pgMar w:top="1418" w:right="1418" w:bottom="1418" w:left="1134" w:header="510" w:footer="510" w:gutter="0"/>
          <w:cols w:space="708"/>
          <w:docGrid w:linePitch="360"/>
        </w:sectPr>
      </w:pPr>
    </w:p>
    <w:p w14:paraId="4515E048" w14:textId="34E96186" w:rsidR="009D153A" w:rsidRDefault="009D153A" w:rsidP="009D153A">
      <w:pPr>
        <w:pStyle w:val="Heading2"/>
      </w:pPr>
      <w:bookmarkStart w:id="21" w:name="_Toc122097074"/>
      <w:r>
        <w:lastRenderedPageBreak/>
        <w:t>Acts and regulations administered by CAV: passed, commenced, made and revoked in</w:t>
      </w:r>
      <w:r w:rsidR="007B1576">
        <w:t> </w:t>
      </w:r>
      <w:r>
        <w:t>2021–22</w:t>
      </w:r>
      <w:bookmarkEnd w:id="21"/>
    </w:p>
    <w:p w14:paraId="7349F2E9" w14:textId="77777777" w:rsidR="009D153A" w:rsidRDefault="009D153A" w:rsidP="009D153A">
      <w:pPr>
        <w:pStyle w:val="Heading3"/>
      </w:pPr>
      <w:bookmarkStart w:id="22" w:name="_Toc122097075"/>
      <w:r>
        <w:t>Acts passed</w:t>
      </w:r>
      <w:bookmarkEnd w:id="22"/>
    </w:p>
    <w:tbl>
      <w:tblPr>
        <w:tblStyle w:val="TableGrid"/>
        <w:tblW w:w="9072" w:type="dxa"/>
        <w:tblLayout w:type="fixed"/>
        <w:tblLook w:val="06A0" w:firstRow="1" w:lastRow="0" w:firstColumn="1" w:lastColumn="0" w:noHBand="1" w:noVBand="1"/>
      </w:tblPr>
      <w:tblGrid>
        <w:gridCol w:w="6917"/>
        <w:gridCol w:w="2155"/>
      </w:tblGrid>
      <w:tr w:rsidR="009D153A" w14:paraId="38F4196D" w14:textId="77777777" w:rsidTr="009D153A">
        <w:trPr>
          <w:cnfStyle w:val="100000000000" w:firstRow="1" w:lastRow="0" w:firstColumn="0" w:lastColumn="0" w:oddVBand="0" w:evenVBand="0" w:oddHBand="0" w:evenHBand="0" w:firstRowFirstColumn="0" w:firstRowLastColumn="0" w:lastRowFirstColumn="0" w:lastRowLastColumn="0"/>
          <w:trHeight w:val="68"/>
          <w:tblHeader/>
        </w:trPr>
        <w:tc>
          <w:tcPr>
            <w:tcW w:w="6917" w:type="dxa"/>
          </w:tcPr>
          <w:p w14:paraId="76F8BCCB" w14:textId="77777777" w:rsidR="009D153A" w:rsidRDefault="009D153A" w:rsidP="009D153A">
            <w:pPr>
              <w:pStyle w:val="TableColHead"/>
            </w:pPr>
            <w:r>
              <w:t>Name</w:t>
            </w:r>
          </w:p>
        </w:tc>
        <w:tc>
          <w:tcPr>
            <w:tcW w:w="2155" w:type="dxa"/>
          </w:tcPr>
          <w:p w14:paraId="3F6FA405" w14:textId="77777777" w:rsidR="009D153A" w:rsidRDefault="009D153A" w:rsidP="009D153A">
            <w:pPr>
              <w:pStyle w:val="TableColHead"/>
            </w:pPr>
            <w:r>
              <w:t>Date of Royal Assent</w:t>
            </w:r>
          </w:p>
        </w:tc>
      </w:tr>
      <w:tr w:rsidR="009D153A" w14:paraId="3D98C923" w14:textId="77777777" w:rsidTr="009D153A">
        <w:trPr>
          <w:trHeight w:val="68"/>
        </w:trPr>
        <w:tc>
          <w:tcPr>
            <w:tcW w:w="6917" w:type="dxa"/>
          </w:tcPr>
          <w:p w14:paraId="07803AA0" w14:textId="77777777" w:rsidR="009D153A" w:rsidRDefault="009D153A" w:rsidP="009D153A">
            <w:pPr>
              <w:pStyle w:val="TableText"/>
            </w:pPr>
            <w:r w:rsidRPr="00064C94">
              <w:rPr>
                <w:rStyle w:val="Emphasis"/>
              </w:rPr>
              <w:t>Sex Work Decriminalisation Act 2022</w:t>
            </w:r>
          </w:p>
        </w:tc>
        <w:tc>
          <w:tcPr>
            <w:tcW w:w="2155" w:type="dxa"/>
          </w:tcPr>
          <w:p w14:paraId="5D55BF4D" w14:textId="77777777" w:rsidR="009D153A" w:rsidRDefault="009D153A" w:rsidP="009D153A">
            <w:pPr>
              <w:pStyle w:val="TableText"/>
            </w:pPr>
            <w:r>
              <w:t>1 March 2022</w:t>
            </w:r>
          </w:p>
        </w:tc>
      </w:tr>
    </w:tbl>
    <w:p w14:paraId="2969073A" w14:textId="77777777" w:rsidR="009D153A" w:rsidRDefault="009D153A" w:rsidP="009D153A">
      <w:pPr>
        <w:pStyle w:val="Heading3"/>
      </w:pPr>
      <w:bookmarkStart w:id="23" w:name="_Toc122097076"/>
      <w:r>
        <w:t>Acts commenced</w:t>
      </w:r>
      <w:bookmarkEnd w:id="23"/>
    </w:p>
    <w:tbl>
      <w:tblPr>
        <w:tblStyle w:val="TableGrid"/>
        <w:tblW w:w="9072" w:type="dxa"/>
        <w:tblLayout w:type="fixed"/>
        <w:tblLook w:val="06A0" w:firstRow="1" w:lastRow="0" w:firstColumn="1" w:lastColumn="0" w:noHBand="1" w:noVBand="1"/>
      </w:tblPr>
      <w:tblGrid>
        <w:gridCol w:w="6917"/>
        <w:gridCol w:w="2155"/>
      </w:tblGrid>
      <w:tr w:rsidR="009D153A" w14:paraId="718662F2" w14:textId="77777777" w:rsidTr="009D153A">
        <w:trPr>
          <w:cnfStyle w:val="100000000000" w:firstRow="1" w:lastRow="0" w:firstColumn="0" w:lastColumn="0" w:oddVBand="0" w:evenVBand="0" w:oddHBand="0" w:evenHBand="0" w:firstRowFirstColumn="0" w:firstRowLastColumn="0" w:lastRowFirstColumn="0" w:lastRowLastColumn="0"/>
          <w:trHeight w:val="68"/>
          <w:tblHeader/>
        </w:trPr>
        <w:tc>
          <w:tcPr>
            <w:tcW w:w="6917" w:type="dxa"/>
          </w:tcPr>
          <w:p w14:paraId="3D4708CC" w14:textId="77777777" w:rsidR="009D153A" w:rsidRDefault="009D153A" w:rsidP="009D153A">
            <w:pPr>
              <w:pStyle w:val="TableColHead"/>
            </w:pPr>
            <w:r>
              <w:t>Name</w:t>
            </w:r>
          </w:p>
        </w:tc>
        <w:tc>
          <w:tcPr>
            <w:tcW w:w="2155" w:type="dxa"/>
          </w:tcPr>
          <w:p w14:paraId="692953F2" w14:textId="77777777" w:rsidR="009D153A" w:rsidRDefault="009D153A" w:rsidP="009D153A">
            <w:pPr>
              <w:pStyle w:val="TableColHead"/>
            </w:pPr>
            <w:r>
              <w:t>Date commenced</w:t>
            </w:r>
          </w:p>
        </w:tc>
      </w:tr>
      <w:tr w:rsidR="009D153A" w14:paraId="5BBB7CF4" w14:textId="77777777" w:rsidTr="009D153A">
        <w:trPr>
          <w:trHeight w:val="68"/>
        </w:trPr>
        <w:tc>
          <w:tcPr>
            <w:tcW w:w="6917" w:type="dxa"/>
          </w:tcPr>
          <w:p w14:paraId="4B8EDDAB" w14:textId="77777777" w:rsidR="009D153A" w:rsidRDefault="009D153A" w:rsidP="009D153A">
            <w:pPr>
              <w:pStyle w:val="TableText"/>
            </w:pPr>
            <w:r w:rsidRPr="00064C94">
              <w:rPr>
                <w:rStyle w:val="Emphasis"/>
              </w:rPr>
              <w:t>Professional Engineers Registration Act 2019</w:t>
            </w:r>
          </w:p>
        </w:tc>
        <w:tc>
          <w:tcPr>
            <w:tcW w:w="2155" w:type="dxa"/>
          </w:tcPr>
          <w:p w14:paraId="42DAB76C" w14:textId="77777777" w:rsidR="009D153A" w:rsidRDefault="009D153A" w:rsidP="009D153A">
            <w:pPr>
              <w:pStyle w:val="TableText"/>
            </w:pPr>
            <w:r>
              <w:t>1 July 2021</w:t>
            </w:r>
          </w:p>
        </w:tc>
      </w:tr>
      <w:tr w:rsidR="009D153A" w14:paraId="265CE4B6" w14:textId="77777777" w:rsidTr="009D153A">
        <w:trPr>
          <w:trHeight w:val="68"/>
        </w:trPr>
        <w:tc>
          <w:tcPr>
            <w:tcW w:w="6917" w:type="dxa"/>
          </w:tcPr>
          <w:p w14:paraId="42B58ADC" w14:textId="784F1197" w:rsidR="009D153A" w:rsidRDefault="009D153A" w:rsidP="009D153A">
            <w:pPr>
              <w:pStyle w:val="TableText"/>
            </w:pPr>
            <w:r w:rsidRPr="00064C94">
              <w:rPr>
                <w:rStyle w:val="Emphasis"/>
              </w:rPr>
              <w:t>Owners Corporations and Other Acts Amendment Act 2021</w:t>
            </w:r>
          </w:p>
        </w:tc>
        <w:tc>
          <w:tcPr>
            <w:tcW w:w="2155" w:type="dxa"/>
          </w:tcPr>
          <w:p w14:paraId="499CFB2E" w14:textId="77777777" w:rsidR="009D153A" w:rsidRDefault="009D153A" w:rsidP="009D153A">
            <w:pPr>
              <w:pStyle w:val="TableText"/>
            </w:pPr>
            <w:r>
              <w:t>1 December 2021</w:t>
            </w:r>
          </w:p>
        </w:tc>
      </w:tr>
      <w:tr w:rsidR="009D153A" w14:paraId="119E0F6E" w14:textId="77777777" w:rsidTr="009D153A">
        <w:trPr>
          <w:trHeight w:val="68"/>
        </w:trPr>
        <w:tc>
          <w:tcPr>
            <w:tcW w:w="6917" w:type="dxa"/>
          </w:tcPr>
          <w:p w14:paraId="54BEDB27" w14:textId="77777777" w:rsidR="009D153A" w:rsidRDefault="009D153A" w:rsidP="009D153A">
            <w:pPr>
              <w:pStyle w:val="TableText"/>
            </w:pPr>
            <w:r w:rsidRPr="00064C94">
              <w:rPr>
                <w:rStyle w:val="Emphasis"/>
              </w:rPr>
              <w:t>Sex Work Decriminalisation Act 2022</w:t>
            </w:r>
          </w:p>
        </w:tc>
        <w:tc>
          <w:tcPr>
            <w:tcW w:w="2155" w:type="dxa"/>
          </w:tcPr>
          <w:p w14:paraId="38EA5A7C" w14:textId="77777777" w:rsidR="009D153A" w:rsidRDefault="009D153A" w:rsidP="009D153A">
            <w:pPr>
              <w:pStyle w:val="TableText"/>
            </w:pPr>
            <w:r>
              <w:t>10 March 2022</w:t>
            </w:r>
          </w:p>
        </w:tc>
      </w:tr>
    </w:tbl>
    <w:p w14:paraId="77C2B444" w14:textId="77777777" w:rsidR="009D153A" w:rsidRDefault="009D153A" w:rsidP="009D153A">
      <w:pPr>
        <w:pStyle w:val="Heading3"/>
      </w:pPr>
      <w:bookmarkStart w:id="24" w:name="_Toc122097077"/>
      <w:r>
        <w:t>Acts revoked</w:t>
      </w:r>
      <w:bookmarkEnd w:id="24"/>
    </w:p>
    <w:tbl>
      <w:tblPr>
        <w:tblStyle w:val="TableGrid"/>
        <w:tblW w:w="9072" w:type="dxa"/>
        <w:tblLayout w:type="fixed"/>
        <w:tblLook w:val="06A0" w:firstRow="1" w:lastRow="0" w:firstColumn="1" w:lastColumn="0" w:noHBand="1" w:noVBand="1"/>
      </w:tblPr>
      <w:tblGrid>
        <w:gridCol w:w="6917"/>
        <w:gridCol w:w="2155"/>
      </w:tblGrid>
      <w:tr w:rsidR="009D153A" w14:paraId="6F24780B" w14:textId="77777777" w:rsidTr="009D153A">
        <w:trPr>
          <w:cnfStyle w:val="100000000000" w:firstRow="1" w:lastRow="0" w:firstColumn="0" w:lastColumn="0" w:oddVBand="0" w:evenVBand="0" w:oddHBand="0" w:evenHBand="0" w:firstRowFirstColumn="0" w:firstRowLastColumn="0" w:lastRowFirstColumn="0" w:lastRowLastColumn="0"/>
          <w:trHeight w:val="68"/>
          <w:tblHeader/>
        </w:trPr>
        <w:tc>
          <w:tcPr>
            <w:tcW w:w="6917" w:type="dxa"/>
          </w:tcPr>
          <w:p w14:paraId="038A9595" w14:textId="77777777" w:rsidR="009D153A" w:rsidRDefault="009D153A" w:rsidP="009D153A">
            <w:pPr>
              <w:pStyle w:val="TableColHead"/>
            </w:pPr>
            <w:r>
              <w:t>Name</w:t>
            </w:r>
          </w:p>
        </w:tc>
        <w:tc>
          <w:tcPr>
            <w:tcW w:w="2155" w:type="dxa"/>
          </w:tcPr>
          <w:p w14:paraId="769938C9" w14:textId="77777777" w:rsidR="009D153A" w:rsidRDefault="009D153A" w:rsidP="009D153A">
            <w:pPr>
              <w:pStyle w:val="TableColHead"/>
            </w:pPr>
            <w:r>
              <w:t>Date revoked</w:t>
            </w:r>
          </w:p>
        </w:tc>
      </w:tr>
      <w:tr w:rsidR="009D153A" w14:paraId="134D69D1" w14:textId="77777777" w:rsidTr="009D153A">
        <w:trPr>
          <w:trHeight w:val="68"/>
        </w:trPr>
        <w:tc>
          <w:tcPr>
            <w:tcW w:w="6917" w:type="dxa"/>
          </w:tcPr>
          <w:p w14:paraId="651E35F4" w14:textId="4B1E93DF" w:rsidR="009D153A" w:rsidRPr="00CA292C" w:rsidRDefault="00CA292C" w:rsidP="009D153A">
            <w:pPr>
              <w:pStyle w:val="TableText"/>
              <w:rPr>
                <w:rStyle w:val="Emphasis"/>
              </w:rPr>
            </w:pPr>
            <w:r w:rsidRPr="00CA292C">
              <w:rPr>
                <w:rStyle w:val="Emphasis"/>
              </w:rPr>
              <w:t xml:space="preserve">COVID-19 Omnibus (Emergency </w:t>
            </w:r>
            <w:r w:rsidR="000C7BFD">
              <w:rPr>
                <w:rStyle w:val="Emphasis"/>
              </w:rPr>
              <w:t>M</w:t>
            </w:r>
            <w:r w:rsidRPr="00CA292C">
              <w:rPr>
                <w:rStyle w:val="Emphasis"/>
              </w:rPr>
              <w:t>easures) Act 2020</w:t>
            </w:r>
          </w:p>
        </w:tc>
        <w:tc>
          <w:tcPr>
            <w:tcW w:w="2155" w:type="dxa"/>
          </w:tcPr>
          <w:p w14:paraId="5308CA80" w14:textId="77777777" w:rsidR="009D153A" w:rsidRDefault="009D153A" w:rsidP="009D153A">
            <w:pPr>
              <w:pStyle w:val="TableText"/>
            </w:pPr>
            <w:r>
              <w:t>26 April 2022</w:t>
            </w:r>
          </w:p>
        </w:tc>
      </w:tr>
    </w:tbl>
    <w:p w14:paraId="1BE13E2F" w14:textId="77777777" w:rsidR="009D153A" w:rsidRDefault="009D153A" w:rsidP="009D153A">
      <w:pPr>
        <w:pStyle w:val="Heading3"/>
      </w:pPr>
      <w:bookmarkStart w:id="25" w:name="_Toc122097078"/>
      <w:r>
        <w:t>Regulations made</w:t>
      </w:r>
      <w:bookmarkEnd w:id="25"/>
    </w:p>
    <w:tbl>
      <w:tblPr>
        <w:tblStyle w:val="TableGrid"/>
        <w:tblW w:w="9072" w:type="dxa"/>
        <w:tblLayout w:type="fixed"/>
        <w:tblLook w:val="06A0" w:firstRow="1" w:lastRow="0" w:firstColumn="1" w:lastColumn="0" w:noHBand="1" w:noVBand="1"/>
      </w:tblPr>
      <w:tblGrid>
        <w:gridCol w:w="6917"/>
        <w:gridCol w:w="2155"/>
      </w:tblGrid>
      <w:tr w:rsidR="009D153A" w14:paraId="784B3D24" w14:textId="77777777" w:rsidTr="009D153A">
        <w:trPr>
          <w:cnfStyle w:val="100000000000" w:firstRow="1" w:lastRow="0" w:firstColumn="0" w:lastColumn="0" w:oddVBand="0" w:evenVBand="0" w:oddHBand="0" w:evenHBand="0" w:firstRowFirstColumn="0" w:firstRowLastColumn="0" w:lastRowFirstColumn="0" w:lastRowLastColumn="0"/>
          <w:trHeight w:val="68"/>
          <w:tblHeader/>
        </w:trPr>
        <w:tc>
          <w:tcPr>
            <w:tcW w:w="6917" w:type="dxa"/>
          </w:tcPr>
          <w:p w14:paraId="2B1B60F3" w14:textId="77777777" w:rsidR="009D153A" w:rsidRDefault="009D153A" w:rsidP="009D153A">
            <w:pPr>
              <w:pStyle w:val="TableColHead"/>
            </w:pPr>
            <w:r>
              <w:t>Name</w:t>
            </w:r>
          </w:p>
        </w:tc>
        <w:tc>
          <w:tcPr>
            <w:tcW w:w="2155" w:type="dxa"/>
          </w:tcPr>
          <w:p w14:paraId="546315E1" w14:textId="77777777" w:rsidR="009D153A" w:rsidRDefault="009D153A" w:rsidP="009D153A">
            <w:pPr>
              <w:pStyle w:val="TableColHead"/>
            </w:pPr>
            <w:r>
              <w:t>Date made</w:t>
            </w:r>
          </w:p>
        </w:tc>
      </w:tr>
      <w:tr w:rsidR="009D153A" w14:paraId="602FE506" w14:textId="77777777" w:rsidTr="009D153A">
        <w:trPr>
          <w:trHeight w:val="68"/>
        </w:trPr>
        <w:tc>
          <w:tcPr>
            <w:tcW w:w="6917" w:type="dxa"/>
          </w:tcPr>
          <w:p w14:paraId="79757733" w14:textId="77777777" w:rsidR="009D153A" w:rsidRDefault="009D153A" w:rsidP="009D153A">
            <w:pPr>
              <w:pStyle w:val="TableText"/>
            </w:pPr>
            <w:r>
              <w:t>Australian Consumer Law and Fair Trading Regulations 2022</w:t>
            </w:r>
          </w:p>
        </w:tc>
        <w:tc>
          <w:tcPr>
            <w:tcW w:w="2155" w:type="dxa"/>
          </w:tcPr>
          <w:p w14:paraId="2A6AD9BD" w14:textId="77777777" w:rsidR="009D153A" w:rsidRDefault="009D153A" w:rsidP="009D153A">
            <w:pPr>
              <w:pStyle w:val="TableText"/>
            </w:pPr>
            <w:r>
              <w:t>15 June 2022</w:t>
            </w:r>
          </w:p>
        </w:tc>
      </w:tr>
      <w:tr w:rsidR="009D153A" w14:paraId="0F82360D" w14:textId="77777777" w:rsidTr="009D153A">
        <w:trPr>
          <w:trHeight w:val="68"/>
        </w:trPr>
        <w:tc>
          <w:tcPr>
            <w:tcW w:w="6917" w:type="dxa"/>
          </w:tcPr>
          <w:p w14:paraId="28720E51" w14:textId="77777777" w:rsidR="009D153A" w:rsidRDefault="009D153A" w:rsidP="009D153A">
            <w:pPr>
              <w:pStyle w:val="TableText"/>
            </w:pPr>
            <w:r>
              <w:t>Domestic Building Contracts Amendment Regulations 2021</w:t>
            </w:r>
          </w:p>
        </w:tc>
        <w:tc>
          <w:tcPr>
            <w:tcW w:w="2155" w:type="dxa"/>
          </w:tcPr>
          <w:p w14:paraId="3A9C0BEC" w14:textId="77777777" w:rsidR="009D153A" w:rsidRDefault="009D153A" w:rsidP="009D153A">
            <w:pPr>
              <w:pStyle w:val="TableText"/>
            </w:pPr>
            <w:r>
              <w:t>29 June 2021</w:t>
            </w:r>
          </w:p>
        </w:tc>
      </w:tr>
      <w:tr w:rsidR="009D153A" w14:paraId="266DF30E" w14:textId="77777777" w:rsidTr="009D153A">
        <w:trPr>
          <w:trHeight w:val="68"/>
        </w:trPr>
        <w:tc>
          <w:tcPr>
            <w:tcW w:w="6917" w:type="dxa"/>
          </w:tcPr>
          <w:p w14:paraId="116057FC" w14:textId="77777777" w:rsidR="009D153A" w:rsidRDefault="009D153A" w:rsidP="009D153A">
            <w:pPr>
              <w:pStyle w:val="TableText"/>
            </w:pPr>
            <w:r>
              <w:t>Funerals (infringements) Regulations 2021</w:t>
            </w:r>
          </w:p>
        </w:tc>
        <w:tc>
          <w:tcPr>
            <w:tcW w:w="2155" w:type="dxa"/>
          </w:tcPr>
          <w:p w14:paraId="381C080F" w14:textId="77777777" w:rsidR="009D153A" w:rsidRDefault="009D153A" w:rsidP="009D153A">
            <w:pPr>
              <w:pStyle w:val="TableText"/>
            </w:pPr>
            <w:r>
              <w:t>6 July 2021</w:t>
            </w:r>
          </w:p>
        </w:tc>
      </w:tr>
      <w:tr w:rsidR="009D153A" w14:paraId="1CAF8B86" w14:textId="77777777" w:rsidTr="009D153A">
        <w:trPr>
          <w:trHeight w:val="68"/>
        </w:trPr>
        <w:tc>
          <w:tcPr>
            <w:tcW w:w="6917" w:type="dxa"/>
          </w:tcPr>
          <w:p w14:paraId="63121E20" w14:textId="77777777" w:rsidR="009D153A" w:rsidRDefault="009D153A" w:rsidP="009D153A">
            <w:pPr>
              <w:pStyle w:val="TableText"/>
            </w:pPr>
            <w:r>
              <w:t>Owners Corporations Amendment Regulations 2021</w:t>
            </w:r>
          </w:p>
        </w:tc>
        <w:tc>
          <w:tcPr>
            <w:tcW w:w="2155" w:type="dxa"/>
          </w:tcPr>
          <w:p w14:paraId="491A9AC0" w14:textId="77777777" w:rsidR="009D153A" w:rsidRDefault="009D153A" w:rsidP="009D153A">
            <w:pPr>
              <w:pStyle w:val="TableText"/>
            </w:pPr>
            <w:r>
              <w:t>30 November 2021</w:t>
            </w:r>
          </w:p>
        </w:tc>
      </w:tr>
      <w:tr w:rsidR="009D153A" w14:paraId="17A8AB21" w14:textId="77777777" w:rsidTr="009D153A">
        <w:trPr>
          <w:trHeight w:val="68"/>
        </w:trPr>
        <w:tc>
          <w:tcPr>
            <w:tcW w:w="6917" w:type="dxa"/>
          </w:tcPr>
          <w:p w14:paraId="15884A01" w14:textId="77777777" w:rsidR="009D153A" w:rsidRDefault="009D153A" w:rsidP="009D153A">
            <w:pPr>
              <w:pStyle w:val="TableText"/>
            </w:pPr>
            <w:r>
              <w:t>Professional Engineers Registration (General, Exemption and Assessment Scheme Fees) Amendment Regulations 2021</w:t>
            </w:r>
          </w:p>
        </w:tc>
        <w:tc>
          <w:tcPr>
            <w:tcW w:w="2155" w:type="dxa"/>
          </w:tcPr>
          <w:p w14:paraId="288BD64A" w14:textId="77777777" w:rsidR="009D153A" w:rsidRDefault="009D153A" w:rsidP="009D153A">
            <w:pPr>
              <w:pStyle w:val="TableText"/>
            </w:pPr>
            <w:r>
              <w:t>31 August 2021</w:t>
            </w:r>
          </w:p>
        </w:tc>
      </w:tr>
      <w:tr w:rsidR="009D153A" w14:paraId="2525237C" w14:textId="77777777" w:rsidTr="009D153A">
        <w:trPr>
          <w:trHeight w:val="68"/>
        </w:trPr>
        <w:tc>
          <w:tcPr>
            <w:tcW w:w="6917" w:type="dxa"/>
          </w:tcPr>
          <w:p w14:paraId="3CB9C716" w14:textId="77777777" w:rsidR="009D153A" w:rsidRDefault="009D153A" w:rsidP="009D153A">
            <w:pPr>
              <w:pStyle w:val="TableText"/>
            </w:pPr>
            <w:r>
              <w:t>Professional Engineers Registration Transitional Regulations 2021</w:t>
            </w:r>
          </w:p>
        </w:tc>
        <w:tc>
          <w:tcPr>
            <w:tcW w:w="2155" w:type="dxa"/>
          </w:tcPr>
          <w:p w14:paraId="3E177660" w14:textId="77777777" w:rsidR="009D153A" w:rsidRDefault="009D153A" w:rsidP="009D153A">
            <w:pPr>
              <w:pStyle w:val="TableText"/>
            </w:pPr>
            <w:r>
              <w:t>22 June 2021</w:t>
            </w:r>
          </w:p>
        </w:tc>
      </w:tr>
      <w:tr w:rsidR="009D153A" w14:paraId="277B60E6" w14:textId="77777777" w:rsidTr="009D153A">
        <w:trPr>
          <w:trHeight w:val="68"/>
        </w:trPr>
        <w:tc>
          <w:tcPr>
            <w:tcW w:w="6917" w:type="dxa"/>
          </w:tcPr>
          <w:p w14:paraId="1CCF0106" w14:textId="77777777" w:rsidR="009D153A" w:rsidRDefault="009D153A" w:rsidP="009D153A">
            <w:pPr>
              <w:pStyle w:val="TableText"/>
            </w:pPr>
            <w:r>
              <w:t>Professional Engineers Registration (Fees) Regulations 2021</w:t>
            </w:r>
          </w:p>
        </w:tc>
        <w:tc>
          <w:tcPr>
            <w:tcW w:w="2155" w:type="dxa"/>
          </w:tcPr>
          <w:p w14:paraId="4C6706C4" w14:textId="77777777" w:rsidR="009D153A" w:rsidRDefault="009D153A" w:rsidP="009D153A">
            <w:pPr>
              <w:pStyle w:val="TableText"/>
            </w:pPr>
            <w:r>
              <w:t>16 June 2021</w:t>
            </w:r>
          </w:p>
        </w:tc>
      </w:tr>
      <w:tr w:rsidR="009D153A" w14:paraId="67B62630" w14:textId="77777777" w:rsidTr="009D153A">
        <w:trPr>
          <w:trHeight w:val="68"/>
        </w:trPr>
        <w:tc>
          <w:tcPr>
            <w:tcW w:w="6917" w:type="dxa"/>
          </w:tcPr>
          <w:p w14:paraId="43412D46" w14:textId="77777777" w:rsidR="009D153A" w:rsidRDefault="009D153A" w:rsidP="009D153A">
            <w:pPr>
              <w:pStyle w:val="TableText"/>
            </w:pPr>
            <w:r>
              <w:t>Residential Tenancies Amendment Regulations 2022</w:t>
            </w:r>
          </w:p>
        </w:tc>
        <w:tc>
          <w:tcPr>
            <w:tcW w:w="2155" w:type="dxa"/>
          </w:tcPr>
          <w:p w14:paraId="3672A87A" w14:textId="77777777" w:rsidR="009D153A" w:rsidRDefault="009D153A" w:rsidP="009D153A">
            <w:pPr>
              <w:pStyle w:val="TableText"/>
            </w:pPr>
            <w:r>
              <w:t>31 May 2022</w:t>
            </w:r>
          </w:p>
        </w:tc>
      </w:tr>
      <w:tr w:rsidR="009D153A" w14:paraId="2AAA7BA8" w14:textId="77777777" w:rsidTr="009D153A">
        <w:trPr>
          <w:trHeight w:val="68"/>
        </w:trPr>
        <w:tc>
          <w:tcPr>
            <w:tcW w:w="6917" w:type="dxa"/>
          </w:tcPr>
          <w:p w14:paraId="51E3DF6B" w14:textId="77777777" w:rsidR="009D153A" w:rsidRDefault="009D153A" w:rsidP="009D153A">
            <w:pPr>
              <w:pStyle w:val="TableText"/>
            </w:pPr>
            <w:r>
              <w:t>Service Victoria (Transfer of Miscellaneous Licensing and Registration Identity Verification Functions) Regulations 2022</w:t>
            </w:r>
          </w:p>
        </w:tc>
        <w:tc>
          <w:tcPr>
            <w:tcW w:w="2155" w:type="dxa"/>
          </w:tcPr>
          <w:p w14:paraId="2DFEFFDD" w14:textId="77777777" w:rsidR="009D153A" w:rsidRDefault="009D153A" w:rsidP="009D153A">
            <w:pPr>
              <w:pStyle w:val="TableText"/>
            </w:pPr>
            <w:r>
              <w:t>10 May 2022</w:t>
            </w:r>
          </w:p>
        </w:tc>
      </w:tr>
      <w:tr w:rsidR="009D153A" w14:paraId="66DFAE10" w14:textId="77777777" w:rsidTr="009D153A">
        <w:trPr>
          <w:trHeight w:val="68"/>
        </w:trPr>
        <w:tc>
          <w:tcPr>
            <w:tcW w:w="6917" w:type="dxa"/>
          </w:tcPr>
          <w:p w14:paraId="6956A29D" w14:textId="77777777" w:rsidR="009D153A" w:rsidRDefault="009D153A" w:rsidP="009D153A">
            <w:pPr>
              <w:pStyle w:val="TableText"/>
            </w:pPr>
            <w:r>
              <w:t>Service Victoria (Transfer of Professional Engineers Registration Functions) Regulations 2021</w:t>
            </w:r>
          </w:p>
        </w:tc>
        <w:tc>
          <w:tcPr>
            <w:tcW w:w="2155" w:type="dxa"/>
          </w:tcPr>
          <w:p w14:paraId="3BA93EEC" w14:textId="77777777" w:rsidR="009D153A" w:rsidRDefault="009D153A" w:rsidP="009D153A">
            <w:pPr>
              <w:pStyle w:val="TableText"/>
            </w:pPr>
            <w:r>
              <w:t>26 October 2021</w:t>
            </w:r>
          </w:p>
        </w:tc>
      </w:tr>
      <w:tr w:rsidR="009D153A" w14:paraId="1E1AED80" w14:textId="77777777" w:rsidTr="009D153A">
        <w:trPr>
          <w:trHeight w:val="68"/>
        </w:trPr>
        <w:tc>
          <w:tcPr>
            <w:tcW w:w="6917" w:type="dxa"/>
          </w:tcPr>
          <w:p w14:paraId="2E257CD9" w14:textId="77777777" w:rsidR="009D153A" w:rsidRDefault="009D153A" w:rsidP="009D153A">
            <w:pPr>
              <w:pStyle w:val="TableText"/>
            </w:pPr>
            <w:r>
              <w:t>Sex Work (Fees) Amendment Regulations 2022</w:t>
            </w:r>
          </w:p>
        </w:tc>
        <w:tc>
          <w:tcPr>
            <w:tcW w:w="2155" w:type="dxa"/>
          </w:tcPr>
          <w:p w14:paraId="6F334CEC" w14:textId="77777777" w:rsidR="009D153A" w:rsidRDefault="009D153A" w:rsidP="009D153A">
            <w:pPr>
              <w:pStyle w:val="TableText"/>
            </w:pPr>
            <w:r>
              <w:t>27 April 2022</w:t>
            </w:r>
          </w:p>
        </w:tc>
      </w:tr>
      <w:tr w:rsidR="009D153A" w14:paraId="0B920586" w14:textId="77777777" w:rsidTr="009D153A">
        <w:trPr>
          <w:trHeight w:val="68"/>
        </w:trPr>
        <w:tc>
          <w:tcPr>
            <w:tcW w:w="6917" w:type="dxa"/>
          </w:tcPr>
          <w:p w14:paraId="0A161368" w14:textId="77777777" w:rsidR="009D153A" w:rsidRDefault="009D153A" w:rsidP="009D153A">
            <w:pPr>
              <w:pStyle w:val="TableText"/>
            </w:pPr>
            <w:r>
              <w:t>Sex Work Amendment Regulations 2022</w:t>
            </w:r>
          </w:p>
        </w:tc>
        <w:tc>
          <w:tcPr>
            <w:tcW w:w="2155" w:type="dxa"/>
          </w:tcPr>
          <w:p w14:paraId="0BF33056" w14:textId="77777777" w:rsidR="009D153A" w:rsidRDefault="009D153A" w:rsidP="009D153A">
            <w:pPr>
              <w:pStyle w:val="TableText"/>
            </w:pPr>
            <w:r>
              <w:t>27 April 2022</w:t>
            </w:r>
          </w:p>
        </w:tc>
      </w:tr>
    </w:tbl>
    <w:p w14:paraId="7BEA9495" w14:textId="77777777" w:rsidR="009D153A" w:rsidRDefault="009D153A" w:rsidP="009D153A">
      <w:pPr>
        <w:pStyle w:val="Heading3"/>
      </w:pPr>
      <w:bookmarkStart w:id="26" w:name="_Toc122097079"/>
      <w:r>
        <w:lastRenderedPageBreak/>
        <w:t>Regulations commenced</w:t>
      </w:r>
      <w:bookmarkEnd w:id="26"/>
    </w:p>
    <w:tbl>
      <w:tblPr>
        <w:tblStyle w:val="TableGrid"/>
        <w:tblW w:w="9072" w:type="dxa"/>
        <w:tblLayout w:type="fixed"/>
        <w:tblLook w:val="06A0" w:firstRow="1" w:lastRow="0" w:firstColumn="1" w:lastColumn="0" w:noHBand="1" w:noVBand="1"/>
      </w:tblPr>
      <w:tblGrid>
        <w:gridCol w:w="6917"/>
        <w:gridCol w:w="2155"/>
      </w:tblGrid>
      <w:tr w:rsidR="009D153A" w14:paraId="5C353CF5" w14:textId="77777777" w:rsidTr="009D153A">
        <w:trPr>
          <w:cnfStyle w:val="100000000000" w:firstRow="1" w:lastRow="0" w:firstColumn="0" w:lastColumn="0" w:oddVBand="0" w:evenVBand="0" w:oddHBand="0" w:evenHBand="0" w:firstRowFirstColumn="0" w:firstRowLastColumn="0" w:lastRowFirstColumn="0" w:lastRowLastColumn="0"/>
          <w:trHeight w:val="68"/>
          <w:tblHeader/>
        </w:trPr>
        <w:tc>
          <w:tcPr>
            <w:tcW w:w="6917" w:type="dxa"/>
          </w:tcPr>
          <w:p w14:paraId="71530D17" w14:textId="77777777" w:rsidR="009D153A" w:rsidRDefault="009D153A" w:rsidP="009D153A">
            <w:pPr>
              <w:pStyle w:val="TableColHead"/>
            </w:pPr>
            <w:r>
              <w:t>Name</w:t>
            </w:r>
          </w:p>
        </w:tc>
        <w:tc>
          <w:tcPr>
            <w:tcW w:w="2155" w:type="dxa"/>
          </w:tcPr>
          <w:p w14:paraId="1A2A1A07" w14:textId="77777777" w:rsidR="009D153A" w:rsidRDefault="009D153A" w:rsidP="009D153A">
            <w:pPr>
              <w:pStyle w:val="TableColHead"/>
            </w:pPr>
            <w:r>
              <w:t>Date commenced</w:t>
            </w:r>
          </w:p>
        </w:tc>
      </w:tr>
      <w:tr w:rsidR="009D153A" w14:paraId="09EFDB4E" w14:textId="77777777" w:rsidTr="009D153A">
        <w:trPr>
          <w:trHeight w:val="68"/>
        </w:trPr>
        <w:tc>
          <w:tcPr>
            <w:tcW w:w="6917" w:type="dxa"/>
          </w:tcPr>
          <w:p w14:paraId="0170689C" w14:textId="77777777" w:rsidR="009D153A" w:rsidRDefault="009D153A" w:rsidP="009D153A">
            <w:pPr>
              <w:pStyle w:val="TableText"/>
            </w:pPr>
            <w:r>
              <w:t>Australian Consumer Law and Fair Trading Regulations 2022</w:t>
            </w:r>
          </w:p>
        </w:tc>
        <w:tc>
          <w:tcPr>
            <w:tcW w:w="2155" w:type="dxa"/>
          </w:tcPr>
          <w:p w14:paraId="5069E7D6" w14:textId="77777777" w:rsidR="009D153A" w:rsidRDefault="009D153A" w:rsidP="009D153A">
            <w:pPr>
              <w:pStyle w:val="TableText"/>
            </w:pPr>
            <w:r>
              <w:t>27 June 2022</w:t>
            </w:r>
          </w:p>
        </w:tc>
      </w:tr>
      <w:tr w:rsidR="009D153A" w14:paraId="782CDA8E" w14:textId="77777777" w:rsidTr="009D153A">
        <w:trPr>
          <w:trHeight w:val="68"/>
        </w:trPr>
        <w:tc>
          <w:tcPr>
            <w:tcW w:w="6917" w:type="dxa"/>
          </w:tcPr>
          <w:p w14:paraId="51BD071E" w14:textId="77777777" w:rsidR="009D153A" w:rsidRDefault="009D153A" w:rsidP="009D153A">
            <w:pPr>
              <w:pStyle w:val="TableText"/>
            </w:pPr>
            <w:r>
              <w:t>Domestic Building Contracts Amendment Regulations 2021</w:t>
            </w:r>
          </w:p>
        </w:tc>
        <w:tc>
          <w:tcPr>
            <w:tcW w:w="2155" w:type="dxa"/>
          </w:tcPr>
          <w:p w14:paraId="5BC6E430" w14:textId="77777777" w:rsidR="009D153A" w:rsidRDefault="009D153A" w:rsidP="009D153A">
            <w:pPr>
              <w:pStyle w:val="TableText"/>
            </w:pPr>
            <w:r>
              <w:t>1 July 2021</w:t>
            </w:r>
          </w:p>
        </w:tc>
      </w:tr>
      <w:tr w:rsidR="009D153A" w14:paraId="493D3328" w14:textId="77777777" w:rsidTr="009D153A">
        <w:trPr>
          <w:trHeight w:val="68"/>
        </w:trPr>
        <w:tc>
          <w:tcPr>
            <w:tcW w:w="6917" w:type="dxa"/>
          </w:tcPr>
          <w:p w14:paraId="6BC9609C" w14:textId="77777777" w:rsidR="009D153A" w:rsidRDefault="009D153A" w:rsidP="009D153A">
            <w:pPr>
              <w:pStyle w:val="TableText"/>
            </w:pPr>
            <w:r>
              <w:t>Funerals (Infringements) Regulations 2021</w:t>
            </w:r>
          </w:p>
        </w:tc>
        <w:tc>
          <w:tcPr>
            <w:tcW w:w="2155" w:type="dxa"/>
          </w:tcPr>
          <w:p w14:paraId="278C3796" w14:textId="77777777" w:rsidR="009D153A" w:rsidRDefault="009D153A" w:rsidP="009D153A">
            <w:pPr>
              <w:pStyle w:val="TableText"/>
            </w:pPr>
            <w:r>
              <w:t>25 July 2021</w:t>
            </w:r>
          </w:p>
        </w:tc>
      </w:tr>
      <w:tr w:rsidR="009D153A" w14:paraId="31536405" w14:textId="77777777" w:rsidTr="009D153A">
        <w:trPr>
          <w:trHeight w:val="68"/>
        </w:trPr>
        <w:tc>
          <w:tcPr>
            <w:tcW w:w="6917" w:type="dxa"/>
          </w:tcPr>
          <w:p w14:paraId="4BE0722D" w14:textId="77777777" w:rsidR="009D153A" w:rsidRDefault="009D153A" w:rsidP="009D153A">
            <w:pPr>
              <w:pStyle w:val="TableText"/>
            </w:pPr>
            <w:r>
              <w:t>Owners Corporations Amendment Regulations 2021</w:t>
            </w:r>
          </w:p>
        </w:tc>
        <w:tc>
          <w:tcPr>
            <w:tcW w:w="2155" w:type="dxa"/>
          </w:tcPr>
          <w:p w14:paraId="7C8910B8" w14:textId="77777777" w:rsidR="009D153A" w:rsidRDefault="009D153A" w:rsidP="009D153A">
            <w:pPr>
              <w:pStyle w:val="TableText"/>
            </w:pPr>
            <w:r>
              <w:t>1 December 2021</w:t>
            </w:r>
          </w:p>
        </w:tc>
      </w:tr>
      <w:tr w:rsidR="009D153A" w14:paraId="4FF39D78" w14:textId="77777777" w:rsidTr="009D153A">
        <w:trPr>
          <w:trHeight w:val="68"/>
        </w:trPr>
        <w:tc>
          <w:tcPr>
            <w:tcW w:w="6917" w:type="dxa"/>
          </w:tcPr>
          <w:p w14:paraId="6730F359" w14:textId="77777777" w:rsidR="009D153A" w:rsidRDefault="009D153A" w:rsidP="009D153A">
            <w:pPr>
              <w:pStyle w:val="TableText"/>
            </w:pPr>
            <w:r>
              <w:t>Professional Engineers Registration (General, Exemption and Assessment Scheme Fees) Amendment Regulations 2021</w:t>
            </w:r>
          </w:p>
        </w:tc>
        <w:tc>
          <w:tcPr>
            <w:tcW w:w="2155" w:type="dxa"/>
          </w:tcPr>
          <w:p w14:paraId="5BF48DDF" w14:textId="77777777" w:rsidR="009D153A" w:rsidRDefault="009D153A" w:rsidP="009D153A">
            <w:pPr>
              <w:pStyle w:val="TableText"/>
            </w:pPr>
            <w:r>
              <w:t>31 August 2021</w:t>
            </w:r>
          </w:p>
        </w:tc>
      </w:tr>
      <w:tr w:rsidR="009D153A" w14:paraId="02BB366E" w14:textId="77777777" w:rsidTr="009D153A">
        <w:trPr>
          <w:trHeight w:val="68"/>
        </w:trPr>
        <w:tc>
          <w:tcPr>
            <w:tcW w:w="6917" w:type="dxa"/>
          </w:tcPr>
          <w:p w14:paraId="4FECEF4A" w14:textId="77777777" w:rsidR="009D153A" w:rsidRDefault="009D153A" w:rsidP="009D153A">
            <w:pPr>
              <w:pStyle w:val="TableText"/>
            </w:pPr>
            <w:r>
              <w:t>Professional Engineers Registration Transitional Regulations 2021</w:t>
            </w:r>
          </w:p>
        </w:tc>
        <w:tc>
          <w:tcPr>
            <w:tcW w:w="2155" w:type="dxa"/>
          </w:tcPr>
          <w:p w14:paraId="4FA4DCE6" w14:textId="77777777" w:rsidR="009D153A" w:rsidRDefault="009D153A" w:rsidP="009D153A">
            <w:pPr>
              <w:pStyle w:val="TableText"/>
            </w:pPr>
            <w:r>
              <w:t>1 July 2021</w:t>
            </w:r>
          </w:p>
        </w:tc>
      </w:tr>
      <w:tr w:rsidR="009D153A" w14:paraId="4F524AB8" w14:textId="77777777" w:rsidTr="009D153A">
        <w:trPr>
          <w:trHeight w:val="68"/>
        </w:trPr>
        <w:tc>
          <w:tcPr>
            <w:tcW w:w="6917" w:type="dxa"/>
          </w:tcPr>
          <w:p w14:paraId="6323C964" w14:textId="77777777" w:rsidR="009D153A" w:rsidRDefault="009D153A" w:rsidP="009D153A">
            <w:pPr>
              <w:pStyle w:val="TableText"/>
            </w:pPr>
            <w:r>
              <w:t>Professional Engineers Registration (Fees) Regulations 2021</w:t>
            </w:r>
          </w:p>
        </w:tc>
        <w:tc>
          <w:tcPr>
            <w:tcW w:w="2155" w:type="dxa"/>
          </w:tcPr>
          <w:p w14:paraId="6EF1DA58" w14:textId="77777777" w:rsidR="009D153A" w:rsidRDefault="009D153A" w:rsidP="009D153A">
            <w:pPr>
              <w:pStyle w:val="TableText"/>
            </w:pPr>
            <w:r>
              <w:t>1 July 2021</w:t>
            </w:r>
          </w:p>
        </w:tc>
      </w:tr>
      <w:tr w:rsidR="009D153A" w14:paraId="317176FF" w14:textId="77777777" w:rsidTr="009D153A">
        <w:trPr>
          <w:trHeight w:val="68"/>
        </w:trPr>
        <w:tc>
          <w:tcPr>
            <w:tcW w:w="6917" w:type="dxa"/>
          </w:tcPr>
          <w:p w14:paraId="23094C23" w14:textId="77777777" w:rsidR="009D153A" w:rsidRDefault="009D153A" w:rsidP="009D153A">
            <w:pPr>
              <w:pStyle w:val="TableText"/>
            </w:pPr>
            <w:r>
              <w:t>Residential Tenancies Amendment Regulations 2022</w:t>
            </w:r>
          </w:p>
        </w:tc>
        <w:tc>
          <w:tcPr>
            <w:tcW w:w="2155" w:type="dxa"/>
          </w:tcPr>
          <w:p w14:paraId="36BAA5A5" w14:textId="77777777" w:rsidR="009D153A" w:rsidRDefault="009D153A" w:rsidP="009D153A">
            <w:pPr>
              <w:pStyle w:val="TableText"/>
            </w:pPr>
            <w:r>
              <w:t>1 June 2022</w:t>
            </w:r>
          </w:p>
        </w:tc>
      </w:tr>
      <w:tr w:rsidR="009D153A" w14:paraId="6F1F6E32" w14:textId="77777777" w:rsidTr="009D153A">
        <w:trPr>
          <w:trHeight w:val="68"/>
        </w:trPr>
        <w:tc>
          <w:tcPr>
            <w:tcW w:w="6917" w:type="dxa"/>
          </w:tcPr>
          <w:p w14:paraId="68EED61F" w14:textId="77777777" w:rsidR="009D153A" w:rsidRDefault="009D153A" w:rsidP="009D153A">
            <w:pPr>
              <w:pStyle w:val="TableText"/>
            </w:pPr>
            <w:r>
              <w:t>Service Victoria (Transfer of Miscellaneous Licensing and Registration Identity Verification Functions) Regulations 2022</w:t>
            </w:r>
          </w:p>
        </w:tc>
        <w:tc>
          <w:tcPr>
            <w:tcW w:w="2155" w:type="dxa"/>
          </w:tcPr>
          <w:p w14:paraId="2D995A06" w14:textId="77777777" w:rsidR="009D153A" w:rsidRDefault="009D153A" w:rsidP="009D153A">
            <w:pPr>
              <w:pStyle w:val="TableText"/>
            </w:pPr>
            <w:r>
              <w:t>12 May 2022</w:t>
            </w:r>
          </w:p>
        </w:tc>
      </w:tr>
      <w:tr w:rsidR="009D153A" w14:paraId="20CC433B" w14:textId="77777777" w:rsidTr="009D153A">
        <w:trPr>
          <w:trHeight w:val="68"/>
        </w:trPr>
        <w:tc>
          <w:tcPr>
            <w:tcW w:w="6917" w:type="dxa"/>
          </w:tcPr>
          <w:p w14:paraId="23D36216" w14:textId="77777777" w:rsidR="009D153A" w:rsidRDefault="009D153A" w:rsidP="009D153A">
            <w:pPr>
              <w:pStyle w:val="TableText"/>
            </w:pPr>
            <w:r>
              <w:t>Service Victoria (Transfer of Professional Engineers Registration Functions) Regulations 2021</w:t>
            </w:r>
          </w:p>
        </w:tc>
        <w:tc>
          <w:tcPr>
            <w:tcW w:w="2155" w:type="dxa"/>
          </w:tcPr>
          <w:p w14:paraId="7F66AB72" w14:textId="77777777" w:rsidR="009D153A" w:rsidRDefault="009D153A" w:rsidP="009D153A">
            <w:pPr>
              <w:pStyle w:val="TableText"/>
            </w:pPr>
            <w:r>
              <w:t>1 November 2021</w:t>
            </w:r>
          </w:p>
        </w:tc>
      </w:tr>
      <w:tr w:rsidR="009D153A" w14:paraId="4CA0CA3A" w14:textId="77777777" w:rsidTr="009D153A">
        <w:trPr>
          <w:trHeight w:val="68"/>
        </w:trPr>
        <w:tc>
          <w:tcPr>
            <w:tcW w:w="6917" w:type="dxa"/>
          </w:tcPr>
          <w:p w14:paraId="573BE9DA" w14:textId="77777777" w:rsidR="009D153A" w:rsidRDefault="009D153A" w:rsidP="009D153A">
            <w:pPr>
              <w:pStyle w:val="TableText"/>
            </w:pPr>
            <w:r>
              <w:t>Sex Work (Fees) Amendment Regulations 2022</w:t>
            </w:r>
          </w:p>
        </w:tc>
        <w:tc>
          <w:tcPr>
            <w:tcW w:w="2155" w:type="dxa"/>
          </w:tcPr>
          <w:p w14:paraId="30872B9C" w14:textId="77777777" w:rsidR="009D153A" w:rsidRDefault="009D153A" w:rsidP="009D153A">
            <w:pPr>
              <w:pStyle w:val="TableText"/>
            </w:pPr>
            <w:r>
              <w:t>10 May 2022</w:t>
            </w:r>
          </w:p>
        </w:tc>
      </w:tr>
      <w:tr w:rsidR="009D153A" w14:paraId="4968E9CB" w14:textId="77777777" w:rsidTr="009D153A">
        <w:trPr>
          <w:trHeight w:val="68"/>
        </w:trPr>
        <w:tc>
          <w:tcPr>
            <w:tcW w:w="6917" w:type="dxa"/>
          </w:tcPr>
          <w:p w14:paraId="4F7AE2A5" w14:textId="77777777" w:rsidR="009D153A" w:rsidRDefault="009D153A" w:rsidP="009D153A">
            <w:pPr>
              <w:pStyle w:val="TableText"/>
            </w:pPr>
            <w:r>
              <w:t>Sex Work Amendment Regulations 2022</w:t>
            </w:r>
          </w:p>
        </w:tc>
        <w:tc>
          <w:tcPr>
            <w:tcW w:w="2155" w:type="dxa"/>
          </w:tcPr>
          <w:p w14:paraId="3855AA09" w14:textId="77777777" w:rsidR="009D153A" w:rsidRDefault="009D153A" w:rsidP="009D153A">
            <w:pPr>
              <w:pStyle w:val="TableText"/>
            </w:pPr>
            <w:r>
              <w:t>10 May 2022</w:t>
            </w:r>
          </w:p>
        </w:tc>
      </w:tr>
    </w:tbl>
    <w:p w14:paraId="58DDF85F" w14:textId="77777777" w:rsidR="009D153A" w:rsidRDefault="009D153A" w:rsidP="009D153A">
      <w:pPr>
        <w:pStyle w:val="Heading3"/>
      </w:pPr>
      <w:bookmarkStart w:id="27" w:name="_Toc122097080"/>
      <w:r>
        <w:t>Regulations revoked</w:t>
      </w:r>
      <w:bookmarkEnd w:id="27"/>
    </w:p>
    <w:tbl>
      <w:tblPr>
        <w:tblStyle w:val="TableGrid"/>
        <w:tblW w:w="9072" w:type="dxa"/>
        <w:tblLayout w:type="fixed"/>
        <w:tblLook w:val="06A0" w:firstRow="1" w:lastRow="0" w:firstColumn="1" w:lastColumn="0" w:noHBand="1" w:noVBand="1"/>
      </w:tblPr>
      <w:tblGrid>
        <w:gridCol w:w="6917"/>
        <w:gridCol w:w="2155"/>
      </w:tblGrid>
      <w:tr w:rsidR="009D153A" w14:paraId="3243A5D7" w14:textId="77777777" w:rsidTr="009D153A">
        <w:trPr>
          <w:cnfStyle w:val="100000000000" w:firstRow="1" w:lastRow="0" w:firstColumn="0" w:lastColumn="0" w:oddVBand="0" w:evenVBand="0" w:oddHBand="0" w:evenHBand="0" w:firstRowFirstColumn="0" w:firstRowLastColumn="0" w:lastRowFirstColumn="0" w:lastRowLastColumn="0"/>
          <w:trHeight w:val="68"/>
        </w:trPr>
        <w:tc>
          <w:tcPr>
            <w:tcW w:w="6917" w:type="dxa"/>
          </w:tcPr>
          <w:p w14:paraId="568E365E" w14:textId="77777777" w:rsidR="009D153A" w:rsidRDefault="009D153A" w:rsidP="009D153A">
            <w:pPr>
              <w:pStyle w:val="TableColHead"/>
            </w:pPr>
            <w:r>
              <w:t>Name</w:t>
            </w:r>
          </w:p>
        </w:tc>
        <w:tc>
          <w:tcPr>
            <w:tcW w:w="2155" w:type="dxa"/>
          </w:tcPr>
          <w:p w14:paraId="28C89688" w14:textId="77777777" w:rsidR="009D153A" w:rsidRDefault="009D153A" w:rsidP="009D153A">
            <w:pPr>
              <w:pStyle w:val="TableColHead"/>
            </w:pPr>
            <w:r>
              <w:t>Date revoked</w:t>
            </w:r>
          </w:p>
        </w:tc>
      </w:tr>
      <w:tr w:rsidR="009D153A" w14:paraId="06F0ED51" w14:textId="77777777" w:rsidTr="009D153A">
        <w:trPr>
          <w:trHeight w:val="68"/>
        </w:trPr>
        <w:tc>
          <w:tcPr>
            <w:tcW w:w="6917" w:type="dxa"/>
          </w:tcPr>
          <w:p w14:paraId="683DF90D" w14:textId="77777777" w:rsidR="009D153A" w:rsidRDefault="009D153A" w:rsidP="009D153A">
            <w:pPr>
              <w:pStyle w:val="TableText"/>
            </w:pPr>
            <w:r>
              <w:t>Funerals (Infringements) Regulations 2011</w:t>
            </w:r>
          </w:p>
        </w:tc>
        <w:tc>
          <w:tcPr>
            <w:tcW w:w="2155" w:type="dxa"/>
          </w:tcPr>
          <w:p w14:paraId="2C8860A9" w14:textId="77777777" w:rsidR="009D153A" w:rsidRDefault="009D153A" w:rsidP="009D153A">
            <w:pPr>
              <w:pStyle w:val="TableText"/>
            </w:pPr>
            <w:r>
              <w:t>25 July 2021</w:t>
            </w:r>
          </w:p>
        </w:tc>
      </w:tr>
      <w:tr w:rsidR="009D153A" w14:paraId="06AFE766" w14:textId="77777777" w:rsidTr="009D153A">
        <w:trPr>
          <w:trHeight w:val="68"/>
        </w:trPr>
        <w:tc>
          <w:tcPr>
            <w:tcW w:w="6917" w:type="dxa"/>
          </w:tcPr>
          <w:p w14:paraId="63CCFF8F" w14:textId="77777777" w:rsidR="009D153A" w:rsidRDefault="009D153A" w:rsidP="009D153A">
            <w:pPr>
              <w:pStyle w:val="TableText"/>
            </w:pPr>
            <w:r>
              <w:t>Australian Consumer law and Fair Trading Regulations 2012</w:t>
            </w:r>
          </w:p>
        </w:tc>
        <w:tc>
          <w:tcPr>
            <w:tcW w:w="2155" w:type="dxa"/>
          </w:tcPr>
          <w:p w14:paraId="4A75078F" w14:textId="77777777" w:rsidR="009D153A" w:rsidRDefault="009D153A" w:rsidP="009D153A">
            <w:pPr>
              <w:pStyle w:val="TableText"/>
            </w:pPr>
            <w:r>
              <w:t>27 June 2022</w:t>
            </w:r>
          </w:p>
        </w:tc>
      </w:tr>
      <w:tr w:rsidR="009D153A" w14:paraId="13C2514F" w14:textId="77777777" w:rsidTr="009D153A">
        <w:trPr>
          <w:trHeight w:val="68"/>
        </w:trPr>
        <w:tc>
          <w:tcPr>
            <w:tcW w:w="6917" w:type="dxa"/>
          </w:tcPr>
          <w:p w14:paraId="254CDD7E" w14:textId="77777777" w:rsidR="009D153A" w:rsidRDefault="009D153A" w:rsidP="009D153A">
            <w:pPr>
              <w:pStyle w:val="TableText"/>
            </w:pPr>
            <w:r>
              <w:t>Australian Consumer Law and Fair Trading Amendment Regulations 2012</w:t>
            </w:r>
          </w:p>
        </w:tc>
        <w:tc>
          <w:tcPr>
            <w:tcW w:w="2155" w:type="dxa"/>
          </w:tcPr>
          <w:p w14:paraId="10D9EF69" w14:textId="77777777" w:rsidR="009D153A" w:rsidRDefault="009D153A" w:rsidP="009D153A">
            <w:pPr>
              <w:pStyle w:val="TableText"/>
            </w:pPr>
            <w:r>
              <w:t>27 June 2022</w:t>
            </w:r>
          </w:p>
        </w:tc>
      </w:tr>
      <w:tr w:rsidR="009D153A" w14:paraId="607F2872" w14:textId="77777777" w:rsidTr="009D153A">
        <w:trPr>
          <w:trHeight w:val="68"/>
        </w:trPr>
        <w:tc>
          <w:tcPr>
            <w:tcW w:w="6917" w:type="dxa"/>
          </w:tcPr>
          <w:p w14:paraId="20B60617" w14:textId="77777777" w:rsidR="009D153A" w:rsidRDefault="009D153A" w:rsidP="009D153A">
            <w:pPr>
              <w:pStyle w:val="TableText"/>
            </w:pPr>
            <w:r>
              <w:t>Australian Consumer Law and Fair Trading Amendment Regulations 2013</w:t>
            </w:r>
          </w:p>
        </w:tc>
        <w:tc>
          <w:tcPr>
            <w:tcW w:w="2155" w:type="dxa"/>
          </w:tcPr>
          <w:p w14:paraId="0214514A" w14:textId="77777777" w:rsidR="009D153A" w:rsidRDefault="009D153A" w:rsidP="009D153A">
            <w:pPr>
              <w:pStyle w:val="TableText"/>
            </w:pPr>
            <w:r>
              <w:t>27 June 2022</w:t>
            </w:r>
          </w:p>
        </w:tc>
      </w:tr>
    </w:tbl>
    <w:p w14:paraId="093F8FD6" w14:textId="1CA03C87" w:rsidR="009D153A" w:rsidRDefault="009D153A" w:rsidP="009D153A">
      <w:pPr>
        <w:pStyle w:val="Heading2"/>
      </w:pPr>
      <w:bookmarkStart w:id="28" w:name="_Toc122097081"/>
      <w:r>
        <w:lastRenderedPageBreak/>
        <w:t>Legislation administered by CAV</w:t>
      </w:r>
      <w:r w:rsidR="00F51FB8">
        <w:br/>
      </w:r>
      <w:r>
        <w:t>as at 30 June 2022</w:t>
      </w:r>
      <w:bookmarkEnd w:id="28"/>
    </w:p>
    <w:p w14:paraId="667DB6DE" w14:textId="77777777" w:rsidR="009D153A" w:rsidRPr="00064C94" w:rsidRDefault="009D153A" w:rsidP="009D153A">
      <w:pPr>
        <w:pStyle w:val="ListBullet"/>
        <w:rPr>
          <w:rStyle w:val="Emphasis"/>
        </w:rPr>
      </w:pPr>
      <w:r w:rsidRPr="00064C94">
        <w:rPr>
          <w:rStyle w:val="Emphasis"/>
        </w:rPr>
        <w:t>Associations Incorporation Reform Act 2012</w:t>
      </w:r>
    </w:p>
    <w:p w14:paraId="7FDD5057" w14:textId="77777777" w:rsidR="009D153A" w:rsidRPr="00064C94" w:rsidRDefault="009D153A" w:rsidP="009D153A">
      <w:pPr>
        <w:pStyle w:val="ListBullet"/>
        <w:rPr>
          <w:rStyle w:val="Emphasis"/>
        </w:rPr>
      </w:pPr>
      <w:r w:rsidRPr="00064C94">
        <w:rPr>
          <w:rStyle w:val="Emphasis"/>
        </w:rPr>
        <w:t>Australian Consumer Law and Fair Trading Act 2012</w:t>
      </w:r>
    </w:p>
    <w:p w14:paraId="686016CF" w14:textId="77777777" w:rsidR="009D153A" w:rsidRPr="00064C94" w:rsidRDefault="009D153A" w:rsidP="009D153A">
      <w:pPr>
        <w:pStyle w:val="ListBullet"/>
        <w:rPr>
          <w:rStyle w:val="Emphasis"/>
        </w:rPr>
      </w:pPr>
      <w:r w:rsidRPr="00064C94">
        <w:rPr>
          <w:rStyle w:val="Emphasis"/>
        </w:rPr>
        <w:t>Business Licensing Authority Act 1998</w:t>
      </w:r>
    </w:p>
    <w:p w14:paraId="4957F11E" w14:textId="77777777" w:rsidR="009D153A" w:rsidRPr="00064C94" w:rsidRDefault="009D153A" w:rsidP="009D153A">
      <w:pPr>
        <w:pStyle w:val="ListBullet"/>
        <w:rPr>
          <w:rStyle w:val="Emphasis"/>
        </w:rPr>
      </w:pPr>
      <w:r w:rsidRPr="00064C94">
        <w:rPr>
          <w:rStyle w:val="Emphasis"/>
        </w:rPr>
        <w:t>Business Names (Commonwealth Powers) Act 2011</w:t>
      </w:r>
    </w:p>
    <w:p w14:paraId="4DC9F7A5" w14:textId="77777777" w:rsidR="009D153A" w:rsidRPr="00064C94" w:rsidRDefault="009D153A" w:rsidP="009D153A">
      <w:pPr>
        <w:pStyle w:val="ListBullet"/>
        <w:rPr>
          <w:rStyle w:val="Emphasis"/>
        </w:rPr>
      </w:pPr>
      <w:r w:rsidRPr="00064C94">
        <w:rPr>
          <w:rStyle w:val="Emphasis"/>
        </w:rPr>
        <w:t>Chattel Securities Act 1987</w:t>
      </w:r>
    </w:p>
    <w:p w14:paraId="582E566C" w14:textId="77777777" w:rsidR="009D153A" w:rsidRPr="00064C94" w:rsidRDefault="009D153A" w:rsidP="009D153A">
      <w:pPr>
        <w:pStyle w:val="ListBullet"/>
        <w:rPr>
          <w:rStyle w:val="Emphasis"/>
        </w:rPr>
      </w:pPr>
      <w:r w:rsidRPr="00064C94">
        <w:rPr>
          <w:rStyle w:val="Emphasis"/>
        </w:rPr>
        <w:t>Company Titles (Home Units) Act 2013</w:t>
      </w:r>
    </w:p>
    <w:p w14:paraId="04B65324" w14:textId="77777777" w:rsidR="009D153A" w:rsidRPr="00064C94" w:rsidRDefault="009D153A" w:rsidP="009D153A">
      <w:pPr>
        <w:pStyle w:val="ListBullet"/>
        <w:rPr>
          <w:rStyle w:val="Emphasis"/>
        </w:rPr>
      </w:pPr>
      <w:r w:rsidRPr="00064C94">
        <w:rPr>
          <w:rStyle w:val="Emphasis"/>
        </w:rPr>
        <w:t>Consumer Credit (Victoria) Act 1995</w:t>
      </w:r>
    </w:p>
    <w:p w14:paraId="61A040C0" w14:textId="77777777" w:rsidR="009D153A" w:rsidRPr="00064C94" w:rsidRDefault="009D153A" w:rsidP="009D153A">
      <w:pPr>
        <w:pStyle w:val="ListBullet"/>
        <w:rPr>
          <w:rStyle w:val="Emphasis"/>
        </w:rPr>
      </w:pPr>
      <w:r w:rsidRPr="00064C94">
        <w:rPr>
          <w:rStyle w:val="Emphasis"/>
        </w:rPr>
        <w:t>Conveyancers Act 2006</w:t>
      </w:r>
    </w:p>
    <w:p w14:paraId="5BE0FA30" w14:textId="77777777" w:rsidR="009D153A" w:rsidRPr="00064C94" w:rsidRDefault="009D153A" w:rsidP="009D153A">
      <w:pPr>
        <w:pStyle w:val="ListBullet"/>
        <w:rPr>
          <w:rStyle w:val="Emphasis"/>
        </w:rPr>
      </w:pPr>
      <w:r w:rsidRPr="00064C94">
        <w:rPr>
          <w:rStyle w:val="Emphasis"/>
        </w:rPr>
        <w:t>Co-operatives National law Application Act 2013</w:t>
      </w:r>
    </w:p>
    <w:p w14:paraId="60EAE79D" w14:textId="77777777" w:rsidR="009D153A" w:rsidRPr="00064C94" w:rsidRDefault="009D153A" w:rsidP="009D153A">
      <w:pPr>
        <w:pStyle w:val="ListBullet"/>
        <w:rPr>
          <w:rStyle w:val="Emphasis"/>
        </w:rPr>
      </w:pPr>
      <w:r w:rsidRPr="00064C94">
        <w:rPr>
          <w:rStyle w:val="Emphasis"/>
        </w:rPr>
        <w:t>Co-operatives National Law (Victoria)</w:t>
      </w:r>
    </w:p>
    <w:p w14:paraId="2EC46C9F" w14:textId="77777777" w:rsidR="009D153A" w:rsidRPr="00064C94" w:rsidRDefault="009D153A" w:rsidP="009D153A">
      <w:pPr>
        <w:pStyle w:val="ListBullet"/>
        <w:rPr>
          <w:rStyle w:val="Emphasis"/>
        </w:rPr>
      </w:pPr>
      <w:r w:rsidRPr="00064C94">
        <w:rPr>
          <w:rStyle w:val="Emphasis"/>
        </w:rPr>
        <w:t>Credit Act 1984</w:t>
      </w:r>
    </w:p>
    <w:p w14:paraId="4087C988" w14:textId="77777777" w:rsidR="009D153A" w:rsidRPr="00064C94" w:rsidRDefault="009D153A" w:rsidP="009D153A">
      <w:pPr>
        <w:pStyle w:val="ListBullet"/>
        <w:rPr>
          <w:rStyle w:val="Emphasis"/>
        </w:rPr>
      </w:pPr>
      <w:r w:rsidRPr="00064C94">
        <w:rPr>
          <w:rStyle w:val="Emphasis"/>
        </w:rPr>
        <w:t>Credit (Administration) Act 1984</w:t>
      </w:r>
    </w:p>
    <w:p w14:paraId="344B41F8" w14:textId="77777777" w:rsidR="009D153A" w:rsidRPr="00064C94" w:rsidRDefault="009D153A" w:rsidP="009D153A">
      <w:pPr>
        <w:pStyle w:val="ListBullet"/>
        <w:rPr>
          <w:rStyle w:val="Emphasis"/>
        </w:rPr>
      </w:pPr>
      <w:r w:rsidRPr="00064C94">
        <w:rPr>
          <w:rStyle w:val="Emphasis"/>
        </w:rPr>
        <w:t>Credit (Commonwealth Powers) Act 2010</w:t>
      </w:r>
    </w:p>
    <w:p w14:paraId="462E9F96" w14:textId="77777777" w:rsidR="009D153A" w:rsidRPr="00064C94" w:rsidRDefault="009D153A" w:rsidP="009D153A">
      <w:pPr>
        <w:pStyle w:val="ListBullet"/>
        <w:rPr>
          <w:rStyle w:val="Emphasis"/>
        </w:rPr>
      </w:pPr>
      <w:r w:rsidRPr="00064C94">
        <w:rPr>
          <w:rStyle w:val="Emphasis"/>
        </w:rPr>
        <w:t>Domestic Building Contract Act 1995</w:t>
      </w:r>
    </w:p>
    <w:p w14:paraId="05AD04D4" w14:textId="77777777" w:rsidR="009D153A" w:rsidRDefault="009D153A" w:rsidP="009D153A">
      <w:pPr>
        <w:pStyle w:val="ListBullet2"/>
      </w:pPr>
      <w:r>
        <w:t>except Part 5 (administered by the Attorney-General)</w:t>
      </w:r>
    </w:p>
    <w:p w14:paraId="599EE97E" w14:textId="77777777" w:rsidR="009D153A" w:rsidRPr="00064C94" w:rsidRDefault="009D153A" w:rsidP="009D153A">
      <w:pPr>
        <w:pStyle w:val="ListBullet"/>
        <w:rPr>
          <w:rStyle w:val="Emphasis"/>
        </w:rPr>
      </w:pPr>
      <w:r w:rsidRPr="00064C94">
        <w:rPr>
          <w:rStyle w:val="Emphasis"/>
        </w:rPr>
        <w:t>Estate Agents Act 1980</w:t>
      </w:r>
    </w:p>
    <w:p w14:paraId="4070749E" w14:textId="77777777" w:rsidR="009D153A" w:rsidRPr="00064C94" w:rsidRDefault="009D153A" w:rsidP="009D153A">
      <w:pPr>
        <w:pStyle w:val="ListBullet"/>
        <w:rPr>
          <w:rStyle w:val="Emphasis"/>
        </w:rPr>
      </w:pPr>
      <w:r w:rsidRPr="00064C94">
        <w:rPr>
          <w:rStyle w:val="Emphasis"/>
        </w:rPr>
        <w:t>Fundraising Act 1998</w:t>
      </w:r>
    </w:p>
    <w:p w14:paraId="3536B62E" w14:textId="77777777" w:rsidR="009D153A" w:rsidRPr="00064C94" w:rsidRDefault="009D153A" w:rsidP="009D153A">
      <w:pPr>
        <w:pStyle w:val="ListBullet"/>
        <w:rPr>
          <w:rStyle w:val="Emphasis"/>
        </w:rPr>
      </w:pPr>
      <w:r w:rsidRPr="00064C94">
        <w:rPr>
          <w:rStyle w:val="Emphasis"/>
        </w:rPr>
        <w:t>Funerals Act 2006</w:t>
      </w:r>
    </w:p>
    <w:p w14:paraId="0EF7C1F4" w14:textId="77777777" w:rsidR="009D153A" w:rsidRPr="00064C94" w:rsidRDefault="009D153A" w:rsidP="009D153A">
      <w:pPr>
        <w:pStyle w:val="ListBullet"/>
        <w:rPr>
          <w:rStyle w:val="Emphasis"/>
        </w:rPr>
      </w:pPr>
      <w:r w:rsidRPr="00064C94">
        <w:rPr>
          <w:rStyle w:val="Emphasis"/>
        </w:rPr>
        <w:t>Goods Act 1958</w:t>
      </w:r>
    </w:p>
    <w:p w14:paraId="51D86CCE" w14:textId="77777777" w:rsidR="009D153A" w:rsidRPr="00064C94" w:rsidRDefault="009D153A" w:rsidP="009D153A">
      <w:pPr>
        <w:pStyle w:val="ListBullet"/>
        <w:rPr>
          <w:rStyle w:val="Emphasis"/>
        </w:rPr>
      </w:pPr>
      <w:r w:rsidRPr="00064C94">
        <w:rPr>
          <w:rStyle w:val="Emphasis"/>
        </w:rPr>
        <w:t>Motor Car Traders Act 1986</w:t>
      </w:r>
    </w:p>
    <w:p w14:paraId="76D2F964" w14:textId="77777777" w:rsidR="009D153A" w:rsidRPr="00064C94" w:rsidRDefault="009D153A" w:rsidP="009D153A">
      <w:pPr>
        <w:pStyle w:val="ListBullet"/>
        <w:rPr>
          <w:rStyle w:val="Emphasis"/>
        </w:rPr>
      </w:pPr>
      <w:r w:rsidRPr="00064C94">
        <w:rPr>
          <w:rStyle w:val="Emphasis"/>
        </w:rPr>
        <w:t>Owners Corporations Act 2006</w:t>
      </w:r>
    </w:p>
    <w:p w14:paraId="16B67A60" w14:textId="77777777" w:rsidR="009D153A" w:rsidRPr="00064C94" w:rsidRDefault="009D153A" w:rsidP="009D153A">
      <w:pPr>
        <w:pStyle w:val="ListBullet"/>
        <w:rPr>
          <w:rStyle w:val="Emphasis"/>
        </w:rPr>
      </w:pPr>
      <w:r w:rsidRPr="00064C94">
        <w:rPr>
          <w:rStyle w:val="Emphasis"/>
        </w:rPr>
        <w:t>Partnership Act 1958</w:t>
      </w:r>
    </w:p>
    <w:p w14:paraId="718170E4" w14:textId="77777777" w:rsidR="009D153A" w:rsidRPr="00064C94" w:rsidRDefault="009D153A" w:rsidP="009D153A">
      <w:pPr>
        <w:pStyle w:val="ListBullet"/>
        <w:rPr>
          <w:rStyle w:val="Emphasis"/>
        </w:rPr>
      </w:pPr>
      <w:r w:rsidRPr="00064C94">
        <w:rPr>
          <w:rStyle w:val="Emphasis"/>
        </w:rPr>
        <w:t>Professional Engineers Registration Act 2019</w:t>
      </w:r>
    </w:p>
    <w:p w14:paraId="0DD4C7A1" w14:textId="77777777" w:rsidR="009D153A" w:rsidRPr="00064C94" w:rsidRDefault="009D153A" w:rsidP="009D153A">
      <w:pPr>
        <w:pStyle w:val="ListBullet"/>
        <w:rPr>
          <w:rStyle w:val="Emphasis"/>
        </w:rPr>
      </w:pPr>
      <w:r w:rsidRPr="00064C94">
        <w:rPr>
          <w:rStyle w:val="Emphasis"/>
        </w:rPr>
        <w:t>Residential Tenancies Act 1997:</w:t>
      </w:r>
    </w:p>
    <w:p w14:paraId="36FB1513" w14:textId="77777777" w:rsidR="009D153A" w:rsidRDefault="009D153A" w:rsidP="009D153A">
      <w:pPr>
        <w:pStyle w:val="ListBullet2"/>
      </w:pPr>
      <w:r>
        <w:t>Sections 23A-25, 27, 32, 33, 45–48, 74–77, 82, 90, 91, 91A, 102, 102A, 103, 104(1), 104(4), 104(5), 104(6), 105(2), 105(2A), 105(3), 124, 128, 130–134, 141–142B, 142D–212, 213AA–215, 230,323–234, 241, 277, 289A, 291–327, 329–333, 335–339, 341, 343–366, 373–376, 385, 388, 388A, 390, 390A, 395–398, 399A–439M, 480, 486–499, 501–504 and 505A–510C</w:t>
      </w:r>
    </w:p>
    <w:p w14:paraId="59644C79" w14:textId="77777777" w:rsidR="009D153A" w:rsidRDefault="009D153A" w:rsidP="009D153A">
      <w:pPr>
        <w:pStyle w:val="ListBullet2"/>
      </w:pPr>
      <w:r>
        <w:t>Section 66(1) (this section is jointly administered with the Minister for Housing)</w:t>
      </w:r>
    </w:p>
    <w:p w14:paraId="77D69E3D" w14:textId="77777777" w:rsidR="009D153A" w:rsidRDefault="009D153A" w:rsidP="009D153A">
      <w:pPr>
        <w:pStyle w:val="ListBullet2"/>
      </w:pPr>
      <w:r>
        <w:t>Section 142C (this section is jointly and severally administered with the Minister for Housing)</w:t>
      </w:r>
    </w:p>
    <w:p w14:paraId="7F8173A8" w14:textId="77777777" w:rsidR="009D153A" w:rsidRDefault="009D153A" w:rsidP="009D153A">
      <w:pPr>
        <w:pStyle w:val="ListBullet2"/>
      </w:pPr>
      <w:r>
        <w:t>Part 12A and section 511 (these provisions are jointly and severally administered with the Minister for Disability, Ageing and Carers and the Minister for Housing)</w:t>
      </w:r>
    </w:p>
    <w:p w14:paraId="243EEAA5" w14:textId="77777777" w:rsidR="009D153A" w:rsidRDefault="009D153A" w:rsidP="009D153A">
      <w:pPr>
        <w:pStyle w:val="ListBullet2"/>
      </w:pPr>
      <w:r>
        <w:t>Part 16 (this Part is jointly and severally administered with the minister for Disability, Ageing and Carers and the Minister for Housing)</w:t>
      </w:r>
    </w:p>
    <w:p w14:paraId="1CBC841A" w14:textId="77777777" w:rsidR="009D153A" w:rsidRDefault="009D153A" w:rsidP="009D153A">
      <w:pPr>
        <w:pStyle w:val="ListBullet2"/>
      </w:pPr>
      <w:r>
        <w:t>The Act is otherwise administered by the Attorney-General, the Minister for Housing and the Minister for Planning.</w:t>
      </w:r>
    </w:p>
    <w:p w14:paraId="072489DA" w14:textId="77777777" w:rsidR="009D153A" w:rsidRPr="00064C94" w:rsidRDefault="009D153A" w:rsidP="009D153A">
      <w:pPr>
        <w:pStyle w:val="ListBullet"/>
        <w:rPr>
          <w:rStyle w:val="Emphasis"/>
        </w:rPr>
      </w:pPr>
      <w:r w:rsidRPr="00064C94">
        <w:rPr>
          <w:rStyle w:val="Emphasis"/>
        </w:rPr>
        <w:t>Retirement Villages Act 1986</w:t>
      </w:r>
    </w:p>
    <w:p w14:paraId="1FC930B6" w14:textId="77777777" w:rsidR="009D153A" w:rsidRPr="00064C94" w:rsidRDefault="009D153A" w:rsidP="009D153A">
      <w:pPr>
        <w:pStyle w:val="ListBullet"/>
        <w:rPr>
          <w:rStyle w:val="Emphasis"/>
        </w:rPr>
      </w:pPr>
      <w:r w:rsidRPr="00064C94">
        <w:rPr>
          <w:rStyle w:val="Emphasis"/>
        </w:rPr>
        <w:t>Rooming House Operators Act 2016</w:t>
      </w:r>
    </w:p>
    <w:p w14:paraId="045E78A8" w14:textId="77777777" w:rsidR="009D153A" w:rsidRPr="00064C94" w:rsidRDefault="009D153A" w:rsidP="009D153A">
      <w:pPr>
        <w:pStyle w:val="ListBullet"/>
        <w:rPr>
          <w:rStyle w:val="Emphasis"/>
        </w:rPr>
      </w:pPr>
      <w:r w:rsidRPr="00064C94">
        <w:rPr>
          <w:rStyle w:val="Emphasis"/>
        </w:rPr>
        <w:lastRenderedPageBreak/>
        <w:t>Sale of Land Act 1962</w:t>
      </w:r>
    </w:p>
    <w:p w14:paraId="374783E6" w14:textId="77777777" w:rsidR="009D153A" w:rsidRPr="00064C94" w:rsidRDefault="009D153A" w:rsidP="009D153A">
      <w:pPr>
        <w:pStyle w:val="ListBullet"/>
        <w:rPr>
          <w:rStyle w:val="Emphasis"/>
        </w:rPr>
      </w:pPr>
      <w:r w:rsidRPr="00064C94">
        <w:rPr>
          <w:rStyle w:val="Emphasis"/>
        </w:rPr>
        <w:t>Second-Hand Dealers and Pawnbrokers Act 1989</w:t>
      </w:r>
    </w:p>
    <w:p w14:paraId="4D9BD13E" w14:textId="77777777" w:rsidR="009D153A" w:rsidRPr="00064C94" w:rsidRDefault="009D153A" w:rsidP="009D153A">
      <w:pPr>
        <w:pStyle w:val="ListBullet"/>
        <w:rPr>
          <w:rStyle w:val="Emphasis"/>
        </w:rPr>
      </w:pPr>
      <w:r w:rsidRPr="00064C94">
        <w:rPr>
          <w:rStyle w:val="Emphasis"/>
        </w:rPr>
        <w:t>Sex Work Act 1994</w:t>
      </w:r>
    </w:p>
    <w:p w14:paraId="6DB70453" w14:textId="77777777" w:rsidR="009D153A" w:rsidRPr="00064C94" w:rsidRDefault="009D153A" w:rsidP="009D153A">
      <w:pPr>
        <w:pStyle w:val="ListBullet"/>
        <w:rPr>
          <w:rStyle w:val="Emphasis"/>
        </w:rPr>
      </w:pPr>
      <w:r w:rsidRPr="00064C94">
        <w:rPr>
          <w:rStyle w:val="Emphasis"/>
        </w:rPr>
        <w:t>Sex Work Decriminalisation Act 2022</w:t>
      </w:r>
    </w:p>
    <w:p w14:paraId="212DC4F6" w14:textId="77777777" w:rsidR="009D153A" w:rsidRPr="00064C94" w:rsidRDefault="009D153A" w:rsidP="009D153A">
      <w:pPr>
        <w:pStyle w:val="ListBullet"/>
        <w:rPr>
          <w:rStyle w:val="Emphasis"/>
        </w:rPr>
      </w:pPr>
      <w:r w:rsidRPr="00064C94">
        <w:rPr>
          <w:rStyle w:val="Emphasis"/>
        </w:rPr>
        <w:t>Subdivision Act 1988:</w:t>
      </w:r>
    </w:p>
    <w:p w14:paraId="73E9DEEA" w14:textId="77777777" w:rsidR="009D153A" w:rsidRDefault="009D153A" w:rsidP="009D153A">
      <w:pPr>
        <w:pStyle w:val="ListBullet2"/>
      </w:pPr>
      <w:r>
        <w:t>Part 5</w:t>
      </w:r>
    </w:p>
    <w:p w14:paraId="6E19B722" w14:textId="77777777" w:rsidR="009D153A" w:rsidRDefault="009D153A" w:rsidP="009D153A">
      <w:pPr>
        <w:pStyle w:val="ListBullet2"/>
      </w:pPr>
      <w:r>
        <w:t>Section 43 (in so far as it relates to Part 5)</w:t>
      </w:r>
    </w:p>
    <w:p w14:paraId="6B93846B" w14:textId="77777777" w:rsidR="009D153A" w:rsidRDefault="009D153A" w:rsidP="009D153A">
      <w:pPr>
        <w:pStyle w:val="ListBullet2"/>
      </w:pPr>
      <w:r>
        <w:t>The Act is otherwise administered by the Minister for Planning.</w:t>
      </w:r>
    </w:p>
    <w:p w14:paraId="154BDA76" w14:textId="77777777" w:rsidR="009D153A" w:rsidRPr="00064C94" w:rsidRDefault="009D153A" w:rsidP="009D153A">
      <w:pPr>
        <w:pStyle w:val="ListBullet"/>
        <w:rPr>
          <w:rStyle w:val="Emphasis"/>
        </w:rPr>
      </w:pPr>
      <w:r w:rsidRPr="00064C94">
        <w:rPr>
          <w:rStyle w:val="Emphasis"/>
        </w:rPr>
        <w:t>Travel Agents Repeal Act 2014</w:t>
      </w:r>
    </w:p>
    <w:p w14:paraId="1A088F66" w14:textId="77777777" w:rsidR="009D153A" w:rsidRPr="00064C94" w:rsidRDefault="009D153A" w:rsidP="009D153A">
      <w:pPr>
        <w:pStyle w:val="ListBullet"/>
        <w:rPr>
          <w:rStyle w:val="Emphasis"/>
        </w:rPr>
      </w:pPr>
      <w:r w:rsidRPr="00064C94">
        <w:rPr>
          <w:rStyle w:val="Emphasis"/>
        </w:rPr>
        <w:t>Veterans Act 2005:</w:t>
      </w:r>
    </w:p>
    <w:p w14:paraId="55720E2D" w14:textId="77777777" w:rsidR="009D153A" w:rsidRDefault="009D153A" w:rsidP="009D153A">
      <w:pPr>
        <w:pStyle w:val="ListBullet2"/>
      </w:pPr>
      <w:r>
        <w:t>Part 4</w:t>
      </w:r>
    </w:p>
    <w:p w14:paraId="1396B130" w14:textId="77777777" w:rsidR="009D153A" w:rsidRDefault="009D153A" w:rsidP="009D153A">
      <w:pPr>
        <w:pStyle w:val="ListBullet2"/>
      </w:pPr>
      <w:r>
        <w:t>The Act is otherwise administered by the Minister for Veterans.</w:t>
      </w:r>
    </w:p>
    <w:p w14:paraId="171833F0" w14:textId="77777777" w:rsidR="009D153A" w:rsidRDefault="009D153A" w:rsidP="009D153A">
      <w:pPr>
        <w:pStyle w:val="ListBullet"/>
      </w:pPr>
      <w:r w:rsidRPr="00064C94">
        <w:rPr>
          <w:rStyle w:val="Emphasis"/>
        </w:rPr>
        <w:t>Warehousemen’s Liens Act 1958</w:t>
      </w:r>
    </w:p>
    <w:p w14:paraId="6FEB7A36" w14:textId="77777777" w:rsidR="008962BD" w:rsidRPr="008962BD" w:rsidRDefault="008962BD" w:rsidP="008962BD">
      <w:pPr>
        <w:pStyle w:val="BodyText"/>
      </w:pPr>
      <w:r w:rsidRPr="008962BD">
        <w:br w:type="page"/>
      </w:r>
    </w:p>
    <w:p w14:paraId="392F5D70" w14:textId="77777777" w:rsidR="009D153A" w:rsidRDefault="009D153A" w:rsidP="009D153A">
      <w:pPr>
        <w:pStyle w:val="BodyText"/>
      </w:pPr>
      <w:r>
        <w:lastRenderedPageBreak/>
        <w:t>Consumer Affairs Victoria (part of the Department of Justice and Community Safety) acknowledges the Aboriginal and Torres Strait Islander people as the Traditional Custodians of the land. The department also acknowledges and pays respect to their Elders, past and present. Authorised and published by the Victorian Government, 1 Treasury Place, Melbourne.</w:t>
      </w:r>
    </w:p>
    <w:p w14:paraId="69206741" w14:textId="02C067B7" w:rsidR="009D153A" w:rsidRDefault="006B51F3" w:rsidP="009D153A">
      <w:pPr>
        <w:pStyle w:val="BodyText"/>
      </w:pPr>
      <w:r w:rsidRPr="006B51F3">
        <w:t>December</w:t>
      </w:r>
      <w:r>
        <w:t xml:space="preserve"> </w:t>
      </w:r>
      <w:r w:rsidR="009D153A">
        <w:t>2022</w:t>
      </w:r>
    </w:p>
    <w:p w14:paraId="1B261317" w14:textId="77777777" w:rsidR="009D153A" w:rsidRDefault="009D153A" w:rsidP="009D153A">
      <w:pPr>
        <w:pStyle w:val="BodyText"/>
      </w:pPr>
      <w:r>
        <w:t>ISSN 2209-5489</w:t>
      </w:r>
    </w:p>
    <w:p w14:paraId="1EB7111B" w14:textId="77777777" w:rsidR="009D153A" w:rsidRDefault="009D153A" w:rsidP="009D153A">
      <w:pPr>
        <w:pStyle w:val="BodyText"/>
      </w:pPr>
      <w:r>
        <w:t>Unless indicated otherwise, this work is made available under the terms of the Creative Commons Attribution 4.0 International licence.</w:t>
      </w:r>
    </w:p>
    <w:p w14:paraId="7017F1AD" w14:textId="77777777" w:rsidR="009D153A" w:rsidRDefault="009D153A" w:rsidP="009D153A">
      <w:pPr>
        <w:pStyle w:val="BodyText"/>
      </w:pPr>
      <w:r>
        <w:t xml:space="preserve">To view a copy of this licence, visit the </w:t>
      </w:r>
      <w:hyperlink r:id="rId14" w:history="1">
        <w:r w:rsidRPr="008451CB">
          <w:rPr>
            <w:rStyle w:val="Hyperlink"/>
          </w:rPr>
          <w:t>Creative Commons website</w:t>
        </w:r>
      </w:hyperlink>
      <w:r>
        <w:t xml:space="preserve"> &lt;creativecommons.org/licenses/by/4.0&gt;.</w:t>
      </w:r>
    </w:p>
    <w:p w14:paraId="619F74E1" w14:textId="77777777" w:rsidR="009D153A" w:rsidRDefault="009D153A" w:rsidP="009D153A">
      <w:pPr>
        <w:pStyle w:val="BodyText"/>
      </w:pPr>
      <w:r>
        <w:t>It is a condition of this Creative Commons Attribution 4.0 Licence that you give credit to the original author, who is the State of Victoria.</w:t>
      </w:r>
    </w:p>
    <w:p w14:paraId="50DF6FA0" w14:textId="7F8F5C2D" w:rsidR="009D153A" w:rsidRDefault="00D57116" w:rsidP="00D57116">
      <w:pPr>
        <w:pStyle w:val="BodyText"/>
      </w:pPr>
      <w:r>
        <w:t>Published by order, or under the authority, of the Parliament of Victoria</w:t>
      </w:r>
      <w:r>
        <w:br/>
        <w:t>December 2022</w:t>
      </w:r>
    </w:p>
    <w:p w14:paraId="524B7D82" w14:textId="5D36D7BD" w:rsidR="00A41E9C" w:rsidRDefault="00A41E9C" w:rsidP="00A41E9C">
      <w:pPr>
        <w:pStyle w:val="Heading2"/>
      </w:pPr>
      <w:bookmarkStart w:id="29" w:name="_Toc122097082"/>
      <w:r>
        <w:lastRenderedPageBreak/>
        <w:t>Consumer</w:t>
      </w:r>
      <w:r w:rsidR="00D23ECC">
        <w:t xml:space="preserve"> </w:t>
      </w:r>
      <w:r>
        <w:t>Affairs</w:t>
      </w:r>
      <w:r w:rsidR="00D23ECC">
        <w:t xml:space="preserve"> </w:t>
      </w:r>
      <w:r>
        <w:t>Victoria</w:t>
      </w:r>
      <w:bookmarkEnd w:id="29"/>
    </w:p>
    <w:p w14:paraId="351AD359" w14:textId="3C45180B" w:rsidR="00A41E9C" w:rsidRDefault="000C7BFD" w:rsidP="00A41E9C">
      <w:pPr>
        <w:pStyle w:val="BodyText"/>
      </w:pPr>
      <w:hyperlink r:id="rId15" w:history="1">
        <w:r w:rsidR="00A41E9C" w:rsidRPr="004746BC">
          <w:rPr>
            <w:rStyle w:val="Hyperlink"/>
          </w:rPr>
          <w:t>Consumer</w:t>
        </w:r>
        <w:r w:rsidR="00D23ECC">
          <w:rPr>
            <w:rStyle w:val="Hyperlink"/>
          </w:rPr>
          <w:t xml:space="preserve"> </w:t>
        </w:r>
        <w:r w:rsidR="00A41E9C" w:rsidRPr="004746BC">
          <w:rPr>
            <w:rStyle w:val="Hyperlink"/>
          </w:rPr>
          <w:t>Affairs</w:t>
        </w:r>
        <w:r w:rsidR="00D23ECC">
          <w:rPr>
            <w:rStyle w:val="Hyperlink"/>
          </w:rPr>
          <w:t xml:space="preserve"> </w:t>
        </w:r>
        <w:r w:rsidR="00A41E9C" w:rsidRPr="004746BC">
          <w:rPr>
            <w:rStyle w:val="Hyperlink"/>
          </w:rPr>
          <w:t>Vic</w:t>
        </w:r>
        <w:r w:rsidR="00A41E9C" w:rsidRPr="004746BC">
          <w:rPr>
            <w:rStyle w:val="Hyperlink"/>
          </w:rPr>
          <w:t>t</w:t>
        </w:r>
        <w:r w:rsidR="00A41E9C" w:rsidRPr="004746BC">
          <w:rPr>
            <w:rStyle w:val="Hyperlink"/>
          </w:rPr>
          <w:t>oria</w:t>
        </w:r>
        <w:r w:rsidR="00D23ECC">
          <w:rPr>
            <w:rStyle w:val="Hyperlink"/>
          </w:rPr>
          <w:t xml:space="preserve"> </w:t>
        </w:r>
        <w:r w:rsidR="00A41E9C" w:rsidRPr="004746BC">
          <w:rPr>
            <w:rStyle w:val="Hyperlink"/>
          </w:rPr>
          <w:t>website</w:t>
        </w:r>
      </w:hyperlink>
      <w:r w:rsidR="00D23ECC">
        <w:t xml:space="preserve"> </w:t>
      </w:r>
      <w:r w:rsidR="00A41E9C">
        <w:t>&lt;consumer.vic.gov.au&gt;</w:t>
      </w:r>
    </w:p>
    <w:p w14:paraId="612ABF1E" w14:textId="41B83D28" w:rsidR="00A41E9C" w:rsidRPr="0098392C" w:rsidRDefault="000C7BFD" w:rsidP="00A41E9C">
      <w:pPr>
        <w:pStyle w:val="BodyText"/>
      </w:pPr>
      <w:hyperlink r:id="rId16" w:history="1">
        <w:r w:rsidR="00A41E9C">
          <w:rPr>
            <w:rStyle w:val="Hyperlink"/>
            <w:lang w:val="en-GB"/>
          </w:rPr>
          <w:t>Facebook</w:t>
        </w:r>
        <w:r w:rsidR="00D23ECC">
          <w:rPr>
            <w:rStyle w:val="Hyperlink"/>
            <w:lang w:val="en-GB"/>
          </w:rPr>
          <w:t xml:space="preserve"> </w:t>
        </w:r>
        <w:r w:rsidR="00A41E9C">
          <w:rPr>
            <w:rStyle w:val="Hyperlink"/>
            <w:lang w:val="en-GB"/>
          </w:rPr>
          <w:t>page</w:t>
        </w:r>
        <w:r w:rsidR="00D23ECC">
          <w:rPr>
            <w:rStyle w:val="Hyperlink"/>
            <w:lang w:val="en-GB"/>
          </w:rPr>
          <w:t xml:space="preserve"> </w:t>
        </w:r>
        <w:r w:rsidR="00A41E9C">
          <w:rPr>
            <w:rStyle w:val="Hyperlink"/>
            <w:lang w:val="en-GB"/>
          </w:rPr>
          <w:t>of</w:t>
        </w:r>
        <w:r w:rsidR="00D23ECC">
          <w:rPr>
            <w:rStyle w:val="Hyperlink"/>
            <w:lang w:val="en-GB"/>
          </w:rPr>
          <w:t xml:space="preserve"> </w:t>
        </w:r>
        <w:r w:rsidR="00A41E9C">
          <w:rPr>
            <w:rStyle w:val="Hyperlink"/>
            <w:lang w:val="en-GB"/>
          </w:rPr>
          <w:t>Consum</w:t>
        </w:r>
        <w:r w:rsidR="00A41E9C">
          <w:rPr>
            <w:rStyle w:val="Hyperlink"/>
            <w:lang w:val="en-GB"/>
          </w:rPr>
          <w:t>e</w:t>
        </w:r>
        <w:r w:rsidR="00A41E9C">
          <w:rPr>
            <w:rStyle w:val="Hyperlink"/>
            <w:lang w:val="en-GB"/>
          </w:rPr>
          <w:t>r</w:t>
        </w:r>
        <w:r w:rsidR="00D23ECC">
          <w:rPr>
            <w:rStyle w:val="Hyperlink"/>
            <w:lang w:val="en-GB"/>
          </w:rPr>
          <w:t xml:space="preserve"> </w:t>
        </w:r>
        <w:r w:rsidR="00A41E9C">
          <w:rPr>
            <w:rStyle w:val="Hyperlink"/>
            <w:lang w:val="en-GB"/>
          </w:rPr>
          <w:t>Affairs</w:t>
        </w:r>
        <w:r w:rsidR="00D23ECC">
          <w:rPr>
            <w:rStyle w:val="Hyperlink"/>
            <w:lang w:val="en-GB"/>
          </w:rPr>
          <w:t xml:space="preserve"> </w:t>
        </w:r>
        <w:r w:rsidR="00A41E9C">
          <w:rPr>
            <w:rStyle w:val="Hyperlink"/>
            <w:lang w:val="en-GB"/>
          </w:rPr>
          <w:t>Victoria</w:t>
        </w:r>
      </w:hyperlink>
      <w:r w:rsidR="00D23ECC">
        <w:rPr>
          <w:lang w:val="en-GB"/>
        </w:rPr>
        <w:t xml:space="preserve"> </w:t>
      </w:r>
      <w:r w:rsidR="00A41E9C">
        <w:rPr>
          <w:lang w:val="en-GB"/>
        </w:rPr>
        <w:t>&lt;</w:t>
      </w:r>
      <w:r w:rsidR="00A41E9C" w:rsidRPr="000C3AB6">
        <w:rPr>
          <w:lang w:val="en-GB"/>
        </w:rPr>
        <w:t>facebook.com/</w:t>
      </w:r>
      <w:proofErr w:type="spellStart"/>
      <w:r w:rsidR="00A41E9C" w:rsidRPr="000C3AB6">
        <w:rPr>
          <w:lang w:val="en-GB"/>
        </w:rPr>
        <w:t>ConsumerAffairsVictoria</w:t>
      </w:r>
      <w:proofErr w:type="spellEnd"/>
      <w:r w:rsidR="00A41E9C">
        <w:rPr>
          <w:lang w:val="en-GB"/>
        </w:rPr>
        <w:t>&gt;</w:t>
      </w:r>
    </w:p>
    <w:p w14:paraId="3FF2CE2C" w14:textId="540EF53B" w:rsidR="00A41E9C" w:rsidRDefault="000C7BFD" w:rsidP="00A41E9C">
      <w:pPr>
        <w:pStyle w:val="BodyText"/>
        <w:rPr>
          <w:lang w:val="en-GB"/>
        </w:rPr>
      </w:pPr>
      <w:hyperlink r:id="rId17" w:history="1">
        <w:r w:rsidR="00A41E9C">
          <w:rPr>
            <w:rStyle w:val="Hyperlink"/>
            <w:lang w:val="en-GB"/>
          </w:rPr>
          <w:t>Twitter</w:t>
        </w:r>
        <w:r w:rsidR="00D23ECC">
          <w:rPr>
            <w:rStyle w:val="Hyperlink"/>
            <w:lang w:val="en-GB"/>
          </w:rPr>
          <w:t xml:space="preserve"> </w:t>
        </w:r>
        <w:r w:rsidR="00A41E9C">
          <w:rPr>
            <w:rStyle w:val="Hyperlink"/>
            <w:lang w:val="en-GB"/>
          </w:rPr>
          <w:t>page</w:t>
        </w:r>
        <w:r w:rsidR="00D23ECC">
          <w:rPr>
            <w:rStyle w:val="Hyperlink"/>
            <w:lang w:val="en-GB"/>
          </w:rPr>
          <w:t xml:space="preserve"> </w:t>
        </w:r>
        <w:r w:rsidR="00A41E9C">
          <w:rPr>
            <w:rStyle w:val="Hyperlink"/>
            <w:lang w:val="en-GB"/>
          </w:rPr>
          <w:t>of</w:t>
        </w:r>
        <w:r w:rsidR="00D23ECC">
          <w:rPr>
            <w:rStyle w:val="Hyperlink"/>
            <w:lang w:val="en-GB"/>
          </w:rPr>
          <w:t xml:space="preserve"> </w:t>
        </w:r>
        <w:r w:rsidR="00A41E9C">
          <w:rPr>
            <w:rStyle w:val="Hyperlink"/>
            <w:lang w:val="en-GB"/>
          </w:rPr>
          <w:t>Consumer</w:t>
        </w:r>
        <w:r w:rsidR="00D23ECC">
          <w:rPr>
            <w:rStyle w:val="Hyperlink"/>
            <w:lang w:val="en-GB"/>
          </w:rPr>
          <w:t xml:space="preserve"> </w:t>
        </w:r>
        <w:r w:rsidR="00A41E9C">
          <w:rPr>
            <w:rStyle w:val="Hyperlink"/>
            <w:lang w:val="en-GB"/>
          </w:rPr>
          <w:t>Affair</w:t>
        </w:r>
        <w:r w:rsidR="00A41E9C">
          <w:rPr>
            <w:rStyle w:val="Hyperlink"/>
            <w:lang w:val="en-GB"/>
          </w:rPr>
          <w:t>s</w:t>
        </w:r>
        <w:r w:rsidR="00D23ECC">
          <w:rPr>
            <w:rStyle w:val="Hyperlink"/>
            <w:lang w:val="en-GB"/>
          </w:rPr>
          <w:t xml:space="preserve"> </w:t>
        </w:r>
        <w:r w:rsidR="00A41E9C">
          <w:rPr>
            <w:rStyle w:val="Hyperlink"/>
            <w:lang w:val="en-GB"/>
          </w:rPr>
          <w:t>Victoria</w:t>
        </w:r>
      </w:hyperlink>
      <w:r w:rsidR="00D23ECC">
        <w:rPr>
          <w:lang w:val="en-GB"/>
        </w:rPr>
        <w:t xml:space="preserve"> </w:t>
      </w:r>
      <w:r w:rsidR="00A41E9C">
        <w:rPr>
          <w:lang w:val="en-GB"/>
        </w:rPr>
        <w:t>&lt;</w:t>
      </w:r>
      <w:r w:rsidR="00A41E9C" w:rsidRPr="000C3AB6">
        <w:rPr>
          <w:lang w:val="en-GB"/>
        </w:rPr>
        <w:t>twitter.com/</w:t>
      </w:r>
      <w:proofErr w:type="spellStart"/>
      <w:r w:rsidR="00A41E9C" w:rsidRPr="000C3AB6">
        <w:rPr>
          <w:lang w:val="en-GB"/>
        </w:rPr>
        <w:t>consumervic</w:t>
      </w:r>
      <w:proofErr w:type="spellEnd"/>
      <w:r w:rsidR="00A41E9C">
        <w:rPr>
          <w:lang w:val="en-GB"/>
        </w:rPr>
        <w:t>&gt;</w:t>
      </w:r>
    </w:p>
    <w:p w14:paraId="26FCE590" w14:textId="5CE2C022" w:rsidR="00A66C4F" w:rsidRDefault="000C7BFD" w:rsidP="00D31BFE">
      <w:pPr>
        <w:pStyle w:val="BodyText"/>
        <w:rPr>
          <w:lang w:val="en-GB"/>
        </w:rPr>
      </w:pPr>
      <w:hyperlink r:id="rId18" w:history="1">
        <w:r w:rsidR="00A41E9C">
          <w:rPr>
            <w:rStyle w:val="Hyperlink"/>
            <w:lang w:val="en-GB"/>
          </w:rPr>
          <w:t>YouTube</w:t>
        </w:r>
        <w:r w:rsidR="00D23ECC">
          <w:rPr>
            <w:rStyle w:val="Hyperlink"/>
            <w:lang w:val="en-GB"/>
          </w:rPr>
          <w:t xml:space="preserve"> </w:t>
        </w:r>
        <w:r w:rsidR="00A41E9C">
          <w:rPr>
            <w:rStyle w:val="Hyperlink"/>
            <w:lang w:val="en-GB"/>
          </w:rPr>
          <w:t>page</w:t>
        </w:r>
        <w:r w:rsidR="00D23ECC">
          <w:rPr>
            <w:rStyle w:val="Hyperlink"/>
            <w:lang w:val="en-GB"/>
          </w:rPr>
          <w:t xml:space="preserve"> </w:t>
        </w:r>
        <w:r w:rsidR="00A41E9C">
          <w:rPr>
            <w:rStyle w:val="Hyperlink"/>
            <w:lang w:val="en-GB"/>
          </w:rPr>
          <w:t>of</w:t>
        </w:r>
        <w:r w:rsidR="00D23ECC">
          <w:rPr>
            <w:rStyle w:val="Hyperlink"/>
            <w:lang w:val="en-GB"/>
          </w:rPr>
          <w:t xml:space="preserve"> </w:t>
        </w:r>
        <w:r w:rsidR="00A41E9C">
          <w:rPr>
            <w:rStyle w:val="Hyperlink"/>
            <w:lang w:val="en-GB"/>
          </w:rPr>
          <w:t>Consume</w:t>
        </w:r>
        <w:r w:rsidR="00A41E9C">
          <w:rPr>
            <w:rStyle w:val="Hyperlink"/>
            <w:lang w:val="en-GB"/>
          </w:rPr>
          <w:t>r</w:t>
        </w:r>
        <w:r w:rsidR="00D23ECC">
          <w:rPr>
            <w:rStyle w:val="Hyperlink"/>
            <w:lang w:val="en-GB"/>
          </w:rPr>
          <w:t xml:space="preserve"> </w:t>
        </w:r>
        <w:r w:rsidR="00A41E9C">
          <w:rPr>
            <w:rStyle w:val="Hyperlink"/>
            <w:lang w:val="en-GB"/>
          </w:rPr>
          <w:t>Affairs</w:t>
        </w:r>
        <w:r w:rsidR="00D23ECC">
          <w:rPr>
            <w:rStyle w:val="Hyperlink"/>
            <w:lang w:val="en-GB"/>
          </w:rPr>
          <w:t xml:space="preserve"> </w:t>
        </w:r>
        <w:r w:rsidR="00A41E9C">
          <w:rPr>
            <w:rStyle w:val="Hyperlink"/>
            <w:lang w:val="en-GB"/>
          </w:rPr>
          <w:t>Victoria</w:t>
        </w:r>
      </w:hyperlink>
      <w:r w:rsidR="00D23ECC">
        <w:rPr>
          <w:lang w:val="en-GB"/>
        </w:rPr>
        <w:t xml:space="preserve"> </w:t>
      </w:r>
      <w:r w:rsidR="00A41E9C">
        <w:rPr>
          <w:lang w:val="en-GB"/>
        </w:rPr>
        <w:t>&lt;</w:t>
      </w:r>
      <w:r w:rsidR="00A41E9C" w:rsidRPr="000C3AB6">
        <w:rPr>
          <w:lang w:val="en-GB"/>
        </w:rPr>
        <w:t>youtube.com/</w:t>
      </w:r>
      <w:proofErr w:type="spellStart"/>
      <w:r w:rsidR="00A41E9C" w:rsidRPr="000C3AB6">
        <w:rPr>
          <w:lang w:val="en-GB"/>
        </w:rPr>
        <w:t>consumervic</w:t>
      </w:r>
      <w:proofErr w:type="spellEnd"/>
      <w:r w:rsidR="00A41E9C">
        <w:rPr>
          <w:lang w:val="en-GB"/>
        </w:rPr>
        <w:t>&gt;</w:t>
      </w:r>
    </w:p>
    <w:p w14:paraId="6C8CA174" w14:textId="2395491D" w:rsidR="0027789E" w:rsidRDefault="0027789E" w:rsidP="0027789E">
      <w:pPr>
        <w:pStyle w:val="BodyText"/>
        <w:spacing w:before="10500"/>
        <w:rPr>
          <w:lang w:val="en-GB"/>
        </w:rPr>
      </w:pPr>
      <w:r>
        <w:rPr>
          <w:noProof/>
          <w:lang w:val="en-GB"/>
        </w:rPr>
        <w:drawing>
          <wp:inline distT="0" distB="0" distL="0" distR="0" wp14:anchorId="3122B08F" wp14:editId="73384A16">
            <wp:extent cx="1735200" cy="468000"/>
            <wp:effectExtent l="0" t="0" r="0" b="8255"/>
            <wp:docPr id="3" name="Graphic 3" descr="Victoria State Government Department of Justice and Community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ictoria State Government Department of Justice and Community Safety"/>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35200" cy="468000"/>
                    </a:xfrm>
                    <a:prstGeom prst="rect">
                      <a:avLst/>
                    </a:prstGeom>
                  </pic:spPr>
                </pic:pic>
              </a:graphicData>
            </a:graphic>
          </wp:inline>
        </w:drawing>
      </w:r>
    </w:p>
    <w:sectPr w:rsidR="0027789E" w:rsidSect="00783BEE">
      <w:footnotePr>
        <w:pos w:val="beneathText"/>
        <w:numRestart w:val="eachPage"/>
      </w:footnotePr>
      <w:pgSz w:w="11906" w:h="16838" w:code="9"/>
      <w:pgMar w:top="1418" w:right="1418" w:bottom="1134"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FEF4C" w14:textId="0CC42314" w:rsidR="006F187D" w:rsidRDefault="006F187D" w:rsidP="00C71F11">
      <w:pPr>
        <w:spacing w:after="0" w:line="240" w:lineRule="auto"/>
      </w:pPr>
      <w:r>
        <w:separator/>
      </w:r>
    </w:p>
    <w:p w14:paraId="6BCC1970" w14:textId="77777777" w:rsidR="006F187D" w:rsidRDefault="006F187D"/>
    <w:p w14:paraId="53145404" w14:textId="77777777" w:rsidR="006F187D" w:rsidRDefault="006F187D"/>
    <w:p w14:paraId="2B67FF8B" w14:textId="77777777" w:rsidR="006F187D" w:rsidRDefault="006F187D"/>
    <w:p w14:paraId="3DE7BBCF" w14:textId="77777777" w:rsidR="006F187D" w:rsidRDefault="006F187D"/>
  </w:endnote>
  <w:endnote w:type="continuationSeparator" w:id="0">
    <w:p w14:paraId="5703E0FE" w14:textId="2C270545" w:rsidR="006F187D" w:rsidRDefault="006F187D" w:rsidP="00C71F11">
      <w:pPr>
        <w:spacing w:after="0" w:line="240" w:lineRule="auto"/>
      </w:pPr>
      <w:r>
        <w:continuationSeparator/>
      </w:r>
    </w:p>
    <w:p w14:paraId="4ADB47F0" w14:textId="77777777" w:rsidR="006F187D" w:rsidRDefault="006F187D"/>
    <w:p w14:paraId="39C3E3F3" w14:textId="77777777" w:rsidR="006F187D" w:rsidRDefault="006F187D"/>
    <w:p w14:paraId="067C890F" w14:textId="77777777" w:rsidR="006F187D" w:rsidRDefault="006F187D"/>
    <w:p w14:paraId="3602B039" w14:textId="77777777" w:rsidR="006F187D" w:rsidRDefault="006F187D"/>
  </w:endnote>
  <w:endnote w:type="continuationNotice" w:id="1">
    <w:p w14:paraId="606227D0" w14:textId="21A2EE76" w:rsidR="006F187D" w:rsidRDefault="006F187D">
      <w:pPr>
        <w:spacing w:after="0" w:line="240" w:lineRule="auto"/>
      </w:pPr>
    </w:p>
    <w:p w14:paraId="309E404A" w14:textId="77777777" w:rsidR="006F187D" w:rsidRDefault="006F187D"/>
    <w:p w14:paraId="42DC8DBF" w14:textId="77777777" w:rsidR="006F187D" w:rsidRDefault="006F187D"/>
    <w:p w14:paraId="7C2A1C5E" w14:textId="77777777" w:rsidR="006F187D" w:rsidRDefault="006F187D"/>
    <w:p w14:paraId="00A32585" w14:textId="77777777" w:rsidR="006F187D" w:rsidRDefault="006F1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IC-Bold">
    <w:altName w:val="VIC"/>
    <w:panose1 w:val="00000000000000000000"/>
    <w:charset w:val="4D"/>
    <w:family w:val="auto"/>
    <w:notTrueType/>
    <w:pitch w:val="default"/>
    <w:sig w:usb0="00000003" w:usb1="00000000" w:usb2="00000000" w:usb3="00000000" w:csb0="00000001" w:csb1="00000000"/>
  </w:font>
  <w:font w:name="VIC-Light">
    <w:altName w:val="VIC"/>
    <w:panose1 w:val="00000000000000000000"/>
    <w:charset w:val="4D"/>
    <w:family w:val="auto"/>
    <w:notTrueType/>
    <w:pitch w:val="default"/>
    <w:sig w:usb0="00000003" w:usb1="00000000" w:usb2="00000000" w:usb3="00000000" w:csb0="00000001" w:csb1="00000000"/>
  </w:font>
  <w:font w:name="VIC-Regular">
    <w:altName w:val="VIC"/>
    <w:panose1 w:val="00000000000000000000"/>
    <w:charset w:val="4D"/>
    <w:family w:val="auto"/>
    <w:notTrueType/>
    <w:pitch w:val="default"/>
    <w:sig w:usb0="00000003" w:usb1="00000000" w:usb2="00000000" w:usb3="00000000" w:csb0="00000001" w:csb1="00000000"/>
  </w:font>
  <w:font w:name="VIC-SemiBold">
    <w:altName w:val="Courier New"/>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C7D0" w14:textId="418216E7" w:rsidR="006F187D" w:rsidRDefault="006F187D" w:rsidP="00006DE3">
    <w:pPr>
      <w:pStyle w:val="Footer"/>
    </w:pPr>
    <w:r w:rsidRPr="00783BEE">
      <w:t>Consumer</w:t>
    </w:r>
    <w:r w:rsidR="00D23ECC">
      <w:t xml:space="preserve"> </w:t>
    </w:r>
    <w:r w:rsidRPr="00783BEE">
      <w:t>Affairs</w:t>
    </w:r>
    <w:r w:rsidR="00D23ECC">
      <w:t xml:space="preserve"> </w:t>
    </w:r>
    <w:r>
      <w:t>Victoria:</w:t>
    </w:r>
    <w:r w:rsidR="00D23ECC">
      <w:t xml:space="preserve"> </w:t>
    </w:r>
    <w:r>
      <w:t>Annual</w:t>
    </w:r>
    <w:r w:rsidR="00D23ECC">
      <w:t xml:space="preserve"> </w:t>
    </w:r>
    <w:r>
      <w:t>Report</w:t>
    </w:r>
    <w:r w:rsidR="00D23ECC">
      <w:t xml:space="preserve"> </w:t>
    </w:r>
    <w:r>
      <w:t>20</w:t>
    </w:r>
    <w:r w:rsidR="00D56D64">
      <w:t>2</w:t>
    </w:r>
    <w:r w:rsidR="009564E9">
      <w:t>1</w:t>
    </w:r>
    <w:r w:rsidR="00D56D64">
      <w:t>–2</w:t>
    </w:r>
    <w:r w:rsidR="009564E9">
      <w:t>2</w:t>
    </w:r>
    <w:r>
      <w:ptab w:relativeTo="margin" w:alignment="right" w:leader="none"/>
    </w:r>
    <w:r w:rsidRPr="00783BEE">
      <w:fldChar w:fldCharType="begin"/>
    </w:r>
    <w:r w:rsidRPr="00783BEE">
      <w:instrText xml:space="preserve"> PAGE   \* MERGEFORMAT </w:instrText>
    </w:r>
    <w:r w:rsidRPr="00783BEE">
      <w:fldChar w:fldCharType="separate"/>
    </w:r>
    <w:r>
      <w:rPr>
        <w:noProof/>
      </w:rPr>
      <w:t>41</w:t>
    </w:r>
    <w:r w:rsidRPr="00783BE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65652" w14:textId="77777777" w:rsidR="006F187D" w:rsidRPr="004D56A7" w:rsidRDefault="006F187D" w:rsidP="00880587">
      <w:pPr>
        <w:spacing w:after="0" w:line="240" w:lineRule="auto"/>
        <w:rPr>
          <w:color w:val="FFFFFF" w:themeColor="background1"/>
          <w:sz w:val="8"/>
          <w:szCs w:val="8"/>
        </w:rPr>
      </w:pPr>
    </w:p>
  </w:footnote>
  <w:footnote w:type="continuationSeparator" w:id="0">
    <w:p w14:paraId="7D728B39" w14:textId="327CB8A8" w:rsidR="006F187D" w:rsidRDefault="006F187D" w:rsidP="00C71F11">
      <w:pPr>
        <w:spacing w:after="0" w:line="240" w:lineRule="auto"/>
      </w:pPr>
      <w:r>
        <w:continuationSeparator/>
      </w:r>
    </w:p>
    <w:p w14:paraId="2E540BA2" w14:textId="77777777" w:rsidR="006F187D" w:rsidRDefault="006F187D"/>
    <w:p w14:paraId="544502F1" w14:textId="77777777" w:rsidR="006F187D" w:rsidRDefault="006F187D"/>
    <w:p w14:paraId="2EBE0AE3" w14:textId="77777777" w:rsidR="006F187D" w:rsidRDefault="006F187D"/>
    <w:p w14:paraId="5935D54E" w14:textId="77777777" w:rsidR="006F187D" w:rsidRDefault="006F187D"/>
  </w:footnote>
  <w:footnote w:type="continuationNotice" w:id="1">
    <w:p w14:paraId="1B519D0B" w14:textId="775395A6" w:rsidR="006F187D" w:rsidRDefault="006F187D">
      <w:pPr>
        <w:spacing w:after="0" w:line="240" w:lineRule="auto"/>
      </w:pPr>
    </w:p>
    <w:p w14:paraId="25027D99" w14:textId="77777777" w:rsidR="006F187D" w:rsidRDefault="006F187D"/>
    <w:p w14:paraId="061B29B1" w14:textId="77777777" w:rsidR="006F187D" w:rsidRDefault="006F187D"/>
    <w:p w14:paraId="75742922" w14:textId="77777777" w:rsidR="006F187D" w:rsidRDefault="006F187D"/>
    <w:p w14:paraId="1546F981" w14:textId="77777777" w:rsidR="006F187D" w:rsidRDefault="006F187D"/>
  </w:footnote>
  <w:footnote w:id="2">
    <w:p w14:paraId="32B52471" w14:textId="108435F8" w:rsidR="009564E9" w:rsidRDefault="009564E9" w:rsidP="007470E2">
      <w:pPr>
        <w:pStyle w:val="FootnoteText"/>
      </w:pPr>
      <w:r w:rsidRPr="003055D0">
        <w:footnoteRef/>
      </w:r>
      <w:r w:rsidRPr="003055D0">
        <w:tab/>
      </w:r>
      <w:r>
        <w:t>The actual is lower than the target due to service model changes to promote online advice where appropriate whilst ensuring telephone support for those that need it</w:t>
      </w:r>
      <w:r w:rsidR="00830E55">
        <w:t>.</w:t>
      </w:r>
    </w:p>
  </w:footnote>
  <w:footnote w:id="3">
    <w:p w14:paraId="44D7B288" w14:textId="0868CE7C" w:rsidR="009564E9" w:rsidRDefault="009564E9" w:rsidP="007470E2">
      <w:pPr>
        <w:pStyle w:val="FootnoteText"/>
      </w:pPr>
      <w:r w:rsidRPr="003055D0">
        <w:footnoteRef/>
      </w:r>
      <w:r w:rsidRPr="003055D0">
        <w:tab/>
      </w:r>
      <w:r>
        <w:t>The figure reported in the 2020–21 Annual Report was incorrect at 214,819 and has since been corrected to</w:t>
      </w:r>
      <w:r w:rsidR="003F5F99">
        <w:t> </w:t>
      </w:r>
      <w:r w:rsidR="00BC0F49" w:rsidRPr="00BC0F49">
        <w:t>205,508</w:t>
      </w:r>
      <w:r w:rsidR="00830E55">
        <w:t>.</w:t>
      </w:r>
    </w:p>
  </w:footnote>
  <w:footnote w:id="4">
    <w:p w14:paraId="7E1CDA27" w14:textId="029A8618" w:rsidR="009564E9" w:rsidRDefault="009564E9" w:rsidP="007470E2">
      <w:pPr>
        <w:pStyle w:val="FootnoteText"/>
      </w:pPr>
      <w:r w:rsidRPr="003055D0">
        <w:footnoteRef/>
      </w:r>
      <w:r w:rsidRPr="003055D0">
        <w:tab/>
      </w:r>
      <w:r>
        <w:t>The actual is lower than target as while online services remain high, and the easing of COVID-19 restrictions has seen an increase in clients seeking rent and repair inspections and accessing financial counselling, tenancy and consumer services. As clients are needing more intensive and longer support, this means that service agencies are meeting or exceeding client hours but have not been able to engage as many clients</w:t>
      </w:r>
      <w:r w:rsidR="00830E55">
        <w:t>.</w:t>
      </w:r>
    </w:p>
  </w:footnote>
  <w:footnote w:id="5">
    <w:p w14:paraId="318BF37E" w14:textId="7D16E7C2" w:rsidR="009564E9" w:rsidRDefault="009564E9" w:rsidP="007470E2">
      <w:pPr>
        <w:pStyle w:val="FootnoteText"/>
      </w:pPr>
      <w:r w:rsidRPr="003055D0">
        <w:footnoteRef/>
      </w:r>
      <w:r w:rsidRPr="003055D0">
        <w:tab/>
      </w:r>
      <w:r>
        <w:t>Court and administrative outcomes rely significantly on compliance and investigation outcomes. Compliance activity, in particular, decreased as fewer on-site inspections could be undertaken due to COVID-19 restrictions. As on-site inspections resumed, inspection resources were prioritised to focus on meeting an increase in demand for rent and repair inspections and national product safety project inspections. A number of civil litigation matters are pending</w:t>
      </w:r>
      <w:r w:rsidR="00830E55">
        <w:t>.</w:t>
      </w:r>
    </w:p>
  </w:footnote>
  <w:footnote w:id="6">
    <w:p w14:paraId="2DC5201A" w14:textId="72C601A6" w:rsidR="009564E9" w:rsidRDefault="009564E9" w:rsidP="007470E2">
      <w:pPr>
        <w:pStyle w:val="FootnoteText"/>
      </w:pPr>
      <w:r w:rsidRPr="003055D0">
        <w:footnoteRef/>
      </w:r>
      <w:r w:rsidRPr="003055D0">
        <w:tab/>
      </w:r>
      <w:r>
        <w:t>The actual is higher than target due to receiving applications, renewals, notifications and annual statements under the new Professional Engineers Registration Scheme, which commenced 1 July 2021</w:t>
      </w:r>
      <w:r w:rsidR="00830E55">
        <w:t>.</w:t>
      </w:r>
    </w:p>
  </w:footnote>
  <w:footnote w:id="7">
    <w:p w14:paraId="4329F97F" w14:textId="313A3DF5" w:rsidR="009564E9" w:rsidRDefault="009564E9" w:rsidP="007470E2">
      <w:pPr>
        <w:pStyle w:val="FootnoteText"/>
      </w:pPr>
      <w:r w:rsidRPr="003055D0">
        <w:footnoteRef/>
      </w:r>
      <w:r w:rsidRPr="003055D0">
        <w:tab/>
      </w:r>
      <w:r>
        <w:t>While lower than target, the easing of COVID-19 restrictions has seen an increase in clients accessing these services. Clients are also needing more intensive and longer support per service</w:t>
      </w:r>
      <w:r w:rsidR="00830E55">
        <w:t>.</w:t>
      </w:r>
    </w:p>
  </w:footnote>
  <w:footnote w:id="8">
    <w:p w14:paraId="3021D010" w14:textId="7ACA82FB" w:rsidR="009564E9" w:rsidRDefault="009564E9" w:rsidP="007470E2">
      <w:pPr>
        <w:pStyle w:val="FootnoteText"/>
      </w:pPr>
      <w:r w:rsidRPr="003055D0">
        <w:footnoteRef/>
      </w:r>
      <w:r w:rsidRPr="003055D0">
        <w:tab/>
      </w:r>
      <w:r>
        <w:t>The actual was below target due to continued pandemic restrictions impacting the domestic building sector</w:t>
      </w:r>
      <w:r w:rsidR="003F5F99">
        <w:t> </w:t>
      </w:r>
      <w:r>
        <w:t>throughout the first two quarters of the financial year. In quarters three and four, DBDRV has seen an</w:t>
      </w:r>
      <w:r w:rsidR="003F5F99">
        <w:t> </w:t>
      </w:r>
      <w:r>
        <w:t>11 percent increase in applications.</w:t>
      </w:r>
    </w:p>
  </w:footnote>
  <w:footnote w:id="9">
    <w:p w14:paraId="1C37CD42" w14:textId="77777777" w:rsidR="009564E9" w:rsidRDefault="009564E9" w:rsidP="007470E2">
      <w:pPr>
        <w:pStyle w:val="FootnoteText"/>
      </w:pPr>
      <w:r w:rsidRPr="003055D0">
        <w:footnoteRef/>
      </w:r>
      <w:r w:rsidRPr="003055D0">
        <w:tab/>
      </w:r>
      <w:r>
        <w:t>The actual is lower than the target due to the impact COVID-19 has had on some businesses meeting their annual reporting and compliance obligations. Action has been taken for non-compliance where appropriate.</w:t>
      </w:r>
    </w:p>
  </w:footnote>
  <w:footnote w:id="10">
    <w:p w14:paraId="19C0A57F" w14:textId="2E5808D5" w:rsidR="009564E9" w:rsidRDefault="009564E9" w:rsidP="007470E2">
      <w:pPr>
        <w:pStyle w:val="FootnoteText"/>
      </w:pPr>
      <w:r w:rsidRPr="00713E14">
        <w:footnoteRef/>
      </w:r>
      <w:r w:rsidRPr="00713E14">
        <w:tab/>
      </w:r>
      <w:r>
        <w:t>Rental non-compliance register came into effect in March 2021.</w:t>
      </w:r>
    </w:p>
  </w:footnote>
  <w:footnote w:id="11">
    <w:p w14:paraId="0E99BB60" w14:textId="3C90A1C5" w:rsidR="009564E9" w:rsidRDefault="009564E9" w:rsidP="007470E2">
      <w:pPr>
        <w:pStyle w:val="FootnoteText"/>
      </w:pPr>
      <w:r w:rsidRPr="00713E14">
        <w:footnoteRef/>
      </w:r>
      <w:r w:rsidRPr="00713E14">
        <w:tab/>
      </w:r>
      <w:r>
        <w:t>The figure reported in the 2020–21 Annual Report was incorrect at 214,819 and has since been corrected to</w:t>
      </w:r>
      <w:r w:rsidR="00BC0F49">
        <w:t> </w:t>
      </w:r>
      <w:r w:rsidR="00BC0F49" w:rsidRPr="00BC0F49">
        <w:t>205,508</w:t>
      </w:r>
      <w:r>
        <w:t>.</w:t>
      </w:r>
    </w:p>
  </w:footnote>
  <w:footnote w:id="12">
    <w:p w14:paraId="773F799A" w14:textId="0257A07C" w:rsidR="009564E9" w:rsidRDefault="009564E9" w:rsidP="007470E2">
      <w:pPr>
        <w:pStyle w:val="FootnoteText"/>
      </w:pPr>
      <w:r w:rsidRPr="00713E14">
        <w:footnoteRef/>
      </w:r>
      <w:r w:rsidRPr="00713E14">
        <w:tab/>
      </w:r>
      <w:r>
        <w:t>The significant decrease in disputes finalised reflects the cessation of the Residential Tenancies Dispute Resolution Scheme which ran in 2019–20 and 2020–21. This year’s number are in line with 2018–19 results.</w:t>
      </w:r>
    </w:p>
  </w:footnote>
  <w:footnote w:id="13">
    <w:p w14:paraId="67243880" w14:textId="413E929D" w:rsidR="00B75A3A" w:rsidRPr="00B75A3A" w:rsidRDefault="00B75A3A">
      <w:pPr>
        <w:pStyle w:val="FootnoteText"/>
        <w:rPr>
          <w:lang w:val="en-US"/>
        </w:rPr>
      </w:pPr>
      <w:r w:rsidRPr="00B75A3A">
        <w:footnoteRef/>
      </w:r>
      <w:r>
        <w:tab/>
      </w:r>
      <w:r w:rsidRPr="00B75A3A">
        <w:t>The figure reported in the 2020–21 Annual Report was incorrect at 93,153 and has since been corrected to</w:t>
      </w:r>
      <w:r w:rsidR="001C330C">
        <w:t> </w:t>
      </w:r>
      <w:r w:rsidRPr="00B75A3A">
        <w:t>92,427.</w:t>
      </w:r>
    </w:p>
  </w:footnote>
  <w:footnote w:id="14">
    <w:p w14:paraId="033C349D" w14:textId="0AB637FA" w:rsidR="001C330C" w:rsidRPr="001C330C" w:rsidRDefault="001C330C">
      <w:pPr>
        <w:pStyle w:val="FootnoteText"/>
        <w:rPr>
          <w:lang w:val="en-US"/>
        </w:rPr>
      </w:pPr>
      <w:r w:rsidRPr="001C330C">
        <w:footnoteRef/>
      </w:r>
      <w:r>
        <w:rPr>
          <w:lang w:val="en-US"/>
        </w:rPr>
        <w:tab/>
      </w:r>
      <w:r w:rsidR="00A25744" w:rsidRPr="00A25744">
        <w:rPr>
          <w:lang w:val="en-US"/>
        </w:rPr>
        <w:t>The figure reported in the 2020–21 Annual Report was incorrect at 32,855 and has since been corrected to</w:t>
      </w:r>
      <w:r w:rsidR="00A25744">
        <w:rPr>
          <w:lang w:val="en-US"/>
        </w:rPr>
        <w:t> </w:t>
      </w:r>
      <w:r w:rsidR="00A25744" w:rsidRPr="00A25744">
        <w:rPr>
          <w:lang w:val="en-US"/>
        </w:rPr>
        <w:t>32,180.</w:t>
      </w:r>
    </w:p>
  </w:footnote>
  <w:footnote w:id="15">
    <w:p w14:paraId="5197132D" w14:textId="75CCC2E5" w:rsidR="006F0C9B" w:rsidRPr="006F0C9B" w:rsidRDefault="006F0C9B">
      <w:pPr>
        <w:pStyle w:val="FootnoteText"/>
        <w:rPr>
          <w:lang w:val="en-US"/>
        </w:rPr>
      </w:pPr>
      <w:r w:rsidRPr="006F0C9B">
        <w:footnoteRef/>
      </w:r>
      <w:r w:rsidRPr="006F0C9B">
        <w:tab/>
      </w:r>
      <w:r>
        <w:t>Domestic Building Dispute Levy and Registration Fees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048E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C34A5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F4EFE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B20E4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14A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82BB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ACC6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4467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74D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8864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16393"/>
    <w:multiLevelType w:val="multilevel"/>
    <w:tmpl w:val="8B9C5D6A"/>
    <w:styleLink w:val="CAVListStyleBullets"/>
    <w:lvl w:ilvl="0">
      <w:start w:val="1"/>
      <w:numFmt w:val="bullet"/>
      <w:lvlText w:val="•"/>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54270D4"/>
    <w:multiLevelType w:val="hybridMultilevel"/>
    <w:tmpl w:val="818EB01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09065395"/>
    <w:multiLevelType w:val="hybridMultilevel"/>
    <w:tmpl w:val="8348D644"/>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C106B55"/>
    <w:multiLevelType w:val="hybridMultilevel"/>
    <w:tmpl w:val="B2641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445F47"/>
    <w:multiLevelType w:val="hybridMultilevel"/>
    <w:tmpl w:val="F880F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5A6114"/>
    <w:multiLevelType w:val="hybridMultilevel"/>
    <w:tmpl w:val="AE403FA6"/>
    <w:lvl w:ilvl="0" w:tplc="8F74EDB4">
      <w:start w:val="1"/>
      <w:numFmt w:val="bullet"/>
      <w:lvlText w:val=""/>
      <w:lvlJc w:val="left"/>
      <w:pPr>
        <w:tabs>
          <w:tab w:val="num" w:pos="851"/>
        </w:tabs>
        <w:ind w:left="851" w:hanging="284"/>
      </w:pPr>
      <w:rPr>
        <w:rFonts w:ascii="Symbol" w:hAnsi="Symbol" w:hint="default"/>
        <w:b w:val="0"/>
        <w:i w:val="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A74DF"/>
    <w:multiLevelType w:val="hybridMultilevel"/>
    <w:tmpl w:val="D6A06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EE46CD"/>
    <w:multiLevelType w:val="hybridMultilevel"/>
    <w:tmpl w:val="5F7CA888"/>
    <w:lvl w:ilvl="0" w:tplc="F8765A4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F73B3E"/>
    <w:multiLevelType w:val="hybridMultilevel"/>
    <w:tmpl w:val="FDE4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495426"/>
    <w:multiLevelType w:val="hybridMultilevel"/>
    <w:tmpl w:val="1BB8D97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0" w15:restartNumberingAfterBreak="0">
    <w:nsid w:val="22F30DF7"/>
    <w:multiLevelType w:val="hybridMultilevel"/>
    <w:tmpl w:val="F732B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B947FC"/>
    <w:multiLevelType w:val="multilevel"/>
    <w:tmpl w:val="A888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B3190C"/>
    <w:multiLevelType w:val="hybridMultilevel"/>
    <w:tmpl w:val="DF880314"/>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3" w15:restartNumberingAfterBreak="0">
    <w:nsid w:val="32D70CCF"/>
    <w:multiLevelType w:val="hybridMultilevel"/>
    <w:tmpl w:val="4EAEF642"/>
    <w:lvl w:ilvl="0" w:tplc="14E4BDA0">
      <w:start w:val="1"/>
      <w:numFmt w:val="decimal"/>
      <w:lvlText w:val="%1."/>
      <w:lvlJc w:val="left"/>
      <w:pPr>
        <w:ind w:left="397" w:hanging="397"/>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42E13FF"/>
    <w:multiLevelType w:val="hybridMultilevel"/>
    <w:tmpl w:val="3EC21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92785C"/>
    <w:multiLevelType w:val="multilevel"/>
    <w:tmpl w:val="8B96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437DD1"/>
    <w:multiLevelType w:val="hybridMultilevel"/>
    <w:tmpl w:val="134A7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CE1F1A"/>
    <w:multiLevelType w:val="hybridMultilevel"/>
    <w:tmpl w:val="183E646A"/>
    <w:lvl w:ilvl="0" w:tplc="BC3CCCD8">
      <w:start w:val="1"/>
      <w:numFmt w:val="bullet"/>
      <w:lvlText w:val=""/>
      <w:lvlJc w:val="left"/>
      <w:pPr>
        <w:tabs>
          <w:tab w:val="num" w:pos="360"/>
        </w:tabs>
        <w:ind w:left="227" w:hanging="227"/>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AC733A"/>
    <w:multiLevelType w:val="hybridMultilevel"/>
    <w:tmpl w:val="B5D68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84191D"/>
    <w:multiLevelType w:val="hybridMultilevel"/>
    <w:tmpl w:val="4672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94059E"/>
    <w:multiLevelType w:val="hybridMultilevel"/>
    <w:tmpl w:val="7844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B61156"/>
    <w:multiLevelType w:val="multilevel"/>
    <w:tmpl w:val="8ABE064E"/>
    <w:styleLink w:val="ZZListBullets"/>
    <w:lvl w:ilvl="0">
      <w:start w:val="1"/>
      <w:numFmt w:val="bullet"/>
      <w:pStyle w:val="ListBullet"/>
      <w:lvlText w:val="•"/>
      <w:lvlJc w:val="left"/>
      <w:pPr>
        <w:ind w:left="284" w:hanging="284"/>
      </w:pPr>
      <w:rPr>
        <w:rFonts w:ascii="Calibri" w:hAnsi="Calibri" w:hint="default"/>
      </w:rPr>
    </w:lvl>
    <w:lvl w:ilvl="1">
      <w:numFmt w:val="bullet"/>
      <w:lvlRestart w:val="0"/>
      <w:pStyle w:val="ListBullet2"/>
      <w:lvlText w:val="–"/>
      <w:lvlJc w:val="left"/>
      <w:pPr>
        <w:ind w:left="567" w:hanging="283"/>
      </w:pPr>
      <w:rPr>
        <w:rFonts w:ascii="Calibri" w:hAnsi="Calibri"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32" w15:restartNumberingAfterBreak="0">
    <w:nsid w:val="483E28E2"/>
    <w:multiLevelType w:val="hybridMultilevel"/>
    <w:tmpl w:val="9574F4EE"/>
    <w:lvl w:ilvl="0" w:tplc="7548AAB0">
      <w:numFmt w:val="bullet"/>
      <w:lvlText w:val="•"/>
      <w:lvlJc w:val="left"/>
      <w:pPr>
        <w:ind w:left="1080" w:hanging="72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0014BF"/>
    <w:multiLevelType w:val="hybridMultilevel"/>
    <w:tmpl w:val="4C305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012922"/>
    <w:multiLevelType w:val="hybridMultilevel"/>
    <w:tmpl w:val="54B4D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2A6CF6"/>
    <w:multiLevelType w:val="hybridMultilevel"/>
    <w:tmpl w:val="B6D45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FC02C0"/>
    <w:multiLevelType w:val="hybridMultilevel"/>
    <w:tmpl w:val="5058D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D13DC4"/>
    <w:multiLevelType w:val="hybridMultilevel"/>
    <w:tmpl w:val="AC7A3D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4507075">
    <w:abstractNumId w:val="28"/>
  </w:num>
  <w:num w:numId="2" w16cid:durableId="1080297500">
    <w:abstractNumId w:val="12"/>
  </w:num>
  <w:num w:numId="3" w16cid:durableId="2013415474">
    <w:abstractNumId w:val="22"/>
  </w:num>
  <w:num w:numId="4" w16cid:durableId="1511220616">
    <w:abstractNumId w:val="23"/>
  </w:num>
  <w:num w:numId="5" w16cid:durableId="1144468203">
    <w:abstractNumId w:val="18"/>
  </w:num>
  <w:num w:numId="6" w16cid:durableId="1803573751">
    <w:abstractNumId w:val="19"/>
  </w:num>
  <w:num w:numId="7" w16cid:durableId="1259366875">
    <w:abstractNumId w:val="10"/>
  </w:num>
  <w:num w:numId="8" w16cid:durableId="534777360">
    <w:abstractNumId w:val="24"/>
  </w:num>
  <w:num w:numId="9" w16cid:durableId="488519805">
    <w:abstractNumId w:val="25"/>
  </w:num>
  <w:num w:numId="10" w16cid:durableId="1772629259">
    <w:abstractNumId w:val="20"/>
  </w:num>
  <w:num w:numId="11" w16cid:durableId="803351209">
    <w:abstractNumId w:val="11"/>
  </w:num>
  <w:num w:numId="12" w16cid:durableId="2128310588">
    <w:abstractNumId w:val="27"/>
  </w:num>
  <w:num w:numId="13" w16cid:durableId="891620716">
    <w:abstractNumId w:val="29"/>
  </w:num>
  <w:num w:numId="14" w16cid:durableId="236400486">
    <w:abstractNumId w:val="21"/>
  </w:num>
  <w:num w:numId="15" w16cid:durableId="1102726869">
    <w:abstractNumId w:val="26"/>
  </w:num>
  <w:num w:numId="16" w16cid:durableId="841121019">
    <w:abstractNumId w:val="17"/>
  </w:num>
  <w:num w:numId="17" w16cid:durableId="1506096131">
    <w:abstractNumId w:val="13"/>
  </w:num>
  <w:num w:numId="18" w16cid:durableId="706874525">
    <w:abstractNumId w:val="15"/>
  </w:num>
  <w:num w:numId="19" w16cid:durableId="564337777">
    <w:abstractNumId w:val="37"/>
  </w:num>
  <w:num w:numId="20" w16cid:durableId="1070536314">
    <w:abstractNumId w:val="30"/>
  </w:num>
  <w:num w:numId="21" w16cid:durableId="1318067524">
    <w:abstractNumId w:val="33"/>
  </w:num>
  <w:num w:numId="22" w16cid:durableId="841242281">
    <w:abstractNumId w:val="34"/>
  </w:num>
  <w:num w:numId="23" w16cid:durableId="1060784712">
    <w:abstractNumId w:val="32"/>
  </w:num>
  <w:num w:numId="24" w16cid:durableId="1542397534">
    <w:abstractNumId w:val="16"/>
  </w:num>
  <w:num w:numId="25" w16cid:durableId="1570073383">
    <w:abstractNumId w:val="35"/>
  </w:num>
  <w:num w:numId="26" w16cid:durableId="1278218731">
    <w:abstractNumId w:val="36"/>
  </w:num>
  <w:num w:numId="27" w16cid:durableId="1578898999">
    <w:abstractNumId w:val="14"/>
  </w:num>
  <w:num w:numId="28" w16cid:durableId="174538978">
    <w:abstractNumId w:val="9"/>
  </w:num>
  <w:num w:numId="29" w16cid:durableId="1897858772">
    <w:abstractNumId w:val="7"/>
  </w:num>
  <w:num w:numId="30" w16cid:durableId="353923576">
    <w:abstractNumId w:val="8"/>
  </w:num>
  <w:num w:numId="31" w16cid:durableId="1374890061">
    <w:abstractNumId w:val="3"/>
  </w:num>
  <w:num w:numId="32" w16cid:durableId="1221479507">
    <w:abstractNumId w:val="8"/>
    <w:lvlOverride w:ilvl="0">
      <w:startOverride w:val="1"/>
    </w:lvlOverride>
  </w:num>
  <w:num w:numId="33" w16cid:durableId="367024211">
    <w:abstractNumId w:val="6"/>
  </w:num>
  <w:num w:numId="34" w16cid:durableId="1530530608">
    <w:abstractNumId w:val="5"/>
  </w:num>
  <w:num w:numId="35" w16cid:durableId="1460496382">
    <w:abstractNumId w:val="4"/>
  </w:num>
  <w:num w:numId="36" w16cid:durableId="1656101097">
    <w:abstractNumId w:val="2"/>
  </w:num>
  <w:num w:numId="37" w16cid:durableId="703553969">
    <w:abstractNumId w:val="1"/>
  </w:num>
  <w:num w:numId="38" w16cid:durableId="1248660191">
    <w:abstractNumId w:val="0"/>
  </w:num>
  <w:num w:numId="39" w16cid:durableId="94149707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1"/>
  <w:proofState w:spelling="clean"/>
  <w:stylePaneSortMethod w:val="0000"/>
  <w:defaultTabStop w:val="720"/>
  <w:characterSpacingControl w:val="doNotCompress"/>
  <w:hdrShapeDefaults>
    <o:shapedefaults v:ext="edit" spidmax="105473"/>
  </w:hdrShapeDefaults>
  <w:footnotePr>
    <w:pos w:val="beneathText"/>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80"/>
    <w:rsid w:val="000067F2"/>
    <w:rsid w:val="00006DE3"/>
    <w:rsid w:val="000113E0"/>
    <w:rsid w:val="00021DA6"/>
    <w:rsid w:val="0002752D"/>
    <w:rsid w:val="00030169"/>
    <w:rsid w:val="00031B1C"/>
    <w:rsid w:val="00035675"/>
    <w:rsid w:val="000359C2"/>
    <w:rsid w:val="00040AF8"/>
    <w:rsid w:val="00041B76"/>
    <w:rsid w:val="00042358"/>
    <w:rsid w:val="00045784"/>
    <w:rsid w:val="00050E63"/>
    <w:rsid w:val="00052A73"/>
    <w:rsid w:val="00052AFF"/>
    <w:rsid w:val="00056D7F"/>
    <w:rsid w:val="00062049"/>
    <w:rsid w:val="00064594"/>
    <w:rsid w:val="00064C94"/>
    <w:rsid w:val="0006613F"/>
    <w:rsid w:val="000662A2"/>
    <w:rsid w:val="00077DCC"/>
    <w:rsid w:val="00080476"/>
    <w:rsid w:val="00084F8C"/>
    <w:rsid w:val="00086AF2"/>
    <w:rsid w:val="00091597"/>
    <w:rsid w:val="000965E1"/>
    <w:rsid w:val="000A16BF"/>
    <w:rsid w:val="000A4BC7"/>
    <w:rsid w:val="000A4D4B"/>
    <w:rsid w:val="000A74E4"/>
    <w:rsid w:val="000A7D79"/>
    <w:rsid w:val="000B151C"/>
    <w:rsid w:val="000B176A"/>
    <w:rsid w:val="000B7932"/>
    <w:rsid w:val="000C1F95"/>
    <w:rsid w:val="000C2B36"/>
    <w:rsid w:val="000C5AA2"/>
    <w:rsid w:val="000C7BFD"/>
    <w:rsid w:val="000D0E83"/>
    <w:rsid w:val="000D3108"/>
    <w:rsid w:val="000D3E79"/>
    <w:rsid w:val="000D42DF"/>
    <w:rsid w:val="000D4FAE"/>
    <w:rsid w:val="000E344B"/>
    <w:rsid w:val="000F3E1B"/>
    <w:rsid w:val="000F504E"/>
    <w:rsid w:val="000F5315"/>
    <w:rsid w:val="000F63E3"/>
    <w:rsid w:val="000F719D"/>
    <w:rsid w:val="001034D1"/>
    <w:rsid w:val="001035E3"/>
    <w:rsid w:val="0010370A"/>
    <w:rsid w:val="00104254"/>
    <w:rsid w:val="00107B62"/>
    <w:rsid w:val="00110D4C"/>
    <w:rsid w:val="00112400"/>
    <w:rsid w:val="0011415A"/>
    <w:rsid w:val="00120E5A"/>
    <w:rsid w:val="00122E20"/>
    <w:rsid w:val="00122EB0"/>
    <w:rsid w:val="00122F87"/>
    <w:rsid w:val="00132675"/>
    <w:rsid w:val="00134625"/>
    <w:rsid w:val="00134A2A"/>
    <w:rsid w:val="001369DC"/>
    <w:rsid w:val="0014134E"/>
    <w:rsid w:val="0014204E"/>
    <w:rsid w:val="0014272B"/>
    <w:rsid w:val="00142DE7"/>
    <w:rsid w:val="00143662"/>
    <w:rsid w:val="0014701D"/>
    <w:rsid w:val="001510E8"/>
    <w:rsid w:val="00151EF4"/>
    <w:rsid w:val="00155192"/>
    <w:rsid w:val="001556C0"/>
    <w:rsid w:val="00155B9A"/>
    <w:rsid w:val="00156239"/>
    <w:rsid w:val="00156617"/>
    <w:rsid w:val="00160E40"/>
    <w:rsid w:val="0016680E"/>
    <w:rsid w:val="00171D5F"/>
    <w:rsid w:val="00177DC1"/>
    <w:rsid w:val="001809C5"/>
    <w:rsid w:val="00181631"/>
    <w:rsid w:val="001864FB"/>
    <w:rsid w:val="00187474"/>
    <w:rsid w:val="00192B14"/>
    <w:rsid w:val="001A1A0A"/>
    <w:rsid w:val="001A3474"/>
    <w:rsid w:val="001B12D8"/>
    <w:rsid w:val="001B2499"/>
    <w:rsid w:val="001B396A"/>
    <w:rsid w:val="001B4898"/>
    <w:rsid w:val="001C0A36"/>
    <w:rsid w:val="001C330C"/>
    <w:rsid w:val="001C3C79"/>
    <w:rsid w:val="001C410E"/>
    <w:rsid w:val="001C50E6"/>
    <w:rsid w:val="001C56C0"/>
    <w:rsid w:val="001D144A"/>
    <w:rsid w:val="001E0DD0"/>
    <w:rsid w:val="001E5B35"/>
    <w:rsid w:val="001F6E72"/>
    <w:rsid w:val="00201270"/>
    <w:rsid w:val="00201342"/>
    <w:rsid w:val="00204AE7"/>
    <w:rsid w:val="00211EFF"/>
    <w:rsid w:val="00215056"/>
    <w:rsid w:val="00217576"/>
    <w:rsid w:val="00224C4B"/>
    <w:rsid w:val="002255C8"/>
    <w:rsid w:val="00226FBE"/>
    <w:rsid w:val="00232A4C"/>
    <w:rsid w:val="002334B6"/>
    <w:rsid w:val="0023482B"/>
    <w:rsid w:val="002352A5"/>
    <w:rsid w:val="00244EF7"/>
    <w:rsid w:val="002457A3"/>
    <w:rsid w:val="0024584B"/>
    <w:rsid w:val="0025416A"/>
    <w:rsid w:val="00256840"/>
    <w:rsid w:val="00271A02"/>
    <w:rsid w:val="00275C07"/>
    <w:rsid w:val="00275D03"/>
    <w:rsid w:val="0027662D"/>
    <w:rsid w:val="002776C0"/>
    <w:rsid w:val="0027789E"/>
    <w:rsid w:val="00281B8A"/>
    <w:rsid w:val="002853DB"/>
    <w:rsid w:val="002875FA"/>
    <w:rsid w:val="002876F2"/>
    <w:rsid w:val="00295CF5"/>
    <w:rsid w:val="002A0546"/>
    <w:rsid w:val="002A3CA6"/>
    <w:rsid w:val="002B3B90"/>
    <w:rsid w:val="002B74E5"/>
    <w:rsid w:val="002C08C6"/>
    <w:rsid w:val="002C3944"/>
    <w:rsid w:val="002C5076"/>
    <w:rsid w:val="002D316F"/>
    <w:rsid w:val="002D7EB3"/>
    <w:rsid w:val="002E4FF0"/>
    <w:rsid w:val="002F063F"/>
    <w:rsid w:val="002F22DF"/>
    <w:rsid w:val="002F48D7"/>
    <w:rsid w:val="002F5743"/>
    <w:rsid w:val="002F6DD5"/>
    <w:rsid w:val="003055D0"/>
    <w:rsid w:val="003118E2"/>
    <w:rsid w:val="00311EE4"/>
    <w:rsid w:val="00312562"/>
    <w:rsid w:val="00314ABC"/>
    <w:rsid w:val="003151CE"/>
    <w:rsid w:val="00315661"/>
    <w:rsid w:val="00320590"/>
    <w:rsid w:val="00320BE0"/>
    <w:rsid w:val="0032140C"/>
    <w:rsid w:val="00321A0C"/>
    <w:rsid w:val="00321B25"/>
    <w:rsid w:val="00323337"/>
    <w:rsid w:val="0032485B"/>
    <w:rsid w:val="00325C37"/>
    <w:rsid w:val="00332305"/>
    <w:rsid w:val="00332BF3"/>
    <w:rsid w:val="00333E76"/>
    <w:rsid w:val="003346A8"/>
    <w:rsid w:val="00336935"/>
    <w:rsid w:val="003369A3"/>
    <w:rsid w:val="00336D25"/>
    <w:rsid w:val="003379FA"/>
    <w:rsid w:val="00342EAB"/>
    <w:rsid w:val="00344045"/>
    <w:rsid w:val="00347F6C"/>
    <w:rsid w:val="003544EC"/>
    <w:rsid w:val="00355028"/>
    <w:rsid w:val="003641AB"/>
    <w:rsid w:val="0036577F"/>
    <w:rsid w:val="00366166"/>
    <w:rsid w:val="00370249"/>
    <w:rsid w:val="003719B9"/>
    <w:rsid w:val="003725FC"/>
    <w:rsid w:val="00372D46"/>
    <w:rsid w:val="00373B3B"/>
    <w:rsid w:val="00376E0E"/>
    <w:rsid w:val="003802F6"/>
    <w:rsid w:val="00380D27"/>
    <w:rsid w:val="003833C8"/>
    <w:rsid w:val="0038367D"/>
    <w:rsid w:val="00383C48"/>
    <w:rsid w:val="00384747"/>
    <w:rsid w:val="003913BB"/>
    <w:rsid w:val="003932B1"/>
    <w:rsid w:val="003A2203"/>
    <w:rsid w:val="003A23B1"/>
    <w:rsid w:val="003A2F75"/>
    <w:rsid w:val="003B43FE"/>
    <w:rsid w:val="003B47C4"/>
    <w:rsid w:val="003B545A"/>
    <w:rsid w:val="003B79FA"/>
    <w:rsid w:val="003C1B11"/>
    <w:rsid w:val="003C5053"/>
    <w:rsid w:val="003C53F3"/>
    <w:rsid w:val="003C5B62"/>
    <w:rsid w:val="003C78F2"/>
    <w:rsid w:val="003D009B"/>
    <w:rsid w:val="003D3259"/>
    <w:rsid w:val="003D4D1D"/>
    <w:rsid w:val="003D521F"/>
    <w:rsid w:val="003D666F"/>
    <w:rsid w:val="003E061F"/>
    <w:rsid w:val="003E5E4C"/>
    <w:rsid w:val="003F183F"/>
    <w:rsid w:val="003F25B0"/>
    <w:rsid w:val="003F5D67"/>
    <w:rsid w:val="003F5F99"/>
    <w:rsid w:val="003F6265"/>
    <w:rsid w:val="00400AFE"/>
    <w:rsid w:val="00402906"/>
    <w:rsid w:val="00405DA7"/>
    <w:rsid w:val="004104CB"/>
    <w:rsid w:val="00410D44"/>
    <w:rsid w:val="00410EF4"/>
    <w:rsid w:val="004166EA"/>
    <w:rsid w:val="00416A25"/>
    <w:rsid w:val="004211EB"/>
    <w:rsid w:val="0042297C"/>
    <w:rsid w:val="00422C46"/>
    <w:rsid w:val="00430D03"/>
    <w:rsid w:val="004311F8"/>
    <w:rsid w:val="00431A7C"/>
    <w:rsid w:val="00433859"/>
    <w:rsid w:val="00433A4A"/>
    <w:rsid w:val="00435045"/>
    <w:rsid w:val="00435C2C"/>
    <w:rsid w:val="00440488"/>
    <w:rsid w:val="00444135"/>
    <w:rsid w:val="00452669"/>
    <w:rsid w:val="00452C50"/>
    <w:rsid w:val="0045425D"/>
    <w:rsid w:val="004555A8"/>
    <w:rsid w:val="00455A12"/>
    <w:rsid w:val="004603E1"/>
    <w:rsid w:val="00461D0C"/>
    <w:rsid w:val="004641BD"/>
    <w:rsid w:val="00464373"/>
    <w:rsid w:val="004645C0"/>
    <w:rsid w:val="00464A7E"/>
    <w:rsid w:val="004657E1"/>
    <w:rsid w:val="0047465C"/>
    <w:rsid w:val="00476A12"/>
    <w:rsid w:val="0048011B"/>
    <w:rsid w:val="004804BA"/>
    <w:rsid w:val="00483EF3"/>
    <w:rsid w:val="004840FA"/>
    <w:rsid w:val="004842F6"/>
    <w:rsid w:val="00484D0A"/>
    <w:rsid w:val="004851FB"/>
    <w:rsid w:val="00486872"/>
    <w:rsid w:val="00486A5D"/>
    <w:rsid w:val="00492B18"/>
    <w:rsid w:val="004967EC"/>
    <w:rsid w:val="00496AB9"/>
    <w:rsid w:val="004A02E4"/>
    <w:rsid w:val="004A4969"/>
    <w:rsid w:val="004B411F"/>
    <w:rsid w:val="004B59DF"/>
    <w:rsid w:val="004B67E1"/>
    <w:rsid w:val="004B6CD0"/>
    <w:rsid w:val="004C0801"/>
    <w:rsid w:val="004C0ADA"/>
    <w:rsid w:val="004C2D08"/>
    <w:rsid w:val="004C66BC"/>
    <w:rsid w:val="004D0490"/>
    <w:rsid w:val="004D0BA4"/>
    <w:rsid w:val="004D56A7"/>
    <w:rsid w:val="004D744A"/>
    <w:rsid w:val="004D7E60"/>
    <w:rsid w:val="004E05CC"/>
    <w:rsid w:val="004E4902"/>
    <w:rsid w:val="004F0321"/>
    <w:rsid w:val="004F061C"/>
    <w:rsid w:val="004F765E"/>
    <w:rsid w:val="005003AA"/>
    <w:rsid w:val="005020E1"/>
    <w:rsid w:val="005038A8"/>
    <w:rsid w:val="00506885"/>
    <w:rsid w:val="00513074"/>
    <w:rsid w:val="0051734E"/>
    <w:rsid w:val="00524553"/>
    <w:rsid w:val="00524BC8"/>
    <w:rsid w:val="00526DF1"/>
    <w:rsid w:val="00535227"/>
    <w:rsid w:val="005419C2"/>
    <w:rsid w:val="00542656"/>
    <w:rsid w:val="00543432"/>
    <w:rsid w:val="00552098"/>
    <w:rsid w:val="00552326"/>
    <w:rsid w:val="00555997"/>
    <w:rsid w:val="005567D4"/>
    <w:rsid w:val="00556DF5"/>
    <w:rsid w:val="005638A4"/>
    <w:rsid w:val="00564D6C"/>
    <w:rsid w:val="00570715"/>
    <w:rsid w:val="00570982"/>
    <w:rsid w:val="00570CAD"/>
    <w:rsid w:val="00573381"/>
    <w:rsid w:val="00575180"/>
    <w:rsid w:val="0058055D"/>
    <w:rsid w:val="00587380"/>
    <w:rsid w:val="00597C5A"/>
    <w:rsid w:val="005A6618"/>
    <w:rsid w:val="005B1D31"/>
    <w:rsid w:val="005B35AF"/>
    <w:rsid w:val="005C0C79"/>
    <w:rsid w:val="005C2B48"/>
    <w:rsid w:val="005C51B2"/>
    <w:rsid w:val="005C6CCD"/>
    <w:rsid w:val="005C7DB4"/>
    <w:rsid w:val="005C7EDC"/>
    <w:rsid w:val="005D12A7"/>
    <w:rsid w:val="005D2771"/>
    <w:rsid w:val="005D5646"/>
    <w:rsid w:val="005E393E"/>
    <w:rsid w:val="005F13E6"/>
    <w:rsid w:val="005F1BCD"/>
    <w:rsid w:val="005F58AA"/>
    <w:rsid w:val="006018AB"/>
    <w:rsid w:val="00604689"/>
    <w:rsid w:val="00605CF0"/>
    <w:rsid w:val="00607163"/>
    <w:rsid w:val="00607734"/>
    <w:rsid w:val="00610391"/>
    <w:rsid w:val="006136D4"/>
    <w:rsid w:val="00616491"/>
    <w:rsid w:val="00621D83"/>
    <w:rsid w:val="00624207"/>
    <w:rsid w:val="0062480A"/>
    <w:rsid w:val="00624CAA"/>
    <w:rsid w:val="00625180"/>
    <w:rsid w:val="00631074"/>
    <w:rsid w:val="0063411C"/>
    <w:rsid w:val="0063768F"/>
    <w:rsid w:val="0064116B"/>
    <w:rsid w:val="00644683"/>
    <w:rsid w:val="00646284"/>
    <w:rsid w:val="00646671"/>
    <w:rsid w:val="00647A02"/>
    <w:rsid w:val="00647CC3"/>
    <w:rsid w:val="006524E8"/>
    <w:rsid w:val="00653983"/>
    <w:rsid w:val="00654297"/>
    <w:rsid w:val="00654592"/>
    <w:rsid w:val="006546F2"/>
    <w:rsid w:val="00654C98"/>
    <w:rsid w:val="0066310A"/>
    <w:rsid w:val="00671F59"/>
    <w:rsid w:val="0067302D"/>
    <w:rsid w:val="00673898"/>
    <w:rsid w:val="00674866"/>
    <w:rsid w:val="00675216"/>
    <w:rsid w:val="00676450"/>
    <w:rsid w:val="00676836"/>
    <w:rsid w:val="00676BE9"/>
    <w:rsid w:val="0068108F"/>
    <w:rsid w:val="00682042"/>
    <w:rsid w:val="006832C1"/>
    <w:rsid w:val="006960B9"/>
    <w:rsid w:val="006A447C"/>
    <w:rsid w:val="006A44B1"/>
    <w:rsid w:val="006B0F6A"/>
    <w:rsid w:val="006B51F3"/>
    <w:rsid w:val="006C3CC1"/>
    <w:rsid w:val="006D76BE"/>
    <w:rsid w:val="006E113C"/>
    <w:rsid w:val="006E194B"/>
    <w:rsid w:val="006E2DB8"/>
    <w:rsid w:val="006F0C9B"/>
    <w:rsid w:val="006F187D"/>
    <w:rsid w:val="006F4C0B"/>
    <w:rsid w:val="006F57E8"/>
    <w:rsid w:val="006F608E"/>
    <w:rsid w:val="006F7BE3"/>
    <w:rsid w:val="00700C5E"/>
    <w:rsid w:val="00713E14"/>
    <w:rsid w:val="00716A03"/>
    <w:rsid w:val="007174AB"/>
    <w:rsid w:val="00722D2C"/>
    <w:rsid w:val="00724BD6"/>
    <w:rsid w:val="0072626D"/>
    <w:rsid w:val="00731D68"/>
    <w:rsid w:val="00732553"/>
    <w:rsid w:val="00733F03"/>
    <w:rsid w:val="007350A4"/>
    <w:rsid w:val="00735A3B"/>
    <w:rsid w:val="00742620"/>
    <w:rsid w:val="00742A5C"/>
    <w:rsid w:val="00743C19"/>
    <w:rsid w:val="00743E4B"/>
    <w:rsid w:val="00744281"/>
    <w:rsid w:val="007470E2"/>
    <w:rsid w:val="00753B06"/>
    <w:rsid w:val="0075750A"/>
    <w:rsid w:val="00767BD4"/>
    <w:rsid w:val="0077304F"/>
    <w:rsid w:val="00773AA7"/>
    <w:rsid w:val="00773D96"/>
    <w:rsid w:val="00777C8E"/>
    <w:rsid w:val="0078191F"/>
    <w:rsid w:val="00783BEE"/>
    <w:rsid w:val="00785126"/>
    <w:rsid w:val="0079033F"/>
    <w:rsid w:val="00792F91"/>
    <w:rsid w:val="007935D2"/>
    <w:rsid w:val="00793BF9"/>
    <w:rsid w:val="007959A9"/>
    <w:rsid w:val="00797D7C"/>
    <w:rsid w:val="007A0FAA"/>
    <w:rsid w:val="007A2137"/>
    <w:rsid w:val="007A2663"/>
    <w:rsid w:val="007A3786"/>
    <w:rsid w:val="007A49A6"/>
    <w:rsid w:val="007A4B26"/>
    <w:rsid w:val="007A5331"/>
    <w:rsid w:val="007A655A"/>
    <w:rsid w:val="007A66C2"/>
    <w:rsid w:val="007A75A8"/>
    <w:rsid w:val="007B1576"/>
    <w:rsid w:val="007B200E"/>
    <w:rsid w:val="007B6433"/>
    <w:rsid w:val="007B6E26"/>
    <w:rsid w:val="007C1C7B"/>
    <w:rsid w:val="007C1EED"/>
    <w:rsid w:val="007C37DD"/>
    <w:rsid w:val="007D188A"/>
    <w:rsid w:val="007D235B"/>
    <w:rsid w:val="007D39F7"/>
    <w:rsid w:val="007D59ED"/>
    <w:rsid w:val="007D750A"/>
    <w:rsid w:val="007E4229"/>
    <w:rsid w:val="007E454A"/>
    <w:rsid w:val="007F21DE"/>
    <w:rsid w:val="007F7301"/>
    <w:rsid w:val="00802CE4"/>
    <w:rsid w:val="00804AB6"/>
    <w:rsid w:val="00805CBE"/>
    <w:rsid w:val="008150FD"/>
    <w:rsid w:val="00817D14"/>
    <w:rsid w:val="008225EF"/>
    <w:rsid w:val="00830E55"/>
    <w:rsid w:val="00834159"/>
    <w:rsid w:val="00834561"/>
    <w:rsid w:val="0083734C"/>
    <w:rsid w:val="0084359B"/>
    <w:rsid w:val="008451CB"/>
    <w:rsid w:val="008570CA"/>
    <w:rsid w:val="0086119C"/>
    <w:rsid w:val="008621E5"/>
    <w:rsid w:val="00865C50"/>
    <w:rsid w:val="008661E1"/>
    <w:rsid w:val="00867443"/>
    <w:rsid w:val="00867E8A"/>
    <w:rsid w:val="0087028F"/>
    <w:rsid w:val="00872738"/>
    <w:rsid w:val="008734EB"/>
    <w:rsid w:val="00876740"/>
    <w:rsid w:val="008800C6"/>
    <w:rsid w:val="00880587"/>
    <w:rsid w:val="00883165"/>
    <w:rsid w:val="008962BD"/>
    <w:rsid w:val="00896A7C"/>
    <w:rsid w:val="0089767F"/>
    <w:rsid w:val="008A134C"/>
    <w:rsid w:val="008A1B58"/>
    <w:rsid w:val="008A2567"/>
    <w:rsid w:val="008A5248"/>
    <w:rsid w:val="008A75EF"/>
    <w:rsid w:val="008B12F9"/>
    <w:rsid w:val="008B141D"/>
    <w:rsid w:val="008B1747"/>
    <w:rsid w:val="008C1BE0"/>
    <w:rsid w:val="008C3AD5"/>
    <w:rsid w:val="008C5A12"/>
    <w:rsid w:val="008C6D11"/>
    <w:rsid w:val="008E1660"/>
    <w:rsid w:val="008E44BD"/>
    <w:rsid w:val="008E6B10"/>
    <w:rsid w:val="008F07FE"/>
    <w:rsid w:val="008F2BD9"/>
    <w:rsid w:val="008F4AB1"/>
    <w:rsid w:val="00901F97"/>
    <w:rsid w:val="00902C22"/>
    <w:rsid w:val="009031C0"/>
    <w:rsid w:val="009055D9"/>
    <w:rsid w:val="0090722D"/>
    <w:rsid w:val="0091162E"/>
    <w:rsid w:val="00911E04"/>
    <w:rsid w:val="00914245"/>
    <w:rsid w:val="00916163"/>
    <w:rsid w:val="00921F95"/>
    <w:rsid w:val="009229EE"/>
    <w:rsid w:val="00922A21"/>
    <w:rsid w:val="00923264"/>
    <w:rsid w:val="00925FF5"/>
    <w:rsid w:val="00930316"/>
    <w:rsid w:val="009368F4"/>
    <w:rsid w:val="00940BF1"/>
    <w:rsid w:val="00941062"/>
    <w:rsid w:val="00942470"/>
    <w:rsid w:val="0094275C"/>
    <w:rsid w:val="0094409D"/>
    <w:rsid w:val="00955130"/>
    <w:rsid w:val="009564E9"/>
    <w:rsid w:val="009569B2"/>
    <w:rsid w:val="00965DC0"/>
    <w:rsid w:val="00973A16"/>
    <w:rsid w:val="00973EC1"/>
    <w:rsid w:val="00974789"/>
    <w:rsid w:val="009750F4"/>
    <w:rsid w:val="009812F7"/>
    <w:rsid w:val="009860BF"/>
    <w:rsid w:val="00986354"/>
    <w:rsid w:val="00986E1E"/>
    <w:rsid w:val="009913D8"/>
    <w:rsid w:val="00995B04"/>
    <w:rsid w:val="0099615E"/>
    <w:rsid w:val="009A28FC"/>
    <w:rsid w:val="009A5322"/>
    <w:rsid w:val="009A58E3"/>
    <w:rsid w:val="009A5D08"/>
    <w:rsid w:val="009A7231"/>
    <w:rsid w:val="009B2409"/>
    <w:rsid w:val="009B302A"/>
    <w:rsid w:val="009B4066"/>
    <w:rsid w:val="009B4514"/>
    <w:rsid w:val="009B486B"/>
    <w:rsid w:val="009C1266"/>
    <w:rsid w:val="009C226D"/>
    <w:rsid w:val="009C46FB"/>
    <w:rsid w:val="009C4C18"/>
    <w:rsid w:val="009C5F00"/>
    <w:rsid w:val="009C77A0"/>
    <w:rsid w:val="009D153A"/>
    <w:rsid w:val="009D64E4"/>
    <w:rsid w:val="009E527F"/>
    <w:rsid w:val="009F0D4B"/>
    <w:rsid w:val="009F40AB"/>
    <w:rsid w:val="009F69D8"/>
    <w:rsid w:val="009F76FB"/>
    <w:rsid w:val="009F79CB"/>
    <w:rsid w:val="00A01A33"/>
    <w:rsid w:val="00A03F43"/>
    <w:rsid w:val="00A048DA"/>
    <w:rsid w:val="00A0641C"/>
    <w:rsid w:val="00A10A1B"/>
    <w:rsid w:val="00A11832"/>
    <w:rsid w:val="00A178C0"/>
    <w:rsid w:val="00A17D48"/>
    <w:rsid w:val="00A22F65"/>
    <w:rsid w:val="00A231D9"/>
    <w:rsid w:val="00A25744"/>
    <w:rsid w:val="00A26139"/>
    <w:rsid w:val="00A30ADD"/>
    <w:rsid w:val="00A37095"/>
    <w:rsid w:val="00A3768B"/>
    <w:rsid w:val="00A41E9C"/>
    <w:rsid w:val="00A4311B"/>
    <w:rsid w:val="00A433D9"/>
    <w:rsid w:val="00A446E5"/>
    <w:rsid w:val="00A46E9E"/>
    <w:rsid w:val="00A47141"/>
    <w:rsid w:val="00A509E4"/>
    <w:rsid w:val="00A54548"/>
    <w:rsid w:val="00A55D56"/>
    <w:rsid w:val="00A560FA"/>
    <w:rsid w:val="00A60484"/>
    <w:rsid w:val="00A61C24"/>
    <w:rsid w:val="00A61C76"/>
    <w:rsid w:val="00A61DA5"/>
    <w:rsid w:val="00A61E43"/>
    <w:rsid w:val="00A6563E"/>
    <w:rsid w:val="00A660B5"/>
    <w:rsid w:val="00A66856"/>
    <w:rsid w:val="00A66C4F"/>
    <w:rsid w:val="00A66F3D"/>
    <w:rsid w:val="00A73103"/>
    <w:rsid w:val="00A73820"/>
    <w:rsid w:val="00A75F3C"/>
    <w:rsid w:val="00A762B1"/>
    <w:rsid w:val="00A765B2"/>
    <w:rsid w:val="00A76634"/>
    <w:rsid w:val="00A81648"/>
    <w:rsid w:val="00A82BDC"/>
    <w:rsid w:val="00A8331C"/>
    <w:rsid w:val="00A83F96"/>
    <w:rsid w:val="00A9006E"/>
    <w:rsid w:val="00A9379F"/>
    <w:rsid w:val="00A95B5B"/>
    <w:rsid w:val="00A95E63"/>
    <w:rsid w:val="00AA5C2C"/>
    <w:rsid w:val="00AB0C30"/>
    <w:rsid w:val="00AB5289"/>
    <w:rsid w:val="00AB5EBE"/>
    <w:rsid w:val="00AB604F"/>
    <w:rsid w:val="00AB72A6"/>
    <w:rsid w:val="00AC142D"/>
    <w:rsid w:val="00AC7C0D"/>
    <w:rsid w:val="00AD2B07"/>
    <w:rsid w:val="00AD429A"/>
    <w:rsid w:val="00AD45E8"/>
    <w:rsid w:val="00AD49B7"/>
    <w:rsid w:val="00AE374E"/>
    <w:rsid w:val="00AE4B06"/>
    <w:rsid w:val="00AF1C8B"/>
    <w:rsid w:val="00AF252C"/>
    <w:rsid w:val="00AF5E57"/>
    <w:rsid w:val="00B00608"/>
    <w:rsid w:val="00B0122B"/>
    <w:rsid w:val="00B04B74"/>
    <w:rsid w:val="00B14F5B"/>
    <w:rsid w:val="00B17387"/>
    <w:rsid w:val="00B20526"/>
    <w:rsid w:val="00B20F92"/>
    <w:rsid w:val="00B34E68"/>
    <w:rsid w:val="00B35A06"/>
    <w:rsid w:val="00B45028"/>
    <w:rsid w:val="00B4504C"/>
    <w:rsid w:val="00B46CB4"/>
    <w:rsid w:val="00B4776C"/>
    <w:rsid w:val="00B47AE6"/>
    <w:rsid w:val="00B5056D"/>
    <w:rsid w:val="00B5207C"/>
    <w:rsid w:val="00B6073B"/>
    <w:rsid w:val="00B61B3E"/>
    <w:rsid w:val="00B63D30"/>
    <w:rsid w:val="00B65A4B"/>
    <w:rsid w:val="00B67745"/>
    <w:rsid w:val="00B71611"/>
    <w:rsid w:val="00B74A1F"/>
    <w:rsid w:val="00B75A3A"/>
    <w:rsid w:val="00B8015C"/>
    <w:rsid w:val="00B840D0"/>
    <w:rsid w:val="00B92DA9"/>
    <w:rsid w:val="00BA1C6E"/>
    <w:rsid w:val="00BA5EC4"/>
    <w:rsid w:val="00BA73CD"/>
    <w:rsid w:val="00BB1712"/>
    <w:rsid w:val="00BB1C65"/>
    <w:rsid w:val="00BC0C25"/>
    <w:rsid w:val="00BC0F49"/>
    <w:rsid w:val="00BC1A18"/>
    <w:rsid w:val="00BC3086"/>
    <w:rsid w:val="00BC710E"/>
    <w:rsid w:val="00BD3E39"/>
    <w:rsid w:val="00BE2991"/>
    <w:rsid w:val="00BE38F4"/>
    <w:rsid w:val="00BE6921"/>
    <w:rsid w:val="00BF1C17"/>
    <w:rsid w:val="00BF1DDE"/>
    <w:rsid w:val="00BF2582"/>
    <w:rsid w:val="00BF3355"/>
    <w:rsid w:val="00BF4177"/>
    <w:rsid w:val="00BF4C8D"/>
    <w:rsid w:val="00C02F22"/>
    <w:rsid w:val="00C04AF5"/>
    <w:rsid w:val="00C076AD"/>
    <w:rsid w:val="00C1109D"/>
    <w:rsid w:val="00C119F0"/>
    <w:rsid w:val="00C1318E"/>
    <w:rsid w:val="00C14083"/>
    <w:rsid w:val="00C168AB"/>
    <w:rsid w:val="00C21CCC"/>
    <w:rsid w:val="00C21F93"/>
    <w:rsid w:val="00C23DEB"/>
    <w:rsid w:val="00C24CCD"/>
    <w:rsid w:val="00C26742"/>
    <w:rsid w:val="00C33158"/>
    <w:rsid w:val="00C343DC"/>
    <w:rsid w:val="00C344CE"/>
    <w:rsid w:val="00C4593F"/>
    <w:rsid w:val="00C459D9"/>
    <w:rsid w:val="00C46399"/>
    <w:rsid w:val="00C47290"/>
    <w:rsid w:val="00C50534"/>
    <w:rsid w:val="00C55852"/>
    <w:rsid w:val="00C6201E"/>
    <w:rsid w:val="00C659AA"/>
    <w:rsid w:val="00C66D4D"/>
    <w:rsid w:val="00C71F11"/>
    <w:rsid w:val="00C720E1"/>
    <w:rsid w:val="00C72669"/>
    <w:rsid w:val="00C75A9B"/>
    <w:rsid w:val="00C77B2D"/>
    <w:rsid w:val="00C80444"/>
    <w:rsid w:val="00C84E51"/>
    <w:rsid w:val="00C90E80"/>
    <w:rsid w:val="00C931D0"/>
    <w:rsid w:val="00C968C2"/>
    <w:rsid w:val="00CA2659"/>
    <w:rsid w:val="00CA292C"/>
    <w:rsid w:val="00CA3A3D"/>
    <w:rsid w:val="00CA4CBC"/>
    <w:rsid w:val="00CA51C7"/>
    <w:rsid w:val="00CA6435"/>
    <w:rsid w:val="00CB56D1"/>
    <w:rsid w:val="00CB60E1"/>
    <w:rsid w:val="00CC0AD3"/>
    <w:rsid w:val="00CC2D56"/>
    <w:rsid w:val="00CC2DB9"/>
    <w:rsid w:val="00CC71B2"/>
    <w:rsid w:val="00CD3C2E"/>
    <w:rsid w:val="00CE0746"/>
    <w:rsid w:val="00CE2CE5"/>
    <w:rsid w:val="00CE2ED4"/>
    <w:rsid w:val="00CE79C3"/>
    <w:rsid w:val="00CE7A30"/>
    <w:rsid w:val="00CF0935"/>
    <w:rsid w:val="00CF1401"/>
    <w:rsid w:val="00CF4293"/>
    <w:rsid w:val="00CF66CA"/>
    <w:rsid w:val="00D0059A"/>
    <w:rsid w:val="00D0096D"/>
    <w:rsid w:val="00D03A6F"/>
    <w:rsid w:val="00D06633"/>
    <w:rsid w:val="00D074DB"/>
    <w:rsid w:val="00D0795D"/>
    <w:rsid w:val="00D13EEA"/>
    <w:rsid w:val="00D1678F"/>
    <w:rsid w:val="00D172EB"/>
    <w:rsid w:val="00D20883"/>
    <w:rsid w:val="00D2163E"/>
    <w:rsid w:val="00D21863"/>
    <w:rsid w:val="00D2321D"/>
    <w:rsid w:val="00D23ECC"/>
    <w:rsid w:val="00D25C43"/>
    <w:rsid w:val="00D272EB"/>
    <w:rsid w:val="00D30C2C"/>
    <w:rsid w:val="00D31BFE"/>
    <w:rsid w:val="00D365B6"/>
    <w:rsid w:val="00D366EA"/>
    <w:rsid w:val="00D3688B"/>
    <w:rsid w:val="00D47362"/>
    <w:rsid w:val="00D51FF2"/>
    <w:rsid w:val="00D524F2"/>
    <w:rsid w:val="00D54B9E"/>
    <w:rsid w:val="00D56D64"/>
    <w:rsid w:val="00D56F91"/>
    <w:rsid w:val="00D57116"/>
    <w:rsid w:val="00D6001A"/>
    <w:rsid w:val="00D600AA"/>
    <w:rsid w:val="00D60893"/>
    <w:rsid w:val="00D62EFC"/>
    <w:rsid w:val="00D6675A"/>
    <w:rsid w:val="00D72B9A"/>
    <w:rsid w:val="00D73F9D"/>
    <w:rsid w:val="00D7722E"/>
    <w:rsid w:val="00D86219"/>
    <w:rsid w:val="00D8797C"/>
    <w:rsid w:val="00D90A2F"/>
    <w:rsid w:val="00D933A2"/>
    <w:rsid w:val="00D9667B"/>
    <w:rsid w:val="00D967BB"/>
    <w:rsid w:val="00D97603"/>
    <w:rsid w:val="00DA1B8D"/>
    <w:rsid w:val="00DA3262"/>
    <w:rsid w:val="00DA3E9A"/>
    <w:rsid w:val="00DA50C0"/>
    <w:rsid w:val="00DA685F"/>
    <w:rsid w:val="00DB2D0C"/>
    <w:rsid w:val="00DC0D3F"/>
    <w:rsid w:val="00DC4139"/>
    <w:rsid w:val="00DD7CF3"/>
    <w:rsid w:val="00DE084A"/>
    <w:rsid w:val="00DE3B0D"/>
    <w:rsid w:val="00DE629A"/>
    <w:rsid w:val="00DE723C"/>
    <w:rsid w:val="00DF0BE8"/>
    <w:rsid w:val="00DF586C"/>
    <w:rsid w:val="00DF6358"/>
    <w:rsid w:val="00E0180B"/>
    <w:rsid w:val="00E0216D"/>
    <w:rsid w:val="00E02D71"/>
    <w:rsid w:val="00E12FF0"/>
    <w:rsid w:val="00E15E1B"/>
    <w:rsid w:val="00E15F69"/>
    <w:rsid w:val="00E20138"/>
    <w:rsid w:val="00E21774"/>
    <w:rsid w:val="00E22FCC"/>
    <w:rsid w:val="00E26D06"/>
    <w:rsid w:val="00E316E3"/>
    <w:rsid w:val="00E320F3"/>
    <w:rsid w:val="00E324F1"/>
    <w:rsid w:val="00E33D24"/>
    <w:rsid w:val="00E3430A"/>
    <w:rsid w:val="00E3488C"/>
    <w:rsid w:val="00E3598E"/>
    <w:rsid w:val="00E35F92"/>
    <w:rsid w:val="00E44B22"/>
    <w:rsid w:val="00E44BB1"/>
    <w:rsid w:val="00E5265B"/>
    <w:rsid w:val="00E52787"/>
    <w:rsid w:val="00E56F47"/>
    <w:rsid w:val="00E611C5"/>
    <w:rsid w:val="00E623E3"/>
    <w:rsid w:val="00E63928"/>
    <w:rsid w:val="00E64C56"/>
    <w:rsid w:val="00E72BDE"/>
    <w:rsid w:val="00E769DC"/>
    <w:rsid w:val="00E8019B"/>
    <w:rsid w:val="00E871C1"/>
    <w:rsid w:val="00E87BCB"/>
    <w:rsid w:val="00E953DB"/>
    <w:rsid w:val="00E96742"/>
    <w:rsid w:val="00EA01CD"/>
    <w:rsid w:val="00EA1DE2"/>
    <w:rsid w:val="00EA437D"/>
    <w:rsid w:val="00EA4A06"/>
    <w:rsid w:val="00EA541C"/>
    <w:rsid w:val="00EA58F3"/>
    <w:rsid w:val="00EA67A5"/>
    <w:rsid w:val="00EB1889"/>
    <w:rsid w:val="00EB465D"/>
    <w:rsid w:val="00EC47EE"/>
    <w:rsid w:val="00EC5022"/>
    <w:rsid w:val="00EC5A1F"/>
    <w:rsid w:val="00ED133B"/>
    <w:rsid w:val="00ED345C"/>
    <w:rsid w:val="00ED4864"/>
    <w:rsid w:val="00ED6A34"/>
    <w:rsid w:val="00ED78BD"/>
    <w:rsid w:val="00EE29E7"/>
    <w:rsid w:val="00EE2EF2"/>
    <w:rsid w:val="00EE3875"/>
    <w:rsid w:val="00EE5B1B"/>
    <w:rsid w:val="00EF0311"/>
    <w:rsid w:val="00EF1095"/>
    <w:rsid w:val="00EF2417"/>
    <w:rsid w:val="00F001C0"/>
    <w:rsid w:val="00F00CF3"/>
    <w:rsid w:val="00F03D10"/>
    <w:rsid w:val="00F04442"/>
    <w:rsid w:val="00F04806"/>
    <w:rsid w:val="00F10516"/>
    <w:rsid w:val="00F130EB"/>
    <w:rsid w:val="00F16268"/>
    <w:rsid w:val="00F22B33"/>
    <w:rsid w:val="00F23412"/>
    <w:rsid w:val="00F2784E"/>
    <w:rsid w:val="00F3485C"/>
    <w:rsid w:val="00F3632D"/>
    <w:rsid w:val="00F36802"/>
    <w:rsid w:val="00F4149E"/>
    <w:rsid w:val="00F41A61"/>
    <w:rsid w:val="00F42046"/>
    <w:rsid w:val="00F420A4"/>
    <w:rsid w:val="00F421E8"/>
    <w:rsid w:val="00F51FB8"/>
    <w:rsid w:val="00F55B08"/>
    <w:rsid w:val="00F55E4C"/>
    <w:rsid w:val="00F568B3"/>
    <w:rsid w:val="00F56DD5"/>
    <w:rsid w:val="00F6299A"/>
    <w:rsid w:val="00F657D2"/>
    <w:rsid w:val="00F663C9"/>
    <w:rsid w:val="00F71DC9"/>
    <w:rsid w:val="00F7724B"/>
    <w:rsid w:val="00F86F41"/>
    <w:rsid w:val="00F87043"/>
    <w:rsid w:val="00F90055"/>
    <w:rsid w:val="00F91196"/>
    <w:rsid w:val="00FA03AD"/>
    <w:rsid w:val="00FA1D02"/>
    <w:rsid w:val="00FA2FB5"/>
    <w:rsid w:val="00FB00B6"/>
    <w:rsid w:val="00FB2F9B"/>
    <w:rsid w:val="00FB35C3"/>
    <w:rsid w:val="00FB38BE"/>
    <w:rsid w:val="00FB4DA0"/>
    <w:rsid w:val="00FB4DDA"/>
    <w:rsid w:val="00FB7AB9"/>
    <w:rsid w:val="00FC025D"/>
    <w:rsid w:val="00FC2CA1"/>
    <w:rsid w:val="00FC31F0"/>
    <w:rsid w:val="00FC5621"/>
    <w:rsid w:val="00FC56D9"/>
    <w:rsid w:val="00FD3DDC"/>
    <w:rsid w:val="00FE08DA"/>
    <w:rsid w:val="00FE3D90"/>
    <w:rsid w:val="00FE6587"/>
    <w:rsid w:val="00FE7C21"/>
    <w:rsid w:val="00FF0EE1"/>
    <w:rsid w:val="00FF22A3"/>
    <w:rsid w:val="00FF30B8"/>
    <w:rsid w:val="00FF7A3C"/>
    <w:rsid w:val="00FF7E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4A24B676"/>
  <w15:docId w15:val="{046EB9A6-F3E4-4945-BB38-85519CA1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semiHidden="1" w:uiPriority="98" w:qFormat="1"/>
    <w:lsdException w:name="Closing" w:semiHidden="1" w:unhideWhenUsed="1"/>
    <w:lsdException w:name="Signature" w:semiHidden="1" w:unhideWhenUsed="1"/>
    <w:lsdException w:name="Default Paragraph Font" w:semiHidden="1" w:uiPriority="98"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98" w:qFormat="1"/>
    <w:lsdException w:name="Intense Quote" w:semiHidden="1"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semiHidden="1" w:uiPriority="98" w:qFormat="1"/>
    <w:lsdException w:name="Subtle Reference" w:semiHidden="1" w:uiPriority="98" w:qFormat="1"/>
    <w:lsdException w:name="Intense Reference" w:semiHidden="1" w:uiPriority="98" w:qFormat="1"/>
    <w:lsdException w:name="Book Title" w:semiHidden="1" w:uiPriority="9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0F3"/>
    <w:pPr>
      <w:spacing w:after="160" w:line="259" w:lineRule="auto"/>
    </w:pPr>
    <w:rPr>
      <w:sz w:val="22"/>
      <w:szCs w:val="22"/>
      <w:lang w:eastAsia="en-US"/>
    </w:rPr>
  </w:style>
  <w:style w:type="paragraph" w:styleId="Heading1">
    <w:name w:val="heading 1"/>
    <w:basedOn w:val="Normal"/>
    <w:next w:val="Normal"/>
    <w:link w:val="Heading1Char"/>
    <w:uiPriority w:val="9"/>
    <w:qFormat/>
    <w:rsid w:val="00062049"/>
    <w:pPr>
      <w:jc w:val="center"/>
      <w:outlineLvl w:val="0"/>
    </w:pPr>
    <w:rPr>
      <w:rFonts w:ascii="Arial" w:hAnsi="Arial" w:cs="Arial"/>
      <w:sz w:val="48"/>
      <w:szCs w:val="48"/>
    </w:rPr>
  </w:style>
  <w:style w:type="paragraph" w:styleId="Heading2">
    <w:name w:val="heading 2"/>
    <w:basedOn w:val="Normal"/>
    <w:next w:val="Normal"/>
    <w:link w:val="Heading2Char"/>
    <w:uiPriority w:val="9"/>
    <w:unhideWhenUsed/>
    <w:qFormat/>
    <w:rsid w:val="00902C22"/>
    <w:pPr>
      <w:keepNext/>
      <w:keepLines/>
      <w:pageBreakBefore/>
      <w:spacing w:after="400" w:line="240" w:lineRule="auto"/>
      <w:outlineLvl w:val="1"/>
    </w:pPr>
    <w:rPr>
      <w:rFonts w:ascii="Arial" w:eastAsia="Times New Roman" w:hAnsi="Arial"/>
      <w:bCs/>
      <w:iCs/>
      <w:sz w:val="44"/>
      <w:szCs w:val="28"/>
    </w:rPr>
  </w:style>
  <w:style w:type="paragraph" w:styleId="Heading3">
    <w:name w:val="heading 3"/>
    <w:basedOn w:val="Normal"/>
    <w:next w:val="Normal"/>
    <w:link w:val="Heading3Char"/>
    <w:uiPriority w:val="9"/>
    <w:unhideWhenUsed/>
    <w:qFormat/>
    <w:rsid w:val="00C076AD"/>
    <w:pPr>
      <w:keepNext/>
      <w:keepLines/>
      <w:spacing w:before="300" w:after="120" w:line="240" w:lineRule="auto"/>
      <w:outlineLvl w:val="2"/>
    </w:pPr>
    <w:rPr>
      <w:rFonts w:ascii="Arial" w:eastAsia="Times New Roman" w:hAnsi="Arial"/>
      <w:b/>
      <w:bCs/>
      <w:color w:val="0072CE"/>
      <w:sz w:val="30"/>
      <w:szCs w:val="28"/>
    </w:rPr>
  </w:style>
  <w:style w:type="paragraph" w:styleId="Heading4">
    <w:name w:val="heading 4"/>
    <w:basedOn w:val="Normal"/>
    <w:next w:val="Normal"/>
    <w:link w:val="Heading4Char"/>
    <w:uiPriority w:val="9"/>
    <w:unhideWhenUsed/>
    <w:qFormat/>
    <w:rsid w:val="00C076AD"/>
    <w:pPr>
      <w:keepNext/>
      <w:keepLines/>
      <w:spacing w:before="300" w:after="120" w:line="240" w:lineRule="auto"/>
      <w:outlineLvl w:val="3"/>
    </w:pPr>
    <w:rPr>
      <w:rFonts w:ascii="Arial" w:eastAsia="Times New Roman" w:hAnsi="Arial"/>
      <w:b/>
      <w:bCs/>
      <w:sz w:val="26"/>
      <w:szCs w:val="26"/>
    </w:rPr>
  </w:style>
  <w:style w:type="paragraph" w:styleId="Heading5">
    <w:name w:val="heading 5"/>
    <w:basedOn w:val="Normal"/>
    <w:next w:val="Normal"/>
    <w:link w:val="Heading5Char"/>
    <w:uiPriority w:val="9"/>
    <w:unhideWhenUsed/>
    <w:qFormat/>
    <w:rsid w:val="00D03A6F"/>
    <w:pPr>
      <w:keepNext/>
      <w:keepLines/>
      <w:spacing w:before="300" w:after="120" w:line="240" w:lineRule="auto"/>
      <w:outlineLvl w:val="4"/>
    </w:pPr>
    <w:rPr>
      <w:rFonts w:ascii="Arial" w:eastAsia="Times New Roman" w:hAnsi="Arial"/>
      <w:b/>
      <w:bCs/>
      <w:iCs/>
      <w:szCs w:val="26"/>
    </w:rPr>
  </w:style>
  <w:style w:type="paragraph" w:styleId="Heading6">
    <w:name w:val="heading 6"/>
    <w:basedOn w:val="Normal"/>
    <w:next w:val="Normal"/>
    <w:link w:val="Heading6Char"/>
    <w:uiPriority w:val="9"/>
    <w:unhideWhenUsed/>
    <w:qFormat/>
    <w:rsid w:val="00D03A6F"/>
    <w:pPr>
      <w:spacing w:before="240" w:after="60"/>
      <w:outlineLvl w:val="5"/>
    </w:pPr>
    <w:rPr>
      <w:rFonts w:ascii="Arial" w:eastAsia="Times New Roman"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62049"/>
    <w:rPr>
      <w:rFonts w:ascii="Arial" w:hAnsi="Arial" w:cs="Arial"/>
      <w:sz w:val="48"/>
      <w:szCs w:val="48"/>
      <w:lang w:eastAsia="en-US"/>
    </w:rPr>
  </w:style>
  <w:style w:type="paragraph" w:customStyle="1" w:styleId="TableText">
    <w:name w:val="Table Text"/>
    <w:basedOn w:val="Normal"/>
    <w:uiPriority w:val="11"/>
    <w:qFormat/>
    <w:rsid w:val="00A178C0"/>
    <w:pPr>
      <w:spacing w:before="80" w:after="60" w:line="240" w:lineRule="auto"/>
    </w:pPr>
    <w:rPr>
      <w:rFonts w:ascii="Arial" w:hAnsi="Arial"/>
      <w:sz w:val="18"/>
    </w:rPr>
  </w:style>
  <w:style w:type="character" w:customStyle="1" w:styleId="Heading2Char">
    <w:name w:val="Heading 2 Char"/>
    <w:link w:val="Heading2"/>
    <w:uiPriority w:val="9"/>
    <w:rsid w:val="00902C22"/>
    <w:rPr>
      <w:rFonts w:ascii="Arial" w:eastAsia="Times New Roman" w:hAnsi="Arial"/>
      <w:bCs/>
      <w:iCs/>
      <w:sz w:val="44"/>
      <w:szCs w:val="28"/>
      <w:lang w:eastAsia="en-US"/>
    </w:rPr>
  </w:style>
  <w:style w:type="character" w:customStyle="1" w:styleId="Heading3Char">
    <w:name w:val="Heading 3 Char"/>
    <w:link w:val="Heading3"/>
    <w:uiPriority w:val="9"/>
    <w:rsid w:val="00C076AD"/>
    <w:rPr>
      <w:rFonts w:ascii="Arial" w:eastAsia="Times New Roman" w:hAnsi="Arial"/>
      <w:b/>
      <w:bCs/>
      <w:color w:val="0072CE"/>
      <w:sz w:val="30"/>
      <w:szCs w:val="28"/>
      <w:lang w:eastAsia="en-US"/>
    </w:rPr>
  </w:style>
  <w:style w:type="paragraph" w:styleId="TOC1">
    <w:name w:val="toc 1"/>
    <w:basedOn w:val="Normal"/>
    <w:next w:val="Normal"/>
    <w:autoRedefine/>
    <w:uiPriority w:val="39"/>
    <w:unhideWhenUsed/>
    <w:rsid w:val="00122E20"/>
    <w:pPr>
      <w:tabs>
        <w:tab w:val="right" w:leader="dot" w:pos="9072"/>
      </w:tabs>
      <w:spacing w:before="200" w:after="80"/>
    </w:pPr>
    <w:rPr>
      <w:rFonts w:ascii="Arial" w:hAnsi="Arial"/>
      <w:b/>
      <w:sz w:val="20"/>
    </w:rPr>
  </w:style>
  <w:style w:type="paragraph" w:styleId="TOC2">
    <w:name w:val="toc 2"/>
    <w:basedOn w:val="Normal"/>
    <w:next w:val="Normal"/>
    <w:autoRedefine/>
    <w:uiPriority w:val="39"/>
    <w:unhideWhenUsed/>
    <w:rsid w:val="004B59DF"/>
    <w:pPr>
      <w:tabs>
        <w:tab w:val="right" w:leader="dot" w:pos="9072"/>
      </w:tabs>
      <w:spacing w:before="120" w:after="120" w:line="240" w:lineRule="auto"/>
    </w:pPr>
    <w:rPr>
      <w:rFonts w:ascii="Arial" w:hAnsi="Arial"/>
      <w:noProof/>
      <w:sz w:val="20"/>
    </w:rPr>
  </w:style>
  <w:style w:type="paragraph" w:styleId="TOC3">
    <w:name w:val="toc 3"/>
    <w:basedOn w:val="Normal"/>
    <w:next w:val="Normal"/>
    <w:autoRedefine/>
    <w:uiPriority w:val="39"/>
    <w:unhideWhenUsed/>
    <w:rsid w:val="00C90E80"/>
    <w:pPr>
      <w:ind w:left="440"/>
    </w:pPr>
  </w:style>
  <w:style w:type="character" w:styleId="Hyperlink">
    <w:name w:val="Hyperlink"/>
    <w:uiPriority w:val="99"/>
    <w:unhideWhenUsed/>
    <w:rsid w:val="00C90E80"/>
    <w:rPr>
      <w:color w:val="0563C1"/>
      <w:u w:val="single"/>
    </w:rPr>
  </w:style>
  <w:style w:type="paragraph" w:styleId="BodyText">
    <w:name w:val="Body Text"/>
    <w:link w:val="BodyTextChar"/>
    <w:uiPriority w:val="99"/>
    <w:rsid w:val="00D51FF2"/>
    <w:pPr>
      <w:spacing w:before="160" w:after="160" w:line="312" w:lineRule="auto"/>
    </w:pPr>
    <w:rPr>
      <w:rFonts w:ascii="Arial" w:eastAsia="Times New Roman" w:hAnsi="Arial" w:cs="Arial"/>
      <w:szCs w:val="24"/>
      <w:lang w:eastAsia="en-US"/>
    </w:rPr>
  </w:style>
  <w:style w:type="character" w:customStyle="1" w:styleId="BodyTextChar">
    <w:name w:val="Body Text Char"/>
    <w:link w:val="BodyText"/>
    <w:uiPriority w:val="99"/>
    <w:rsid w:val="00D51FF2"/>
    <w:rPr>
      <w:rFonts w:ascii="Arial" w:eastAsia="Times New Roman" w:hAnsi="Arial" w:cs="Arial"/>
      <w:szCs w:val="24"/>
      <w:lang w:eastAsia="en-US"/>
    </w:rPr>
  </w:style>
  <w:style w:type="paragraph" w:customStyle="1" w:styleId="TableColHead">
    <w:name w:val="Table Col Head"/>
    <w:basedOn w:val="Normal"/>
    <w:uiPriority w:val="11"/>
    <w:qFormat/>
    <w:rsid w:val="00A178C0"/>
    <w:pPr>
      <w:spacing w:before="80" w:after="60" w:line="240" w:lineRule="auto"/>
    </w:pPr>
    <w:rPr>
      <w:rFonts w:ascii="Arial" w:hAnsi="Arial" w:cs="Arial"/>
      <w:b/>
      <w:color w:val="FFFFFF"/>
      <w:w w:val="110"/>
      <w:sz w:val="18"/>
      <w:szCs w:val="18"/>
    </w:rPr>
  </w:style>
  <w:style w:type="paragraph" w:customStyle="1" w:styleId="TableTextRight">
    <w:name w:val="Table Text Right"/>
    <w:basedOn w:val="TableText"/>
    <w:qFormat/>
    <w:rsid w:val="008C1BE0"/>
    <w:pPr>
      <w:jc w:val="right"/>
    </w:pPr>
  </w:style>
  <w:style w:type="table" w:styleId="TableGrid">
    <w:name w:val="Table Grid"/>
    <w:basedOn w:val="TableNormal"/>
    <w:uiPriority w:val="39"/>
    <w:rsid w:val="00A66C4F"/>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BF4FB"/>
    </w:tcPr>
    <w:tblStylePr w:type="firstRow">
      <w:tblPr/>
      <w:tcPr>
        <w:tcBorders>
          <w:insideV w:val="single" w:sz="4" w:space="0" w:color="FFFFFF"/>
        </w:tcBorders>
        <w:shd w:val="clear" w:color="auto" w:fill="0072CE"/>
        <w:vAlign w:val="bottom"/>
      </w:tcPr>
    </w:tblStylePr>
  </w:style>
  <w:style w:type="paragraph" w:styleId="Header">
    <w:name w:val="header"/>
    <w:basedOn w:val="Normal"/>
    <w:link w:val="HeaderChar"/>
    <w:uiPriority w:val="99"/>
    <w:unhideWhenUsed/>
    <w:rsid w:val="00C71F11"/>
    <w:pPr>
      <w:tabs>
        <w:tab w:val="center" w:pos="4513"/>
        <w:tab w:val="right" w:pos="9026"/>
      </w:tabs>
    </w:pPr>
  </w:style>
  <w:style w:type="character" w:customStyle="1" w:styleId="HeaderChar">
    <w:name w:val="Header Char"/>
    <w:link w:val="Header"/>
    <w:uiPriority w:val="99"/>
    <w:rsid w:val="00C71F11"/>
    <w:rPr>
      <w:sz w:val="22"/>
      <w:szCs w:val="22"/>
      <w:lang w:eastAsia="en-US"/>
    </w:rPr>
  </w:style>
  <w:style w:type="paragraph" w:styleId="Footer">
    <w:name w:val="footer"/>
    <w:basedOn w:val="Normal"/>
    <w:link w:val="FooterChar"/>
    <w:uiPriority w:val="99"/>
    <w:unhideWhenUsed/>
    <w:rsid w:val="00783BEE"/>
    <w:pPr>
      <w:tabs>
        <w:tab w:val="right" w:pos="9072"/>
      </w:tabs>
      <w:spacing w:after="0" w:line="240" w:lineRule="auto"/>
    </w:pPr>
    <w:rPr>
      <w:rFonts w:ascii="Arial" w:hAnsi="Arial"/>
      <w:sz w:val="18"/>
    </w:rPr>
  </w:style>
  <w:style w:type="character" w:customStyle="1" w:styleId="FooterChar">
    <w:name w:val="Footer Char"/>
    <w:link w:val="Footer"/>
    <w:uiPriority w:val="99"/>
    <w:rsid w:val="00783BEE"/>
    <w:rPr>
      <w:rFonts w:ascii="Arial" w:hAnsi="Arial"/>
      <w:sz w:val="18"/>
      <w:szCs w:val="22"/>
      <w:lang w:eastAsia="en-US"/>
    </w:rPr>
  </w:style>
  <w:style w:type="paragraph" w:styleId="Caption">
    <w:name w:val="caption"/>
    <w:basedOn w:val="Normal"/>
    <w:next w:val="Normal"/>
    <w:uiPriority w:val="35"/>
    <w:unhideWhenUsed/>
    <w:qFormat/>
    <w:rsid w:val="003544EC"/>
    <w:pPr>
      <w:keepNext/>
      <w:keepLines/>
      <w:spacing w:before="300" w:after="120" w:line="240" w:lineRule="auto"/>
    </w:pPr>
    <w:rPr>
      <w:rFonts w:ascii="Arial" w:hAnsi="Arial" w:cs="Arial"/>
      <w:b/>
      <w:bCs/>
      <w:szCs w:val="20"/>
    </w:rPr>
  </w:style>
  <w:style w:type="paragraph" w:styleId="TOC4">
    <w:name w:val="toc 4"/>
    <w:basedOn w:val="Normal"/>
    <w:next w:val="Normal"/>
    <w:autoRedefine/>
    <w:uiPriority w:val="39"/>
    <w:semiHidden/>
    <w:rsid w:val="004F0321"/>
    <w:pPr>
      <w:spacing w:after="100"/>
      <w:ind w:left="660"/>
    </w:pPr>
    <w:rPr>
      <w:rFonts w:eastAsia="Times New Roman"/>
      <w:lang w:eastAsia="en-AU"/>
    </w:rPr>
  </w:style>
  <w:style w:type="paragraph" w:styleId="TOC5">
    <w:name w:val="toc 5"/>
    <w:basedOn w:val="Normal"/>
    <w:next w:val="Normal"/>
    <w:autoRedefine/>
    <w:uiPriority w:val="39"/>
    <w:semiHidden/>
    <w:rsid w:val="004F0321"/>
    <w:pPr>
      <w:spacing w:after="100"/>
      <w:ind w:left="880"/>
    </w:pPr>
    <w:rPr>
      <w:rFonts w:eastAsia="Times New Roman"/>
      <w:lang w:eastAsia="en-AU"/>
    </w:rPr>
  </w:style>
  <w:style w:type="paragraph" w:styleId="TOC6">
    <w:name w:val="toc 6"/>
    <w:basedOn w:val="Normal"/>
    <w:next w:val="Normal"/>
    <w:autoRedefine/>
    <w:uiPriority w:val="39"/>
    <w:semiHidden/>
    <w:rsid w:val="004F0321"/>
    <w:pPr>
      <w:spacing w:after="100"/>
      <w:ind w:left="1100"/>
    </w:pPr>
    <w:rPr>
      <w:rFonts w:eastAsia="Times New Roman"/>
      <w:lang w:eastAsia="en-AU"/>
    </w:rPr>
  </w:style>
  <w:style w:type="paragraph" w:styleId="TOC7">
    <w:name w:val="toc 7"/>
    <w:basedOn w:val="Normal"/>
    <w:next w:val="Normal"/>
    <w:autoRedefine/>
    <w:uiPriority w:val="39"/>
    <w:semiHidden/>
    <w:rsid w:val="004F0321"/>
    <w:pPr>
      <w:spacing w:after="100"/>
      <w:ind w:left="1320"/>
    </w:pPr>
    <w:rPr>
      <w:rFonts w:eastAsia="Times New Roman"/>
      <w:lang w:eastAsia="en-AU"/>
    </w:rPr>
  </w:style>
  <w:style w:type="paragraph" w:styleId="TOC8">
    <w:name w:val="toc 8"/>
    <w:basedOn w:val="Normal"/>
    <w:next w:val="Normal"/>
    <w:autoRedefine/>
    <w:uiPriority w:val="39"/>
    <w:semiHidden/>
    <w:rsid w:val="004F0321"/>
    <w:pPr>
      <w:spacing w:after="100"/>
      <w:ind w:left="1540"/>
    </w:pPr>
    <w:rPr>
      <w:rFonts w:eastAsia="Times New Roman"/>
      <w:lang w:eastAsia="en-AU"/>
    </w:rPr>
  </w:style>
  <w:style w:type="paragraph" w:styleId="TOC9">
    <w:name w:val="toc 9"/>
    <w:basedOn w:val="Normal"/>
    <w:next w:val="Normal"/>
    <w:autoRedefine/>
    <w:uiPriority w:val="39"/>
    <w:semiHidden/>
    <w:rsid w:val="004F0321"/>
    <w:pPr>
      <w:spacing w:after="100"/>
      <w:ind w:left="1760"/>
    </w:pPr>
    <w:rPr>
      <w:rFonts w:eastAsia="Times New Roman"/>
      <w:lang w:eastAsia="en-AU"/>
    </w:rPr>
  </w:style>
  <w:style w:type="paragraph" w:styleId="NoSpacing">
    <w:name w:val="No Spacing"/>
    <w:uiPriority w:val="98"/>
    <w:qFormat/>
    <w:rsid w:val="004F0321"/>
    <w:rPr>
      <w:sz w:val="22"/>
      <w:szCs w:val="22"/>
      <w:lang w:eastAsia="en-US"/>
    </w:rPr>
  </w:style>
  <w:style w:type="paragraph" w:styleId="NormalWeb">
    <w:name w:val="Normal (Web)"/>
    <w:basedOn w:val="Normal"/>
    <w:uiPriority w:val="99"/>
    <w:semiHidden/>
    <w:rsid w:val="00B74A1F"/>
    <w:rPr>
      <w:rFonts w:ascii="Times New Roman" w:hAnsi="Times New Roman"/>
      <w:sz w:val="24"/>
      <w:szCs w:val="24"/>
    </w:rPr>
  </w:style>
  <w:style w:type="paragraph" w:styleId="ListParagraph">
    <w:name w:val="List Paragraph"/>
    <w:basedOn w:val="Normal"/>
    <w:uiPriority w:val="99"/>
    <w:qFormat/>
    <w:rsid w:val="00A26139"/>
    <w:pPr>
      <w:spacing w:after="200" w:line="276" w:lineRule="auto"/>
      <w:ind w:left="720"/>
      <w:contextualSpacing/>
    </w:pPr>
  </w:style>
  <w:style w:type="paragraph" w:customStyle="1" w:styleId="TableColHeadRight">
    <w:name w:val="Table Col Head Right"/>
    <w:basedOn w:val="TableColHead"/>
    <w:qFormat/>
    <w:rsid w:val="008C1BE0"/>
    <w:pPr>
      <w:jc w:val="right"/>
    </w:pPr>
  </w:style>
  <w:style w:type="paragraph" w:customStyle="1" w:styleId="TableTextBold">
    <w:name w:val="Table Text Bold"/>
    <w:basedOn w:val="TableText"/>
    <w:qFormat/>
    <w:rsid w:val="00CE2CE5"/>
    <w:rPr>
      <w:b/>
    </w:rPr>
  </w:style>
  <w:style w:type="paragraph" w:styleId="ListBullet2">
    <w:name w:val="List Bullet 2"/>
    <w:basedOn w:val="BodyText"/>
    <w:uiPriority w:val="99"/>
    <w:rsid w:val="009C77A0"/>
    <w:pPr>
      <w:numPr>
        <w:ilvl w:val="1"/>
        <w:numId w:val="39"/>
      </w:numPr>
      <w:spacing w:before="0" w:after="40"/>
      <w:ind w:left="568" w:hanging="284"/>
    </w:pPr>
  </w:style>
  <w:style w:type="numbering" w:customStyle="1" w:styleId="CAVListStyleBullets">
    <w:name w:val="CAV List Style: Bullets"/>
    <w:uiPriority w:val="99"/>
    <w:rsid w:val="00C659AA"/>
    <w:pPr>
      <w:numPr>
        <w:numId w:val="7"/>
      </w:numPr>
    </w:pPr>
  </w:style>
  <w:style w:type="paragraph" w:styleId="BlockText">
    <w:name w:val="Block Text"/>
    <w:basedOn w:val="Normal"/>
    <w:semiHidden/>
    <w:rsid w:val="00C04AF5"/>
    <w:pPr>
      <w:spacing w:before="240" w:after="120" w:line="240" w:lineRule="auto"/>
      <w:ind w:left="1440" w:right="1440"/>
    </w:pPr>
    <w:rPr>
      <w:rFonts w:ascii="Arial" w:hAnsi="Arial" w:cs="Arial"/>
      <w:color w:val="FF0000"/>
      <w:u w:val="single"/>
      <w:lang w:eastAsia="en-AU"/>
    </w:rPr>
  </w:style>
  <w:style w:type="paragraph" w:styleId="FootnoteText">
    <w:name w:val="footnote text"/>
    <w:basedOn w:val="Normal"/>
    <w:link w:val="FootnoteTextChar"/>
    <w:uiPriority w:val="99"/>
    <w:rsid w:val="00A54548"/>
    <w:pPr>
      <w:spacing w:before="60" w:after="60" w:line="264" w:lineRule="auto"/>
      <w:ind w:left="340" w:hanging="340"/>
    </w:pPr>
    <w:rPr>
      <w:rFonts w:ascii="Arial" w:hAnsi="Arial" w:cs="Arial"/>
      <w:sz w:val="18"/>
      <w:szCs w:val="16"/>
    </w:rPr>
  </w:style>
  <w:style w:type="character" w:styleId="Emphasis">
    <w:name w:val="Emphasis"/>
    <w:uiPriority w:val="20"/>
    <w:qFormat/>
    <w:rsid w:val="00422C46"/>
    <w:rPr>
      <w:i/>
      <w:iCs/>
    </w:rPr>
  </w:style>
  <w:style w:type="character" w:styleId="Strong">
    <w:name w:val="Strong"/>
    <w:uiPriority w:val="22"/>
    <w:qFormat/>
    <w:rsid w:val="008A5248"/>
    <w:rPr>
      <w:b/>
      <w:bCs/>
    </w:rPr>
  </w:style>
  <w:style w:type="character" w:styleId="CommentReference">
    <w:name w:val="annotation reference"/>
    <w:uiPriority w:val="99"/>
    <w:semiHidden/>
    <w:unhideWhenUsed/>
    <w:rsid w:val="00E44B22"/>
    <w:rPr>
      <w:sz w:val="16"/>
      <w:szCs w:val="16"/>
    </w:rPr>
  </w:style>
  <w:style w:type="paragraph" w:styleId="CommentText">
    <w:name w:val="annotation text"/>
    <w:basedOn w:val="Normal"/>
    <w:link w:val="CommentTextChar"/>
    <w:uiPriority w:val="99"/>
    <w:semiHidden/>
    <w:unhideWhenUsed/>
    <w:rsid w:val="00E44B22"/>
    <w:rPr>
      <w:sz w:val="20"/>
      <w:szCs w:val="20"/>
    </w:rPr>
  </w:style>
  <w:style w:type="character" w:customStyle="1" w:styleId="CommentTextChar">
    <w:name w:val="Comment Text Char"/>
    <w:link w:val="CommentText"/>
    <w:uiPriority w:val="99"/>
    <w:semiHidden/>
    <w:rsid w:val="00E44B22"/>
    <w:rPr>
      <w:lang w:eastAsia="en-US"/>
    </w:rPr>
  </w:style>
  <w:style w:type="paragraph" w:styleId="CommentSubject">
    <w:name w:val="annotation subject"/>
    <w:basedOn w:val="CommentText"/>
    <w:next w:val="CommentText"/>
    <w:link w:val="CommentSubjectChar"/>
    <w:uiPriority w:val="99"/>
    <w:semiHidden/>
    <w:unhideWhenUsed/>
    <w:rsid w:val="00E44B22"/>
    <w:rPr>
      <w:b/>
      <w:bCs/>
    </w:rPr>
  </w:style>
  <w:style w:type="character" w:customStyle="1" w:styleId="CommentSubjectChar">
    <w:name w:val="Comment Subject Char"/>
    <w:link w:val="CommentSubject"/>
    <w:uiPriority w:val="99"/>
    <w:semiHidden/>
    <w:rsid w:val="00E44B22"/>
    <w:rPr>
      <w:b/>
      <w:bCs/>
      <w:lang w:eastAsia="en-US"/>
    </w:rPr>
  </w:style>
  <w:style w:type="paragraph" w:styleId="BalloonText">
    <w:name w:val="Balloon Text"/>
    <w:basedOn w:val="Normal"/>
    <w:link w:val="BalloonTextChar"/>
    <w:uiPriority w:val="99"/>
    <w:semiHidden/>
    <w:unhideWhenUsed/>
    <w:rsid w:val="00E44B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44B22"/>
    <w:rPr>
      <w:rFonts w:ascii="Segoe UI" w:hAnsi="Segoe UI" w:cs="Segoe UI"/>
      <w:sz w:val="18"/>
      <w:szCs w:val="18"/>
      <w:lang w:eastAsia="en-US"/>
    </w:rPr>
  </w:style>
  <w:style w:type="character" w:customStyle="1" w:styleId="Heading4Char">
    <w:name w:val="Heading 4 Char"/>
    <w:link w:val="Heading4"/>
    <w:uiPriority w:val="9"/>
    <w:rsid w:val="00C076AD"/>
    <w:rPr>
      <w:rFonts w:ascii="Arial" w:eastAsia="Times New Roman" w:hAnsi="Arial"/>
      <w:b/>
      <w:bCs/>
      <w:sz w:val="26"/>
      <w:szCs w:val="26"/>
      <w:lang w:eastAsia="en-US"/>
    </w:rPr>
  </w:style>
  <w:style w:type="paragraph" w:styleId="Revision">
    <w:name w:val="Revision"/>
    <w:hidden/>
    <w:uiPriority w:val="99"/>
    <w:semiHidden/>
    <w:rsid w:val="00A73820"/>
    <w:rPr>
      <w:sz w:val="22"/>
      <w:szCs w:val="22"/>
      <w:lang w:eastAsia="en-US"/>
    </w:rPr>
  </w:style>
  <w:style w:type="character" w:customStyle="1" w:styleId="FootnoteTextChar">
    <w:name w:val="Footnote Text Char"/>
    <w:link w:val="FootnoteText"/>
    <w:uiPriority w:val="99"/>
    <w:rsid w:val="00A54548"/>
    <w:rPr>
      <w:rFonts w:ascii="Arial" w:hAnsi="Arial" w:cs="Arial"/>
      <w:sz w:val="18"/>
      <w:szCs w:val="16"/>
      <w:lang w:eastAsia="en-US"/>
    </w:rPr>
  </w:style>
  <w:style w:type="character" w:styleId="FootnoteReference">
    <w:name w:val="footnote reference"/>
    <w:uiPriority w:val="99"/>
    <w:rsid w:val="003D521F"/>
    <w:rPr>
      <w:vertAlign w:val="superscript"/>
    </w:rPr>
  </w:style>
  <w:style w:type="paragraph" w:styleId="TableofFigures">
    <w:name w:val="table of figures"/>
    <w:basedOn w:val="Normal"/>
    <w:next w:val="Normal"/>
    <w:uiPriority w:val="99"/>
    <w:semiHidden/>
    <w:unhideWhenUsed/>
    <w:rsid w:val="00624207"/>
  </w:style>
  <w:style w:type="character" w:styleId="FollowedHyperlink">
    <w:name w:val="FollowedHyperlink"/>
    <w:uiPriority w:val="99"/>
    <w:semiHidden/>
    <w:unhideWhenUsed/>
    <w:rsid w:val="004F061C"/>
    <w:rPr>
      <w:color w:val="954F72"/>
      <w:u w:val="single"/>
    </w:rPr>
  </w:style>
  <w:style w:type="paragraph" w:styleId="ListBullet">
    <w:name w:val="List Bullet"/>
    <w:basedOn w:val="BodyText"/>
    <w:uiPriority w:val="99"/>
    <w:rsid w:val="009C77A0"/>
    <w:pPr>
      <w:numPr>
        <w:numId w:val="39"/>
      </w:numPr>
      <w:spacing w:before="0" w:after="40"/>
    </w:pPr>
  </w:style>
  <w:style w:type="character" w:customStyle="1" w:styleId="Heading5Char">
    <w:name w:val="Heading 5 Char"/>
    <w:link w:val="Heading5"/>
    <w:uiPriority w:val="9"/>
    <w:rsid w:val="00D03A6F"/>
    <w:rPr>
      <w:rFonts w:ascii="Arial" w:eastAsia="Times New Roman" w:hAnsi="Arial"/>
      <w:b/>
      <w:bCs/>
      <w:iCs/>
      <w:sz w:val="22"/>
      <w:szCs w:val="26"/>
      <w:lang w:eastAsia="en-US"/>
    </w:rPr>
  </w:style>
  <w:style w:type="paragraph" w:styleId="ListNumber">
    <w:name w:val="List Number"/>
    <w:basedOn w:val="Normal"/>
    <w:uiPriority w:val="99"/>
    <w:rsid w:val="00896A7C"/>
    <w:pPr>
      <w:numPr>
        <w:numId w:val="30"/>
      </w:numPr>
      <w:spacing w:line="312" w:lineRule="auto"/>
      <w:ind w:left="357" w:hanging="357"/>
      <w:contextualSpacing/>
    </w:pPr>
    <w:rPr>
      <w:rFonts w:ascii="Arial" w:hAnsi="Arial"/>
      <w:sz w:val="20"/>
    </w:rPr>
  </w:style>
  <w:style w:type="character" w:customStyle="1" w:styleId="UnresolvedMention1">
    <w:name w:val="Unresolved Mention1"/>
    <w:uiPriority w:val="99"/>
    <w:semiHidden/>
    <w:unhideWhenUsed/>
    <w:rsid w:val="003B545A"/>
    <w:rPr>
      <w:color w:val="808080"/>
      <w:shd w:val="clear" w:color="auto" w:fill="E6E6E6"/>
    </w:rPr>
  </w:style>
  <w:style w:type="character" w:customStyle="1" w:styleId="Heading6Char">
    <w:name w:val="Heading 6 Char"/>
    <w:link w:val="Heading6"/>
    <w:uiPriority w:val="9"/>
    <w:rsid w:val="00D03A6F"/>
    <w:rPr>
      <w:rFonts w:ascii="Arial" w:eastAsia="Times New Roman" w:hAnsi="Arial"/>
      <w:b/>
      <w:bCs/>
      <w:szCs w:val="22"/>
      <w:lang w:eastAsia="en-US"/>
    </w:rPr>
  </w:style>
  <w:style w:type="paragraph" w:customStyle="1" w:styleId="TableTextRightBold">
    <w:name w:val="Table Text Right Bold"/>
    <w:basedOn w:val="TableTextRight"/>
    <w:qFormat/>
    <w:rsid w:val="00006DE3"/>
    <w:rPr>
      <w:b/>
    </w:rPr>
  </w:style>
  <w:style w:type="paragraph" w:styleId="TOCHeading">
    <w:name w:val="TOC Heading"/>
    <w:basedOn w:val="Heading1"/>
    <w:next w:val="Normal"/>
    <w:uiPriority w:val="39"/>
    <w:semiHidden/>
    <w:unhideWhenUsed/>
    <w:qFormat/>
    <w:rsid w:val="00C77B2D"/>
    <w:pPr>
      <w:keepNext/>
      <w:keepLines/>
      <w:spacing w:before="480" w:after="0"/>
      <w:jc w:val="left"/>
      <w:outlineLvl w:val="9"/>
    </w:pPr>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D31BFE"/>
    <w:rPr>
      <w:color w:val="605E5C"/>
      <w:shd w:val="clear" w:color="auto" w:fill="E1DFDD"/>
    </w:rPr>
  </w:style>
  <w:style w:type="paragraph" w:customStyle="1" w:styleId="Highlight1">
    <w:name w:val="Highlight 1"/>
    <w:uiPriority w:val="99"/>
    <w:rsid w:val="00B0122B"/>
    <w:pPr>
      <w:keepNext/>
      <w:suppressAutoHyphens/>
    </w:pPr>
    <w:rPr>
      <w:rFonts w:ascii="Arial" w:eastAsiaTheme="minorEastAsia" w:hAnsi="Arial" w:cs="VIC-Bold"/>
      <w:b/>
      <w:bCs/>
      <w:color w:val="000000"/>
      <w:sz w:val="56"/>
      <w:szCs w:val="56"/>
    </w:rPr>
  </w:style>
  <w:style w:type="paragraph" w:customStyle="1" w:styleId="Highlight2">
    <w:name w:val="Highlight 2"/>
    <w:uiPriority w:val="99"/>
    <w:rsid w:val="00B0122B"/>
    <w:pPr>
      <w:suppressAutoHyphens/>
      <w:spacing w:after="800"/>
    </w:pPr>
    <w:rPr>
      <w:rFonts w:ascii="Arial" w:eastAsiaTheme="minorEastAsia" w:hAnsi="Arial" w:cs="VIC-Light"/>
      <w:color w:val="000000"/>
      <w:sz w:val="26"/>
      <w:szCs w:val="26"/>
      <w:lang w:val="en-GB"/>
    </w:rPr>
  </w:style>
  <w:style w:type="paragraph" w:customStyle="1" w:styleId="Bullet1">
    <w:name w:val="Bullet 1"/>
    <w:basedOn w:val="Normal"/>
    <w:uiPriority w:val="99"/>
    <w:rsid w:val="007470E2"/>
    <w:pPr>
      <w:widowControl w:val="0"/>
      <w:suppressAutoHyphens/>
      <w:autoSpaceDE w:val="0"/>
      <w:autoSpaceDN w:val="0"/>
      <w:adjustRightInd w:val="0"/>
      <w:spacing w:after="142" w:line="270" w:lineRule="atLeast"/>
      <w:ind w:left="227" w:hanging="227"/>
      <w:textAlignment w:val="center"/>
    </w:pPr>
    <w:rPr>
      <w:rFonts w:ascii="VIC-Regular" w:eastAsiaTheme="minorEastAsia" w:hAnsi="VIC-Regular" w:cs="VIC-Regular"/>
      <w:color w:val="000000"/>
      <w:sz w:val="21"/>
      <w:szCs w:val="21"/>
      <w:lang w:val="en-GB" w:eastAsia="en-AU"/>
    </w:rPr>
  </w:style>
  <w:style w:type="paragraph" w:customStyle="1" w:styleId="Bullet2">
    <w:name w:val="Bullet 2"/>
    <w:basedOn w:val="Bullet1"/>
    <w:uiPriority w:val="99"/>
    <w:rsid w:val="009564E9"/>
    <w:pPr>
      <w:ind w:left="454"/>
    </w:pPr>
  </w:style>
  <w:style w:type="paragraph" w:customStyle="1" w:styleId="ListBullet21">
    <w:name w:val="List Bullet 21"/>
    <w:basedOn w:val="BodyText"/>
    <w:next w:val="ListBullet2"/>
    <w:uiPriority w:val="99"/>
    <w:rsid w:val="009D153A"/>
    <w:pPr>
      <w:tabs>
        <w:tab w:val="num" w:pos="643"/>
      </w:tabs>
      <w:ind w:left="643" w:hanging="360"/>
      <w:contextualSpacing/>
    </w:pPr>
  </w:style>
  <w:style w:type="numbering" w:customStyle="1" w:styleId="ZZListBullets">
    <w:name w:val="ZZ List Bullets"/>
    <w:uiPriority w:val="99"/>
    <w:rsid w:val="00E320F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724">
      <w:bodyDiv w:val="1"/>
      <w:marLeft w:val="0"/>
      <w:marRight w:val="0"/>
      <w:marTop w:val="0"/>
      <w:marBottom w:val="0"/>
      <w:divBdr>
        <w:top w:val="none" w:sz="0" w:space="0" w:color="auto"/>
        <w:left w:val="none" w:sz="0" w:space="0" w:color="auto"/>
        <w:bottom w:val="none" w:sz="0" w:space="0" w:color="auto"/>
        <w:right w:val="none" w:sz="0" w:space="0" w:color="auto"/>
      </w:divBdr>
    </w:div>
    <w:div w:id="67700473">
      <w:bodyDiv w:val="1"/>
      <w:marLeft w:val="0"/>
      <w:marRight w:val="0"/>
      <w:marTop w:val="0"/>
      <w:marBottom w:val="0"/>
      <w:divBdr>
        <w:top w:val="none" w:sz="0" w:space="0" w:color="auto"/>
        <w:left w:val="none" w:sz="0" w:space="0" w:color="auto"/>
        <w:bottom w:val="none" w:sz="0" w:space="0" w:color="auto"/>
        <w:right w:val="none" w:sz="0" w:space="0" w:color="auto"/>
      </w:divBdr>
    </w:div>
    <w:div w:id="78991551">
      <w:bodyDiv w:val="1"/>
      <w:marLeft w:val="0"/>
      <w:marRight w:val="0"/>
      <w:marTop w:val="0"/>
      <w:marBottom w:val="0"/>
      <w:divBdr>
        <w:top w:val="none" w:sz="0" w:space="0" w:color="auto"/>
        <w:left w:val="none" w:sz="0" w:space="0" w:color="auto"/>
        <w:bottom w:val="none" w:sz="0" w:space="0" w:color="auto"/>
        <w:right w:val="none" w:sz="0" w:space="0" w:color="auto"/>
      </w:divBdr>
    </w:div>
    <w:div w:id="94137366">
      <w:bodyDiv w:val="1"/>
      <w:marLeft w:val="0"/>
      <w:marRight w:val="0"/>
      <w:marTop w:val="0"/>
      <w:marBottom w:val="0"/>
      <w:divBdr>
        <w:top w:val="none" w:sz="0" w:space="0" w:color="auto"/>
        <w:left w:val="none" w:sz="0" w:space="0" w:color="auto"/>
        <w:bottom w:val="none" w:sz="0" w:space="0" w:color="auto"/>
        <w:right w:val="none" w:sz="0" w:space="0" w:color="auto"/>
      </w:divBdr>
    </w:div>
    <w:div w:id="119108128">
      <w:bodyDiv w:val="1"/>
      <w:marLeft w:val="0"/>
      <w:marRight w:val="0"/>
      <w:marTop w:val="0"/>
      <w:marBottom w:val="0"/>
      <w:divBdr>
        <w:top w:val="none" w:sz="0" w:space="0" w:color="auto"/>
        <w:left w:val="none" w:sz="0" w:space="0" w:color="auto"/>
        <w:bottom w:val="none" w:sz="0" w:space="0" w:color="auto"/>
        <w:right w:val="none" w:sz="0" w:space="0" w:color="auto"/>
      </w:divBdr>
    </w:div>
    <w:div w:id="177160737">
      <w:bodyDiv w:val="1"/>
      <w:marLeft w:val="0"/>
      <w:marRight w:val="0"/>
      <w:marTop w:val="0"/>
      <w:marBottom w:val="0"/>
      <w:divBdr>
        <w:top w:val="none" w:sz="0" w:space="0" w:color="auto"/>
        <w:left w:val="none" w:sz="0" w:space="0" w:color="auto"/>
        <w:bottom w:val="none" w:sz="0" w:space="0" w:color="auto"/>
        <w:right w:val="none" w:sz="0" w:space="0" w:color="auto"/>
      </w:divBdr>
    </w:div>
    <w:div w:id="179854712">
      <w:bodyDiv w:val="1"/>
      <w:marLeft w:val="0"/>
      <w:marRight w:val="0"/>
      <w:marTop w:val="0"/>
      <w:marBottom w:val="0"/>
      <w:divBdr>
        <w:top w:val="none" w:sz="0" w:space="0" w:color="auto"/>
        <w:left w:val="none" w:sz="0" w:space="0" w:color="auto"/>
        <w:bottom w:val="none" w:sz="0" w:space="0" w:color="auto"/>
        <w:right w:val="none" w:sz="0" w:space="0" w:color="auto"/>
      </w:divBdr>
    </w:div>
    <w:div w:id="246889497">
      <w:bodyDiv w:val="1"/>
      <w:marLeft w:val="0"/>
      <w:marRight w:val="0"/>
      <w:marTop w:val="0"/>
      <w:marBottom w:val="0"/>
      <w:divBdr>
        <w:top w:val="none" w:sz="0" w:space="0" w:color="auto"/>
        <w:left w:val="none" w:sz="0" w:space="0" w:color="auto"/>
        <w:bottom w:val="none" w:sz="0" w:space="0" w:color="auto"/>
        <w:right w:val="none" w:sz="0" w:space="0" w:color="auto"/>
      </w:divBdr>
    </w:div>
    <w:div w:id="248735409">
      <w:bodyDiv w:val="1"/>
      <w:marLeft w:val="0"/>
      <w:marRight w:val="0"/>
      <w:marTop w:val="0"/>
      <w:marBottom w:val="0"/>
      <w:divBdr>
        <w:top w:val="none" w:sz="0" w:space="0" w:color="auto"/>
        <w:left w:val="none" w:sz="0" w:space="0" w:color="auto"/>
        <w:bottom w:val="none" w:sz="0" w:space="0" w:color="auto"/>
        <w:right w:val="none" w:sz="0" w:space="0" w:color="auto"/>
      </w:divBdr>
    </w:div>
    <w:div w:id="269624268">
      <w:bodyDiv w:val="1"/>
      <w:marLeft w:val="0"/>
      <w:marRight w:val="0"/>
      <w:marTop w:val="0"/>
      <w:marBottom w:val="0"/>
      <w:divBdr>
        <w:top w:val="none" w:sz="0" w:space="0" w:color="auto"/>
        <w:left w:val="none" w:sz="0" w:space="0" w:color="auto"/>
        <w:bottom w:val="none" w:sz="0" w:space="0" w:color="auto"/>
        <w:right w:val="none" w:sz="0" w:space="0" w:color="auto"/>
      </w:divBdr>
    </w:div>
    <w:div w:id="306325682">
      <w:bodyDiv w:val="1"/>
      <w:marLeft w:val="0"/>
      <w:marRight w:val="0"/>
      <w:marTop w:val="0"/>
      <w:marBottom w:val="0"/>
      <w:divBdr>
        <w:top w:val="none" w:sz="0" w:space="0" w:color="auto"/>
        <w:left w:val="none" w:sz="0" w:space="0" w:color="auto"/>
        <w:bottom w:val="none" w:sz="0" w:space="0" w:color="auto"/>
        <w:right w:val="none" w:sz="0" w:space="0" w:color="auto"/>
      </w:divBdr>
    </w:div>
    <w:div w:id="324090989">
      <w:bodyDiv w:val="1"/>
      <w:marLeft w:val="0"/>
      <w:marRight w:val="0"/>
      <w:marTop w:val="0"/>
      <w:marBottom w:val="0"/>
      <w:divBdr>
        <w:top w:val="none" w:sz="0" w:space="0" w:color="auto"/>
        <w:left w:val="none" w:sz="0" w:space="0" w:color="auto"/>
        <w:bottom w:val="none" w:sz="0" w:space="0" w:color="auto"/>
        <w:right w:val="none" w:sz="0" w:space="0" w:color="auto"/>
      </w:divBdr>
    </w:div>
    <w:div w:id="447622962">
      <w:bodyDiv w:val="1"/>
      <w:marLeft w:val="0"/>
      <w:marRight w:val="0"/>
      <w:marTop w:val="0"/>
      <w:marBottom w:val="0"/>
      <w:divBdr>
        <w:top w:val="none" w:sz="0" w:space="0" w:color="auto"/>
        <w:left w:val="none" w:sz="0" w:space="0" w:color="auto"/>
        <w:bottom w:val="none" w:sz="0" w:space="0" w:color="auto"/>
        <w:right w:val="none" w:sz="0" w:space="0" w:color="auto"/>
      </w:divBdr>
    </w:div>
    <w:div w:id="602615279">
      <w:bodyDiv w:val="1"/>
      <w:marLeft w:val="0"/>
      <w:marRight w:val="0"/>
      <w:marTop w:val="0"/>
      <w:marBottom w:val="0"/>
      <w:divBdr>
        <w:top w:val="none" w:sz="0" w:space="0" w:color="auto"/>
        <w:left w:val="none" w:sz="0" w:space="0" w:color="auto"/>
        <w:bottom w:val="none" w:sz="0" w:space="0" w:color="auto"/>
        <w:right w:val="none" w:sz="0" w:space="0" w:color="auto"/>
      </w:divBdr>
    </w:div>
    <w:div w:id="604195287">
      <w:bodyDiv w:val="1"/>
      <w:marLeft w:val="0"/>
      <w:marRight w:val="0"/>
      <w:marTop w:val="0"/>
      <w:marBottom w:val="0"/>
      <w:divBdr>
        <w:top w:val="none" w:sz="0" w:space="0" w:color="auto"/>
        <w:left w:val="none" w:sz="0" w:space="0" w:color="auto"/>
        <w:bottom w:val="none" w:sz="0" w:space="0" w:color="auto"/>
        <w:right w:val="none" w:sz="0" w:space="0" w:color="auto"/>
      </w:divBdr>
    </w:div>
    <w:div w:id="615451468">
      <w:bodyDiv w:val="1"/>
      <w:marLeft w:val="0"/>
      <w:marRight w:val="0"/>
      <w:marTop w:val="0"/>
      <w:marBottom w:val="0"/>
      <w:divBdr>
        <w:top w:val="none" w:sz="0" w:space="0" w:color="auto"/>
        <w:left w:val="none" w:sz="0" w:space="0" w:color="auto"/>
        <w:bottom w:val="none" w:sz="0" w:space="0" w:color="auto"/>
        <w:right w:val="none" w:sz="0" w:space="0" w:color="auto"/>
      </w:divBdr>
    </w:div>
    <w:div w:id="687145850">
      <w:bodyDiv w:val="1"/>
      <w:marLeft w:val="0"/>
      <w:marRight w:val="0"/>
      <w:marTop w:val="0"/>
      <w:marBottom w:val="0"/>
      <w:divBdr>
        <w:top w:val="none" w:sz="0" w:space="0" w:color="auto"/>
        <w:left w:val="none" w:sz="0" w:space="0" w:color="auto"/>
        <w:bottom w:val="none" w:sz="0" w:space="0" w:color="auto"/>
        <w:right w:val="none" w:sz="0" w:space="0" w:color="auto"/>
      </w:divBdr>
    </w:div>
    <w:div w:id="719675233">
      <w:bodyDiv w:val="1"/>
      <w:marLeft w:val="0"/>
      <w:marRight w:val="0"/>
      <w:marTop w:val="0"/>
      <w:marBottom w:val="0"/>
      <w:divBdr>
        <w:top w:val="none" w:sz="0" w:space="0" w:color="auto"/>
        <w:left w:val="none" w:sz="0" w:space="0" w:color="auto"/>
        <w:bottom w:val="none" w:sz="0" w:space="0" w:color="auto"/>
        <w:right w:val="none" w:sz="0" w:space="0" w:color="auto"/>
      </w:divBdr>
    </w:div>
    <w:div w:id="756513019">
      <w:bodyDiv w:val="1"/>
      <w:marLeft w:val="0"/>
      <w:marRight w:val="0"/>
      <w:marTop w:val="0"/>
      <w:marBottom w:val="0"/>
      <w:divBdr>
        <w:top w:val="none" w:sz="0" w:space="0" w:color="auto"/>
        <w:left w:val="none" w:sz="0" w:space="0" w:color="auto"/>
        <w:bottom w:val="none" w:sz="0" w:space="0" w:color="auto"/>
        <w:right w:val="none" w:sz="0" w:space="0" w:color="auto"/>
      </w:divBdr>
    </w:div>
    <w:div w:id="1287397041">
      <w:bodyDiv w:val="1"/>
      <w:marLeft w:val="0"/>
      <w:marRight w:val="0"/>
      <w:marTop w:val="0"/>
      <w:marBottom w:val="0"/>
      <w:divBdr>
        <w:top w:val="none" w:sz="0" w:space="0" w:color="auto"/>
        <w:left w:val="none" w:sz="0" w:space="0" w:color="auto"/>
        <w:bottom w:val="none" w:sz="0" w:space="0" w:color="auto"/>
        <w:right w:val="none" w:sz="0" w:space="0" w:color="auto"/>
      </w:divBdr>
    </w:div>
    <w:div w:id="1322276776">
      <w:bodyDiv w:val="1"/>
      <w:marLeft w:val="0"/>
      <w:marRight w:val="0"/>
      <w:marTop w:val="0"/>
      <w:marBottom w:val="0"/>
      <w:divBdr>
        <w:top w:val="none" w:sz="0" w:space="0" w:color="auto"/>
        <w:left w:val="none" w:sz="0" w:space="0" w:color="auto"/>
        <w:bottom w:val="none" w:sz="0" w:space="0" w:color="auto"/>
        <w:right w:val="none" w:sz="0" w:space="0" w:color="auto"/>
      </w:divBdr>
    </w:div>
    <w:div w:id="1328286301">
      <w:bodyDiv w:val="1"/>
      <w:marLeft w:val="0"/>
      <w:marRight w:val="0"/>
      <w:marTop w:val="0"/>
      <w:marBottom w:val="0"/>
      <w:divBdr>
        <w:top w:val="none" w:sz="0" w:space="0" w:color="auto"/>
        <w:left w:val="none" w:sz="0" w:space="0" w:color="auto"/>
        <w:bottom w:val="none" w:sz="0" w:space="0" w:color="auto"/>
        <w:right w:val="none" w:sz="0" w:space="0" w:color="auto"/>
      </w:divBdr>
    </w:div>
    <w:div w:id="1437676124">
      <w:bodyDiv w:val="1"/>
      <w:marLeft w:val="0"/>
      <w:marRight w:val="0"/>
      <w:marTop w:val="0"/>
      <w:marBottom w:val="0"/>
      <w:divBdr>
        <w:top w:val="none" w:sz="0" w:space="0" w:color="auto"/>
        <w:left w:val="none" w:sz="0" w:space="0" w:color="auto"/>
        <w:bottom w:val="none" w:sz="0" w:space="0" w:color="auto"/>
        <w:right w:val="none" w:sz="0" w:space="0" w:color="auto"/>
      </w:divBdr>
    </w:div>
    <w:div w:id="1467624668">
      <w:bodyDiv w:val="1"/>
      <w:marLeft w:val="0"/>
      <w:marRight w:val="0"/>
      <w:marTop w:val="0"/>
      <w:marBottom w:val="0"/>
      <w:divBdr>
        <w:top w:val="none" w:sz="0" w:space="0" w:color="auto"/>
        <w:left w:val="none" w:sz="0" w:space="0" w:color="auto"/>
        <w:bottom w:val="none" w:sz="0" w:space="0" w:color="auto"/>
        <w:right w:val="none" w:sz="0" w:space="0" w:color="auto"/>
      </w:divBdr>
    </w:div>
    <w:div w:id="1484932626">
      <w:bodyDiv w:val="1"/>
      <w:marLeft w:val="0"/>
      <w:marRight w:val="0"/>
      <w:marTop w:val="0"/>
      <w:marBottom w:val="0"/>
      <w:divBdr>
        <w:top w:val="none" w:sz="0" w:space="0" w:color="auto"/>
        <w:left w:val="none" w:sz="0" w:space="0" w:color="auto"/>
        <w:bottom w:val="none" w:sz="0" w:space="0" w:color="auto"/>
        <w:right w:val="none" w:sz="0" w:space="0" w:color="auto"/>
      </w:divBdr>
      <w:divsChild>
        <w:div w:id="1172337714">
          <w:marLeft w:val="0"/>
          <w:marRight w:val="0"/>
          <w:marTop w:val="0"/>
          <w:marBottom w:val="0"/>
          <w:divBdr>
            <w:top w:val="none" w:sz="0" w:space="0" w:color="auto"/>
            <w:left w:val="none" w:sz="0" w:space="0" w:color="auto"/>
            <w:bottom w:val="none" w:sz="0" w:space="0" w:color="auto"/>
            <w:right w:val="none" w:sz="0" w:space="0" w:color="auto"/>
          </w:divBdr>
        </w:div>
      </w:divsChild>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13640862">
      <w:bodyDiv w:val="1"/>
      <w:marLeft w:val="0"/>
      <w:marRight w:val="0"/>
      <w:marTop w:val="0"/>
      <w:marBottom w:val="0"/>
      <w:divBdr>
        <w:top w:val="none" w:sz="0" w:space="0" w:color="auto"/>
        <w:left w:val="none" w:sz="0" w:space="0" w:color="auto"/>
        <w:bottom w:val="none" w:sz="0" w:space="0" w:color="auto"/>
        <w:right w:val="none" w:sz="0" w:space="0" w:color="auto"/>
      </w:divBdr>
    </w:div>
    <w:div w:id="1525553732">
      <w:bodyDiv w:val="1"/>
      <w:marLeft w:val="0"/>
      <w:marRight w:val="0"/>
      <w:marTop w:val="0"/>
      <w:marBottom w:val="0"/>
      <w:divBdr>
        <w:top w:val="none" w:sz="0" w:space="0" w:color="auto"/>
        <w:left w:val="none" w:sz="0" w:space="0" w:color="auto"/>
        <w:bottom w:val="none" w:sz="0" w:space="0" w:color="auto"/>
        <w:right w:val="none" w:sz="0" w:space="0" w:color="auto"/>
      </w:divBdr>
      <w:divsChild>
        <w:div w:id="372467232">
          <w:marLeft w:val="274"/>
          <w:marRight w:val="0"/>
          <w:marTop w:val="86"/>
          <w:marBottom w:val="0"/>
          <w:divBdr>
            <w:top w:val="none" w:sz="0" w:space="0" w:color="auto"/>
            <w:left w:val="none" w:sz="0" w:space="0" w:color="auto"/>
            <w:bottom w:val="none" w:sz="0" w:space="0" w:color="auto"/>
            <w:right w:val="none" w:sz="0" w:space="0" w:color="auto"/>
          </w:divBdr>
        </w:div>
        <w:div w:id="1300647180">
          <w:marLeft w:val="274"/>
          <w:marRight w:val="0"/>
          <w:marTop w:val="86"/>
          <w:marBottom w:val="0"/>
          <w:divBdr>
            <w:top w:val="none" w:sz="0" w:space="0" w:color="auto"/>
            <w:left w:val="none" w:sz="0" w:space="0" w:color="auto"/>
            <w:bottom w:val="none" w:sz="0" w:space="0" w:color="auto"/>
            <w:right w:val="none" w:sz="0" w:space="0" w:color="auto"/>
          </w:divBdr>
        </w:div>
        <w:div w:id="1693341467">
          <w:marLeft w:val="274"/>
          <w:marRight w:val="0"/>
          <w:marTop w:val="86"/>
          <w:marBottom w:val="0"/>
          <w:divBdr>
            <w:top w:val="none" w:sz="0" w:space="0" w:color="auto"/>
            <w:left w:val="none" w:sz="0" w:space="0" w:color="auto"/>
            <w:bottom w:val="none" w:sz="0" w:space="0" w:color="auto"/>
            <w:right w:val="none" w:sz="0" w:space="0" w:color="auto"/>
          </w:divBdr>
        </w:div>
      </w:divsChild>
    </w:div>
    <w:div w:id="1697073557">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806922394">
      <w:bodyDiv w:val="1"/>
      <w:marLeft w:val="0"/>
      <w:marRight w:val="0"/>
      <w:marTop w:val="0"/>
      <w:marBottom w:val="0"/>
      <w:divBdr>
        <w:top w:val="none" w:sz="0" w:space="0" w:color="auto"/>
        <w:left w:val="none" w:sz="0" w:space="0" w:color="auto"/>
        <w:bottom w:val="none" w:sz="0" w:space="0" w:color="auto"/>
        <w:right w:val="none" w:sz="0" w:space="0" w:color="auto"/>
      </w:divBdr>
    </w:div>
    <w:div w:id="1813980390">
      <w:bodyDiv w:val="1"/>
      <w:marLeft w:val="0"/>
      <w:marRight w:val="0"/>
      <w:marTop w:val="0"/>
      <w:marBottom w:val="0"/>
      <w:divBdr>
        <w:top w:val="none" w:sz="0" w:space="0" w:color="auto"/>
        <w:left w:val="none" w:sz="0" w:space="0" w:color="auto"/>
        <w:bottom w:val="none" w:sz="0" w:space="0" w:color="auto"/>
        <w:right w:val="none" w:sz="0" w:space="0" w:color="auto"/>
      </w:divBdr>
    </w:div>
    <w:div w:id="1816216685">
      <w:bodyDiv w:val="1"/>
      <w:marLeft w:val="0"/>
      <w:marRight w:val="0"/>
      <w:marTop w:val="0"/>
      <w:marBottom w:val="0"/>
      <w:divBdr>
        <w:top w:val="none" w:sz="0" w:space="0" w:color="auto"/>
        <w:left w:val="none" w:sz="0" w:space="0" w:color="auto"/>
        <w:bottom w:val="none" w:sz="0" w:space="0" w:color="auto"/>
        <w:right w:val="none" w:sz="0" w:space="0" w:color="auto"/>
      </w:divBdr>
    </w:div>
    <w:div w:id="1874076455">
      <w:bodyDiv w:val="1"/>
      <w:marLeft w:val="0"/>
      <w:marRight w:val="0"/>
      <w:marTop w:val="0"/>
      <w:marBottom w:val="0"/>
      <w:divBdr>
        <w:top w:val="none" w:sz="0" w:space="0" w:color="auto"/>
        <w:left w:val="none" w:sz="0" w:space="0" w:color="auto"/>
        <w:bottom w:val="none" w:sz="0" w:space="0" w:color="auto"/>
        <w:right w:val="none" w:sz="0" w:space="0" w:color="auto"/>
      </w:divBdr>
    </w:div>
    <w:div w:id="1911038311">
      <w:bodyDiv w:val="1"/>
      <w:marLeft w:val="0"/>
      <w:marRight w:val="0"/>
      <w:marTop w:val="0"/>
      <w:marBottom w:val="0"/>
      <w:divBdr>
        <w:top w:val="none" w:sz="0" w:space="0" w:color="auto"/>
        <w:left w:val="none" w:sz="0" w:space="0" w:color="auto"/>
        <w:bottom w:val="none" w:sz="0" w:space="0" w:color="auto"/>
        <w:right w:val="none" w:sz="0" w:space="0" w:color="auto"/>
      </w:divBdr>
    </w:div>
    <w:div w:id="1934164282">
      <w:bodyDiv w:val="1"/>
      <w:marLeft w:val="0"/>
      <w:marRight w:val="0"/>
      <w:marTop w:val="0"/>
      <w:marBottom w:val="0"/>
      <w:divBdr>
        <w:top w:val="none" w:sz="0" w:space="0" w:color="auto"/>
        <w:left w:val="none" w:sz="0" w:space="0" w:color="auto"/>
        <w:bottom w:val="none" w:sz="0" w:space="0" w:color="auto"/>
        <w:right w:val="none" w:sz="0" w:space="0" w:color="auto"/>
      </w:divBdr>
    </w:div>
    <w:div w:id="1949459399">
      <w:bodyDiv w:val="1"/>
      <w:marLeft w:val="0"/>
      <w:marRight w:val="0"/>
      <w:marTop w:val="0"/>
      <w:marBottom w:val="0"/>
      <w:divBdr>
        <w:top w:val="none" w:sz="0" w:space="0" w:color="auto"/>
        <w:left w:val="none" w:sz="0" w:space="0" w:color="auto"/>
        <w:bottom w:val="none" w:sz="0" w:space="0" w:color="auto"/>
        <w:right w:val="none" w:sz="0" w:space="0" w:color="auto"/>
      </w:divBdr>
    </w:div>
    <w:div w:id="2026129576">
      <w:bodyDiv w:val="1"/>
      <w:marLeft w:val="0"/>
      <w:marRight w:val="0"/>
      <w:marTop w:val="0"/>
      <w:marBottom w:val="0"/>
      <w:divBdr>
        <w:top w:val="none" w:sz="0" w:space="0" w:color="auto"/>
        <w:left w:val="none" w:sz="0" w:space="0" w:color="auto"/>
        <w:bottom w:val="none" w:sz="0" w:space="0" w:color="auto"/>
        <w:right w:val="none" w:sz="0" w:space="0" w:color="auto"/>
      </w:divBdr>
    </w:div>
    <w:div w:id="2066440490">
      <w:bodyDiv w:val="1"/>
      <w:marLeft w:val="0"/>
      <w:marRight w:val="0"/>
      <w:marTop w:val="0"/>
      <w:marBottom w:val="0"/>
      <w:divBdr>
        <w:top w:val="none" w:sz="0" w:space="0" w:color="auto"/>
        <w:left w:val="none" w:sz="0" w:space="0" w:color="auto"/>
        <w:bottom w:val="none" w:sz="0" w:space="0" w:color="auto"/>
        <w:right w:val="none" w:sz="0" w:space="0" w:color="auto"/>
      </w:divBdr>
    </w:div>
    <w:div w:id="2089302896">
      <w:bodyDiv w:val="1"/>
      <w:marLeft w:val="0"/>
      <w:marRight w:val="0"/>
      <w:marTop w:val="0"/>
      <w:marBottom w:val="0"/>
      <w:divBdr>
        <w:top w:val="none" w:sz="0" w:space="0" w:color="auto"/>
        <w:left w:val="none" w:sz="0" w:space="0" w:color="auto"/>
        <w:bottom w:val="none" w:sz="0" w:space="0" w:color="auto"/>
        <w:right w:val="none" w:sz="0" w:space="0" w:color="auto"/>
      </w:divBdr>
    </w:div>
    <w:div w:id="2128087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youtube.com/consumervic"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s://twitter.com/consumervic" TargetMode="External"/><Relationship Id="rId2" Type="http://schemas.openxmlformats.org/officeDocument/2006/relationships/customXml" Target="../customXml/item2.xml"/><Relationship Id="rId16" Type="http://schemas.openxmlformats.org/officeDocument/2006/relationships/hyperlink" Target="https://www.facebook.com/ConsumerAffairsVictoria" TargetMode="External"/><Relationship Id="rId20" Type="http://schemas.openxmlformats.org/officeDocument/2006/relationships/image" Target="media/image6.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s://www.consumer.vic.gov.au/" TargetMode="Externa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reativecommons.org/licenses/by/4.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D2FBC-62FC-444A-A0D0-E2A3A33B2AA5}">
  <ds:schemaRefs>
    <ds:schemaRef ds:uri="http://schemas.openxmlformats.org/officeDocument/2006/bibliography"/>
  </ds:schemaRefs>
</ds:datastoreItem>
</file>

<file path=customXml/itemProps2.xml><?xml version="1.0" encoding="utf-8"?>
<ds:datastoreItem xmlns:ds="http://schemas.openxmlformats.org/officeDocument/2006/customXml" ds:itemID="{70313A83-F3EF-4BC5-B324-F68E5B17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35</Pages>
  <Words>10607</Words>
  <Characters>60462</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Consumer Affairs Victoria Annual Report 2021-22</vt:lpstr>
    </vt:vector>
  </TitlesOfParts>
  <Company>Victorian Department of Justice and Community Safety</Company>
  <LinksUpToDate>false</LinksUpToDate>
  <CharactersWithSpaces>70928</CharactersWithSpaces>
  <SharedDoc>false</SharedDoc>
  <HLinks>
    <vt:vector size="132" baseType="variant">
      <vt:variant>
        <vt:i4>3211309</vt:i4>
      </vt:variant>
      <vt:variant>
        <vt:i4>120</vt:i4>
      </vt:variant>
      <vt:variant>
        <vt:i4>0</vt:i4>
      </vt:variant>
      <vt:variant>
        <vt:i4>5</vt:i4>
      </vt:variant>
      <vt:variant>
        <vt:lpwstr>http://www.youtube.com/consumervic</vt:lpwstr>
      </vt:variant>
      <vt:variant>
        <vt:lpwstr/>
      </vt:variant>
      <vt:variant>
        <vt:i4>7536702</vt:i4>
      </vt:variant>
      <vt:variant>
        <vt:i4>117</vt:i4>
      </vt:variant>
      <vt:variant>
        <vt:i4>0</vt:i4>
      </vt:variant>
      <vt:variant>
        <vt:i4>5</vt:i4>
      </vt:variant>
      <vt:variant>
        <vt:lpwstr>https://twitter.com/consumervic</vt:lpwstr>
      </vt:variant>
      <vt:variant>
        <vt:lpwstr/>
      </vt:variant>
      <vt:variant>
        <vt:i4>4718659</vt:i4>
      </vt:variant>
      <vt:variant>
        <vt:i4>114</vt:i4>
      </vt:variant>
      <vt:variant>
        <vt:i4>0</vt:i4>
      </vt:variant>
      <vt:variant>
        <vt:i4>5</vt:i4>
      </vt:variant>
      <vt:variant>
        <vt:lpwstr>https://www.facebook.com/ConsumerAffairsVictoria</vt:lpwstr>
      </vt:variant>
      <vt:variant>
        <vt:lpwstr/>
      </vt:variant>
      <vt:variant>
        <vt:i4>65536</vt:i4>
      </vt:variant>
      <vt:variant>
        <vt:i4>111</vt:i4>
      </vt:variant>
      <vt:variant>
        <vt:i4>0</vt:i4>
      </vt:variant>
      <vt:variant>
        <vt:i4>5</vt:i4>
      </vt:variant>
      <vt:variant>
        <vt:lpwstr>https://www.consumer.vic.gov.au/</vt:lpwstr>
      </vt:variant>
      <vt:variant>
        <vt:lpwstr/>
      </vt:variant>
      <vt:variant>
        <vt:i4>1900594</vt:i4>
      </vt:variant>
      <vt:variant>
        <vt:i4>104</vt:i4>
      </vt:variant>
      <vt:variant>
        <vt:i4>0</vt:i4>
      </vt:variant>
      <vt:variant>
        <vt:i4>5</vt:i4>
      </vt:variant>
      <vt:variant>
        <vt:lpwstr/>
      </vt:variant>
      <vt:variant>
        <vt:lpwstr>_Toc524534097</vt:lpwstr>
      </vt:variant>
      <vt:variant>
        <vt:i4>1900594</vt:i4>
      </vt:variant>
      <vt:variant>
        <vt:i4>98</vt:i4>
      </vt:variant>
      <vt:variant>
        <vt:i4>0</vt:i4>
      </vt:variant>
      <vt:variant>
        <vt:i4>5</vt:i4>
      </vt:variant>
      <vt:variant>
        <vt:lpwstr/>
      </vt:variant>
      <vt:variant>
        <vt:lpwstr>_Toc524534096</vt:lpwstr>
      </vt:variant>
      <vt:variant>
        <vt:i4>1900594</vt:i4>
      </vt:variant>
      <vt:variant>
        <vt:i4>92</vt:i4>
      </vt:variant>
      <vt:variant>
        <vt:i4>0</vt:i4>
      </vt:variant>
      <vt:variant>
        <vt:i4>5</vt:i4>
      </vt:variant>
      <vt:variant>
        <vt:lpwstr/>
      </vt:variant>
      <vt:variant>
        <vt:lpwstr>_Toc524534095</vt:lpwstr>
      </vt:variant>
      <vt:variant>
        <vt:i4>1900594</vt:i4>
      </vt:variant>
      <vt:variant>
        <vt:i4>86</vt:i4>
      </vt:variant>
      <vt:variant>
        <vt:i4>0</vt:i4>
      </vt:variant>
      <vt:variant>
        <vt:i4>5</vt:i4>
      </vt:variant>
      <vt:variant>
        <vt:lpwstr/>
      </vt:variant>
      <vt:variant>
        <vt:lpwstr>_Toc524534094</vt:lpwstr>
      </vt:variant>
      <vt:variant>
        <vt:i4>1900594</vt:i4>
      </vt:variant>
      <vt:variant>
        <vt:i4>80</vt:i4>
      </vt:variant>
      <vt:variant>
        <vt:i4>0</vt:i4>
      </vt:variant>
      <vt:variant>
        <vt:i4>5</vt:i4>
      </vt:variant>
      <vt:variant>
        <vt:lpwstr/>
      </vt:variant>
      <vt:variant>
        <vt:lpwstr>_Toc524534093</vt:lpwstr>
      </vt:variant>
      <vt:variant>
        <vt:i4>1900594</vt:i4>
      </vt:variant>
      <vt:variant>
        <vt:i4>74</vt:i4>
      </vt:variant>
      <vt:variant>
        <vt:i4>0</vt:i4>
      </vt:variant>
      <vt:variant>
        <vt:i4>5</vt:i4>
      </vt:variant>
      <vt:variant>
        <vt:lpwstr/>
      </vt:variant>
      <vt:variant>
        <vt:lpwstr>_Toc524534092</vt:lpwstr>
      </vt:variant>
      <vt:variant>
        <vt:i4>1900594</vt:i4>
      </vt:variant>
      <vt:variant>
        <vt:i4>68</vt:i4>
      </vt:variant>
      <vt:variant>
        <vt:i4>0</vt:i4>
      </vt:variant>
      <vt:variant>
        <vt:i4>5</vt:i4>
      </vt:variant>
      <vt:variant>
        <vt:lpwstr/>
      </vt:variant>
      <vt:variant>
        <vt:lpwstr>_Toc524534091</vt:lpwstr>
      </vt:variant>
      <vt:variant>
        <vt:i4>1900594</vt:i4>
      </vt:variant>
      <vt:variant>
        <vt:i4>62</vt:i4>
      </vt:variant>
      <vt:variant>
        <vt:i4>0</vt:i4>
      </vt:variant>
      <vt:variant>
        <vt:i4>5</vt:i4>
      </vt:variant>
      <vt:variant>
        <vt:lpwstr/>
      </vt:variant>
      <vt:variant>
        <vt:lpwstr>_Toc524534090</vt:lpwstr>
      </vt:variant>
      <vt:variant>
        <vt:i4>1835058</vt:i4>
      </vt:variant>
      <vt:variant>
        <vt:i4>56</vt:i4>
      </vt:variant>
      <vt:variant>
        <vt:i4>0</vt:i4>
      </vt:variant>
      <vt:variant>
        <vt:i4>5</vt:i4>
      </vt:variant>
      <vt:variant>
        <vt:lpwstr/>
      </vt:variant>
      <vt:variant>
        <vt:lpwstr>_Toc524534089</vt:lpwstr>
      </vt:variant>
      <vt:variant>
        <vt:i4>1835058</vt:i4>
      </vt:variant>
      <vt:variant>
        <vt:i4>50</vt:i4>
      </vt:variant>
      <vt:variant>
        <vt:i4>0</vt:i4>
      </vt:variant>
      <vt:variant>
        <vt:i4>5</vt:i4>
      </vt:variant>
      <vt:variant>
        <vt:lpwstr/>
      </vt:variant>
      <vt:variant>
        <vt:lpwstr>_Toc524534088</vt:lpwstr>
      </vt:variant>
      <vt:variant>
        <vt:i4>1835058</vt:i4>
      </vt:variant>
      <vt:variant>
        <vt:i4>44</vt:i4>
      </vt:variant>
      <vt:variant>
        <vt:i4>0</vt:i4>
      </vt:variant>
      <vt:variant>
        <vt:i4>5</vt:i4>
      </vt:variant>
      <vt:variant>
        <vt:lpwstr/>
      </vt:variant>
      <vt:variant>
        <vt:lpwstr>_Toc524534087</vt:lpwstr>
      </vt:variant>
      <vt:variant>
        <vt:i4>1835058</vt:i4>
      </vt:variant>
      <vt:variant>
        <vt:i4>38</vt:i4>
      </vt:variant>
      <vt:variant>
        <vt:i4>0</vt:i4>
      </vt:variant>
      <vt:variant>
        <vt:i4>5</vt:i4>
      </vt:variant>
      <vt:variant>
        <vt:lpwstr/>
      </vt:variant>
      <vt:variant>
        <vt:lpwstr>_Toc524534086</vt:lpwstr>
      </vt:variant>
      <vt:variant>
        <vt:i4>1835058</vt:i4>
      </vt:variant>
      <vt:variant>
        <vt:i4>32</vt:i4>
      </vt:variant>
      <vt:variant>
        <vt:i4>0</vt:i4>
      </vt:variant>
      <vt:variant>
        <vt:i4>5</vt:i4>
      </vt:variant>
      <vt:variant>
        <vt:lpwstr/>
      </vt:variant>
      <vt:variant>
        <vt:lpwstr>_Toc524534085</vt:lpwstr>
      </vt:variant>
      <vt:variant>
        <vt:i4>1835058</vt:i4>
      </vt:variant>
      <vt:variant>
        <vt:i4>26</vt:i4>
      </vt:variant>
      <vt:variant>
        <vt:i4>0</vt:i4>
      </vt:variant>
      <vt:variant>
        <vt:i4>5</vt:i4>
      </vt:variant>
      <vt:variant>
        <vt:lpwstr/>
      </vt:variant>
      <vt:variant>
        <vt:lpwstr>_Toc524534084</vt:lpwstr>
      </vt:variant>
      <vt:variant>
        <vt:i4>1835058</vt:i4>
      </vt:variant>
      <vt:variant>
        <vt:i4>20</vt:i4>
      </vt:variant>
      <vt:variant>
        <vt:i4>0</vt:i4>
      </vt:variant>
      <vt:variant>
        <vt:i4>5</vt:i4>
      </vt:variant>
      <vt:variant>
        <vt:lpwstr/>
      </vt:variant>
      <vt:variant>
        <vt:lpwstr>_Toc524534083</vt:lpwstr>
      </vt:variant>
      <vt:variant>
        <vt:i4>1835058</vt:i4>
      </vt:variant>
      <vt:variant>
        <vt:i4>14</vt:i4>
      </vt:variant>
      <vt:variant>
        <vt:i4>0</vt:i4>
      </vt:variant>
      <vt:variant>
        <vt:i4>5</vt:i4>
      </vt:variant>
      <vt:variant>
        <vt:lpwstr/>
      </vt:variant>
      <vt:variant>
        <vt:lpwstr>_Toc524534082</vt:lpwstr>
      </vt:variant>
      <vt:variant>
        <vt:i4>1835058</vt:i4>
      </vt:variant>
      <vt:variant>
        <vt:i4>8</vt:i4>
      </vt:variant>
      <vt:variant>
        <vt:i4>0</vt:i4>
      </vt:variant>
      <vt:variant>
        <vt:i4>5</vt:i4>
      </vt:variant>
      <vt:variant>
        <vt:lpwstr/>
      </vt:variant>
      <vt:variant>
        <vt:lpwstr>_Toc524534081</vt:lpwstr>
      </vt:variant>
      <vt:variant>
        <vt:i4>1835058</vt:i4>
      </vt:variant>
      <vt:variant>
        <vt:i4>2</vt:i4>
      </vt:variant>
      <vt:variant>
        <vt:i4>0</vt:i4>
      </vt:variant>
      <vt:variant>
        <vt:i4>5</vt:i4>
      </vt:variant>
      <vt:variant>
        <vt:lpwstr/>
      </vt:variant>
      <vt:variant>
        <vt:lpwstr>_Toc524534080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Affairs Victoria Annual Report 2021-22</dc:title>
  <dc:subject/>
  <dc:creator>Consumer Affairs Victoria</dc:creator>
  <cp:keywords/>
  <dc:description/>
  <cp:lastModifiedBy>Robert Di Renzo</cp:lastModifiedBy>
  <cp:revision>47</cp:revision>
  <cp:lastPrinted>2021-10-23T09:20:00Z</cp:lastPrinted>
  <dcterms:created xsi:type="dcterms:W3CDTF">2021-10-18T04:17:00Z</dcterms:created>
  <dcterms:modified xsi:type="dcterms:W3CDTF">2022-12-16T04:46:00Z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